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Default Extension="jpeg" ContentType="image/jpeg"/>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6.xml" ContentType="application/vnd.openxmlformats-officedocument.wordprocessingml.head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header8.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9.xml" ContentType="application/vnd.openxmlformats-officedocument.wordprocessingml.header+xml"/>
  <Override PartName="/word/footer17.xml" ContentType="application/vnd.openxmlformats-officedocument.wordprocessingml.footer+xml"/>
  <Override PartName="/word/header10.xml" ContentType="application/vnd.openxmlformats-officedocument.wordprocessingml.header+xml"/>
  <Override PartName="/word/footer18.xml" ContentType="application/vnd.openxmlformats-officedocument.wordprocessingml.footer+xml"/>
  <Override PartName="/word/header11.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80013pt;width:484.95pt;height:.1pt;mso-position-horizontal-relative:page;mso-position-vertical-relative:page;z-index:0" coordorigin="1104,982" coordsize="9699,2">
            <v:shape style="position:absolute;left:1104;top:982;width:9699;height:2" coordorigin="1104,982" coordsize="9699,0" path="m1104,982l10802,982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p>
      <w:pPr>
        <w:spacing w:line="1483" w:lineRule="exact"/>
        <w:ind w:left="424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9"/>
          <w:sz w:val="20"/>
          <w:szCs w:val="20"/>
        </w:rPr>
        <w:drawing>
          <wp:inline distT="0" distB="0" distL="0" distR="0">
            <wp:extent cx="931917" cy="941831"/>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931917" cy="941831"/>
                    </a:xfrm>
                    <a:prstGeom prst="rect">
                      <a:avLst/>
                    </a:prstGeom>
                  </pic:spPr>
                </pic:pic>
              </a:graphicData>
            </a:graphic>
          </wp:inline>
        </w:drawing>
      </w:r>
      <w:r>
        <w:rPr>
          <w:rFonts w:ascii="Times New Roman" w:hAnsi="Times New Roman" w:cs="Times New Roman" w:eastAsia="Times New Roman" w:hint="default"/>
          <w:position w:val="-29"/>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3"/>
          <w:szCs w:val="23"/>
        </w:rPr>
      </w:pPr>
    </w:p>
    <w:p>
      <w:pPr>
        <w:spacing w:line="460" w:lineRule="exact" w:before="0"/>
        <w:ind w:left="2784" w:right="2783" w:firstLine="0"/>
        <w:jc w:val="center"/>
        <w:rPr>
          <w:rFonts w:ascii="宋体" w:hAnsi="宋体" w:cs="宋体" w:eastAsia="宋体" w:hint="default"/>
          <w:sz w:val="36"/>
          <w:szCs w:val="36"/>
        </w:rPr>
      </w:pPr>
      <w:r>
        <w:rPr>
          <w:rFonts w:ascii="宋体" w:hAnsi="宋体" w:cs="宋体" w:eastAsia="宋体" w:hint="default"/>
          <w:b/>
          <w:bCs/>
          <w:sz w:val="36"/>
          <w:szCs w:val="36"/>
        </w:rPr>
        <w:t>浙江华媒控股股份有限公司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783" w:right="278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6"/>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spacing w:before="0"/>
        <w:ind w:left="2784" w:right="2783" w:firstLine="0"/>
        <w:jc w:val="center"/>
        <w:rPr>
          <w:rFonts w:ascii="Times New Roman" w:hAnsi="Times New Roman" w:cs="Times New Roman" w:eastAsia="Times New Roman" w:hint="default"/>
          <w:sz w:val="22"/>
          <w:szCs w:val="22"/>
        </w:rPr>
      </w:pPr>
      <w:r>
        <w:rPr>
          <w:rFonts w:ascii="Times New Roman"/>
          <w:b/>
          <w:sz w:val="22"/>
        </w:rPr>
        <w:t>2016-018</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8"/>
        <w:ind w:left="2784" w:right="278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82" w:top="1060" w:bottom="118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4" w:right="0"/>
        <w:jc w:val="left"/>
        <w:rPr>
          <w:b w:val="0"/>
          <w:bCs w:val="0"/>
        </w:rPr>
      </w:pPr>
      <w:bookmarkStart w:name="_TOC_250010" w:id="1"/>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本公司董事会、监事会及董事、监事、高级管理人员保证年度报告内容的</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1"/>
        <w:ind w:left="154" w:right="151"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公司负责人赵晴、主管会计工作负责人郭勤勇及会计机构负责人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郭勤勇声明：保证年度报告中财务报告的真实、准确、完整。</w:t>
      </w:r>
      <w:r>
        <w:rPr>
          <w:rFonts w:ascii="宋体" w:hAnsi="宋体" w:cs="宋体" w:eastAsia="宋体" w:hint="default"/>
          <w:sz w:val="28"/>
          <w:szCs w:val="28"/>
        </w:rPr>
      </w:r>
    </w:p>
    <w:p>
      <w:pPr>
        <w:spacing w:before="14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10"/>
        <w:rPr>
          <w:rFonts w:ascii="宋体" w:hAnsi="宋体" w:cs="宋体" w:eastAsia="宋体" w:hint="default"/>
          <w:b/>
          <w:bCs/>
          <w:sz w:val="20"/>
          <w:szCs w:val="20"/>
        </w:rPr>
      </w:pPr>
    </w:p>
    <w:tbl>
      <w:tblPr>
        <w:tblW w:w="0" w:type="auto"/>
        <w:jc w:val="left"/>
        <w:tblInd w:w="149" w:type="dxa"/>
        <w:tblLayout w:type="fixed"/>
        <w:tblCellMar>
          <w:top w:w="0" w:type="dxa"/>
          <w:left w:w="0" w:type="dxa"/>
          <w:bottom w:w="0" w:type="dxa"/>
          <w:right w:w="0" w:type="dxa"/>
        </w:tblCellMar>
        <w:tblLook w:val="01E0"/>
      </w:tblPr>
      <w:tblGrid>
        <w:gridCol w:w="2923"/>
        <w:gridCol w:w="2223"/>
        <w:gridCol w:w="2211"/>
        <w:gridCol w:w="2210"/>
      </w:tblGrid>
      <w:tr>
        <w:trPr>
          <w:trHeight w:val="401" w:hRule="exact"/>
        </w:trPr>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2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02" w:right="0"/>
              <w:jc w:val="left"/>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91" w:right="0"/>
              <w:jc w:val="left"/>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2" w:hRule="exact"/>
        </w:trPr>
        <w:tc>
          <w:tcPr>
            <w:tcW w:w="2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秦晓春</w:t>
            </w:r>
          </w:p>
        </w:tc>
        <w:tc>
          <w:tcPr>
            <w:tcW w:w="2223"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2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工作安排</w:t>
            </w:r>
          </w:p>
        </w:tc>
        <w:tc>
          <w:tcPr>
            <w:tcW w:w="22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鲍林强</w:t>
            </w:r>
          </w:p>
        </w:tc>
      </w:tr>
      <w:tr>
        <w:trPr>
          <w:trHeight w:val="403" w:hRule="exact"/>
        </w:trPr>
        <w:tc>
          <w:tcPr>
            <w:tcW w:w="292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郭全中</w:t>
            </w:r>
          </w:p>
        </w:tc>
        <w:tc>
          <w:tcPr>
            <w:tcW w:w="2223"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21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工作安排</w:t>
            </w:r>
          </w:p>
        </w:tc>
        <w:tc>
          <w:tcPr>
            <w:tcW w:w="22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叶雪芳</w:t>
            </w:r>
          </w:p>
        </w:tc>
      </w:tr>
    </w:tbl>
    <w:p>
      <w:pPr>
        <w:spacing w:line="240" w:lineRule="auto" w:before="2"/>
        <w:rPr>
          <w:rFonts w:ascii="宋体" w:hAnsi="宋体" w:cs="宋体" w:eastAsia="宋体" w:hint="default"/>
          <w:b/>
          <w:bCs/>
          <w:sz w:val="13"/>
          <w:szCs w:val="13"/>
        </w:rPr>
      </w:pPr>
    </w:p>
    <w:p>
      <w:pPr>
        <w:spacing w:line="408" w:lineRule="auto" w:before="13"/>
        <w:ind w:left="153" w:right="1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本报告中所涉及的发展战略、经营计划等前瞻性陈述不构成公司对投资者</w:t>
      </w:r>
      <w:r>
        <w:rPr>
          <w:rFonts w:ascii="宋体" w:hAnsi="宋体" w:cs="宋体" w:eastAsia="宋体" w:hint="default"/>
          <w:b/>
          <w:bCs/>
          <w:spacing w:val="4"/>
          <w:w w:val="99"/>
          <w:sz w:val="28"/>
          <w:szCs w:val="28"/>
        </w:rPr>
        <w:t> </w:t>
      </w:r>
      <w:r>
        <w:rPr>
          <w:rFonts w:ascii="宋体" w:hAnsi="宋体" w:cs="宋体" w:eastAsia="宋体" w:hint="default"/>
          <w:b/>
          <w:bCs/>
          <w:sz w:val="28"/>
          <w:szCs w:val="28"/>
        </w:rPr>
        <w:t>的实质承诺，敬请广大投资者注意投资风险。</w:t>
      </w:r>
      <w:r>
        <w:rPr>
          <w:rFonts w:ascii="宋体" w:hAnsi="宋体" w:cs="宋体" w:eastAsia="宋体" w:hint="default"/>
          <w:sz w:val="28"/>
          <w:szCs w:val="28"/>
        </w:rPr>
      </w:r>
    </w:p>
    <w:p>
      <w:pPr>
        <w:spacing w:before="161"/>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一、</w:t>
      </w:r>
      <w:r>
        <w:rPr>
          <w:rFonts w:ascii="宋体" w:hAnsi="宋体" w:cs="宋体" w:eastAsia="宋体" w:hint="default"/>
          <w:b/>
          <w:bCs/>
          <w:spacing w:val="-13"/>
          <w:sz w:val="28"/>
          <w:szCs w:val="28"/>
        </w:rPr>
        <w:t> </w:t>
      </w:r>
      <w:r>
        <w:rPr>
          <w:rFonts w:ascii="宋体" w:hAnsi="宋体" w:cs="宋体" w:eastAsia="宋体" w:hint="default"/>
          <w:b/>
          <w:bCs/>
          <w:sz w:val="28"/>
          <w:szCs w:val="28"/>
        </w:rPr>
        <w:t>采编与经营“两分开”的经营风险</w:t>
      </w:r>
      <w:r>
        <w:rPr>
          <w:rFonts w:ascii="宋体" w:hAnsi="宋体" w:cs="宋体" w:eastAsia="宋体" w:hint="default"/>
          <w:sz w:val="28"/>
          <w:szCs w:val="28"/>
        </w:rPr>
      </w:r>
    </w:p>
    <w:p>
      <w:pPr>
        <w:spacing w:line="240" w:lineRule="auto" w:before="4"/>
        <w:rPr>
          <w:rFonts w:ascii="宋体" w:hAnsi="宋体" w:cs="宋体" w:eastAsia="宋体" w:hint="default"/>
          <w:b/>
          <w:bCs/>
          <w:sz w:val="27"/>
          <w:szCs w:val="27"/>
        </w:rPr>
      </w:pPr>
    </w:p>
    <w:p>
      <w:pPr>
        <w:spacing w:line="408" w:lineRule="auto" w:before="0"/>
        <w:ind w:left="153" w:right="139" w:firstLine="550"/>
        <w:jc w:val="both"/>
        <w:rPr>
          <w:rFonts w:ascii="宋体" w:hAnsi="宋体" w:cs="宋体" w:eastAsia="宋体" w:hint="default"/>
          <w:sz w:val="28"/>
          <w:szCs w:val="28"/>
        </w:rPr>
      </w:pPr>
      <w:r>
        <w:rPr>
          <w:rFonts w:ascii="宋体" w:hAnsi="宋体" w:cs="宋体" w:eastAsia="宋体" w:hint="default"/>
          <w:b/>
          <w:bCs/>
          <w:spacing w:val="13"/>
          <w:w w:val="95"/>
          <w:sz w:val="28"/>
          <w:szCs w:val="28"/>
        </w:rPr>
        <w:t>公司重组后收购资产不包括报纸采编类资产。根据报刊行业采编与经营</w:t>
      </w:r>
      <w:r>
        <w:rPr>
          <w:rFonts w:ascii="宋体" w:hAnsi="宋体" w:cs="宋体" w:eastAsia="宋体" w:hint="default"/>
          <w:b/>
          <w:bCs/>
          <w:spacing w:val="13"/>
          <w:w w:val="99"/>
          <w:sz w:val="28"/>
          <w:szCs w:val="28"/>
        </w:rPr>
        <w:t> </w:t>
      </w:r>
      <w:r>
        <w:rPr>
          <w:rFonts w:ascii="宋体" w:hAnsi="宋体" w:cs="宋体" w:eastAsia="宋体" w:hint="default"/>
          <w:b/>
          <w:bCs/>
          <w:spacing w:val="-1"/>
          <w:w w:val="95"/>
          <w:sz w:val="28"/>
          <w:szCs w:val="28"/>
        </w:rPr>
        <w:t>“两分开”的政策，杭州日报社及其他相关报社,与拟购买资产范围内各相关报</w:t>
      </w:r>
      <w:r>
        <w:rPr>
          <w:rFonts w:ascii="宋体" w:hAnsi="宋体" w:cs="宋体" w:eastAsia="宋体" w:hint="default"/>
          <w:b/>
          <w:bCs/>
          <w:spacing w:val="40"/>
          <w:w w:val="95"/>
          <w:sz w:val="28"/>
          <w:szCs w:val="28"/>
        </w:rPr>
        <w:t> </w:t>
      </w:r>
      <w:r>
        <w:rPr>
          <w:rFonts w:ascii="宋体" w:hAnsi="宋体" w:cs="宋体" w:eastAsia="宋体" w:hint="default"/>
          <w:b/>
          <w:bCs/>
          <w:spacing w:val="40"/>
          <w:w w:val="95"/>
          <w:sz w:val="28"/>
          <w:szCs w:val="28"/>
        </w:rPr>
      </w:r>
      <w:r>
        <w:rPr>
          <w:rFonts w:ascii="宋体" w:hAnsi="宋体" w:cs="宋体" w:eastAsia="宋体" w:hint="default"/>
          <w:b/>
          <w:bCs/>
          <w:spacing w:val="-5"/>
          <w:w w:val="99"/>
          <w:sz w:val="28"/>
          <w:szCs w:val="28"/>
        </w:rPr>
        <w:t>刊经营公司签订了《授权经营协议》和《收入分成协议》。上市公司负责经营广</w:t>
      </w:r>
      <w:r>
        <w:rPr>
          <w:rFonts w:ascii="宋体" w:hAnsi="宋体" w:cs="宋体" w:eastAsia="宋体" w:hint="default"/>
          <w:b/>
          <w:bCs/>
          <w:spacing w:val="-130"/>
          <w:w w:val="99"/>
          <w:sz w:val="28"/>
          <w:szCs w:val="28"/>
        </w:rPr>
        <w:t> </w:t>
      </w:r>
      <w:r>
        <w:rPr>
          <w:rFonts w:ascii="宋体" w:hAnsi="宋体" w:cs="宋体" w:eastAsia="宋体" w:hint="default"/>
          <w:b/>
          <w:bCs/>
          <w:spacing w:val="-130"/>
          <w:w w:val="99"/>
          <w:sz w:val="28"/>
          <w:szCs w:val="28"/>
        </w:rPr>
      </w:r>
      <w:r>
        <w:rPr>
          <w:rFonts w:ascii="宋体" w:hAnsi="宋体" w:cs="宋体" w:eastAsia="宋体" w:hint="default"/>
          <w:b/>
          <w:bCs/>
          <w:spacing w:val="3"/>
          <w:w w:val="95"/>
          <w:sz w:val="28"/>
          <w:szCs w:val="28"/>
        </w:rPr>
        <w:t>告、发行、印刷和新媒体等业务，杭州日报社及其他相关报社负责采编业务。</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各报刊经营公司与杭州日报社及其他相关报社存在持续关联交易。由于采编与</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经营“两分开”的行业政策，采编业务现阶段不在上市公司内运营，提请投资</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者关注可能对公司广告、报刊发行等业务发展带来的经营风险。</w:t>
      </w:r>
      <w:r>
        <w:rPr>
          <w:rFonts w:ascii="宋体" w:hAnsi="宋体" w:cs="宋体" w:eastAsia="宋体" w:hint="default"/>
          <w:sz w:val="28"/>
          <w:szCs w:val="28"/>
        </w:rPr>
      </w:r>
    </w:p>
    <w:p>
      <w:pPr>
        <w:spacing w:before="161"/>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二、</w:t>
      </w:r>
      <w:r>
        <w:rPr>
          <w:rFonts w:ascii="宋体" w:hAnsi="宋体" w:cs="宋体" w:eastAsia="宋体" w:hint="default"/>
          <w:b/>
          <w:bCs/>
          <w:spacing w:val="-10"/>
          <w:sz w:val="28"/>
          <w:szCs w:val="28"/>
        </w:rPr>
        <w:t> </w:t>
      </w:r>
      <w:r>
        <w:rPr>
          <w:rFonts w:ascii="宋体" w:hAnsi="宋体" w:cs="宋体" w:eastAsia="宋体" w:hint="default"/>
          <w:b/>
          <w:bCs/>
          <w:sz w:val="28"/>
          <w:szCs w:val="28"/>
        </w:rPr>
        <w:t>新媒体业务冲击的风险</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82" w:header="747" w:top="1060" w:bottom="1180" w:left="980" w:right="9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9"/>
          <w:szCs w:val="29"/>
        </w:rPr>
      </w:pPr>
    </w:p>
    <w:p>
      <w:pPr>
        <w:spacing w:line="408" w:lineRule="auto" w:before="13"/>
        <w:ind w:left="154" w:right="247" w:firstLine="550"/>
        <w:jc w:val="both"/>
        <w:rPr>
          <w:rFonts w:ascii="宋体" w:hAnsi="宋体" w:cs="宋体" w:eastAsia="宋体" w:hint="default"/>
          <w:sz w:val="28"/>
          <w:szCs w:val="28"/>
        </w:rPr>
      </w:pPr>
      <w:r>
        <w:rPr>
          <w:rFonts w:ascii="宋体" w:hAnsi="宋体" w:cs="宋体" w:eastAsia="宋体" w:hint="default"/>
          <w:b/>
          <w:bCs/>
          <w:spacing w:val="3"/>
          <w:w w:val="95"/>
          <w:sz w:val="28"/>
          <w:szCs w:val="28"/>
        </w:rPr>
        <w:t>公司所属互联网和移动互联网业务，已形成具有较大影响力的新媒体矩阵</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且业务占比稳定上升，但盈利能力尚未充分体现。全社会新媒体业务的快速发</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展，对上市公司传统媒体业务构成冲击。由于新媒体行业受互联网发展进程影</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响较大，公司在相应的业务发展、盈利增加等方面，存在一定的不确定性。公</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司主要利润来源还是与传统报业相关的经营活动，如果新媒体的盈利能力不能</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尽快释放，则未来盈利可能继续受到影响。</w:t>
      </w:r>
      <w:r>
        <w:rPr>
          <w:rFonts w:ascii="宋体" w:hAnsi="宋体" w:cs="宋体" w:eastAsia="宋体" w:hint="default"/>
          <w:sz w:val="28"/>
          <w:szCs w:val="28"/>
        </w:rPr>
      </w:r>
    </w:p>
    <w:p>
      <w:pPr>
        <w:spacing w:line="472" w:lineRule="auto" w:before="161"/>
        <w:ind w:left="704" w:right="0" w:firstLine="10"/>
        <w:jc w:val="left"/>
        <w:rPr>
          <w:rFonts w:ascii="宋体" w:hAnsi="宋体" w:cs="宋体" w:eastAsia="宋体" w:hint="default"/>
          <w:sz w:val="28"/>
          <w:szCs w:val="28"/>
        </w:rPr>
      </w:pPr>
      <w:r>
        <w:rPr>
          <w:rFonts w:ascii="宋体" w:hAnsi="宋体" w:cs="宋体" w:eastAsia="宋体" w:hint="default"/>
          <w:b/>
          <w:bCs/>
          <w:sz w:val="28"/>
          <w:szCs w:val="28"/>
        </w:rPr>
        <w:t>三、</w:t>
      </w:r>
      <w:r>
        <w:rPr>
          <w:rFonts w:ascii="宋体" w:hAnsi="宋体" w:cs="宋体" w:eastAsia="宋体" w:hint="default"/>
          <w:b/>
          <w:bCs/>
          <w:spacing w:val="-4"/>
          <w:sz w:val="28"/>
          <w:szCs w:val="28"/>
        </w:rPr>
        <w:t> </w:t>
      </w:r>
      <w:r>
        <w:rPr>
          <w:rFonts w:ascii="宋体" w:hAnsi="宋体" w:cs="宋体" w:eastAsia="宋体" w:hint="default"/>
          <w:b/>
          <w:bCs/>
          <w:sz w:val="28"/>
          <w:szCs w:val="28"/>
        </w:rPr>
        <w:t>财务指标波动风险</w:t>
      </w:r>
      <w:r>
        <w:rPr>
          <w:rFonts w:ascii="宋体" w:hAnsi="宋体" w:cs="宋体" w:eastAsia="宋体" w:hint="default"/>
          <w:b/>
          <w:bCs/>
          <w:spacing w:val="1"/>
          <w:w w:val="99"/>
          <w:sz w:val="28"/>
          <w:szCs w:val="28"/>
        </w:rPr>
        <w:t> </w:t>
      </w:r>
      <w:r>
        <w:rPr>
          <w:rFonts w:ascii="宋体" w:hAnsi="宋体" w:cs="宋体" w:eastAsia="宋体" w:hint="default"/>
          <w:b/>
          <w:bCs/>
          <w:spacing w:val="3"/>
          <w:w w:val="95"/>
          <w:sz w:val="28"/>
          <w:szCs w:val="28"/>
        </w:rPr>
        <w:t>由于公司经营所处行业受政策调整的影响比较大，公司以往年度存在经营</w:t>
      </w:r>
      <w:r>
        <w:rPr>
          <w:rFonts w:ascii="宋体" w:hAnsi="宋体" w:cs="宋体" w:eastAsia="宋体" w:hint="default"/>
          <w:sz w:val="28"/>
          <w:szCs w:val="28"/>
        </w:rPr>
      </w:r>
    </w:p>
    <w:p>
      <w:pPr>
        <w:spacing w:line="410" w:lineRule="auto" w:before="0"/>
        <w:ind w:left="154" w:right="0" w:firstLine="0"/>
        <w:jc w:val="left"/>
        <w:rPr>
          <w:rFonts w:ascii="宋体" w:hAnsi="宋体" w:cs="宋体" w:eastAsia="宋体" w:hint="default"/>
          <w:sz w:val="28"/>
          <w:szCs w:val="28"/>
        </w:rPr>
      </w:pPr>
      <w:r>
        <w:rPr>
          <w:rFonts w:ascii="宋体" w:hAnsi="宋体" w:cs="宋体" w:eastAsia="宋体" w:hint="default"/>
          <w:b/>
          <w:bCs/>
          <w:spacing w:val="-1"/>
          <w:w w:val="95"/>
          <w:sz w:val="28"/>
          <w:szCs w:val="28"/>
        </w:rPr>
        <w:t>收入或净利润大幅度波动现象。未来传媒行业有可能受关联行业政策调控影响，</w:t>
      </w:r>
      <w:r>
        <w:rPr>
          <w:rFonts w:ascii="宋体" w:hAnsi="宋体" w:cs="宋体" w:eastAsia="宋体" w:hint="default"/>
          <w:b/>
          <w:bCs/>
          <w:spacing w:val="46"/>
          <w:w w:val="95"/>
          <w:sz w:val="28"/>
          <w:szCs w:val="28"/>
        </w:rPr>
        <w:t> </w:t>
      </w:r>
      <w:r>
        <w:rPr>
          <w:rFonts w:ascii="宋体" w:hAnsi="宋体" w:cs="宋体" w:eastAsia="宋体" w:hint="default"/>
          <w:b/>
          <w:bCs/>
          <w:spacing w:val="46"/>
          <w:w w:val="95"/>
          <w:sz w:val="28"/>
          <w:szCs w:val="28"/>
        </w:rPr>
      </w:r>
      <w:r>
        <w:rPr>
          <w:rFonts w:ascii="宋体" w:hAnsi="宋体" w:cs="宋体" w:eastAsia="宋体" w:hint="default"/>
          <w:b/>
          <w:bCs/>
          <w:sz w:val="28"/>
          <w:szCs w:val="28"/>
        </w:rPr>
        <w:t>或阶段性区域情况的变化，公司未来净利润存在波动甚至下滑的可能。</w:t>
      </w:r>
      <w:r>
        <w:rPr>
          <w:rFonts w:ascii="宋体" w:hAnsi="宋体" w:cs="宋体" w:eastAsia="宋体" w:hint="default"/>
          <w:sz w:val="28"/>
          <w:szCs w:val="28"/>
        </w:rPr>
      </w:r>
    </w:p>
    <w:p>
      <w:pPr>
        <w:spacing w:line="472" w:lineRule="auto" w:before="158"/>
        <w:ind w:left="704" w:right="0" w:firstLine="10"/>
        <w:jc w:val="left"/>
        <w:rPr>
          <w:rFonts w:ascii="宋体" w:hAnsi="宋体" w:cs="宋体" w:eastAsia="宋体" w:hint="default"/>
          <w:sz w:val="28"/>
          <w:szCs w:val="28"/>
        </w:rPr>
      </w:pPr>
      <w:r>
        <w:rPr>
          <w:rFonts w:ascii="宋体" w:hAnsi="宋体" w:cs="宋体" w:eastAsia="宋体" w:hint="default"/>
          <w:b/>
          <w:bCs/>
          <w:sz w:val="28"/>
          <w:szCs w:val="28"/>
        </w:rPr>
        <w:t>四、</w:t>
      </w:r>
      <w:r>
        <w:rPr>
          <w:rFonts w:ascii="宋体" w:hAnsi="宋体" w:cs="宋体" w:eastAsia="宋体" w:hint="default"/>
          <w:b/>
          <w:bCs/>
          <w:spacing w:val="-4"/>
          <w:sz w:val="28"/>
          <w:szCs w:val="28"/>
        </w:rPr>
        <w:t> </w:t>
      </w:r>
      <w:r>
        <w:rPr>
          <w:rFonts w:ascii="宋体" w:hAnsi="宋体" w:cs="宋体" w:eastAsia="宋体" w:hint="default"/>
          <w:b/>
          <w:bCs/>
          <w:sz w:val="28"/>
          <w:szCs w:val="28"/>
        </w:rPr>
        <w:t>经营业绩季节性变化风险</w:t>
      </w:r>
      <w:r>
        <w:rPr>
          <w:rFonts w:ascii="宋体" w:hAnsi="宋体" w:cs="宋体" w:eastAsia="宋体" w:hint="default"/>
          <w:b/>
          <w:bCs/>
          <w:spacing w:val="1"/>
          <w:w w:val="99"/>
          <w:sz w:val="28"/>
          <w:szCs w:val="28"/>
        </w:rPr>
        <w:t> </w:t>
      </w:r>
      <w:r>
        <w:rPr>
          <w:rFonts w:ascii="宋体" w:hAnsi="宋体" w:cs="宋体" w:eastAsia="宋体" w:hint="default"/>
          <w:b/>
          <w:bCs/>
          <w:spacing w:val="3"/>
          <w:w w:val="95"/>
          <w:sz w:val="28"/>
          <w:szCs w:val="28"/>
        </w:rPr>
        <w:t>公司目前主要经营业务包括广告承揽发布、会展策划及活动推广、报刊发</w:t>
      </w:r>
      <w:r>
        <w:rPr>
          <w:rFonts w:ascii="宋体" w:hAnsi="宋体" w:cs="宋体" w:eastAsia="宋体" w:hint="default"/>
          <w:sz w:val="28"/>
          <w:szCs w:val="28"/>
        </w:rPr>
      </w:r>
    </w:p>
    <w:p>
      <w:pPr>
        <w:spacing w:line="408" w:lineRule="auto" w:before="0"/>
        <w:ind w:left="154" w:right="249"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行和印刷、新媒体内容推广（含视频信息）等，其中广告及会展活动推广、新</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媒体营销、户外业务等为主要盈利来源。根据以往年度经营情况及行业惯例，</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pacing w:val="3"/>
          <w:w w:val="95"/>
          <w:sz w:val="28"/>
          <w:szCs w:val="28"/>
        </w:rPr>
        <w:t>受一季度假期影响，广告及活动策划业务相较其他季度会有较大波动，容易造</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成一季度业绩下滑甚至会出现亏损现象。公司盈利将主要体现在后三个季度。</w:t>
      </w:r>
      <w:r>
        <w:rPr>
          <w:rFonts w:ascii="宋体" w:hAnsi="宋体" w:cs="宋体" w:eastAsia="宋体" w:hint="default"/>
          <w:sz w:val="28"/>
          <w:szCs w:val="28"/>
        </w:rPr>
      </w:r>
    </w:p>
    <w:p>
      <w:pPr>
        <w:spacing w:line="472" w:lineRule="auto" w:before="162"/>
        <w:ind w:left="704" w:right="0" w:firstLine="10"/>
        <w:jc w:val="left"/>
        <w:rPr>
          <w:rFonts w:ascii="宋体" w:hAnsi="宋体" w:cs="宋体" w:eastAsia="宋体" w:hint="default"/>
          <w:sz w:val="28"/>
          <w:szCs w:val="28"/>
        </w:rPr>
      </w:pPr>
      <w:r>
        <w:rPr>
          <w:rFonts w:ascii="宋体" w:hAnsi="宋体" w:cs="宋体" w:eastAsia="宋体" w:hint="default"/>
          <w:b/>
          <w:bCs/>
          <w:sz w:val="28"/>
          <w:szCs w:val="28"/>
        </w:rPr>
        <w:t>五、</w:t>
      </w:r>
      <w:r>
        <w:rPr>
          <w:rFonts w:ascii="宋体" w:hAnsi="宋体" w:cs="宋体" w:eastAsia="宋体" w:hint="default"/>
          <w:b/>
          <w:bCs/>
          <w:spacing w:val="-4"/>
          <w:sz w:val="28"/>
          <w:szCs w:val="28"/>
        </w:rPr>
        <w:t> </w:t>
      </w:r>
      <w:r>
        <w:rPr>
          <w:rFonts w:ascii="宋体" w:hAnsi="宋体" w:cs="宋体" w:eastAsia="宋体" w:hint="default"/>
          <w:b/>
          <w:bCs/>
          <w:sz w:val="28"/>
          <w:szCs w:val="28"/>
        </w:rPr>
        <w:t>并购投资运作的风险</w:t>
      </w:r>
      <w:r>
        <w:rPr>
          <w:rFonts w:ascii="宋体" w:hAnsi="宋体" w:cs="宋体" w:eastAsia="宋体" w:hint="default"/>
          <w:b/>
          <w:bCs/>
          <w:spacing w:val="1"/>
          <w:w w:val="99"/>
          <w:sz w:val="28"/>
          <w:szCs w:val="28"/>
        </w:rPr>
        <w:t> </w:t>
      </w:r>
      <w:r>
        <w:rPr>
          <w:rFonts w:ascii="宋体" w:hAnsi="宋体" w:cs="宋体" w:eastAsia="宋体" w:hint="default"/>
          <w:b/>
          <w:bCs/>
          <w:spacing w:val="3"/>
          <w:w w:val="95"/>
          <w:sz w:val="28"/>
          <w:szCs w:val="28"/>
        </w:rPr>
        <w:t>公司在报告期大力进行资本运作，收购和投资的项目经营情况正常。因市</w:t>
      </w:r>
      <w:r>
        <w:rPr>
          <w:rFonts w:ascii="宋体" w:hAnsi="宋体" w:cs="宋体" w:eastAsia="宋体" w:hint="default"/>
          <w:sz w:val="28"/>
          <w:szCs w:val="28"/>
        </w:rPr>
      </w:r>
    </w:p>
    <w:p>
      <w:pPr>
        <w:spacing w:line="410" w:lineRule="auto" w:before="0"/>
        <w:ind w:left="154" w:right="0" w:firstLine="0"/>
        <w:jc w:val="left"/>
        <w:rPr>
          <w:rFonts w:ascii="宋体" w:hAnsi="宋体" w:cs="宋体" w:eastAsia="宋体" w:hint="default"/>
          <w:sz w:val="28"/>
          <w:szCs w:val="28"/>
        </w:rPr>
      </w:pPr>
      <w:r>
        <w:rPr>
          <w:rFonts w:ascii="宋体" w:hAnsi="宋体" w:cs="宋体" w:eastAsia="宋体" w:hint="default"/>
          <w:b/>
          <w:bCs/>
          <w:spacing w:val="-1"/>
          <w:w w:val="95"/>
          <w:sz w:val="28"/>
          <w:szCs w:val="28"/>
        </w:rPr>
        <w:t>场或政策环境的变化，未来发展存在不确定性。有的项目已经形成较大的商誉。</w:t>
      </w:r>
      <w:r>
        <w:rPr>
          <w:rFonts w:ascii="宋体" w:hAnsi="宋体" w:cs="宋体" w:eastAsia="宋体" w:hint="default"/>
          <w:b/>
          <w:bCs/>
          <w:spacing w:val="46"/>
          <w:w w:val="95"/>
          <w:sz w:val="28"/>
          <w:szCs w:val="28"/>
        </w:rPr>
        <w:t> </w:t>
      </w:r>
      <w:r>
        <w:rPr>
          <w:rFonts w:ascii="宋体" w:hAnsi="宋体" w:cs="宋体" w:eastAsia="宋体" w:hint="default"/>
          <w:b/>
          <w:bCs/>
          <w:spacing w:val="46"/>
          <w:w w:val="95"/>
          <w:sz w:val="28"/>
          <w:szCs w:val="28"/>
        </w:rPr>
      </w:r>
      <w:r>
        <w:rPr>
          <w:rFonts w:ascii="宋体" w:hAnsi="宋体" w:cs="宋体" w:eastAsia="宋体" w:hint="default"/>
          <w:b/>
          <w:bCs/>
          <w:sz w:val="28"/>
          <w:szCs w:val="28"/>
        </w:rPr>
        <w:t>未来被投资项目存在商誉或长期投资减值的可能，从而影响公司利润的风险。</w:t>
      </w:r>
      <w:r>
        <w:rPr>
          <w:rFonts w:ascii="宋体" w:hAnsi="宋体" w:cs="宋体" w:eastAsia="宋体" w:hint="default"/>
          <w:sz w:val="28"/>
          <w:szCs w:val="28"/>
        </w:rPr>
      </w:r>
    </w:p>
    <w:p>
      <w:pPr>
        <w:spacing w:before="158"/>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7" w:footer="982" w:top="1060" w:bottom="1180" w:left="980" w:right="8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3"/>
        <w:ind w:left="2784" w:right="278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1" w:val="right" w:leader="dot"/>
            </w:tabs>
            <w:spacing w:line="240" w:lineRule="auto" w:before="0"/>
            <w:ind w:left="154"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0">
            <w:r>
              <w:rPr/>
              <w:t>第一节</w:t>
            </w:r>
            <w:r>
              <w:rPr>
                <w:spacing w:val="-19"/>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第二节</w:t>
            </w:r>
            <w:r>
              <w:rPr>
                <w:spacing w:val="-18"/>
              </w:rPr>
              <w:t> </w:t>
            </w:r>
            <w:r>
              <w:rPr/>
              <w:t>公司简介和主要财务指标</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第三节</w:t>
            </w:r>
            <w:r>
              <w:rPr>
                <w:spacing w:val="-18"/>
              </w:rPr>
              <w:t> </w:t>
            </w:r>
            <w:r>
              <w:rPr/>
              <w:t>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7"/>
              </w:rPr>
              <w:t>11</w:t>
            </w:r>
            <w:r>
              <w:rPr>
                <w:rFonts w:ascii="Times New Roman" w:hAnsi="Times New Roman" w:cs="Times New Roman" w:eastAsia="Times New Roman" w:hint="default"/>
                <w:b w:val="0"/>
                <w:bCs w:val="0"/>
                <w:spacing w:val="-7"/>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第四节</w:t>
            </w:r>
            <w:r>
              <w:rPr>
                <w:spacing w:val="-19"/>
              </w:rPr>
              <w:t> </w:t>
            </w:r>
            <w:r>
              <w:rPr/>
              <w:t>管理层讨论与分析</w:t>
            </w:r>
            <w:r>
              <w:rPr>
                <w:rFonts w:ascii="Times New Roman" w:hAnsi="Times New Roman" w:cs="Times New Roman" w:eastAsia="Times New Roman" w:hint="default"/>
              </w:rPr>
              <w:tab/>
              <w:t>30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第五节</w:t>
            </w:r>
            <w:r>
              <w:rPr>
                <w:spacing w:val="-19"/>
              </w:rPr>
              <w:t> </w:t>
            </w:r>
            <w:r>
              <w:rPr/>
              <w:t>重要事项</w:t>
            </w:r>
            <w:r>
              <w:rPr>
                <w:rFonts w:ascii="Times New Roman" w:hAnsi="Times New Roman" w:cs="Times New Roman" w:eastAsia="Times New Roman" w:hint="default"/>
              </w:rPr>
              <w:tab/>
              <w:t>53</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第六节</w:t>
            </w:r>
            <w:r>
              <w:rPr>
                <w:spacing w:val="-19"/>
              </w:rPr>
              <w:t> </w:t>
            </w:r>
            <w:r>
              <w:rPr/>
              <w:t>股份变动及股东情况</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第七节</w:t>
            </w:r>
            <w:r>
              <w:rPr>
                <w:spacing w:val="-19"/>
              </w:rPr>
              <w:t> </w:t>
            </w:r>
            <w:r>
              <w:rPr/>
              <w:t>优先股相关情况</w:t>
            </w:r>
            <w:r>
              <w:rPr>
                <w:rFonts w:ascii="Times New Roman" w:hAnsi="Times New Roman" w:cs="Times New Roman" w:eastAsia="Times New Roman" w:hint="default"/>
              </w:rPr>
              <w:tab/>
              <w:t>59</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第八节</w:t>
            </w:r>
            <w:r>
              <w:rPr>
                <w:spacing w:val="-19"/>
              </w:rPr>
              <w:t> </w:t>
            </w:r>
            <w:r>
              <w:rPr/>
              <w:t>董事、监事、高级管理人员和员工情况</w:t>
            </w:r>
            <w:r>
              <w:rPr>
                <w:rFonts w:ascii="Times New Roman" w:hAnsi="Times New Roman" w:cs="Times New Roman" w:eastAsia="Times New Roman" w:hint="default"/>
              </w:rPr>
              <w:tab/>
              <w:t>60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第九节</w:t>
            </w:r>
            <w:r>
              <w:rPr>
                <w:spacing w:val="-19"/>
              </w:rPr>
              <w:t> </w:t>
            </w:r>
            <w:r>
              <w:rPr/>
              <w:t>公司治理</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第十节</w:t>
            </w:r>
            <w:r>
              <w:rPr>
                <w:spacing w:val="-19"/>
              </w:rPr>
              <w:t> </w:t>
            </w:r>
            <w:r>
              <w:rPr/>
              <w:t>财务报告</w:t>
            </w:r>
            <w:r>
              <w:rPr>
                <w:rFonts w:ascii="Times New Roman" w:hAnsi="Times New Roman" w:cs="Times New Roman" w:eastAsia="Times New Roman" w:hint="default"/>
              </w:rPr>
              <w:tab/>
              <w:t>80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第十一节</w:t>
            </w:r>
            <w:r>
              <w:rPr>
                <w:spacing w:val="-20"/>
              </w:rPr>
              <w:t> </w:t>
            </w:r>
            <w:r>
              <w:rPr/>
              <w:t>备查文件目录</w:t>
            </w:r>
            <w:r>
              <w:rPr>
                <w:rFonts w:ascii="Times New Roman" w:hAnsi="Times New Roman" w:cs="Times New Roman" w:eastAsia="Times New Roman" w:hint="default"/>
              </w:rPr>
              <w:tab/>
              <w:t>188</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82" w:top="1060" w:bottom="1180" w:left="980" w:right="980"/>
        </w:sectPr>
      </w:pPr>
    </w:p>
    <w:p>
      <w:pPr>
        <w:spacing w:before="946"/>
        <w:ind w:left="2784" w:right="278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5"/>
        <w:gridCol w:w="598"/>
        <w:gridCol w:w="5435"/>
      </w:tblGrid>
      <w:tr>
        <w:trPr>
          <w:trHeight w:val="402" w:hRule="exact"/>
        </w:trPr>
        <w:tc>
          <w:tcPr>
            <w:tcW w:w="3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杭报集团</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杭报集团有限公司</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杭州日报传媒</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杭州日报传媒有限公司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每日传媒</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杭州每日传媒有限公司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都市快报控股</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浙江都市快报控股有限公司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杭州网络传媒</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杭州网络传媒有限公司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萧山日报传媒</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杭州萧山日报传媒有限公司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富阳日报传媒</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杭州富阳日报传媒有限公司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余杭晨报传媒</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杭州余杭晨报传媒有限公司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每日送电子商务</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杭州日报报业集团每日送电子商务有限公司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盛元印务</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杭州日报报业集团盛元印务有限公司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十九楼、</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十九楼网络股份有限公司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都市周报传媒</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杭州都市周报传媒有限公司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快点传播</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快点文化传播（上海）有限公司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精典博维</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北京精典博维文化传媒有限公司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上海合印</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上海合印包装服务有限公司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华媒投资</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浙江华媒投资有限公司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华创全媒</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杭州华创全媒科创园区管理有限公司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华媒金晟</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浙江华媒金晟文化产业投资管理有限公司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华媒传播</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浙江华媒信息传播有限公司</w:t>
            </w:r>
          </w:p>
        </w:tc>
      </w:tr>
      <w:tr>
        <w:trPr>
          <w:trHeight w:val="402" w:hRule="exact"/>
        </w:trPr>
        <w:tc>
          <w:tcPr>
            <w:tcW w:w="3535" w:type="dxa"/>
            <w:tcBorders>
              <w:top w:val="single" w:sz="4" w:space="0" w:color="000000"/>
              <w:left w:val="single" w:sz="4" w:space="0" w:color="000000"/>
              <w:bottom w:val="single" w:sz="4" w:space="0" w:color="000000"/>
              <w:right w:val="single" w:sz="13" w:space="0" w:color="D3D3D3"/>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中教未来</w:t>
            </w:r>
          </w:p>
        </w:tc>
        <w:tc>
          <w:tcPr>
            <w:tcW w:w="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中教未来国际教育科技（北京）有限公司</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_TOC_250009" w:id="2"/>
      <w:r>
        <w:rPr/>
        <w:t>第二节</w:t>
      </w:r>
      <w:r>
        <w:rPr>
          <w:spacing w:val="-11"/>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261"/>
        <w:gridCol w:w="2965"/>
        <w:gridCol w:w="2144"/>
        <w:gridCol w:w="2188"/>
      </w:tblGrid>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13" w:space="0" w:color="D3D3D3"/>
              <w:bottom w:val="single" w:sz="4" w:space="0" w:color="000000"/>
              <w:right w:val="single" w:sz="13" w:space="0" w:color="D3D3D3"/>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华媒控股</w:t>
            </w:r>
          </w:p>
        </w:tc>
        <w:tc>
          <w:tcPr>
            <w:tcW w:w="2144" w:type="dxa"/>
            <w:tcBorders>
              <w:top w:val="single" w:sz="4" w:space="0" w:color="000000"/>
              <w:left w:val="single" w:sz="9" w:space="0" w:color="C7EDCC"/>
              <w:bottom w:val="single" w:sz="4" w:space="0" w:color="000000"/>
              <w:right w:val="single" w:sz="4" w:space="0" w:color="000000"/>
            </w:tcBorders>
            <w:shd w:val="clear" w:color="auto" w:fill="D3D3D3"/>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000607</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浙江华媒控股股份有限公司</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华媒控股</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Zhejiang Huamei Holding CO.,</w:t>
            </w:r>
            <w:r>
              <w:rPr>
                <w:rFonts w:ascii="Times New Roman"/>
                <w:spacing w:val="-20"/>
                <w:sz w:val="18"/>
              </w:rPr>
              <w:t> </w:t>
            </w:r>
            <w:r>
              <w:rPr>
                <w:rFonts w:ascii="Times New Roman"/>
                <w:spacing w:val="-5"/>
                <w:sz w:val="18"/>
              </w:rPr>
              <w:t>LTD.</w:t>
            </w:r>
            <w:r>
              <w:rPr>
                <w:rFonts w:ascii="Times New Roman"/>
                <w:sz w:val="18"/>
              </w:rPr>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89"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HUAMEI</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HOLDING</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赵晴</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杭州市下城区体育场路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218 </w:t>
            </w:r>
            <w:r>
              <w:rPr>
                <w:rFonts w:ascii="宋体" w:hAnsi="宋体" w:cs="宋体" w:eastAsia="宋体" w:hint="default"/>
                <w:sz w:val="18"/>
                <w:szCs w:val="18"/>
              </w:rPr>
              <w:t>号</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310041</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杭州市下城区体育场路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218 </w:t>
            </w:r>
            <w:r>
              <w:rPr>
                <w:rFonts w:ascii="宋体" w:hAnsi="宋体" w:cs="宋体" w:eastAsia="宋体" w:hint="default"/>
                <w:sz w:val="18"/>
                <w:szCs w:val="18"/>
              </w:rPr>
              <w:t>号</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310041</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http://www.000607.cn/</w:t>
              </w:r>
            </w:hyperlink>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ir000607@000607.cn</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高坚强</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张江瑾</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杭州市下城区体育场路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218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杭州市下城区体育场路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218 </w:t>
            </w:r>
            <w:r>
              <w:rPr>
                <w:rFonts w:ascii="宋体" w:hAnsi="宋体" w:cs="宋体" w:eastAsia="宋体" w:hint="default"/>
                <w:sz w:val="18"/>
                <w:szCs w:val="18"/>
              </w:rPr>
              <w:t>号</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0571-85098807</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0571-85098807</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0571-85155005-8807</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0571-85155005-8807</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ir000607@000607.cn</w:t>
              </w:r>
            </w:hyperlink>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ir000607@000607.cn</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2"/>
        <w:gridCol w:w="5575"/>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中国证券报、证券时报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b/>
          <w:bCs/>
          <w:sz w:val="23"/>
          <w:szCs w:val="23"/>
        </w:rPr>
      </w:pPr>
    </w:p>
    <w:p>
      <w:pPr>
        <w:pStyle w:val="Heading3"/>
        <w:spacing w:line="240" w:lineRule="auto" w:before="26"/>
        <w:ind w:right="0"/>
        <w:jc w:val="left"/>
        <w:rPr>
          <w:b w:val="0"/>
          <w:bCs w:val="0"/>
        </w:rPr>
      </w:pP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20282349-4</w:t>
            </w:r>
          </w:p>
        </w:tc>
      </w:tr>
      <w:tr>
        <w:trPr>
          <w:trHeight w:val="363" w:hRule="exact"/>
        </w:trPr>
        <w:tc>
          <w:tcPr>
            <w:tcW w:w="3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637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月，公司主营业务从热工仪表变更为电工仪表；</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月，公司主营</w:t>
            </w:r>
          </w:p>
        </w:tc>
      </w:tr>
      <w:tr>
        <w:trPr>
          <w:trHeight w:val="312"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w:t>
            </w:r>
          </w:p>
        </w:tc>
        <w:tc>
          <w:tcPr>
            <w:tcW w:w="637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业务从电工仪表变更为医药；</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月，公司主营业务从医药变更为仪表；</w:t>
            </w:r>
          </w:p>
        </w:tc>
      </w:tr>
      <w:tr>
        <w:trPr>
          <w:trHeight w:val="313"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w:t>
            </w:r>
          </w:p>
        </w:tc>
        <w:tc>
          <w:tcPr>
            <w:tcW w:w="637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月，公司主营业务从仪表更变为经营广告、报刊发行、印刷、新媒体</w:t>
            </w:r>
          </w:p>
        </w:tc>
      </w:tr>
      <w:tr>
        <w:trPr>
          <w:trHeight w:val="351" w:hRule="exact"/>
        </w:trPr>
        <w:tc>
          <w:tcPr>
            <w:tcW w:w="3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637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等业务。</w:t>
            </w:r>
          </w:p>
        </w:tc>
      </w:tr>
      <w:tr>
        <w:trPr>
          <w:trHeight w:val="363" w:hRule="exact"/>
        </w:trPr>
        <w:tc>
          <w:tcPr>
            <w:tcW w:w="3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637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上市起始日～</w:t>
            </w: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月，公司控股股东为中国四联仪器仪表集团有限公司；公</w:t>
            </w:r>
          </w:p>
        </w:tc>
      </w:tr>
      <w:tr>
        <w:trPr>
          <w:trHeight w:val="312"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司于 </w:t>
            </w:r>
            <w:r>
              <w:rPr>
                <w:rFonts w:ascii="Times New Roman" w:hAnsi="Times New Roman" w:cs="Times New Roman" w:eastAsia="Times New Roman" w:hint="default"/>
                <w:sz w:val="18"/>
                <w:szCs w:val="18"/>
              </w:rPr>
              <w:t>1999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月和 </w:t>
            </w:r>
            <w:r>
              <w:rPr>
                <w:rFonts w:ascii="Times New Roman" w:hAnsi="Times New Roman" w:cs="Times New Roman" w:eastAsia="Times New Roman" w:hint="default"/>
                <w:sz w:val="18"/>
                <w:szCs w:val="18"/>
              </w:rPr>
              <w:t>7  </w:t>
            </w:r>
            <w:r>
              <w:rPr>
                <w:rFonts w:ascii="宋体" w:hAnsi="宋体" w:cs="宋体" w:eastAsia="宋体" w:hint="default"/>
                <w:sz w:val="18"/>
                <w:szCs w:val="18"/>
              </w:rPr>
              <w:t>月分别进行了股权转让和重大资产重组，华方医药科技</w:t>
            </w:r>
          </w:p>
        </w:tc>
      </w:tr>
      <w:tr>
        <w:trPr>
          <w:trHeight w:val="619"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00" w:lineRule="auto" w:before="5"/>
              <w:ind w:left="23" w:right="42"/>
              <w:jc w:val="left"/>
              <w:rPr>
                <w:rFonts w:ascii="宋体" w:hAnsi="宋体" w:cs="宋体" w:eastAsia="宋体" w:hint="default"/>
                <w:sz w:val="18"/>
                <w:szCs w:val="18"/>
              </w:rPr>
            </w:pPr>
            <w:r>
              <w:rPr>
                <w:rFonts w:ascii="宋体" w:hAnsi="宋体" w:cs="宋体" w:eastAsia="宋体" w:hint="default"/>
                <w:sz w:val="18"/>
                <w:szCs w:val="18"/>
              </w:rPr>
              <w:t>有限公司（原名华立产业集团有限公司）成为公司控股股东；</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月，华 方医药科技有限公司与华立集团股份有限公司签订股权转让合同，华立集团股份</w:t>
            </w:r>
          </w:p>
        </w:tc>
      </w:tr>
      <w:tr>
        <w:trPr>
          <w:trHeight w:val="318"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有限公司成为公司控股股东；</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月，公司实施完毕重大资产出售及发行</w:t>
            </w:r>
          </w:p>
        </w:tc>
      </w:tr>
      <w:tr>
        <w:trPr>
          <w:trHeight w:val="351" w:hRule="exact"/>
        </w:trPr>
        <w:tc>
          <w:tcPr>
            <w:tcW w:w="3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637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股份购买资产，杭州日报报业集团有限公司成为公司控股股东。</w:t>
            </w:r>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1"/>
        <w:gridCol w:w="6917"/>
      </w:tblGrid>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7"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7"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杭州市西湖区天目山路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181 </w:t>
            </w:r>
            <w:r>
              <w:rPr>
                <w:rFonts w:ascii="宋体" w:hAnsi="宋体" w:cs="宋体" w:eastAsia="宋体" w:hint="default"/>
                <w:sz w:val="18"/>
                <w:szCs w:val="18"/>
              </w:rPr>
              <w:t>号天际大厦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12B</w:t>
            </w: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7"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徐殷鹏，李可虎</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38" w:lineRule="auto" w:before="117"/>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公司聘请的报告期内履行持续督导职责的财务顾问</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23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3" w:right="108"/>
              <w:jc w:val="left"/>
              <w:rPr>
                <w:rFonts w:ascii="宋体" w:hAnsi="宋体" w:cs="宋体" w:eastAsia="宋体" w:hint="default"/>
                <w:sz w:val="18"/>
                <w:szCs w:val="18"/>
              </w:rPr>
            </w:pPr>
            <w:r>
              <w:rPr>
                <w:rFonts w:ascii="宋体" w:hAnsi="宋体" w:cs="宋体" w:eastAsia="宋体" w:hint="default"/>
                <w:sz w:val="18"/>
                <w:szCs w:val="18"/>
              </w:rPr>
              <w:t>北京市朝阳区亮马桥路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中信证券大厦</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戴佳明、屠正锋</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r>
        <w:rPr/>
        <w:t>六、主要会计数据和财务指标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0"/>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1,554,030,721.35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1,485,240,217.31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1,567,964,673.91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283,509,623.51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188,665,289.66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50.27%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161,286,500.76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5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199,843,469.50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178,755,728.36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11.80%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154,302,578.56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91,970,493.50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63,752,796.06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44.26%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151,705,567.42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98"/>
        <w:gridCol w:w="1750"/>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0.280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0.280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2,394,800,067.84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1,952,952,747.28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1,423,893,366.48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1,539,673,291.15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1,261,763,343.08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748,682,872.83</w:t>
            </w:r>
          </w:p>
        </w:tc>
      </w:tr>
    </w:tbl>
    <w:p>
      <w:pPr>
        <w:spacing w:line="300" w:lineRule="auto" w:before="51"/>
        <w:ind w:left="153" w:right="151" w:firstLine="0"/>
        <w:jc w:val="both"/>
        <w:rPr>
          <w:rFonts w:ascii="宋体" w:hAnsi="宋体" w:cs="宋体" w:eastAsia="宋体" w:hint="default"/>
          <w:sz w:val="18"/>
          <w:szCs w:val="18"/>
        </w:rPr>
      </w:pPr>
      <w:r>
        <w:rPr>
          <w:rFonts w:ascii="宋体" w:hAnsi="宋体" w:cs="宋体" w:eastAsia="宋体" w:hint="default"/>
          <w:spacing w:val="-3"/>
          <w:sz w:val="18"/>
          <w:szCs w:val="18"/>
        </w:rPr>
        <w:t>注：</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年基本每股收益，系以法律上子公司的上年比较报表期间归属于普通股股东的净损益除以在公司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年底实施完 </w:t>
      </w:r>
      <w:r>
        <w:rPr>
          <w:rFonts w:ascii="宋体" w:hAnsi="宋体" w:cs="宋体" w:eastAsia="宋体" w:hint="default"/>
          <w:spacing w:val="-1"/>
          <w:sz w:val="18"/>
          <w:szCs w:val="18"/>
        </w:rPr>
        <w:t>毕的重大资产重组构成的反向购买中法律上母公司向法律上子公司股东发行的普通股股数计算确定（即，</w:t>
      </w:r>
      <w:r>
        <w:rPr>
          <w:rFonts w:ascii="Times New Roman" w:hAnsi="Times New Roman" w:cs="Times New Roman" w:eastAsia="Times New Roman" w:hint="default"/>
          <w:spacing w:val="-1"/>
          <w:sz w:val="18"/>
          <w:szCs w:val="18"/>
        </w:rPr>
        <w:t>188,665,289.66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z w:val="18"/>
          <w:szCs w:val="18"/>
        </w:rPr>
        <w:t>529,966,415 </w:t>
      </w:r>
      <w:r>
        <w:rPr>
          <w:rFonts w:ascii="宋体" w:hAnsi="宋体" w:cs="宋体" w:eastAsia="宋体" w:hint="default"/>
          <w:spacing w:val="-31"/>
          <w:sz w:val="18"/>
          <w:szCs w:val="18"/>
        </w:rPr>
        <w:t>股）。</w:t>
      </w:r>
    </w:p>
    <w:p>
      <w:pPr>
        <w:spacing w:line="240" w:lineRule="auto" w:before="2"/>
        <w:rPr>
          <w:rFonts w:ascii="宋体" w:hAnsi="宋体" w:cs="宋体" w:eastAsia="宋体" w:hint="default"/>
          <w:sz w:val="20"/>
          <w:szCs w:val="20"/>
        </w:rPr>
      </w:pPr>
    </w:p>
    <w:p>
      <w:pPr>
        <w:pStyle w:val="Heading3"/>
        <w:spacing w:line="240" w:lineRule="auto"/>
        <w:ind w:right="0"/>
        <w:jc w:val="both"/>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、同时按照国际会计准则与按照中国会计准则披露的财务报告中净利润和净资产差异情况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38" w:lineRule="auto" w:before="0"/>
        <w:ind w:left="154" w:right="47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1"/>
          <w:szCs w:val="21"/>
        </w:rPr>
      </w:pPr>
    </w:p>
    <w:p>
      <w:pPr>
        <w:spacing w:before="0"/>
        <w:ind w:left="15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、同时按照境外会计准则与按照中国会计准则披露的财务报告中净利润和净资产差异情况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40" w:lineRule="auto" w:before="0"/>
        <w:ind w:left="154" w:right="16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3"/>
        <w:rPr>
          <w:rFonts w:ascii="宋体" w:hAnsi="宋体" w:cs="宋体" w:eastAsia="宋体" w:hint="default"/>
          <w:sz w:val="19"/>
          <w:szCs w:val="19"/>
        </w:rPr>
      </w:pPr>
    </w:p>
    <w:p>
      <w:pPr>
        <w:pStyle w:val="Heading3"/>
        <w:spacing w:line="240" w:lineRule="auto"/>
        <w:ind w:right="0"/>
        <w:jc w:val="both"/>
        <w:rPr>
          <w:b w:val="0"/>
          <w:bCs w:val="0"/>
        </w:rPr>
      </w:pPr>
      <w:r>
        <w:rPr/>
        <w:t>八、分季度主要财务指标</w:t>
      </w:r>
      <w:r>
        <w:rPr>
          <w:b w:val="0"/>
          <w:bCs w:val="0"/>
        </w:rPr>
      </w:r>
    </w:p>
    <w:p>
      <w:pPr>
        <w:spacing w:line="240" w:lineRule="auto" w:before="9"/>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281,221,838.95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374,896,464.41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377,728,596.19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520,183,821.80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239,807.36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71,064,512.16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49,944,494.13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162,260,809.86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5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-1,435,401.38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51,836,411.46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49,360,005.91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100,082,453.51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155,514,407.33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-352,622,234.68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-132,112,960.77</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421,191,281.62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r>
        <w:rPr/>
        <w:t>九、非经常性损益项目及金额</w:t>
      </w:r>
      <w:r>
        <w:rPr>
          <w:b w:val="0"/>
          <w:bCs w:val="0"/>
        </w:rPr>
      </w:r>
    </w:p>
    <w:p>
      <w:pPr>
        <w:spacing w:line="240" w:lineRule="auto" w:before="2"/>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326"/>
        <w:gridCol w:w="1104"/>
        <w:gridCol w:w="1004"/>
        <w:gridCol w:w="1064"/>
        <w:gridCol w:w="3184"/>
      </w:tblGrid>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0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4"/>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17" w:hRule="exact"/>
        </w:trPr>
        <w:tc>
          <w:tcPr>
            <w:tcW w:w="3326" w:type="dxa"/>
            <w:tcBorders>
              <w:top w:val="single" w:sz="4" w:space="0" w:color="000000"/>
              <w:left w:val="single" w:sz="4" w:space="0" w:color="000000"/>
              <w:bottom w:val="nil" w:sz="6" w:space="0" w:color="auto"/>
              <w:right w:val="single" w:sz="4" w:space="0" w:color="000000"/>
            </w:tcBorders>
            <w:shd w:val="clear" w:color="auto" w:fill="D3D3D3"/>
          </w:tcPr>
          <w:p>
            <w:pPr/>
          </w:p>
        </w:tc>
        <w:tc>
          <w:tcPr>
            <w:tcW w:w="1104" w:type="dxa"/>
            <w:vMerge w:val="restart"/>
            <w:tcBorders>
              <w:top w:val="single" w:sz="4" w:space="0" w:color="000000"/>
              <w:left w:val="single" w:sz="9"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57,553,364.92</w:t>
            </w:r>
          </w:p>
        </w:tc>
        <w:tc>
          <w:tcPr>
            <w:tcW w:w="10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62" w:right="0"/>
              <w:jc w:val="left"/>
              <w:rPr>
                <w:rFonts w:ascii="Times New Roman" w:hAnsi="Times New Roman" w:cs="Times New Roman" w:eastAsia="Times New Roman" w:hint="default"/>
                <w:sz w:val="18"/>
                <w:szCs w:val="18"/>
              </w:rPr>
            </w:pPr>
            <w:r>
              <w:rPr>
                <w:rFonts w:ascii="Times New Roman"/>
                <w:sz w:val="18"/>
              </w:rPr>
              <w:t>155,670.03</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-1,702,020.97</w:t>
            </w:r>
          </w:p>
        </w:tc>
        <w:tc>
          <w:tcPr>
            <w:tcW w:w="3184"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89"/>
              <w:jc w:val="left"/>
              <w:rPr>
                <w:rFonts w:ascii="宋体" w:hAnsi="宋体" w:cs="宋体" w:eastAsia="宋体" w:hint="default"/>
                <w:sz w:val="18"/>
                <w:szCs w:val="18"/>
              </w:rPr>
            </w:pPr>
            <w:r>
              <w:rPr>
                <w:rFonts w:ascii="宋体" w:hAnsi="宋体" w:cs="宋体" w:eastAsia="宋体" w:hint="default"/>
                <w:sz w:val="18"/>
                <w:szCs w:val="18"/>
              </w:rPr>
              <w:t>其中：对外转让十九楼网络股份有限公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18.8815%</w:t>
            </w:r>
            <w:r>
              <w:rPr>
                <w:rFonts w:ascii="宋体" w:hAnsi="宋体" w:cs="宋体" w:eastAsia="宋体" w:hint="default"/>
                <w:sz w:val="18"/>
                <w:szCs w:val="18"/>
              </w:rPr>
              <w:t>的股权，产生的投资收益 </w:t>
            </w:r>
            <w:r>
              <w:rPr>
                <w:rFonts w:ascii="Times New Roman" w:hAnsi="Times New Roman" w:cs="Times New Roman" w:eastAsia="Times New Roman" w:hint="default"/>
                <w:sz w:val="18"/>
                <w:szCs w:val="18"/>
              </w:rPr>
              <w:t>57,519,336.44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元；固定资产处置收益</w:t>
            </w:r>
          </w:p>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34,028.48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元；合计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57,553,364.92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r>
      <w:tr>
        <w:trPr>
          <w:trHeight w:val="704" w:hRule="exact"/>
        </w:trPr>
        <w:tc>
          <w:tcPr>
            <w:tcW w:w="33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104" w:type="dxa"/>
            <w:vMerge/>
            <w:tcBorders>
              <w:left w:val="single" w:sz="9" w:space="0" w:color="D3D3D3"/>
              <w:right w:val="single" w:sz="4" w:space="0" w:color="000000"/>
            </w:tcBorders>
          </w:tcPr>
          <w:p>
            <w:pPr/>
          </w:p>
        </w:tc>
        <w:tc>
          <w:tcPr>
            <w:tcW w:w="1004"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3184" w:type="dxa"/>
            <w:vMerge/>
            <w:tcBorders>
              <w:left w:val="single" w:sz="4" w:space="0" w:color="000000"/>
              <w:right w:val="single" w:sz="4" w:space="0" w:color="000000"/>
            </w:tcBorders>
          </w:tcPr>
          <w:p>
            <w:pPr/>
          </w:p>
        </w:tc>
      </w:tr>
      <w:tr>
        <w:trPr>
          <w:trHeight w:val="317" w:hRule="exact"/>
        </w:trPr>
        <w:tc>
          <w:tcPr>
            <w:tcW w:w="332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04" w:type="dxa"/>
            <w:vMerge/>
            <w:tcBorders>
              <w:left w:val="single" w:sz="9" w:space="0" w:color="D3D3D3"/>
              <w:bottom w:val="single" w:sz="4" w:space="0" w:color="000000"/>
              <w:right w:val="single" w:sz="4" w:space="0" w:color="000000"/>
            </w:tcBorders>
          </w:tcPr>
          <w:p>
            <w:pPr/>
          </w:p>
        </w:tc>
        <w:tc>
          <w:tcPr>
            <w:tcW w:w="1004"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3184" w:type="dxa"/>
            <w:vMerge/>
            <w:tcBorders>
              <w:left w:val="single" w:sz="4" w:space="0" w:color="000000"/>
              <w:bottom w:val="single" w:sz="4" w:space="0" w:color="000000"/>
              <w:right w:val="single" w:sz="4" w:space="0" w:color="000000"/>
            </w:tcBorders>
          </w:tcPr>
          <w:p>
            <w:pPr/>
          </w:p>
        </w:tc>
      </w:tr>
      <w:tr>
        <w:trPr>
          <w:trHeight w:val="714"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104" w:type="dxa"/>
            <w:tcBorders>
              <w:top w:val="single" w:sz="4" w:space="0" w:color="000000"/>
              <w:left w:val="single" w:sz="13" w:space="0" w:color="D3D3D3"/>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246,326.48</w:t>
            </w:r>
          </w:p>
        </w:tc>
        <w:tc>
          <w:tcPr>
            <w:tcW w:w="1064"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6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1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7,257,524.43</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3,939,170.81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3,957,302.14</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104" w:type="dxa"/>
            <w:tcBorders>
              <w:top w:val="single" w:sz="4" w:space="0" w:color="000000"/>
              <w:left w:val="single" w:sz="13" w:space="0" w:color="D3D3D3"/>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164,583.33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759,658.00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62"/>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1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50,433.30</w:t>
            </w:r>
          </w:p>
        </w:tc>
        <w:tc>
          <w:tcPr>
            <w:tcW w:w="100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1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926,752.59</w:t>
            </w:r>
          </w:p>
        </w:tc>
        <w:tc>
          <w:tcPr>
            <w:tcW w:w="100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1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2,704,130.37</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2,924,936.61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2,225,063.75</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62"/>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1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15,826,763.68</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1,911,931.99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1,869,329.62</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对外委托贷款取得的损益</w:t>
            </w:r>
          </w:p>
        </w:tc>
        <w:tc>
          <w:tcPr>
            <w:tcW w:w="1104" w:type="dxa"/>
            <w:tcBorders>
              <w:top w:val="single" w:sz="4" w:space="0" w:color="000000"/>
              <w:left w:val="single" w:sz="13" w:space="0" w:color="D3D3D3"/>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334,783.01</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1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898,389.72</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1,560,260.45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114,126.11</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1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74,920.88</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26,099.97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-381.30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1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1,476,284.12</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967,218.43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574,700.76</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83,666,154.01</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9,909,561.30</w:t>
            </w:r>
          </w:p>
        </w:tc>
        <w:tc>
          <w:tcPr>
            <w:tcW w:w="1064"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6,983,922.20</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7"/>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r>
        <w:rPr>
          <w:rFonts w:ascii="宋体" w:hAnsi="宋体" w:cs="宋体" w:eastAsia="宋体" w:hint="default"/>
          <w:sz w:val="18"/>
          <w:szCs w:val="18"/>
        </w:rPr>
      </w:r>
    </w:p>
    <w:p>
      <w:pPr>
        <w:spacing w:line="302" w:lineRule="auto" w:before="61"/>
        <w:ind w:left="154" w:right="137"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7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54" w:right="134"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28" w:right="3484"/>
        <w:jc w:val="center"/>
        <w:rPr>
          <w:b w:val="0"/>
          <w:bCs w:val="0"/>
        </w:rPr>
      </w:pPr>
      <w:bookmarkStart w:name="_TOC_250008" w:id="3"/>
      <w:r>
        <w:rPr/>
        <w:t>第三节</w:t>
      </w:r>
      <w:r>
        <w:rPr>
          <w:spacing w:val="-1"/>
        </w:rPr>
        <w:t> </w:t>
      </w:r>
      <w:r>
        <w:rPr/>
        <w:t>公司业务概要</w:t>
      </w:r>
      <w:bookmarkEnd w:id="3"/>
      <w:r>
        <w:rPr>
          <w:b w:val="0"/>
          <w:bCs w:val="0"/>
        </w:rPr>
      </w:r>
    </w:p>
    <w:p>
      <w:pPr>
        <w:spacing w:line="240" w:lineRule="auto" w:before="11"/>
        <w:rPr>
          <w:rFonts w:ascii="宋体" w:hAnsi="宋体" w:cs="宋体" w:eastAsia="宋体" w:hint="default"/>
          <w:b/>
          <w:bCs/>
          <w:sz w:val="38"/>
          <w:szCs w:val="38"/>
        </w:rPr>
      </w:pPr>
    </w:p>
    <w:p>
      <w:pPr>
        <w:pStyle w:val="Heading3"/>
        <w:spacing w:line="240" w:lineRule="auto"/>
        <w:ind w:right="101"/>
        <w:jc w:val="left"/>
        <w:rPr>
          <w:b w:val="0"/>
          <w:bCs w:val="0"/>
        </w:rPr>
      </w:pPr>
      <w:r>
        <w:rPr/>
        <w:t>一、报告期内公司从事的主要业务</w:t>
      </w:r>
      <w:r>
        <w:rPr>
          <w:b w:val="0"/>
          <w:bCs w:val="0"/>
        </w:rPr>
      </w:r>
    </w:p>
    <w:p>
      <w:pPr>
        <w:spacing w:line="240" w:lineRule="auto" w:before="6"/>
        <w:rPr>
          <w:rFonts w:ascii="宋体" w:hAnsi="宋体" w:cs="宋体" w:eastAsia="宋体" w:hint="default"/>
          <w:b/>
          <w:bCs/>
          <w:sz w:val="30"/>
          <w:szCs w:val="30"/>
        </w:rPr>
      </w:pPr>
    </w:p>
    <w:p>
      <w:pPr>
        <w:spacing w:line="408" w:lineRule="auto" w:before="0"/>
        <w:ind w:left="154" w:right="293" w:firstLine="420"/>
        <w:jc w:val="both"/>
        <w:rPr>
          <w:rFonts w:ascii="宋体" w:hAnsi="宋体" w:cs="宋体" w:eastAsia="宋体" w:hint="default"/>
          <w:sz w:val="21"/>
          <w:szCs w:val="21"/>
        </w:rPr>
      </w:pPr>
      <w:r>
        <w:rPr>
          <w:rFonts w:ascii="宋体" w:hAnsi="宋体" w:cs="宋体" w:eastAsia="宋体" w:hint="default"/>
          <w:sz w:val="21"/>
          <w:szCs w:val="21"/>
        </w:rPr>
        <w:t>2015年，传媒行业竞争格局持续复杂和激烈,平面媒体继续受到新媒体的巨大冲击。数据显示全国报 纸广告投放降幅高达35.4%（数据来源：中国广告协会报刊分会和央视市场研究媒介智讯联合发布、中国 出版广电网/报），给公司运营形成较大压力。</w:t>
      </w:r>
    </w:p>
    <w:p>
      <w:pPr>
        <w:spacing w:line="408" w:lineRule="auto" w:before="46"/>
        <w:ind w:left="154" w:right="211" w:firstLine="420"/>
        <w:jc w:val="both"/>
        <w:rPr>
          <w:rFonts w:ascii="宋体" w:hAnsi="宋体" w:cs="宋体" w:eastAsia="宋体" w:hint="default"/>
          <w:sz w:val="21"/>
          <w:szCs w:val="21"/>
        </w:rPr>
      </w:pPr>
      <w:r>
        <w:rPr>
          <w:rFonts w:ascii="宋体" w:hAnsi="宋体" w:cs="宋体" w:eastAsia="宋体" w:hint="default"/>
          <w:spacing w:val="-1"/>
          <w:sz w:val="21"/>
          <w:szCs w:val="21"/>
        </w:rPr>
        <w:t>报告期内，公司明晰“以现代传媒集群为核心平台的城市生活服务商”定位，依托杭报集团，从事平</w:t>
      </w:r>
      <w:r>
        <w:rPr>
          <w:rFonts w:ascii="宋体" w:hAnsi="宋体" w:cs="宋体" w:eastAsia="宋体" w:hint="default"/>
          <w:sz w:val="21"/>
          <w:szCs w:val="21"/>
        </w:rPr>
        <w:t> </w:t>
      </w:r>
      <w:r>
        <w:rPr>
          <w:rFonts w:ascii="宋体" w:hAnsi="宋体" w:cs="宋体" w:eastAsia="宋体" w:hint="default"/>
          <w:spacing w:val="-1"/>
          <w:sz w:val="21"/>
          <w:szCs w:val="21"/>
        </w:rPr>
        <w:t>面媒体、互联网站和移动互联网终端的广告承揽、策划和发布；新媒体运维和代建代维；移动互联网视频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
          <w:sz w:val="21"/>
          <w:szCs w:val="21"/>
        </w:rPr>
        <w:t>信息服务；会展、活动的策划和举办、户外媒体和地铁媒体的发布和运维；报刊发行和快递物流；报刊印</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刷和包装印刷等业务；同时加快了投资并购步伐，通过资本市场完善在传媒相关产业链节点布局。</w:t>
      </w:r>
    </w:p>
    <w:p>
      <w:pPr>
        <w:spacing w:line="408" w:lineRule="auto" w:before="46"/>
        <w:ind w:left="154" w:right="101" w:firstLine="420"/>
        <w:jc w:val="left"/>
        <w:rPr>
          <w:rFonts w:ascii="宋体" w:hAnsi="宋体" w:cs="宋体" w:eastAsia="宋体" w:hint="default"/>
          <w:sz w:val="21"/>
          <w:szCs w:val="21"/>
        </w:rPr>
      </w:pPr>
      <w:r>
        <w:rPr>
          <w:rFonts w:ascii="宋体" w:hAnsi="宋体" w:cs="宋体" w:eastAsia="宋体" w:hint="default"/>
          <w:sz w:val="21"/>
          <w:szCs w:val="21"/>
        </w:rPr>
        <w:t>报告期内，适应媒体市场的重大变化，公司业务加快了从以平面为主向平面与新媒体结合和平面媒体 新媒体化的转换。公司在经营中全面推行整合营销和互联网+，取得了较好的效果。在公司运营涉及的主 要领域，平面媒体继续维持在区域范围内的领先优势；新媒体发展有重大进展；微信系列公众号构成的微 </w:t>
      </w:r>
      <w:r>
        <w:rPr>
          <w:rFonts w:ascii="宋体" w:hAnsi="宋体" w:cs="宋体" w:eastAsia="宋体" w:hint="default"/>
          <w:spacing w:val="-3"/>
          <w:sz w:val="21"/>
          <w:szCs w:val="21"/>
        </w:rPr>
        <w:t>信矩阵，在阅读量和影响力排名等方面，居于省内甚至国内领先地位；移动视频信息的经营收入稳步提高；</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投资收购等资本运作开展顺利，被并购或投资企业，均完成了对上市公司的业绩承诺。</w:t>
      </w:r>
    </w:p>
    <w:p>
      <w:pPr>
        <w:spacing w:line="408" w:lineRule="auto" w:before="46"/>
        <w:ind w:left="154" w:right="189" w:firstLine="420"/>
        <w:jc w:val="both"/>
        <w:rPr>
          <w:rFonts w:ascii="宋体" w:hAnsi="宋体" w:cs="宋体" w:eastAsia="宋体" w:hint="default"/>
          <w:sz w:val="21"/>
          <w:szCs w:val="21"/>
        </w:rPr>
      </w:pPr>
      <w:r>
        <w:rPr>
          <w:rFonts w:ascii="宋体" w:hAnsi="宋体" w:cs="宋体" w:eastAsia="宋体" w:hint="default"/>
          <w:spacing w:val="-1"/>
          <w:sz w:val="21"/>
          <w:szCs w:val="21"/>
        </w:rPr>
        <w:t>报告期内，公司经营策略取得实效，依靠广告拓展和会展策划、活动推广的互相促进，广告及策划业</w:t>
      </w:r>
      <w:r>
        <w:rPr>
          <w:rFonts w:ascii="宋体" w:hAnsi="宋体" w:cs="宋体" w:eastAsia="宋体" w:hint="default"/>
          <w:sz w:val="21"/>
          <w:szCs w:val="21"/>
        </w:rPr>
        <w:t> </w:t>
      </w:r>
      <w:r>
        <w:rPr>
          <w:rFonts w:ascii="宋体" w:hAnsi="宋体" w:cs="宋体" w:eastAsia="宋体" w:hint="default"/>
          <w:spacing w:val="-1"/>
          <w:sz w:val="21"/>
          <w:szCs w:val="21"/>
        </w:rPr>
        <w:t>务收入保持稳定并略有增长。在互联网广告、移动互联网营销等领域，市场覆盖区域有所拓展，独立核算</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的新媒体企业营业收入增幅为</w:t>
      </w:r>
      <w:r>
        <w:rPr>
          <w:rFonts w:ascii="宋体" w:hAnsi="宋体" w:cs="宋体" w:eastAsia="宋体" w:hint="default"/>
          <w:spacing w:val="-2"/>
          <w:sz w:val="21"/>
          <w:szCs w:val="21"/>
        </w:rPr>
        <w:t> </w:t>
      </w:r>
      <w:r>
        <w:rPr>
          <w:rFonts w:ascii="宋体" w:hAnsi="宋体" w:cs="宋体" w:eastAsia="宋体" w:hint="default"/>
          <w:sz w:val="21"/>
          <w:szCs w:val="21"/>
        </w:rPr>
        <w:t>97.5%。所投资或收购的公司，业务经营情况正常，贡献利润较大。此外，</w:t>
      </w:r>
      <w:r>
        <w:rPr>
          <w:rFonts w:ascii="宋体" w:hAnsi="宋体" w:cs="宋体" w:eastAsia="宋体" w:hint="default"/>
          <w:sz w:val="21"/>
          <w:szCs w:val="21"/>
        </w:rPr>
        <w:t> 报告期内因所属子公司部分股权转让等，公司投资收益有较大增长。</w:t>
      </w:r>
    </w:p>
    <w:p>
      <w:pPr>
        <w:spacing w:line="408" w:lineRule="auto" w:before="87"/>
        <w:ind w:left="154" w:right="210" w:firstLine="420"/>
        <w:jc w:val="both"/>
        <w:rPr>
          <w:rFonts w:ascii="宋体" w:hAnsi="宋体" w:cs="宋体" w:eastAsia="宋体" w:hint="default"/>
          <w:sz w:val="21"/>
          <w:szCs w:val="21"/>
        </w:rPr>
      </w:pPr>
      <w:r>
        <w:rPr>
          <w:rFonts w:ascii="宋体" w:hAnsi="宋体" w:cs="宋体" w:eastAsia="宋体" w:hint="default"/>
          <w:spacing w:val="-1"/>
          <w:sz w:val="21"/>
          <w:szCs w:val="21"/>
        </w:rPr>
        <w:t>截止本报告披露前，公司新的投资项目并购中教未来公司已经完成，预计会对公司未来业绩稳定和增</w:t>
      </w:r>
      <w:r>
        <w:rPr>
          <w:rFonts w:ascii="宋体" w:hAnsi="宋体" w:cs="宋体" w:eastAsia="宋体" w:hint="default"/>
          <w:sz w:val="21"/>
          <w:szCs w:val="21"/>
        </w:rPr>
        <w:t> 长起到正面的作用。</w:t>
      </w:r>
    </w:p>
    <w:p>
      <w:pPr>
        <w:spacing w:line="240" w:lineRule="auto" w:before="10"/>
        <w:rPr>
          <w:rFonts w:ascii="宋体" w:hAnsi="宋体" w:cs="宋体" w:eastAsia="宋体" w:hint="default"/>
          <w:sz w:val="18"/>
          <w:szCs w:val="18"/>
        </w:rPr>
      </w:pPr>
    </w:p>
    <w:p>
      <w:pPr>
        <w:pStyle w:val="Heading3"/>
        <w:spacing w:line="240" w:lineRule="auto"/>
        <w:ind w:right="101"/>
        <w:jc w:val="left"/>
        <w:rPr>
          <w:b w:val="0"/>
          <w:bCs w:val="0"/>
        </w:rPr>
      </w:pPr>
      <w:r>
        <w:rPr/>
        <w:t>二、主要资产重大变化情况</w:t>
      </w:r>
      <w:r>
        <w:rPr>
          <w:b w:val="0"/>
          <w:bCs w:val="0"/>
        </w:rPr>
      </w:r>
    </w:p>
    <w:p>
      <w:pPr>
        <w:spacing w:line="240" w:lineRule="auto" w:before="9"/>
        <w:rPr>
          <w:rFonts w:ascii="宋体" w:hAnsi="宋体" w:cs="宋体" w:eastAsia="宋体" w:hint="default"/>
          <w:b/>
          <w:bCs/>
          <w:sz w:val="24"/>
          <w:szCs w:val="24"/>
        </w:rPr>
      </w:pPr>
    </w:p>
    <w:p>
      <w:pPr>
        <w:spacing w:before="0"/>
        <w:ind w:left="154" w:right="10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、主要资产重大变化情况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40"/>
        <w:gridCol w:w="6516"/>
      </w:tblGrid>
      <w:tr>
        <w:trPr>
          <w:trHeight w:val="185" w:hRule="exact"/>
        </w:trPr>
        <w:tc>
          <w:tcPr>
            <w:tcW w:w="3040" w:type="dxa"/>
            <w:tcBorders>
              <w:top w:val="single" w:sz="4" w:space="0" w:color="000000"/>
              <w:left w:val="single" w:sz="4" w:space="0" w:color="000000"/>
              <w:bottom w:val="nil" w:sz="6" w:space="0" w:color="auto"/>
              <w:right w:val="single" w:sz="4" w:space="0" w:color="000000"/>
            </w:tcBorders>
            <w:shd w:val="clear" w:color="auto" w:fill="D3D3D3"/>
          </w:tcPr>
          <w:p>
            <w:pPr/>
          </w:p>
        </w:tc>
        <w:tc>
          <w:tcPr>
            <w:tcW w:w="651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30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40" w:type="dxa"/>
            <w:tcBorders>
              <w:top w:val="nil" w:sz="6" w:space="0" w:color="auto"/>
              <w:left w:val="single" w:sz="4" w:space="0" w:color="000000"/>
              <w:bottom w:val="single" w:sz="4" w:space="0" w:color="000000"/>
              <w:right w:val="single" w:sz="4" w:space="0" w:color="000000"/>
            </w:tcBorders>
            <w:shd w:val="clear" w:color="auto" w:fill="D3D3D3"/>
          </w:tcPr>
          <w:p>
            <w:pPr/>
          </w:p>
        </w:tc>
        <w:tc>
          <w:tcPr>
            <w:tcW w:w="651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62" w:hRule="exact"/>
        </w:trPr>
        <w:tc>
          <w:tcPr>
            <w:tcW w:w="3040" w:type="dxa"/>
            <w:tcBorders>
              <w:top w:val="single" w:sz="4" w:space="0" w:color="000000"/>
              <w:left w:val="single" w:sz="4" w:space="0" w:color="000000"/>
              <w:bottom w:val="nil" w:sz="6" w:space="0" w:color="auto"/>
              <w:right w:val="single" w:sz="4" w:space="0" w:color="000000"/>
            </w:tcBorders>
            <w:shd w:val="clear" w:color="auto" w:fill="D3D3D3"/>
          </w:tcPr>
          <w:p>
            <w:pPr/>
          </w:p>
        </w:tc>
        <w:tc>
          <w:tcPr>
            <w:tcW w:w="6516" w:type="dxa"/>
            <w:vMerge w:val="restart"/>
            <w:tcBorders>
              <w:top w:val="single" w:sz="4" w:space="0" w:color="000000"/>
              <w:left w:val="single" w:sz="9" w:space="0" w:color="D3D3D3"/>
              <w:right w:val="single" w:sz="4" w:space="0" w:color="000000"/>
            </w:tcBorders>
            <w:shd w:val="clear" w:color="auto" w:fill="C7EDCC"/>
          </w:tcPr>
          <w:p>
            <w:pPr>
              <w:pStyle w:val="TableParagraph"/>
              <w:spacing w:line="316" w:lineRule="auto" w:before="52"/>
              <w:ind w:left="16" w:right="20"/>
              <w:jc w:val="left"/>
              <w:rPr>
                <w:rFonts w:ascii="宋体" w:hAnsi="宋体" w:cs="宋体" w:eastAsia="宋体" w:hint="default"/>
                <w:sz w:val="18"/>
                <w:szCs w:val="18"/>
              </w:rPr>
            </w:pPr>
            <w:r>
              <w:rPr>
                <w:rFonts w:ascii="宋体" w:hAnsi="宋体" w:cs="宋体" w:eastAsia="宋体" w:hint="default"/>
                <w:spacing w:val="-1"/>
                <w:sz w:val="18"/>
                <w:szCs w:val="18"/>
              </w:rPr>
              <w:t>新增北京精典博维文化传媒有限公司股权资产，减少十九楼网络股份有限公司股权</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资产。</w:t>
            </w:r>
          </w:p>
        </w:tc>
      </w:tr>
      <w:tr>
        <w:trPr>
          <w:trHeight w:val="391" w:hRule="exact"/>
        </w:trPr>
        <w:tc>
          <w:tcPr>
            <w:tcW w:w="30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6" w:type="dxa"/>
            <w:vMerge/>
            <w:tcBorders>
              <w:left w:val="single" w:sz="9" w:space="0" w:color="D3D3D3"/>
              <w:right w:val="single" w:sz="4" w:space="0" w:color="000000"/>
            </w:tcBorders>
            <w:shd w:val="clear" w:color="auto" w:fill="C7EDCC"/>
          </w:tcPr>
          <w:p>
            <w:pPr/>
          </w:p>
        </w:tc>
      </w:tr>
      <w:tr>
        <w:trPr>
          <w:trHeight w:val="162" w:hRule="exact"/>
        </w:trPr>
        <w:tc>
          <w:tcPr>
            <w:tcW w:w="3040" w:type="dxa"/>
            <w:tcBorders>
              <w:top w:val="nil" w:sz="6" w:space="0" w:color="auto"/>
              <w:left w:val="single" w:sz="4" w:space="0" w:color="000000"/>
              <w:bottom w:val="single" w:sz="4" w:space="0" w:color="000000"/>
              <w:right w:val="single" w:sz="4" w:space="0" w:color="000000"/>
            </w:tcBorders>
            <w:shd w:val="clear" w:color="auto" w:fill="D3D3D3"/>
          </w:tcPr>
          <w:p>
            <w:pPr/>
          </w:p>
        </w:tc>
        <w:tc>
          <w:tcPr>
            <w:tcW w:w="6516" w:type="dxa"/>
            <w:vMerge/>
            <w:tcBorders>
              <w:left w:val="single" w:sz="9" w:space="0" w:color="D3D3D3"/>
              <w:bottom w:val="single" w:sz="4" w:space="0" w:color="000000"/>
              <w:right w:val="single" w:sz="4" w:space="0" w:color="000000"/>
            </w:tcBorders>
            <w:shd w:val="clear" w:color="auto" w:fill="C7EDCC"/>
          </w:tcPr>
          <w:p>
            <w:pPr/>
          </w:p>
        </w:tc>
      </w:tr>
      <w:tr>
        <w:trPr>
          <w:trHeight w:val="402" w:hRule="exact"/>
        </w:trPr>
        <w:tc>
          <w:tcPr>
            <w:tcW w:w="3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6"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2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040"/>
        <w:gridCol w:w="6528"/>
      </w:tblGrid>
      <w:tr>
        <w:trPr>
          <w:trHeight w:val="402" w:hRule="exact"/>
        </w:trPr>
        <w:tc>
          <w:tcPr>
            <w:tcW w:w="3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28"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新增快点文化传播（上海）有限公司，增加无形资产。</w:t>
            </w:r>
          </w:p>
        </w:tc>
      </w:tr>
      <w:tr>
        <w:trPr>
          <w:trHeight w:val="402" w:hRule="exact"/>
        </w:trPr>
        <w:tc>
          <w:tcPr>
            <w:tcW w:w="3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28"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line="240" w:lineRule="auto" w:before="2"/>
        <w:rPr>
          <w:rFonts w:ascii="宋体" w:hAnsi="宋体" w:cs="宋体" w:eastAsia="宋体" w:hint="default"/>
          <w:b/>
          <w:bCs/>
          <w:sz w:val="19"/>
          <w:szCs w:val="19"/>
        </w:rPr>
      </w:pPr>
    </w:p>
    <w:p>
      <w:pPr>
        <w:spacing w:before="35"/>
        <w:ind w:left="154" w:right="10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、主要境外资产情况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1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101"/>
        <w:jc w:val="left"/>
        <w:rPr>
          <w:b w:val="0"/>
          <w:bCs w:val="0"/>
        </w:rPr>
      </w:pPr>
      <w:r>
        <w:rPr/>
        <w:t>三、核心竞争力分析</w:t>
      </w:r>
      <w:r>
        <w:rPr>
          <w:b w:val="0"/>
          <w:bCs w:val="0"/>
        </w:rPr>
      </w:r>
    </w:p>
    <w:p>
      <w:pPr>
        <w:spacing w:line="240" w:lineRule="auto" w:before="6"/>
        <w:rPr>
          <w:rFonts w:ascii="宋体" w:hAnsi="宋体" w:cs="宋体" w:eastAsia="宋体" w:hint="default"/>
          <w:b/>
          <w:bCs/>
          <w:sz w:val="30"/>
          <w:szCs w:val="30"/>
        </w:rPr>
      </w:pPr>
    </w:p>
    <w:p>
      <w:pPr>
        <w:spacing w:line="408" w:lineRule="auto" w:before="0"/>
        <w:ind w:left="153" w:right="210" w:firstLine="360"/>
        <w:jc w:val="both"/>
        <w:rPr>
          <w:rFonts w:ascii="宋体" w:hAnsi="宋体" w:cs="宋体" w:eastAsia="宋体" w:hint="default"/>
          <w:sz w:val="21"/>
          <w:szCs w:val="21"/>
        </w:rPr>
      </w:pPr>
      <w:r>
        <w:rPr>
          <w:rFonts w:ascii="宋体" w:hAnsi="宋体" w:cs="宋体" w:eastAsia="宋体" w:hint="default"/>
          <w:sz w:val="21"/>
          <w:szCs w:val="21"/>
        </w:rPr>
        <w:t>公司是中国报业集团中第三家媒体经营性资产整体上市公司，杭州市第二家国有上市文化企业。作为 </w:t>
      </w:r>
      <w:r>
        <w:rPr>
          <w:rFonts w:ascii="宋体" w:hAnsi="宋体" w:cs="宋体" w:eastAsia="宋体" w:hint="default"/>
          <w:spacing w:val="-1"/>
          <w:sz w:val="21"/>
          <w:szCs w:val="21"/>
        </w:rPr>
        <w:t>中国报业集团第一方阵中的一员，公司努力推进媒体融合发展，着力于区域性领先优势的构建和确立，借</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助资本市场做强做大党报媒体产业，以确保公司通过转型升级加快发展。</w:t>
      </w:r>
    </w:p>
    <w:p>
      <w:pPr>
        <w:spacing w:line="408" w:lineRule="auto" w:before="46"/>
        <w:ind w:left="514" w:right="230" w:hanging="360"/>
        <w:jc w:val="left"/>
        <w:rPr>
          <w:rFonts w:ascii="宋体" w:hAnsi="宋体" w:cs="宋体" w:eastAsia="宋体" w:hint="default"/>
          <w:sz w:val="21"/>
          <w:szCs w:val="21"/>
        </w:rPr>
      </w:pPr>
      <w:r>
        <w:rPr>
          <w:rFonts w:ascii="宋体" w:hAnsi="宋体" w:cs="宋体" w:eastAsia="宋体" w:hint="default"/>
          <w:b/>
          <w:bCs/>
          <w:sz w:val="21"/>
          <w:szCs w:val="21"/>
        </w:rPr>
        <w:t>1、强势媒体优势</w:t>
      </w:r>
      <w:r>
        <w:rPr>
          <w:rFonts w:ascii="宋体" w:hAnsi="宋体" w:cs="宋体" w:eastAsia="宋体" w:hint="default"/>
          <w:b/>
          <w:bCs/>
          <w:spacing w:val="1"/>
          <w:w w:val="99"/>
          <w:sz w:val="21"/>
          <w:szCs w:val="21"/>
        </w:rPr>
        <w:t> </w:t>
      </w:r>
      <w:r>
        <w:rPr>
          <w:rFonts w:ascii="宋体" w:hAnsi="宋体" w:cs="宋体" w:eastAsia="宋体" w:hint="default"/>
          <w:sz w:val="21"/>
          <w:szCs w:val="21"/>
        </w:rPr>
        <w:t>公司负责运营的《杭州日报》、《都市快报》、《每日商报》、《萧山日报》、《余杭晨报》、《富</w:t>
      </w:r>
    </w:p>
    <w:p>
      <w:pPr>
        <w:spacing w:line="408" w:lineRule="auto" w:before="46"/>
        <w:ind w:left="153" w:right="101" w:firstLine="0"/>
        <w:jc w:val="left"/>
        <w:rPr>
          <w:rFonts w:ascii="宋体" w:hAnsi="宋体" w:cs="宋体" w:eastAsia="宋体" w:hint="default"/>
          <w:sz w:val="21"/>
          <w:szCs w:val="21"/>
        </w:rPr>
      </w:pPr>
      <w:r>
        <w:rPr>
          <w:rFonts w:ascii="宋体" w:hAnsi="宋体" w:cs="宋体" w:eastAsia="宋体" w:hint="default"/>
          <w:spacing w:val="-1"/>
          <w:sz w:val="21"/>
          <w:szCs w:val="21"/>
        </w:rPr>
        <w:t>阳日报》、《休闲》杂志等报刊，均属于区域、行业强势媒体或处于独家重要地位，其中都市快报影响力</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长期居于全国都市报前列、浙江省内平面媒体前茅。</w:t>
      </w:r>
      <w:r>
        <w:rPr>
          <w:rFonts w:ascii="宋体" w:hAnsi="宋体" w:cs="宋体" w:eastAsia="宋体" w:hint="default"/>
          <w:spacing w:val="-2"/>
          <w:sz w:val="21"/>
          <w:szCs w:val="21"/>
        </w:rPr>
        <w:t> </w:t>
      </w:r>
      <w:r>
        <w:rPr>
          <w:rFonts w:ascii="宋体" w:hAnsi="宋体" w:cs="宋体" w:eastAsia="宋体" w:hint="default"/>
          <w:sz w:val="21"/>
          <w:szCs w:val="21"/>
        </w:rPr>
        <w:t>杭州网为杭州地区唯一新闻门户网站，萧山日报、</w:t>
      </w:r>
      <w:r>
        <w:rPr>
          <w:rFonts w:ascii="宋体" w:hAnsi="宋体" w:cs="宋体" w:eastAsia="宋体" w:hint="default"/>
          <w:sz w:val="21"/>
          <w:szCs w:val="21"/>
        </w:rPr>
        <w:t> </w:t>
      </w:r>
      <w:r>
        <w:rPr>
          <w:rFonts w:ascii="宋体" w:hAnsi="宋体" w:cs="宋体" w:eastAsia="宋体" w:hint="default"/>
          <w:spacing w:val="-1"/>
          <w:sz w:val="21"/>
          <w:szCs w:val="21"/>
        </w:rPr>
        <w:t>余杭晨报和富阳日报，均为所在区域党报性质的权威报纸，其中萧山日报影响力和经营水平持续多年居于</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全国同类型报纸前茅。</w:t>
      </w:r>
    </w:p>
    <w:p>
      <w:pPr>
        <w:spacing w:line="408" w:lineRule="auto" w:before="46"/>
        <w:ind w:left="153" w:right="171" w:firstLine="360"/>
        <w:jc w:val="left"/>
        <w:rPr>
          <w:rFonts w:ascii="宋体" w:hAnsi="宋体" w:cs="宋体" w:eastAsia="宋体" w:hint="default"/>
          <w:sz w:val="21"/>
          <w:szCs w:val="21"/>
        </w:rPr>
      </w:pPr>
      <w:r>
        <w:rPr>
          <w:rFonts w:ascii="宋体" w:hAnsi="宋体" w:cs="宋体" w:eastAsia="宋体" w:hint="default"/>
          <w:sz w:val="21"/>
          <w:szCs w:val="21"/>
        </w:rPr>
        <w:t>报告期内，公司运营的杭州日报继续荣膺“中国党报品牌10强”。杭州日报全程执行的中国（杭州） </w:t>
      </w:r>
      <w:r>
        <w:rPr>
          <w:rFonts w:ascii="宋体" w:hAnsi="宋体" w:cs="宋体" w:eastAsia="宋体" w:hint="default"/>
          <w:spacing w:val="-1"/>
          <w:sz w:val="21"/>
          <w:szCs w:val="21"/>
        </w:rPr>
        <w:t>国际电子商务博览会获“2015年度中国十佳优秀特色展会”殊荣。公司运营的杭州日报、都市快报跻身中</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国百强报刊。都市快报、杭州日报公众号排入全国主要综合性日报公号排行前十；在由证券时报主办，中</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国上市公司发展联盟承办的共有全国2800多家上市公司参与的评选中，公司获得“最佳新媒体运营奖”；</w:t>
      </w:r>
      <w:r>
        <w:rPr>
          <w:rFonts w:ascii="宋体" w:hAnsi="宋体" w:cs="宋体" w:eastAsia="宋体" w:hint="default"/>
          <w:sz w:val="21"/>
          <w:szCs w:val="21"/>
        </w:rPr>
        <w:t> 杭州网络传媒有限公司主办的网上“杭网议事厅”，荣获杭州市社情民意直报点先进单位。</w:t>
      </w:r>
      <w:r>
        <w:rPr>
          <w:rFonts w:ascii="宋体" w:hAnsi="宋体" w:cs="宋体" w:eastAsia="宋体" w:hint="default"/>
          <w:spacing w:val="-1"/>
          <w:sz w:val="21"/>
          <w:szCs w:val="21"/>
        </w:rPr>
        <w:t> </w:t>
      </w:r>
      <w:r>
        <w:rPr>
          <w:rFonts w:ascii="宋体" w:hAnsi="宋体" w:cs="宋体" w:eastAsia="宋体" w:hint="default"/>
          <w:b/>
          <w:bCs/>
          <w:sz w:val="21"/>
          <w:szCs w:val="21"/>
        </w:rPr>
        <w:t>2、权威公信力优势</w:t>
      </w:r>
      <w:r>
        <w:rPr>
          <w:rFonts w:ascii="宋体" w:hAnsi="宋体" w:cs="宋体" w:eastAsia="宋体" w:hint="default"/>
          <w:sz w:val="21"/>
          <w:szCs w:val="21"/>
        </w:rPr>
      </w:r>
    </w:p>
    <w:p>
      <w:pPr>
        <w:spacing w:line="408" w:lineRule="auto" w:before="46"/>
        <w:ind w:left="153" w:right="101" w:firstLine="360"/>
        <w:jc w:val="left"/>
        <w:rPr>
          <w:rFonts w:ascii="宋体" w:hAnsi="宋体" w:cs="宋体" w:eastAsia="宋体" w:hint="default"/>
          <w:sz w:val="21"/>
          <w:szCs w:val="21"/>
        </w:rPr>
      </w:pPr>
      <w:r>
        <w:rPr>
          <w:rFonts w:ascii="宋体" w:hAnsi="宋体" w:cs="宋体" w:eastAsia="宋体" w:hint="default"/>
          <w:sz w:val="21"/>
          <w:szCs w:val="21"/>
        </w:rPr>
        <w:t>《杭州日报》是中共杭州市委机关报，以本地区不可替代的权威性、公信力和影响力成为杭州市域第 </w:t>
      </w:r>
      <w:r>
        <w:rPr>
          <w:rFonts w:ascii="宋体" w:hAnsi="宋体" w:cs="宋体" w:eastAsia="宋体" w:hint="default"/>
          <w:spacing w:val="-1"/>
          <w:sz w:val="21"/>
          <w:szCs w:val="21"/>
        </w:rPr>
        <w:t>一主流媒体。报告期内，公司实际控制人杭州日报报业集团入选“亚洲品牌十大最具创新力企业”，荣获</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“中国品牌行业10强”称号。都市快报在媒体影响力和市场份额方面，继续居于省内都市报领先地位。</w:t>
      </w:r>
      <w:r>
        <w:rPr>
          <w:rFonts w:ascii="宋体" w:hAnsi="宋体" w:cs="宋体" w:eastAsia="宋体" w:hint="default"/>
          <w:sz w:val="21"/>
          <w:szCs w:val="21"/>
        </w:rPr>
        <w:t> </w:t>
      </w:r>
      <w:r>
        <w:rPr>
          <w:rFonts w:ascii="宋体" w:hAnsi="宋体" w:cs="宋体" w:eastAsia="宋体" w:hint="default"/>
          <w:b/>
          <w:bCs/>
          <w:sz w:val="21"/>
          <w:szCs w:val="21"/>
        </w:rPr>
        <w:t>3、政府资源和公共关系优势</w:t>
      </w:r>
      <w:r>
        <w:rPr>
          <w:rFonts w:ascii="宋体" w:hAnsi="宋体" w:cs="宋体" w:eastAsia="宋体" w:hint="default"/>
          <w:sz w:val="21"/>
          <w:szCs w:val="21"/>
        </w:rPr>
      </w:r>
    </w:p>
    <w:p>
      <w:pPr>
        <w:spacing w:line="408" w:lineRule="auto" w:before="46"/>
        <w:ind w:left="153" w:right="102" w:firstLine="360"/>
        <w:jc w:val="left"/>
        <w:rPr>
          <w:rFonts w:ascii="宋体" w:hAnsi="宋体" w:cs="宋体" w:eastAsia="宋体" w:hint="default"/>
          <w:sz w:val="21"/>
          <w:szCs w:val="21"/>
        </w:rPr>
      </w:pPr>
      <w:r>
        <w:rPr>
          <w:rFonts w:ascii="宋体" w:hAnsi="宋体" w:cs="宋体" w:eastAsia="宋体" w:hint="default"/>
          <w:sz w:val="21"/>
          <w:szCs w:val="21"/>
        </w:rPr>
        <w:t>作为国有文化企业，公司拥有良好的政府资源和公共关系资源优势。控股股东杭报集团继续得到各级 </w:t>
      </w:r>
      <w:r>
        <w:rPr>
          <w:rFonts w:ascii="宋体" w:hAnsi="宋体" w:cs="宋体" w:eastAsia="宋体" w:hint="default"/>
          <w:spacing w:val="-3"/>
          <w:sz w:val="21"/>
          <w:szCs w:val="21"/>
        </w:rPr>
        <w:t>政府的高度重视和大力支持，在文化体制改革中得以享受政策优惠，并进行各项体制、机制的试点和改革。</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在政府大力支持下，公司得以成功举办影响力巨大的中国（浙江）电商博览会、老年博览会、儿童博览会</w:t>
      </w:r>
      <w:r>
        <w:rPr>
          <w:rFonts w:ascii="宋体" w:hAnsi="宋体" w:cs="宋体" w:eastAsia="宋体" w:hint="default"/>
          <w:sz w:val="21"/>
          <w:szCs w:val="21"/>
        </w:rPr>
        <w:t> 等大型活动展会，增资杭州市文化产权交易所，并作为第一大股东实际经营文交所各项业务，参与各项大</w:t>
      </w:r>
    </w:p>
    <w:p>
      <w:pPr>
        <w:spacing w:after="0" w:line="408" w:lineRule="auto"/>
        <w:jc w:val="left"/>
        <w:rPr>
          <w:rFonts w:ascii="宋体" w:hAnsi="宋体" w:cs="宋体" w:eastAsia="宋体" w:hint="default"/>
          <w:sz w:val="21"/>
          <w:szCs w:val="21"/>
        </w:rPr>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spacing w:line="408" w:lineRule="auto" w:before="174"/>
        <w:ind w:left="154" w:right="2015" w:firstLine="0"/>
        <w:jc w:val="left"/>
        <w:rPr>
          <w:rFonts w:ascii="宋体" w:hAnsi="宋体" w:cs="宋体" w:eastAsia="宋体" w:hint="default"/>
          <w:sz w:val="21"/>
          <w:szCs w:val="21"/>
        </w:rPr>
      </w:pPr>
      <w:r>
        <w:rPr>
          <w:rFonts w:ascii="宋体" w:hAnsi="宋体" w:cs="宋体" w:eastAsia="宋体" w:hint="default"/>
          <w:spacing w:val="-1"/>
          <w:sz w:val="21"/>
          <w:szCs w:val="21"/>
        </w:rPr>
        <w:t>型会展活动如西湖博览会等；打造运维中国杭州动漫节官网等。 </w:t>
      </w:r>
      <w:r>
        <w:rPr>
          <w:rFonts w:ascii="宋体" w:hAnsi="宋体" w:cs="宋体" w:eastAsia="宋体" w:hint="default"/>
          <w:b/>
          <w:bCs/>
          <w:sz w:val="21"/>
          <w:szCs w:val="21"/>
        </w:rPr>
        <w:t>4、用户平台集聚优势</w:t>
      </w:r>
      <w:r>
        <w:rPr>
          <w:rFonts w:ascii="宋体" w:hAnsi="宋体" w:cs="宋体" w:eastAsia="宋体" w:hint="default"/>
          <w:sz w:val="21"/>
          <w:szCs w:val="21"/>
        </w:rPr>
      </w:r>
    </w:p>
    <w:p>
      <w:pPr>
        <w:spacing w:line="408" w:lineRule="auto" w:before="46"/>
        <w:ind w:left="514" w:right="230" w:hanging="360"/>
        <w:jc w:val="left"/>
        <w:rPr>
          <w:rFonts w:ascii="宋体" w:hAnsi="宋体" w:cs="宋体" w:eastAsia="宋体" w:hint="default"/>
          <w:sz w:val="21"/>
          <w:szCs w:val="21"/>
        </w:rPr>
      </w:pPr>
      <w:r>
        <w:rPr>
          <w:rFonts w:ascii="宋体" w:hAnsi="宋体" w:cs="宋体" w:eastAsia="宋体" w:hint="default"/>
          <w:sz w:val="21"/>
          <w:szCs w:val="21"/>
        </w:rPr>
        <w:t>（1）现代传媒集群核心平台 公司运营的报刊媒体、互联网站点和移动互联网产品，构成平台的坚实基础。强大的用户平台，在控</w:t>
      </w:r>
    </w:p>
    <w:p>
      <w:pPr>
        <w:spacing w:line="408" w:lineRule="auto" w:before="46"/>
        <w:ind w:left="514" w:right="230" w:hanging="360"/>
        <w:jc w:val="left"/>
        <w:rPr>
          <w:rFonts w:ascii="宋体" w:hAnsi="宋体" w:cs="宋体" w:eastAsia="宋体" w:hint="default"/>
          <w:sz w:val="21"/>
          <w:szCs w:val="21"/>
        </w:rPr>
      </w:pPr>
      <w:r>
        <w:rPr>
          <w:rFonts w:ascii="宋体" w:hAnsi="宋体" w:cs="宋体" w:eastAsia="宋体" w:hint="default"/>
          <w:sz w:val="21"/>
          <w:szCs w:val="21"/>
        </w:rPr>
        <w:t>股股东承担主流媒体舆论引导和文化服务的双重责任的同时，公司负责全部运营事务。</w:t>
      </w:r>
      <w:r>
        <w:rPr>
          <w:rFonts w:ascii="宋体" w:hAnsi="宋体" w:cs="宋体" w:eastAsia="宋体" w:hint="default"/>
          <w:spacing w:val="-1"/>
          <w:sz w:val="21"/>
          <w:szCs w:val="21"/>
        </w:rPr>
        <w:t> </w:t>
      </w:r>
      <w:r>
        <w:rPr>
          <w:rFonts w:ascii="宋体" w:hAnsi="宋体" w:cs="宋体" w:eastAsia="宋体" w:hint="default"/>
          <w:sz w:val="21"/>
          <w:szCs w:val="21"/>
        </w:rPr>
        <w:t>杭州网系杭州地区唯一新闻门户网站，旗下支站覆盖全地区各个县（市、区）；快房网作为大型垂直</w:t>
      </w:r>
    </w:p>
    <w:p>
      <w:pPr>
        <w:spacing w:line="408" w:lineRule="auto" w:before="46"/>
        <w:ind w:left="153" w:right="171" w:firstLine="0"/>
        <w:jc w:val="left"/>
        <w:rPr>
          <w:rFonts w:ascii="宋体" w:hAnsi="宋体" w:cs="宋体" w:eastAsia="宋体" w:hint="default"/>
          <w:sz w:val="21"/>
          <w:szCs w:val="21"/>
        </w:rPr>
      </w:pPr>
      <w:r>
        <w:rPr>
          <w:rFonts w:ascii="宋体" w:hAnsi="宋体" w:cs="宋体" w:eastAsia="宋体" w:hint="default"/>
          <w:sz w:val="21"/>
          <w:szCs w:val="21"/>
        </w:rPr>
        <w:t>门户网站，在省内居于房产电商前列；萧山网、余杭新闻网和富阳新闻网作为所在区域互联网主流媒体， </w:t>
      </w:r>
      <w:r>
        <w:rPr>
          <w:rFonts w:ascii="宋体" w:hAnsi="宋体" w:cs="宋体" w:eastAsia="宋体" w:hint="default"/>
          <w:spacing w:val="-1"/>
          <w:sz w:val="21"/>
          <w:szCs w:val="21"/>
        </w:rPr>
        <w:t>媒体公信力和影响力领先，作为县（区）域门户网站，居于同类型网站全国或全省领先地位。公司作为第</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一大股东的社区网站19楼，以社交和服务为主功能，为本地用户提供优质的生活交流服务，全站注册用户</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数达5176万户，日访问总页面（PV）3933万，日均独立IP地址访问量310万，是全省最具竞争力的社区网</w:t>
      </w:r>
      <w:r>
        <w:rPr>
          <w:rFonts w:ascii="宋体" w:hAnsi="宋体" w:cs="宋体" w:eastAsia="宋体" w:hint="default"/>
          <w:sz w:val="21"/>
          <w:szCs w:val="21"/>
        </w:rPr>
        <w:t> 站，在全国名列前茅，是中国最大的城市社区网站。</w:t>
      </w:r>
    </w:p>
    <w:p>
      <w:pPr>
        <w:spacing w:line="408" w:lineRule="auto" w:before="46"/>
        <w:ind w:left="153" w:right="101" w:firstLine="360"/>
        <w:jc w:val="left"/>
        <w:rPr>
          <w:rFonts w:ascii="宋体" w:hAnsi="宋体" w:cs="宋体" w:eastAsia="宋体" w:hint="default"/>
          <w:sz w:val="21"/>
          <w:szCs w:val="21"/>
        </w:rPr>
      </w:pPr>
      <w:r>
        <w:rPr>
          <w:rFonts w:ascii="宋体" w:hAnsi="宋体" w:cs="宋体" w:eastAsia="宋体" w:hint="default"/>
          <w:spacing w:val="-2"/>
          <w:sz w:val="21"/>
          <w:szCs w:val="21"/>
        </w:rPr>
        <w:t>适应移动互联网时代，作为公司经营依托的平面媒体订阅户约100万户，各类新媒体产品包括手机APP、</w:t>
      </w:r>
      <w:r>
        <w:rPr>
          <w:rFonts w:ascii="宋体" w:hAnsi="宋体" w:cs="宋体" w:eastAsia="宋体" w:hint="default"/>
          <w:sz w:val="21"/>
          <w:szCs w:val="21"/>
        </w:rPr>
        <w:t> 微信公众号、移动视频产品、官方微博号和互联网社区等，共有用户数（含APP活跃用户、微信订阅数、 微博粉丝数、社区注册用户、移动视频订阅户等）10299.3万，较好地承接了平面媒体受众的转移。为报</w:t>
      </w:r>
      <w:r>
        <w:rPr>
          <w:rFonts w:ascii="宋体" w:hAnsi="宋体" w:cs="宋体" w:eastAsia="宋体" w:hint="default"/>
          <w:spacing w:val="-1"/>
          <w:sz w:val="21"/>
          <w:szCs w:val="21"/>
        </w:rPr>
        <w:t> </w:t>
      </w:r>
      <w:r>
        <w:rPr>
          <w:rFonts w:ascii="宋体" w:hAnsi="宋体" w:cs="宋体" w:eastAsia="宋体" w:hint="default"/>
          <w:sz w:val="21"/>
          <w:szCs w:val="21"/>
        </w:rPr>
        <w:t>业集团媒体公信力和公司经营的市场影响力打下了扎实的用户基础。</w:t>
      </w:r>
    </w:p>
    <w:p>
      <w:pPr>
        <w:spacing w:line="444" w:lineRule="auto" w:before="46"/>
        <w:ind w:left="573" w:right="101" w:hanging="420"/>
        <w:jc w:val="left"/>
        <w:rPr>
          <w:rFonts w:ascii="宋体" w:hAnsi="宋体" w:cs="宋体" w:eastAsia="宋体" w:hint="default"/>
          <w:sz w:val="21"/>
          <w:szCs w:val="21"/>
        </w:rPr>
      </w:pPr>
      <w:r>
        <w:rPr>
          <w:rFonts w:ascii="宋体" w:hAnsi="宋体" w:cs="宋体" w:eastAsia="宋体" w:hint="default"/>
          <w:sz w:val="21"/>
          <w:szCs w:val="21"/>
        </w:rPr>
        <w:t>（2）城市生活服务平台 </w:t>
      </w:r>
      <w:r>
        <w:rPr>
          <w:rFonts w:ascii="宋体" w:hAnsi="宋体" w:cs="宋体" w:eastAsia="宋体" w:hint="default"/>
          <w:spacing w:val="-1"/>
          <w:sz w:val="21"/>
          <w:szCs w:val="21"/>
        </w:rPr>
        <w:t>公司以报刊发行投递和电商物流、报刊印刷、包装印刷、互联网连锁桌面轻印刷、户外媒体和地铁媒</w:t>
      </w:r>
    </w:p>
    <w:p>
      <w:pPr>
        <w:spacing w:line="408" w:lineRule="auto" w:before="13"/>
        <w:ind w:left="153" w:right="210" w:firstLine="0"/>
        <w:jc w:val="both"/>
        <w:rPr>
          <w:rFonts w:ascii="宋体" w:hAnsi="宋体" w:cs="宋体" w:eastAsia="宋体" w:hint="default"/>
          <w:sz w:val="21"/>
          <w:szCs w:val="21"/>
        </w:rPr>
      </w:pPr>
      <w:r>
        <w:rPr>
          <w:rFonts w:ascii="宋体" w:hAnsi="宋体" w:cs="宋体" w:eastAsia="宋体" w:hint="default"/>
          <w:spacing w:val="-1"/>
          <w:sz w:val="21"/>
          <w:szCs w:val="21"/>
        </w:rPr>
        <w:t>体构成城市生活服务平台，以服务带动开拓，赢得了市场的众多好评。报告期内，公司所属杭州每日送电</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
          <w:sz w:val="21"/>
          <w:szCs w:val="21"/>
        </w:rPr>
        <w:t>子商务有限公司荣获“全国十佳发行单位”称号并蝉联“全国报纸自办发行先进集体”荣誉称号，获中国</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电子商务物流年会“中国电商物流诚信品牌”和“中国电商物流服务模式创新奖”两项大奖，获评“中国</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电商物流诚信品牌”和“中国电商物流服务模式创新奖”。公司所属盛元印务有限公司成为国家、省、市</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三级政府机关定点印刷企业。</w:t>
      </w:r>
    </w:p>
    <w:p>
      <w:pPr>
        <w:spacing w:after="0" w:line="408" w:lineRule="auto"/>
        <w:jc w:val="both"/>
        <w:rPr>
          <w:rFonts w:ascii="宋体" w:hAnsi="宋体" w:cs="宋体" w:eastAsia="宋体" w:hint="default"/>
          <w:sz w:val="21"/>
          <w:szCs w:val="21"/>
        </w:rPr>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6" w:right="101"/>
        <w:jc w:val="left"/>
        <w:rPr>
          <w:b w:val="0"/>
          <w:bCs w:val="0"/>
        </w:rPr>
      </w:pPr>
      <w:bookmarkStart w:name="_TOC_250007" w:id="4"/>
      <w:r>
        <w:rPr/>
        <w:t>第四节</w:t>
      </w:r>
      <w:r>
        <w:rPr>
          <w:spacing w:val="-9"/>
        </w:rPr>
        <w:t> </w:t>
      </w:r>
      <w:r>
        <w:rPr/>
        <w:t>管理层讨论与分析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101"/>
        <w:jc w:val="left"/>
        <w:rPr>
          <w:b w:val="0"/>
          <w:bCs w:val="0"/>
        </w:rPr>
      </w:pPr>
      <w:r>
        <w:rPr/>
        <w:t>一、概述</w:t>
      </w:r>
      <w:r>
        <w:rPr>
          <w:b w:val="0"/>
          <w:bCs w:val="0"/>
        </w:rPr>
      </w:r>
    </w:p>
    <w:p>
      <w:pPr>
        <w:spacing w:line="240" w:lineRule="auto" w:before="8"/>
        <w:rPr>
          <w:rFonts w:ascii="宋体" w:hAnsi="宋体" w:cs="宋体" w:eastAsia="宋体" w:hint="default"/>
          <w:b/>
          <w:bCs/>
          <w:sz w:val="30"/>
          <w:szCs w:val="30"/>
        </w:rPr>
      </w:pPr>
    </w:p>
    <w:p>
      <w:pPr>
        <w:spacing w:line="408" w:lineRule="auto" w:before="0"/>
        <w:ind w:left="154" w:right="210" w:firstLine="420"/>
        <w:jc w:val="both"/>
        <w:rPr>
          <w:rFonts w:ascii="宋体" w:hAnsi="宋体" w:cs="宋体" w:eastAsia="宋体" w:hint="default"/>
          <w:sz w:val="21"/>
          <w:szCs w:val="21"/>
        </w:rPr>
      </w:pPr>
      <w:r>
        <w:rPr>
          <w:rFonts w:ascii="宋体" w:hAnsi="宋体" w:cs="宋体" w:eastAsia="宋体" w:hint="default"/>
          <w:spacing w:val="-1"/>
          <w:sz w:val="21"/>
          <w:szCs w:val="21"/>
        </w:rPr>
        <w:t>2015年是杭报集团成为公司实际控制人后的第一年，公司全面实施“以现代传媒集群为核心平台的城</w:t>
      </w:r>
      <w:r>
        <w:rPr>
          <w:rFonts w:ascii="宋体" w:hAnsi="宋体" w:cs="宋体" w:eastAsia="宋体" w:hint="default"/>
          <w:sz w:val="21"/>
          <w:szCs w:val="21"/>
        </w:rPr>
        <w:t> </w:t>
      </w:r>
      <w:r>
        <w:rPr>
          <w:rFonts w:ascii="宋体" w:hAnsi="宋体" w:cs="宋体" w:eastAsia="宋体" w:hint="default"/>
          <w:spacing w:val="-1"/>
          <w:sz w:val="21"/>
          <w:szCs w:val="21"/>
        </w:rPr>
        <w:t>市生活服务商”战略，是资本运作的初始布局之年。面对传统媒体广告系统性下滑的趋势，公司运营面临</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
          <w:sz w:val="21"/>
          <w:szCs w:val="21"/>
        </w:rPr>
        <w:t>全新竞争与挑战。公司在董事会的领导下，坚定创新转型，加快融合发展。对外持续通过投融资手段开展</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
          <w:sz w:val="21"/>
          <w:szCs w:val="21"/>
        </w:rPr>
        <w:t>战略布局，打响资本运作品牌；对内加强内控管理和规范运营，建立健全管理制度，顺利达成年度经营目</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标，营收和净利润均同比增长。</w:t>
      </w:r>
    </w:p>
    <w:p>
      <w:pPr>
        <w:spacing w:line="408" w:lineRule="auto" w:before="46"/>
        <w:ind w:left="153" w:right="174" w:firstLine="420"/>
        <w:jc w:val="left"/>
        <w:rPr>
          <w:rFonts w:ascii="宋体" w:hAnsi="宋体" w:cs="宋体" w:eastAsia="宋体" w:hint="default"/>
          <w:sz w:val="21"/>
          <w:szCs w:val="21"/>
        </w:rPr>
      </w:pPr>
      <w:r>
        <w:rPr>
          <w:rFonts w:ascii="宋体" w:hAnsi="宋体" w:cs="宋体" w:eastAsia="宋体" w:hint="default"/>
          <w:sz w:val="21"/>
          <w:szCs w:val="21"/>
        </w:rPr>
        <w:t>报告期内，公司实现营业收入15.54亿元，同比增长4.63%；总资产23.95 亿元，同比增长 22.62</w:t>
      </w:r>
      <w:r>
        <w:rPr>
          <w:rFonts w:ascii="宋体" w:hAnsi="宋体" w:cs="宋体" w:eastAsia="宋体" w:hint="default"/>
          <w:spacing w:val="-3"/>
          <w:sz w:val="21"/>
          <w:szCs w:val="21"/>
        </w:rPr>
        <w:t> </w:t>
      </w:r>
      <w:r>
        <w:rPr>
          <w:rFonts w:ascii="宋体" w:hAnsi="宋体" w:cs="宋体" w:eastAsia="宋体" w:hint="default"/>
          <w:sz w:val="21"/>
          <w:szCs w:val="21"/>
        </w:rPr>
        <w:t>%；</w:t>
      </w:r>
      <w:r>
        <w:rPr>
          <w:rFonts w:ascii="宋体" w:hAnsi="宋体" w:cs="宋体" w:eastAsia="宋体" w:hint="default"/>
          <w:sz w:val="21"/>
          <w:szCs w:val="21"/>
        </w:rPr>
        <w:t> 归属于母公司股东权益合计 15.40 亿元，同比增长 22.03</w:t>
      </w:r>
      <w:r>
        <w:rPr>
          <w:rFonts w:ascii="宋体" w:hAnsi="宋体" w:cs="宋体" w:eastAsia="宋体" w:hint="default"/>
          <w:spacing w:val="-24"/>
          <w:sz w:val="21"/>
          <w:szCs w:val="21"/>
        </w:rPr>
        <w:t> </w:t>
      </w:r>
      <w:r>
        <w:rPr>
          <w:rFonts w:ascii="宋体" w:hAnsi="宋体" w:cs="宋体" w:eastAsia="宋体" w:hint="default"/>
          <w:sz w:val="21"/>
          <w:szCs w:val="21"/>
        </w:rPr>
        <w:t>%；净利润3.15亿元，同比增长55.10%；归属</w:t>
      </w:r>
      <w:r>
        <w:rPr>
          <w:rFonts w:ascii="宋体" w:hAnsi="宋体" w:cs="宋体" w:eastAsia="宋体" w:hint="default"/>
          <w:sz w:val="21"/>
          <w:szCs w:val="21"/>
        </w:rPr>
        <w:t> 于母公司净利润 2.84亿元，同比增长50.27</w:t>
      </w:r>
      <w:r>
        <w:rPr>
          <w:rFonts w:ascii="宋体" w:hAnsi="宋体" w:cs="宋体" w:eastAsia="宋体" w:hint="default"/>
          <w:spacing w:val="-27"/>
          <w:sz w:val="21"/>
          <w:szCs w:val="21"/>
        </w:rPr>
        <w:t> </w:t>
      </w:r>
      <w:r>
        <w:rPr>
          <w:rFonts w:ascii="宋体" w:hAnsi="宋体" w:cs="宋体" w:eastAsia="宋体" w:hint="default"/>
          <w:sz w:val="21"/>
          <w:szCs w:val="21"/>
        </w:rPr>
        <w:t>%。公司营业收入和归属于母公司净利润均有所增长。扣除非</w:t>
      </w:r>
      <w:r>
        <w:rPr>
          <w:rFonts w:ascii="宋体" w:hAnsi="宋体" w:cs="宋体" w:eastAsia="宋体" w:hint="default"/>
          <w:sz w:val="21"/>
          <w:szCs w:val="21"/>
        </w:rPr>
        <w:t> 经常性损益后，公司实现归属于母公司净利润1.998亿元，超额完成了利润承诺。</w:t>
      </w:r>
    </w:p>
    <w:p>
      <w:pPr>
        <w:spacing w:line="408" w:lineRule="auto" w:before="46"/>
        <w:ind w:left="573" w:right="276" w:hanging="420"/>
        <w:jc w:val="left"/>
        <w:rPr>
          <w:rFonts w:ascii="宋体" w:hAnsi="宋体" w:cs="宋体" w:eastAsia="宋体" w:hint="default"/>
          <w:sz w:val="21"/>
          <w:szCs w:val="21"/>
        </w:rPr>
      </w:pPr>
      <w:r>
        <w:rPr>
          <w:rFonts w:ascii="宋体" w:hAnsi="宋体" w:cs="宋体" w:eastAsia="宋体" w:hint="default"/>
          <w:b/>
          <w:bCs/>
          <w:sz w:val="21"/>
          <w:szCs w:val="21"/>
        </w:rPr>
        <w:t>（一）融合发展，整合营销，传统主业稳固。</w:t>
      </w:r>
      <w:r>
        <w:rPr>
          <w:rFonts w:ascii="宋体" w:hAnsi="宋体" w:cs="宋体" w:eastAsia="宋体" w:hint="default"/>
          <w:b/>
          <w:bCs/>
          <w:w w:val="99"/>
          <w:sz w:val="21"/>
          <w:szCs w:val="21"/>
        </w:rPr>
        <w:t> </w:t>
      </w:r>
      <w:r>
        <w:rPr>
          <w:rFonts w:ascii="宋体" w:hAnsi="宋体" w:cs="宋体" w:eastAsia="宋体" w:hint="default"/>
          <w:sz w:val="21"/>
          <w:szCs w:val="21"/>
        </w:rPr>
        <w:t>报告期内，公司全面推行平面媒体的互联网+战略，广告承揽发布、专项活动推广、会展策划营销、</w:t>
      </w:r>
    </w:p>
    <w:p>
      <w:pPr>
        <w:spacing w:line="408" w:lineRule="auto" w:before="46"/>
        <w:ind w:left="153" w:right="211" w:firstLine="0"/>
        <w:jc w:val="both"/>
        <w:rPr>
          <w:rFonts w:ascii="宋体" w:hAnsi="宋体" w:cs="宋体" w:eastAsia="宋体" w:hint="default"/>
          <w:sz w:val="21"/>
          <w:szCs w:val="21"/>
        </w:rPr>
      </w:pPr>
      <w:r>
        <w:rPr>
          <w:rFonts w:ascii="宋体" w:hAnsi="宋体" w:cs="宋体" w:eastAsia="宋体" w:hint="default"/>
          <w:spacing w:val="-1"/>
          <w:sz w:val="21"/>
          <w:szCs w:val="21"/>
        </w:rPr>
        <w:t>户外媒体和地铁广告发布，均紧密结合新媒体平台和互联网资源，在全社会平面硬广投放日趋减少的情况</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下，此消彼长，放大增量，稳定了广告业务营收并略有增长。公司运营的中国（浙江）电商博览会、杭州</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
          <w:sz w:val="21"/>
          <w:szCs w:val="21"/>
        </w:rPr>
        <w:t>老年博览会、版本交易大会、杭州儿童博览会、动漫节活动、婚庆博览会等大型会展活动，已经成为公司</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品牌展会，带来了很好的社会效益和经济效益，萧山日报、余杭晨报和富阳日报公司举办的区域房产和汽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车等会展活动，已经成为区域重要活动并深受市场欢迎。借助杭州日报60周年报庆，杭报传媒公司和萧山</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1"/>
          <w:sz w:val="21"/>
          <w:szCs w:val="21"/>
        </w:rPr>
        <w:t>日报传媒公司经营利润均创历史新高。公司所属风盛传媒，深度挖掘区域户外媒体和地铁资源，公司营收</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利润均创历史新高，巩固了在杭州区域的户外公司的强势市场地位。</w:t>
      </w:r>
    </w:p>
    <w:p>
      <w:pPr>
        <w:spacing w:line="408" w:lineRule="auto" w:before="46"/>
        <w:ind w:left="573" w:right="99" w:hanging="420"/>
        <w:jc w:val="left"/>
        <w:rPr>
          <w:rFonts w:ascii="宋体" w:hAnsi="宋体" w:cs="宋体" w:eastAsia="宋体" w:hint="default"/>
          <w:sz w:val="21"/>
          <w:szCs w:val="21"/>
        </w:rPr>
      </w:pPr>
      <w:r>
        <w:rPr>
          <w:rFonts w:ascii="宋体" w:hAnsi="宋体" w:cs="宋体" w:eastAsia="宋体" w:hint="default"/>
          <w:b/>
          <w:bCs/>
          <w:sz w:val="21"/>
          <w:szCs w:val="21"/>
        </w:rPr>
        <w:t>（二）资本运作，不懈转型，初获市场认可。</w:t>
      </w:r>
      <w:r>
        <w:rPr>
          <w:rFonts w:ascii="宋体" w:hAnsi="宋体" w:cs="宋体" w:eastAsia="宋体" w:hint="default"/>
          <w:b/>
          <w:bCs/>
          <w:w w:val="99"/>
          <w:sz w:val="21"/>
          <w:szCs w:val="21"/>
        </w:rPr>
        <w:t> </w:t>
      </w:r>
      <w:r>
        <w:rPr>
          <w:rFonts w:ascii="宋体" w:hAnsi="宋体" w:cs="宋体" w:eastAsia="宋体" w:hint="default"/>
          <w:spacing w:val="-3"/>
          <w:sz w:val="21"/>
          <w:szCs w:val="21"/>
        </w:rPr>
        <w:t>报告期内，公司运用收并购、增资、参股等资本运作手段，对外投资（含新设立子公司）23笔。其中，</w:t>
      </w:r>
    </w:p>
    <w:p>
      <w:pPr>
        <w:spacing w:line="408" w:lineRule="auto" w:before="46"/>
        <w:ind w:left="153" w:right="211" w:firstLine="0"/>
        <w:jc w:val="both"/>
        <w:rPr>
          <w:rFonts w:ascii="宋体" w:hAnsi="宋体" w:cs="宋体" w:eastAsia="宋体" w:hint="default"/>
          <w:sz w:val="21"/>
          <w:szCs w:val="21"/>
        </w:rPr>
      </w:pPr>
      <w:r>
        <w:rPr>
          <w:rFonts w:ascii="宋体" w:hAnsi="宋体" w:cs="宋体" w:eastAsia="宋体" w:hint="default"/>
          <w:spacing w:val="-1"/>
          <w:sz w:val="21"/>
          <w:szCs w:val="21"/>
        </w:rPr>
        <w:t>收购上海快点公司51%股权和北京精典博维公司35%股权，报告期内两公司均完成了业绩承诺。新设立公司</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和参与投资组建相关产业基金等，完善了公司产业链，为未来发展打下了良好的基础。</w:t>
      </w:r>
    </w:p>
    <w:p>
      <w:pPr>
        <w:spacing w:line="408" w:lineRule="auto" w:before="46"/>
        <w:ind w:left="153" w:right="101" w:firstLine="420"/>
        <w:jc w:val="left"/>
        <w:rPr>
          <w:rFonts w:ascii="宋体" w:hAnsi="宋体" w:cs="宋体" w:eastAsia="宋体" w:hint="default"/>
          <w:sz w:val="21"/>
          <w:szCs w:val="21"/>
        </w:rPr>
      </w:pPr>
      <w:r>
        <w:rPr>
          <w:rFonts w:ascii="宋体" w:hAnsi="宋体" w:cs="宋体" w:eastAsia="宋体" w:hint="default"/>
          <w:spacing w:val="-1"/>
          <w:sz w:val="21"/>
          <w:szCs w:val="21"/>
        </w:rPr>
        <w:t>报告期内，公司溢价转让19楼公司18.8815%股份，以促进19楼以更灵活、更市场化的方式发展，同时</w:t>
      </w:r>
      <w:r>
        <w:rPr>
          <w:rFonts w:ascii="宋体" w:hAnsi="宋体" w:cs="宋体" w:eastAsia="宋体" w:hint="default"/>
          <w:sz w:val="21"/>
          <w:szCs w:val="21"/>
        </w:rPr>
        <w:t> 对公司业绩增长产生了正面影响。</w:t>
      </w:r>
    </w:p>
    <w:p>
      <w:pPr>
        <w:spacing w:before="46"/>
        <w:ind w:left="153" w:right="101" w:firstLine="0"/>
        <w:jc w:val="left"/>
        <w:rPr>
          <w:rFonts w:ascii="宋体" w:hAnsi="宋体" w:cs="宋体" w:eastAsia="宋体" w:hint="default"/>
          <w:sz w:val="21"/>
          <w:szCs w:val="21"/>
        </w:rPr>
      </w:pPr>
      <w:r>
        <w:rPr>
          <w:rFonts w:ascii="宋体" w:hAnsi="宋体" w:cs="宋体" w:eastAsia="宋体" w:hint="default"/>
          <w:b/>
          <w:bCs/>
          <w:sz w:val="21"/>
          <w:szCs w:val="21"/>
        </w:rPr>
        <w:t>（三）加快布局，完善产业，形成产业闭环。</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47" w:footer="982" w:top="1060" w:bottom="1180" w:left="980" w:right="920"/>
        </w:sectPr>
      </w:pPr>
    </w:p>
    <w:p>
      <w:pPr>
        <w:spacing w:line="240" w:lineRule="auto" w:before="0"/>
        <w:rPr>
          <w:rFonts w:ascii="宋体" w:hAnsi="宋体" w:cs="宋体" w:eastAsia="宋体" w:hint="default"/>
          <w:b/>
          <w:bCs/>
          <w:sz w:val="20"/>
          <w:szCs w:val="20"/>
        </w:rPr>
      </w:pPr>
    </w:p>
    <w:p>
      <w:pPr>
        <w:spacing w:line="408" w:lineRule="auto" w:before="174"/>
        <w:ind w:left="154" w:right="0" w:firstLine="420"/>
        <w:jc w:val="left"/>
        <w:rPr>
          <w:rFonts w:ascii="宋体" w:hAnsi="宋体" w:cs="宋体" w:eastAsia="宋体" w:hint="default"/>
          <w:sz w:val="21"/>
          <w:szCs w:val="21"/>
        </w:rPr>
      </w:pPr>
      <w:r>
        <w:rPr>
          <w:rFonts w:ascii="宋体" w:hAnsi="宋体" w:cs="宋体" w:eastAsia="宋体" w:hint="default"/>
          <w:sz w:val="21"/>
          <w:szCs w:val="21"/>
        </w:rPr>
        <w:t>公司以“移动互联+”为指引，借助资本市场力量，通过收购、合并、增资、成立基金等多种手段， </w:t>
      </w:r>
      <w:r>
        <w:rPr>
          <w:rFonts w:ascii="宋体" w:hAnsi="宋体" w:cs="宋体" w:eastAsia="宋体" w:hint="default"/>
          <w:spacing w:val="-1"/>
          <w:sz w:val="21"/>
          <w:szCs w:val="21"/>
        </w:rPr>
        <w:t>在传统领域转型和外延式拓展方面主动出击，引入增量，持续布局。这些资本运作一方面弥补了公司传统</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主业下滑份额，更重要的是延展产业链上下游，使公司城市生活服务商的战略定位更加清晰完善，经营和</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利润结构进一步优化。</w:t>
      </w:r>
    </w:p>
    <w:p>
      <w:pPr>
        <w:spacing w:line="408" w:lineRule="auto" w:before="46"/>
        <w:ind w:left="153" w:right="111" w:firstLine="420"/>
        <w:jc w:val="left"/>
        <w:rPr>
          <w:rFonts w:ascii="宋体" w:hAnsi="宋体" w:cs="宋体" w:eastAsia="宋体" w:hint="default"/>
          <w:sz w:val="21"/>
          <w:szCs w:val="21"/>
        </w:rPr>
      </w:pPr>
      <w:r>
        <w:rPr>
          <w:rFonts w:ascii="宋体" w:hAnsi="宋体" w:cs="宋体" w:eastAsia="宋体" w:hint="default"/>
          <w:sz w:val="21"/>
          <w:szCs w:val="21"/>
        </w:rPr>
        <w:t>布局移动视频端。收购快点传播51%股权，借助杭州网的“多牌照”与快点传播的“多渠道”深度结</w:t>
      </w:r>
      <w:r>
        <w:rPr>
          <w:rFonts w:ascii="宋体" w:hAnsi="宋体" w:cs="宋体" w:eastAsia="宋体" w:hint="default"/>
          <w:spacing w:val="-1"/>
          <w:sz w:val="21"/>
          <w:szCs w:val="21"/>
        </w:rPr>
        <w:t> 合，快速介入移动互联网信息服务和娱乐业务，打通华媒控股进入移动视频领域的通道。与深圳泽创投资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发展有限公司、舟山泽创投资合伙企业（有限合伙）合资成立华媒传播，专注移动新媒体信息传播，致力</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于成为中国传媒领域移动互联资讯产品与服务领先者。各二级公司全力布局视频业务，从PC端到移动端， </w:t>
      </w:r>
      <w:r>
        <w:rPr>
          <w:rFonts w:ascii="宋体" w:hAnsi="宋体" w:cs="宋体" w:eastAsia="宋体" w:hint="default"/>
          <w:spacing w:val="-1"/>
          <w:sz w:val="21"/>
          <w:szCs w:val="21"/>
        </w:rPr>
        <w:t>为用户提供全方位的视频服务。其中都快控股所属“好奇实验室”用户数持续增加。公司还成立“看看浙</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江”，力争打造浙江第一视频生活门户。</w:t>
      </w:r>
    </w:p>
    <w:p>
      <w:pPr>
        <w:spacing w:line="408" w:lineRule="auto" w:before="46"/>
        <w:ind w:left="153" w:right="0" w:firstLine="420"/>
        <w:jc w:val="left"/>
        <w:rPr>
          <w:rFonts w:ascii="宋体" w:hAnsi="宋体" w:cs="宋体" w:eastAsia="宋体" w:hint="default"/>
          <w:sz w:val="21"/>
          <w:szCs w:val="21"/>
        </w:rPr>
      </w:pPr>
      <w:r>
        <w:rPr>
          <w:rFonts w:ascii="宋体" w:hAnsi="宋体" w:cs="宋体" w:eastAsia="宋体" w:hint="default"/>
          <w:spacing w:val="-1"/>
          <w:sz w:val="21"/>
          <w:szCs w:val="21"/>
        </w:rPr>
        <w:t>截止本年报公告日，公司已经取得国家新闻出版广电总局颁发的《信息网络传播视听节目许可证——</w:t>
      </w:r>
      <w:r>
        <w:rPr>
          <w:rFonts w:ascii="宋体" w:hAnsi="宋体" w:cs="宋体" w:eastAsia="宋体" w:hint="default"/>
          <w:sz w:val="21"/>
          <w:szCs w:val="21"/>
        </w:rPr>
        <w:t> 移动互联网视听节目服务》，核准可通过手机等手持终端设备，以客户端软件下载和手机WAP网站形式，</w:t>
      </w:r>
      <w:r>
        <w:rPr>
          <w:rFonts w:ascii="宋体" w:hAnsi="宋体" w:cs="宋体" w:eastAsia="宋体" w:hint="default"/>
          <w:spacing w:val="-1"/>
          <w:sz w:val="21"/>
          <w:szCs w:val="21"/>
        </w:rPr>
        <w:t> 通过移动互联网，制作和播出包括文艺、娱乐、财经、体育、教育等视听节目，也可以汇集和播出相关电</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影、电视剧等节目。根据公司发展战略，公司拟充分利用该牌照资源优势，扎实开展移动互联网视频领域</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的业务。</w:t>
      </w:r>
    </w:p>
    <w:p>
      <w:pPr>
        <w:spacing w:line="408" w:lineRule="auto" w:before="46"/>
        <w:ind w:left="153" w:right="0" w:firstLine="420"/>
        <w:jc w:val="left"/>
        <w:rPr>
          <w:rFonts w:ascii="宋体" w:hAnsi="宋体" w:cs="宋体" w:eastAsia="宋体" w:hint="default"/>
          <w:sz w:val="21"/>
          <w:szCs w:val="21"/>
        </w:rPr>
      </w:pPr>
      <w:r>
        <w:rPr>
          <w:rFonts w:ascii="宋体" w:hAnsi="宋体" w:cs="宋体" w:eastAsia="宋体" w:hint="default"/>
          <w:spacing w:val="-1"/>
          <w:sz w:val="21"/>
          <w:szCs w:val="21"/>
        </w:rPr>
        <w:t>布局大数据。整合内部资源，公司各媒体按照“传播现代化”的思路扎实推进微信、微博等新媒体运</w:t>
      </w:r>
      <w:r>
        <w:rPr>
          <w:rFonts w:ascii="宋体" w:hAnsi="宋体" w:cs="宋体" w:eastAsia="宋体" w:hint="default"/>
          <w:sz w:val="21"/>
          <w:szCs w:val="21"/>
        </w:rPr>
        <w:t> 营，现代传媒集群不断发展壮大，新媒体总用户数已超1亿。与杭州泰一指尚合作成立杭州华泰一媒传媒 </w:t>
      </w:r>
      <w:r>
        <w:rPr>
          <w:rFonts w:ascii="宋体" w:hAnsi="宋体" w:cs="宋体" w:eastAsia="宋体" w:hint="default"/>
          <w:spacing w:val="-1"/>
          <w:sz w:val="21"/>
          <w:szCs w:val="21"/>
        </w:rPr>
        <w:t>文化有限公司，专注于媒体孵化平台的打造，大数据营销和互联网广告；增资上海合印，积极涉足基于云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印刷的大数据服务项目。公司还开展为品牌营销活动提供消费者大数据搜集与分析。</w:t>
      </w:r>
    </w:p>
    <w:p>
      <w:pPr>
        <w:spacing w:line="408" w:lineRule="auto" w:before="46"/>
        <w:ind w:left="153" w:right="214" w:firstLine="420"/>
        <w:jc w:val="left"/>
        <w:rPr>
          <w:rFonts w:ascii="宋体" w:hAnsi="宋体" w:cs="宋体" w:eastAsia="宋体" w:hint="default"/>
          <w:sz w:val="21"/>
          <w:szCs w:val="21"/>
        </w:rPr>
      </w:pPr>
      <w:r>
        <w:rPr>
          <w:rFonts w:ascii="宋体" w:hAnsi="宋体" w:cs="宋体" w:eastAsia="宋体" w:hint="default"/>
          <w:sz w:val="21"/>
          <w:szCs w:val="21"/>
        </w:rPr>
        <w:t>布局</w:t>
      </w:r>
      <w:r>
        <w:rPr>
          <w:rFonts w:ascii="宋体" w:hAnsi="宋体" w:cs="宋体" w:eastAsia="宋体" w:hint="default"/>
          <w:b/>
          <w:bCs/>
          <w:sz w:val="21"/>
          <w:szCs w:val="21"/>
        </w:rPr>
        <w:t>IP</w:t>
      </w:r>
      <w:r>
        <w:rPr>
          <w:rFonts w:ascii="宋体" w:hAnsi="宋体" w:cs="宋体" w:eastAsia="宋体" w:hint="default"/>
          <w:sz w:val="21"/>
          <w:szCs w:val="21"/>
        </w:rPr>
        <w:t>全产业链。收购北京精典博维35%股份，成为第一大股东，对接优质文学IP资源，开拓影视广 告业务，补全公司在新媒体、影视广告、核心版权资源方面的短板，为视频板块打造内容后盾。</w:t>
      </w:r>
    </w:p>
    <w:p>
      <w:pPr>
        <w:spacing w:line="408" w:lineRule="auto" w:before="46"/>
        <w:ind w:left="153" w:right="0" w:firstLine="420"/>
        <w:jc w:val="left"/>
        <w:rPr>
          <w:rFonts w:ascii="宋体" w:hAnsi="宋体" w:cs="宋体" w:eastAsia="宋体" w:hint="default"/>
          <w:sz w:val="21"/>
          <w:szCs w:val="21"/>
        </w:rPr>
      </w:pPr>
      <w:r>
        <w:rPr>
          <w:rFonts w:ascii="宋体" w:hAnsi="宋体" w:cs="宋体" w:eastAsia="宋体" w:hint="default"/>
          <w:spacing w:val="-1"/>
          <w:sz w:val="21"/>
          <w:szCs w:val="21"/>
        </w:rPr>
        <w:t>增资杭州市文化产权交易所，成为第一大股东，依托杭报集团资源优势，建设综合性的文化产权要素</w:t>
      </w:r>
      <w:r>
        <w:rPr>
          <w:rFonts w:ascii="宋体" w:hAnsi="宋体" w:cs="宋体" w:eastAsia="宋体" w:hint="default"/>
          <w:sz w:val="21"/>
          <w:szCs w:val="21"/>
        </w:rPr>
        <w:t> 流转平台，实现IP资源与金融资源的对接连通和共赢。</w:t>
      </w:r>
    </w:p>
    <w:p>
      <w:pPr>
        <w:spacing w:line="408" w:lineRule="auto" w:before="46"/>
        <w:ind w:left="153" w:right="0" w:firstLine="420"/>
        <w:jc w:val="left"/>
        <w:rPr>
          <w:rFonts w:ascii="宋体" w:hAnsi="宋体" w:cs="宋体" w:eastAsia="宋体" w:hint="default"/>
          <w:sz w:val="21"/>
          <w:szCs w:val="21"/>
        </w:rPr>
      </w:pPr>
      <w:r>
        <w:rPr>
          <w:rFonts w:ascii="宋体" w:hAnsi="宋体" w:cs="宋体" w:eastAsia="宋体" w:hint="default"/>
          <w:spacing w:val="-1"/>
          <w:sz w:val="21"/>
          <w:szCs w:val="21"/>
        </w:rPr>
        <w:t>布局金融资本平台。与浙商创投共同发起设立华媒泽商文化传媒产业基金，重点投资新媒体、泛文化</w:t>
      </w:r>
      <w:r>
        <w:rPr>
          <w:rFonts w:ascii="宋体" w:hAnsi="宋体" w:cs="宋体" w:eastAsia="宋体" w:hint="default"/>
          <w:sz w:val="21"/>
          <w:szCs w:val="21"/>
        </w:rPr>
        <w:t> </w:t>
      </w:r>
      <w:r>
        <w:rPr>
          <w:rFonts w:ascii="宋体" w:hAnsi="宋体" w:cs="宋体" w:eastAsia="宋体" w:hint="default"/>
          <w:spacing w:val="-1"/>
          <w:sz w:val="21"/>
          <w:szCs w:val="21"/>
        </w:rPr>
        <w:t>行业及信息技术结合的相关领域。成立华媒投资公司，打造对外金融投资和资本运作统一平台。与无锡金</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晟影视投资管理有限公司共同投资成立浙江华媒金晟文化产业投资管理有限公司，充分发挥双方各自在传</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媒领域、影视项目、影视文化基金投资和管理上的优势，抓住影视文化大发展的潮流与趋势。与浙江文创</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控股集团有限公司合资成立华创全媒，打造跨境电商孵化器、新媒体集群及研发数据中心“1+1+1”综合 性创新园区，为公司未来产业孵化提供重要平台，也是公司涉足跨境电商产业模式的积极探索。</w:t>
      </w:r>
    </w:p>
    <w:p>
      <w:pPr>
        <w:spacing w:before="46"/>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（四）多方合作，对接资源，提升品牌价值。</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408" w:lineRule="auto" w:before="174"/>
        <w:ind w:left="154" w:right="170" w:firstLine="420"/>
        <w:jc w:val="left"/>
        <w:rPr>
          <w:rFonts w:ascii="宋体" w:hAnsi="宋体" w:cs="宋体" w:eastAsia="宋体" w:hint="default"/>
          <w:sz w:val="21"/>
          <w:szCs w:val="21"/>
        </w:rPr>
      </w:pPr>
      <w:r>
        <w:rPr>
          <w:rFonts w:ascii="宋体" w:hAnsi="宋体" w:cs="宋体" w:eastAsia="宋体" w:hint="default"/>
          <w:sz w:val="21"/>
          <w:szCs w:val="21"/>
        </w:rPr>
        <w:t>1、与阿里巴巴等行业翘楚签署战略合作协议，与市委宣传部、市经信委、市工商局、下城区政府、 市金投集团、杭州经济技术开发区等政府部门、企业展开沟通，寻求合作机会，利用公司平台撬动资源， 创造良好外部发展环境。</w:t>
      </w:r>
    </w:p>
    <w:p>
      <w:pPr>
        <w:spacing w:line="408" w:lineRule="auto" w:before="46"/>
        <w:ind w:left="154" w:right="293" w:firstLine="420"/>
        <w:jc w:val="both"/>
        <w:rPr>
          <w:rFonts w:ascii="宋体" w:hAnsi="宋体" w:cs="宋体" w:eastAsia="宋体" w:hint="default"/>
          <w:sz w:val="21"/>
          <w:szCs w:val="21"/>
        </w:rPr>
      </w:pPr>
      <w:r>
        <w:rPr>
          <w:rFonts w:ascii="宋体" w:hAnsi="宋体" w:cs="宋体" w:eastAsia="宋体" w:hint="default"/>
          <w:sz w:val="21"/>
          <w:szCs w:val="21"/>
        </w:rPr>
        <w:t>2、成功举办华媒创业大赛，激发内部创新创业激情，发掘潜力项目和团队，为公司创新持续发展提 供内生性动力。其中“好奇实验室”、“OLE”、“云瞰”等项目有的已成功引资，有的成立独立运营公 司。</w:t>
      </w:r>
    </w:p>
    <w:p>
      <w:pPr>
        <w:spacing w:line="408" w:lineRule="auto" w:before="87"/>
        <w:ind w:left="154" w:right="101" w:firstLine="420"/>
        <w:jc w:val="left"/>
        <w:rPr>
          <w:rFonts w:ascii="宋体" w:hAnsi="宋体" w:cs="宋体" w:eastAsia="宋体" w:hint="default"/>
          <w:sz w:val="21"/>
          <w:szCs w:val="21"/>
        </w:rPr>
      </w:pPr>
      <w:r>
        <w:rPr>
          <w:rFonts w:ascii="宋体" w:hAnsi="宋体" w:cs="宋体" w:eastAsia="宋体" w:hint="default"/>
          <w:spacing w:val="-1"/>
          <w:sz w:val="21"/>
          <w:szCs w:val="21"/>
        </w:rPr>
        <w:t>3、举办“钱江潮涌”浙江省上市公司并购论坛，现场发布《2014年杭州上市公司并购重组白皮书》。</w:t>
      </w:r>
      <w:r>
        <w:rPr>
          <w:rFonts w:ascii="宋体" w:hAnsi="宋体" w:cs="宋体" w:eastAsia="宋体" w:hint="default"/>
          <w:sz w:val="21"/>
          <w:szCs w:val="21"/>
        </w:rPr>
        <w:t> </w:t>
      </w:r>
      <w:r>
        <w:rPr>
          <w:rFonts w:ascii="宋体" w:hAnsi="宋体" w:cs="宋体" w:eastAsia="宋体" w:hint="default"/>
          <w:spacing w:val="-3"/>
          <w:sz w:val="21"/>
          <w:szCs w:val="21"/>
        </w:rPr>
        <w:t>成立杭州本地上市公司核心联盟——钱潮会，并举行一系列活动。并购论坛反响较好，圈层构建效果显著。</w:t>
      </w:r>
    </w:p>
    <w:p>
      <w:pPr>
        <w:spacing w:line="240" w:lineRule="auto" w:before="10"/>
        <w:rPr>
          <w:rFonts w:ascii="宋体" w:hAnsi="宋体" w:cs="宋体" w:eastAsia="宋体" w:hint="default"/>
          <w:sz w:val="18"/>
          <w:szCs w:val="18"/>
        </w:rPr>
      </w:pPr>
    </w:p>
    <w:p>
      <w:pPr>
        <w:pStyle w:val="Heading3"/>
        <w:spacing w:line="240" w:lineRule="auto"/>
        <w:ind w:right="101"/>
        <w:jc w:val="left"/>
        <w:rPr>
          <w:b w:val="0"/>
          <w:bCs w:val="0"/>
        </w:rPr>
      </w:pPr>
      <w:r>
        <w:rPr/>
        <w:t>二、主营业务分析</w:t>
      </w:r>
      <w:r>
        <w:rPr>
          <w:b w:val="0"/>
          <w:bCs w:val="0"/>
        </w:rPr>
      </w:r>
    </w:p>
    <w:p>
      <w:pPr>
        <w:spacing w:line="240" w:lineRule="auto" w:before="8"/>
        <w:rPr>
          <w:rFonts w:ascii="宋体" w:hAnsi="宋体" w:cs="宋体" w:eastAsia="宋体" w:hint="default"/>
          <w:b/>
          <w:bCs/>
          <w:sz w:val="24"/>
          <w:szCs w:val="24"/>
        </w:rPr>
      </w:pPr>
    </w:p>
    <w:p>
      <w:pPr>
        <w:spacing w:line="547" w:lineRule="auto" w:before="0"/>
        <w:ind w:left="154" w:right="57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spacing w:before="26"/>
        <w:ind w:left="154" w:right="101"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）营业收入构成</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4"/>
        <w:gridCol w:w="1598"/>
        <w:gridCol w:w="1586"/>
        <w:gridCol w:w="1599"/>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318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6" w:hRule="exact"/>
        </w:trPr>
        <w:tc>
          <w:tcPr>
            <w:tcW w:w="1596" w:type="dxa"/>
            <w:vMerge w:val="restart"/>
            <w:tcBorders>
              <w:top w:val="nil" w:sz="6" w:space="0" w:color="auto"/>
              <w:left w:val="single" w:sz="4" w:space="0" w:color="000000"/>
              <w:right w:val="single" w:sz="4" w:space="0" w:color="000000"/>
            </w:tcBorders>
            <w:shd w:val="clear" w:color="auto" w:fill="D3D3D3"/>
          </w:tcPr>
          <w:p>
            <w:pPr/>
          </w:p>
        </w:tc>
        <w:tc>
          <w:tcPr>
            <w:tcW w:w="3188" w:type="dxa"/>
            <w:gridSpan w:val="2"/>
            <w:vMerge/>
            <w:tcBorders>
              <w:left w:val="single" w:sz="4" w:space="0" w:color="000000"/>
              <w:bottom w:val="single" w:sz="4" w:space="0" w:color="000000"/>
              <w:right w:val="single" w:sz="4" w:space="0" w:color="000000"/>
            </w:tcBorders>
            <w:shd w:val="clear" w:color="auto" w:fill="D3D3D3"/>
          </w:tcPr>
          <w:p>
            <w:pPr/>
          </w:p>
        </w:tc>
        <w:tc>
          <w:tcPr>
            <w:tcW w:w="3184" w:type="dxa"/>
            <w:gridSpan w:val="2"/>
            <w:vMerge/>
            <w:tcBorders>
              <w:left w:val="single" w:sz="4" w:space="0" w:color="000000"/>
              <w:bottom w:val="single" w:sz="4" w:space="0" w:color="000000"/>
              <w:right w:val="single" w:sz="4" w:space="0" w:color="000000"/>
            </w:tcBorders>
            <w:shd w:val="clear" w:color="auto" w:fill="D3D3D3"/>
          </w:tcPr>
          <w:p>
            <w:pPr/>
          </w:p>
        </w:tc>
        <w:tc>
          <w:tcPr>
            <w:tcW w:w="159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6" w:type="dxa"/>
            <w:vMerge/>
            <w:tcBorders>
              <w:left w:val="single" w:sz="4" w:space="0" w:color="000000"/>
              <w:bottom w:val="nil" w:sz="6" w:space="0" w:color="auto"/>
              <w:right w:val="single" w:sz="4" w:space="0" w:color="000000"/>
            </w:tcBorders>
            <w:shd w:val="clear" w:color="auto" w:fill="D3D3D3"/>
          </w:tcPr>
          <w:p>
            <w:pP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8" w:type="dxa"/>
            <w:vMerge/>
            <w:tcBorders>
              <w:left w:val="single" w:sz="4" w:space="0" w:color="000000"/>
              <w:bottom w:val="single" w:sz="4" w:space="0" w:color="000000"/>
              <w:right w:val="single" w:sz="4" w:space="0" w:color="000000"/>
            </w:tcBorders>
            <w:shd w:val="clear" w:color="auto" w:fill="D3D3D3"/>
          </w:tcPr>
          <w:p>
            <w:pPr/>
          </w:p>
        </w:tc>
        <w:tc>
          <w:tcPr>
            <w:tcW w:w="1586" w:type="dxa"/>
            <w:vMerge/>
            <w:tcBorders>
              <w:left w:val="single" w:sz="4" w:space="0" w:color="000000"/>
              <w:bottom w:val="single" w:sz="4" w:space="0" w:color="000000"/>
              <w:right w:val="single" w:sz="4" w:space="0" w:color="000000"/>
            </w:tcBorders>
            <w:shd w:val="clear" w:color="auto" w:fill="D3D3D3"/>
          </w:tcPr>
          <w:p>
            <w:pPr/>
          </w:p>
        </w:tc>
        <w:tc>
          <w:tcPr>
            <w:tcW w:w="1599"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1,554,030,721.35</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598"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1,485,240,217.31</w:t>
            </w:r>
          </w:p>
        </w:tc>
        <w:tc>
          <w:tcPr>
            <w:tcW w:w="15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4.63%</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广告及策划业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832,824,435.08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815,045,632.82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54.88%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报刊发行业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240,845,677.47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289,559,011.94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19.50%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176,108,457.73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11.33%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234,014,211.01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15.76%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120,855,489.55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7.78%</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101,304,885.08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73,427,271.11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4.94%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82,091,776.44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73,194,090.43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4.93%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12.16%</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广告及策划业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832,824,435.08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815,045,632.82</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54.88%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报刊发行业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240,845,677.47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289,559,011.94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19.50%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176,108,457.73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11.33%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234,014,211.01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15.76%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120,855,489.55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7.78%</w:t>
            </w:r>
          </w:p>
        </w:tc>
        <w:tc>
          <w:tcPr>
            <w:tcW w:w="1598"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101,304,885.08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73,427,271.11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4.94%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82,091,776.44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73,194,090.43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12.16%</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1,554,030,721.35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1,485,240,217.31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4.63%</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）占公司营业收入或营业利润</w:t>
      </w:r>
      <w:r>
        <w:rPr>
          <w:rFonts w:ascii="宋体" w:hAnsi="宋体" w:cs="宋体" w:eastAsia="宋体" w:hint="default"/>
          <w:b/>
          <w:bCs/>
          <w:spacing w:val="-59"/>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以上的行业、产品或地区情况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广告及策划业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832,824,435.08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471,323,061.40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报刊及发行业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240,845,677.47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244,803,991.60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176,108,457.73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175,856,007.07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120,855,489.55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82,231,685.00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183,396,661.52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148,281,782.59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1,554,030,721.35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1,122,496,527.66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广告及策划业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832,824,435.08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471,323,061.40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报刊及发行业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240,845,677.47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244,803,991.60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176,108,457.73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175,856,007.07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120,855,489.55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82,231,685.00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183,396,661.52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148,281,782.59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1,554,030,721.35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1,122,496,527.66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1,554,030,721.35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1,122,496,527.66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）公司实物销售收入是否大于劳务收入</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）公司已签订的重大销售合同截至本报告期的履行情况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）营业成本构成</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行业和产品分类</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广告及策划业</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广告及策划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471,323,061.40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425,619,872.41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10.74%</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报刊及发行业</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报刊及发行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244,803,991.60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314,374,349.96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-22.13%</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175,856,007.07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223,857,231.32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-21.44%</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信息服务业</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82,231,685.00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93,451,332.35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67,538,202.64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54,830,450.24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46,106,276.57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18.92%</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1,122,496,527.66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1,077,495,932.90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w:t>
            </w:r>
          </w:p>
        </w:tc>
      </w:tr>
    </w:tbl>
    <w:p>
      <w:pPr>
        <w:spacing w:before="51"/>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广告及策划业</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广告及策划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471,323,061.40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425,619,872.41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10.74%</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报刊及发行业</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报刊及发行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244,803,991.60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314,374,349.96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-22.13%</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印刷业</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175,856,007.07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223,857,231.32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-21.44%</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信息服务业</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82,231,685.00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93,451,332.35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67,538,202.64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38.37%</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54,830,450.24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46,106,276.57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18.92%</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1,122,496,527.66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1,077,495,932.90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）报告期内合并范围是否发生变动</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56" w:lineRule="auto" w:before="77"/>
        <w:ind w:left="153" w:right="0" w:firstLine="480"/>
        <w:jc w:val="left"/>
        <w:rPr>
          <w:rFonts w:ascii="宋体" w:hAnsi="宋体" w:cs="宋体" w:eastAsia="宋体" w:hint="default"/>
          <w:sz w:val="21"/>
          <w:szCs w:val="21"/>
        </w:rPr>
      </w:pPr>
      <w:r>
        <w:rPr>
          <w:rFonts w:ascii="宋体" w:hAnsi="宋体" w:cs="宋体" w:eastAsia="宋体" w:hint="default"/>
          <w:spacing w:val="-2"/>
          <w:sz w:val="21"/>
          <w:szCs w:val="21"/>
        </w:rPr>
        <w:t>本公司</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年度纳入合并范围的子公司共</w:t>
      </w:r>
      <w:r>
        <w:rPr>
          <w:rFonts w:ascii="Times New Roman" w:hAnsi="Times New Roman" w:cs="Times New Roman" w:eastAsia="Times New Roman" w:hint="default"/>
          <w:spacing w:val="-2"/>
          <w:sz w:val="21"/>
          <w:szCs w:val="21"/>
        </w:rPr>
        <w:t>13</w:t>
      </w:r>
      <w:r>
        <w:rPr>
          <w:rFonts w:ascii="宋体" w:hAnsi="宋体" w:cs="宋体" w:eastAsia="宋体" w:hint="default"/>
          <w:spacing w:val="-2"/>
          <w:sz w:val="21"/>
          <w:szCs w:val="21"/>
        </w:rPr>
        <w:t>户，详见九</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在其他主体中的权益</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。本公司本年度合并范</w:t>
      </w:r>
      <w:r>
        <w:rPr>
          <w:rFonts w:ascii="宋体" w:hAnsi="宋体" w:cs="宋体" w:eastAsia="宋体" w:hint="default"/>
          <w:sz w:val="21"/>
          <w:szCs w:val="21"/>
        </w:rPr>
        <w:t> 围比上年度增加</w:t>
      </w:r>
      <w:r>
        <w:rPr>
          <w:rFonts w:ascii="Times New Roman" w:hAnsi="Times New Roman" w:cs="Times New Roman" w:eastAsia="Times New Roman" w:hint="default"/>
          <w:sz w:val="21"/>
          <w:szCs w:val="21"/>
        </w:rPr>
        <w:t>3</w:t>
      </w:r>
      <w:r>
        <w:rPr>
          <w:rFonts w:ascii="宋体" w:hAnsi="宋体" w:cs="宋体" w:eastAsia="宋体" w:hint="default"/>
          <w:sz w:val="21"/>
          <w:szCs w:val="21"/>
        </w:rPr>
        <w:t>户，详见八</w:t>
      </w:r>
      <w:r>
        <w:rPr>
          <w:rFonts w:ascii="Times New Roman" w:hAnsi="Times New Roman" w:cs="Times New Roman" w:eastAsia="Times New Roman" w:hint="default"/>
          <w:sz w:val="21"/>
          <w:szCs w:val="21"/>
        </w:rPr>
        <w:t>“</w:t>
      </w:r>
      <w:r>
        <w:rPr>
          <w:rFonts w:ascii="宋体" w:hAnsi="宋体" w:cs="宋体" w:eastAsia="宋体" w:hint="default"/>
          <w:sz w:val="21"/>
          <w:szCs w:val="21"/>
        </w:rPr>
        <w:t>合并范围的变更</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line="240" w:lineRule="auto" w:before="5"/>
        <w:rPr>
          <w:rFonts w:ascii="宋体" w:hAnsi="宋体" w:cs="宋体" w:eastAsia="宋体" w:hint="default"/>
          <w:sz w:val="23"/>
          <w:szCs w:val="23"/>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）公司报告期内业务、产品或服务发生重大变化或调整有关情况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）主要销售客户和主要供应商情况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160,388,403.71</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10.32%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779"/>
        <w:gridCol w:w="3312"/>
        <w:gridCol w:w="2322"/>
        <w:gridCol w:w="3143"/>
      </w:tblGrid>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w:t>
            </w:r>
          </w:p>
        </w:tc>
        <w:tc>
          <w:tcPr>
            <w:tcW w:w="331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64,327,395.12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4.14%</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2</w:t>
            </w:r>
          </w:p>
        </w:tc>
        <w:tc>
          <w:tcPr>
            <w:tcW w:w="331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30,191,667.74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1.94%</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3</w:t>
            </w:r>
          </w:p>
        </w:tc>
        <w:tc>
          <w:tcPr>
            <w:tcW w:w="331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28,975,303.73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1.86%</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4</w:t>
            </w:r>
          </w:p>
        </w:tc>
        <w:tc>
          <w:tcPr>
            <w:tcW w:w="331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19,818,167.50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1.28%</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5</w:t>
            </w:r>
          </w:p>
        </w:tc>
        <w:tc>
          <w:tcPr>
            <w:tcW w:w="3312"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17,075,869.62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1.10%</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160,388,403.71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10.32%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38" w:lineRule="auto" w:before="116"/>
        <w:ind w:left="154" w:right="698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其中客户</w:t>
      </w:r>
      <w:r>
        <w:rPr>
          <w:rFonts w:ascii="Times New Roman" w:hAnsi="Times New Roman" w:cs="Times New Roman" w:eastAsia="Times New Roman" w:hint="default"/>
          <w:sz w:val="18"/>
          <w:szCs w:val="18"/>
        </w:rPr>
        <w:t>1</w:t>
      </w:r>
      <w:r>
        <w:rPr>
          <w:rFonts w:ascii="宋体" w:hAnsi="宋体" w:cs="宋体" w:eastAsia="宋体" w:hint="default"/>
          <w:sz w:val="18"/>
          <w:szCs w:val="18"/>
        </w:rPr>
        <w:t>与本公司存在关联关系。 公司主要供应商情况</w:t>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190,120,486.55</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16.94%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2"/>
        <w:gridCol w:w="3168"/>
        <w:gridCol w:w="2333"/>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3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74,317,817.03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3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47,505,939.23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3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26,461,530.46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3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22,048,603.76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3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19,786,596.07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1.76%</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w:t>
            </w:r>
          </w:p>
        </w:tc>
        <w:tc>
          <w:tcPr>
            <w:tcW w:w="233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190,120,486.55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16.94%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、费用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7"/>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484" w:right="0"/>
              <w:jc w:val="left"/>
              <w:rPr>
                <w:rFonts w:ascii="Times New Roman" w:hAnsi="Times New Roman" w:cs="Times New Roman" w:eastAsia="Times New Roman" w:hint="default"/>
                <w:sz w:val="18"/>
                <w:szCs w:val="18"/>
              </w:rPr>
            </w:pPr>
            <w:r>
              <w:rPr>
                <w:rFonts w:ascii="Times New Roman"/>
                <w:sz w:val="18"/>
              </w:rPr>
              <w:t>106,342,283.26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129,684,786.35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w:t>
            </w:r>
          </w:p>
        </w:tc>
        <w:tc>
          <w:tcPr>
            <w:tcW w:w="2917"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490" w:right="0"/>
              <w:jc w:val="left"/>
              <w:rPr>
                <w:rFonts w:ascii="Times New Roman" w:hAnsi="Times New Roman" w:cs="Times New Roman" w:eastAsia="Times New Roman" w:hint="default"/>
                <w:sz w:val="18"/>
                <w:szCs w:val="18"/>
              </w:rPr>
            </w:pPr>
            <w:r>
              <w:rPr>
                <w:rFonts w:ascii="Times New Roman"/>
                <w:sz w:val="18"/>
              </w:rPr>
              <w:t>103,095,711.25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83,942,833.31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22.82%</w:t>
            </w:r>
          </w:p>
        </w:tc>
        <w:tc>
          <w:tcPr>
            <w:tcW w:w="2917" w:type="dxa"/>
            <w:tcBorders>
              <w:top w:val="single" w:sz="4" w:space="0" w:color="000000"/>
              <w:left w:val="single" w:sz="4" w:space="0" w:color="000000"/>
              <w:bottom w:val="single" w:sz="4" w:space="0" w:color="000000"/>
              <w:right w:val="single" w:sz="4" w:space="0" w:color="000000"/>
            </w:tcBorders>
            <w:shd w:val="clear" w:color="auto" w:fill="C7EDCC"/>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03"/>
        <w:gridCol w:w="1649"/>
        <w:gridCol w:w="1637"/>
        <w:gridCol w:w="1462"/>
        <w:gridCol w:w="2917"/>
      </w:tblGrid>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604" w:right="0"/>
              <w:jc w:val="left"/>
              <w:rPr>
                <w:rFonts w:ascii="Times New Roman" w:hAnsi="Times New Roman" w:cs="Times New Roman" w:eastAsia="Times New Roman" w:hint="default"/>
                <w:sz w:val="18"/>
                <w:szCs w:val="18"/>
              </w:rPr>
            </w:pPr>
            <w:r>
              <w:rPr>
                <w:rFonts w:ascii="Times New Roman"/>
                <w:sz w:val="18"/>
              </w:rPr>
              <w:t>-5,582,732.70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9" w:right="0"/>
              <w:jc w:val="left"/>
              <w:rPr>
                <w:rFonts w:ascii="Times New Roman" w:hAnsi="Times New Roman" w:cs="Times New Roman" w:eastAsia="Times New Roman" w:hint="default"/>
                <w:sz w:val="18"/>
                <w:szCs w:val="18"/>
              </w:rPr>
            </w:pPr>
            <w:r>
              <w:rPr>
                <w:rFonts w:ascii="Times New Roman"/>
                <w:sz w:val="18"/>
              </w:rPr>
              <w:t>-3,027,300.20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3" w:right="0"/>
              <w:jc w:val="left"/>
              <w:rPr>
                <w:rFonts w:ascii="Times New Roman" w:hAnsi="Times New Roman" w:cs="Times New Roman" w:eastAsia="Times New Roman" w:hint="default"/>
                <w:sz w:val="18"/>
                <w:szCs w:val="18"/>
              </w:rPr>
            </w:pPr>
            <w:r>
              <w:rPr>
                <w:rFonts w:ascii="Times New Roman"/>
                <w:sz w:val="18"/>
              </w:rPr>
              <w:t>-84.41%</w:t>
            </w:r>
          </w:p>
        </w:tc>
        <w:tc>
          <w:tcPr>
            <w:tcW w:w="29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系现金流充足，利息收入增加产生。</w:t>
            </w:r>
          </w:p>
        </w:tc>
      </w:tr>
    </w:tbl>
    <w:p>
      <w:pPr>
        <w:spacing w:line="240" w:lineRule="auto" w:before="2"/>
        <w:rPr>
          <w:rFonts w:ascii="宋体" w:hAnsi="宋体" w:cs="宋体" w:eastAsia="宋体" w:hint="default"/>
          <w:sz w:val="19"/>
          <w:szCs w:val="19"/>
        </w:rPr>
      </w:pPr>
    </w:p>
    <w:p>
      <w:pPr>
        <w:spacing w:before="35"/>
        <w:ind w:left="154" w:right="10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、研发投入</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1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4" w:right="10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、现金流</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29"/>
        <w:gridCol w:w="2404"/>
        <w:gridCol w:w="2392"/>
        <w:gridCol w:w="2393"/>
      </w:tblGrid>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1,678,782,522.93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1,680,841,679.36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1,586,812,029.43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1,617,088,883.30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91,970,493.50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63,752,796.06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44.26%</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740,664,218.77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118,601,308.10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524.50%</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432,502,132.42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123,533,291.90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250.11%</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308,162,086.35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-4,931,983.80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6,348.24%</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68,135,500.00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223,011,947.25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-69.45%</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13,986,794.29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38,308,997.77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-63.49%</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54,148,705.71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184,702,949.48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-70.68%</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454,279,384.19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243,648,068.48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86.45%</w:t>
            </w:r>
          </w:p>
        </w:tc>
      </w:tr>
    </w:tbl>
    <w:p>
      <w:pPr>
        <w:spacing w:before="51"/>
        <w:ind w:left="154" w:right="101"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7"/>
        <w:ind w:left="153" w:right="1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13"/>
          <w:szCs w:val="13"/>
        </w:rPr>
      </w:pPr>
    </w:p>
    <w:p>
      <w:pPr>
        <w:spacing w:line="451" w:lineRule="auto" w:before="0"/>
        <w:ind w:left="154" w:right="23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年度经营活动产生的现金流量净额</w:t>
      </w:r>
      <w:r>
        <w:rPr>
          <w:rFonts w:ascii="Times New Roman" w:hAnsi="Times New Roman" w:cs="Times New Roman" w:eastAsia="Times New Roman" w:hint="default"/>
          <w:sz w:val="18"/>
          <w:szCs w:val="18"/>
        </w:rPr>
        <w:t>91,970,493.50</w:t>
      </w:r>
      <w:r>
        <w:rPr>
          <w:rFonts w:ascii="宋体" w:hAnsi="宋体" w:cs="宋体" w:eastAsia="宋体" w:hint="default"/>
          <w:sz w:val="18"/>
          <w:szCs w:val="18"/>
        </w:rPr>
        <w:t>元，较上年同期增长</w:t>
      </w:r>
      <w:r>
        <w:rPr>
          <w:rFonts w:ascii="Times New Roman" w:hAnsi="Times New Roman" w:cs="Times New Roman" w:eastAsia="Times New Roman" w:hint="default"/>
          <w:sz w:val="18"/>
          <w:szCs w:val="18"/>
        </w:rPr>
        <w:t>44.26%</w:t>
      </w:r>
      <w:r>
        <w:rPr>
          <w:rFonts w:ascii="宋体" w:hAnsi="宋体" w:cs="宋体" w:eastAsia="宋体" w:hint="default"/>
          <w:sz w:val="18"/>
          <w:szCs w:val="18"/>
        </w:rPr>
        <w:t>，主要系购买商品、接受劳务支付的 现金减少所致。</w:t>
      </w:r>
    </w:p>
    <w:p>
      <w:pPr>
        <w:spacing w:line="451" w:lineRule="auto" w:before="74"/>
        <w:ind w:left="154" w:right="23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年度投资活动产生的现金流量净额</w:t>
      </w:r>
      <w:r>
        <w:rPr>
          <w:rFonts w:ascii="Times New Roman" w:hAnsi="Times New Roman" w:cs="Times New Roman" w:eastAsia="Times New Roman" w:hint="default"/>
          <w:sz w:val="18"/>
          <w:szCs w:val="18"/>
        </w:rPr>
        <w:t>308,162,086.35</w:t>
      </w:r>
      <w:r>
        <w:rPr>
          <w:rFonts w:ascii="宋体" w:hAnsi="宋体" w:cs="宋体" w:eastAsia="宋体" w:hint="default"/>
          <w:sz w:val="18"/>
          <w:szCs w:val="18"/>
        </w:rPr>
        <w:t>元，较上年同期增长</w:t>
      </w:r>
      <w:r>
        <w:rPr>
          <w:rFonts w:ascii="Times New Roman" w:hAnsi="Times New Roman" w:cs="Times New Roman" w:eastAsia="Times New Roman" w:hint="default"/>
          <w:sz w:val="18"/>
          <w:szCs w:val="18"/>
        </w:rPr>
        <w:t>6,348.24%</w:t>
      </w:r>
      <w:r>
        <w:rPr>
          <w:rFonts w:ascii="宋体" w:hAnsi="宋体" w:cs="宋体" w:eastAsia="宋体" w:hint="default"/>
          <w:sz w:val="18"/>
          <w:szCs w:val="18"/>
        </w:rPr>
        <w:t>，主要系收到华立公司支付的</w:t>
      </w:r>
      <w:r>
        <w:rPr>
          <w:rFonts w:ascii="Times New Roman" w:hAnsi="Times New Roman" w:cs="Times New Roman" w:eastAsia="Times New Roman" w:hint="default"/>
          <w:sz w:val="18"/>
          <w:szCs w:val="18"/>
        </w:rPr>
        <w:t>3.7 </w:t>
      </w:r>
      <w:r>
        <w:rPr>
          <w:rFonts w:ascii="宋体" w:hAnsi="宋体" w:cs="宋体" w:eastAsia="宋体" w:hint="default"/>
          <w:sz w:val="18"/>
          <w:szCs w:val="18"/>
        </w:rPr>
        <w:t>亿资产转让款所致。</w:t>
      </w:r>
    </w:p>
    <w:p>
      <w:pPr>
        <w:spacing w:line="451" w:lineRule="auto" w:before="74"/>
        <w:ind w:left="154" w:right="23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年度筹资活动产生的现金流量净额</w:t>
      </w:r>
      <w:r>
        <w:rPr>
          <w:rFonts w:ascii="Times New Roman" w:hAnsi="Times New Roman" w:cs="Times New Roman" w:eastAsia="Times New Roman" w:hint="default"/>
          <w:sz w:val="18"/>
          <w:szCs w:val="18"/>
        </w:rPr>
        <w:t>54,148,705.71</w:t>
      </w:r>
      <w:r>
        <w:rPr>
          <w:rFonts w:ascii="宋体" w:hAnsi="宋体" w:cs="宋体" w:eastAsia="宋体" w:hint="default"/>
          <w:sz w:val="18"/>
          <w:szCs w:val="18"/>
        </w:rPr>
        <w:t>元，较上年同期减少</w:t>
      </w:r>
      <w:r>
        <w:rPr>
          <w:rFonts w:ascii="Times New Roman" w:hAnsi="Times New Roman" w:cs="Times New Roman" w:eastAsia="Times New Roman" w:hint="default"/>
          <w:sz w:val="18"/>
          <w:szCs w:val="18"/>
        </w:rPr>
        <w:t>70.68%</w:t>
      </w:r>
      <w:r>
        <w:rPr>
          <w:rFonts w:ascii="宋体" w:hAnsi="宋体" w:cs="宋体" w:eastAsia="宋体" w:hint="default"/>
          <w:sz w:val="18"/>
          <w:szCs w:val="18"/>
        </w:rPr>
        <w:t>，主要系</w:t>
      </w:r>
      <w:r>
        <w:rPr>
          <w:rFonts w:ascii="Times New Roman" w:hAnsi="Times New Roman" w:cs="Times New Roman" w:eastAsia="Times New Roman" w:hint="default"/>
          <w:sz w:val="18"/>
          <w:szCs w:val="18"/>
        </w:rPr>
        <w:t>2014</w:t>
      </w:r>
      <w:r>
        <w:rPr>
          <w:rFonts w:ascii="宋体" w:hAnsi="宋体" w:cs="宋体" w:eastAsia="宋体" w:hint="default"/>
          <w:sz w:val="18"/>
          <w:szCs w:val="18"/>
        </w:rPr>
        <w:t>年收到采编与经营两分 开资产负债分割交易差额结算款所致。</w:t>
      </w:r>
    </w:p>
    <w:p>
      <w:pPr>
        <w:spacing w:line="451" w:lineRule="auto" w:before="74"/>
        <w:ind w:left="154" w:right="27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年现金及现金等价物净增加额</w:t>
      </w:r>
      <w:r>
        <w:rPr>
          <w:rFonts w:ascii="Times New Roman" w:hAnsi="Times New Roman" w:cs="Times New Roman" w:eastAsia="Times New Roman" w:hint="default"/>
          <w:sz w:val="18"/>
          <w:szCs w:val="18"/>
        </w:rPr>
        <w:t>454,279,384.19</w:t>
      </w:r>
      <w:r>
        <w:rPr>
          <w:rFonts w:ascii="宋体" w:hAnsi="宋体" w:cs="宋体" w:eastAsia="宋体" w:hint="default"/>
          <w:sz w:val="18"/>
          <w:szCs w:val="18"/>
        </w:rPr>
        <w:t>元，较上年同期增加</w:t>
      </w:r>
      <w:r>
        <w:rPr>
          <w:rFonts w:ascii="Times New Roman" w:hAnsi="Times New Roman" w:cs="Times New Roman" w:eastAsia="Times New Roman" w:hint="default"/>
          <w:sz w:val="18"/>
          <w:szCs w:val="18"/>
        </w:rPr>
        <w:t>86.45%</w:t>
      </w:r>
      <w:r>
        <w:rPr>
          <w:rFonts w:ascii="宋体" w:hAnsi="宋体" w:cs="宋体" w:eastAsia="宋体" w:hint="default"/>
          <w:sz w:val="18"/>
          <w:szCs w:val="18"/>
        </w:rPr>
        <w:t>，主要系收到华立公司支付的</w:t>
      </w:r>
      <w:r>
        <w:rPr>
          <w:rFonts w:ascii="Times New Roman" w:hAnsi="Times New Roman" w:cs="Times New Roman" w:eastAsia="Times New Roman" w:hint="default"/>
          <w:sz w:val="18"/>
          <w:szCs w:val="18"/>
        </w:rPr>
        <w:t>3.7</w:t>
      </w:r>
      <w:r>
        <w:rPr>
          <w:rFonts w:ascii="宋体" w:hAnsi="宋体" w:cs="宋体" w:eastAsia="宋体" w:hint="default"/>
          <w:sz w:val="18"/>
          <w:szCs w:val="18"/>
        </w:rPr>
        <w:t>亿资产 转让款所致。</w:t>
      </w:r>
    </w:p>
    <w:p>
      <w:pPr>
        <w:spacing w:before="37"/>
        <w:ind w:left="154" w:right="101"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7"/>
        <w:ind w:left="154" w:right="1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82" w:top="1060" w:bottom="1180" w:left="980" w:right="920"/>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r>
        <w:rPr/>
        <w:t>三、非主营业务分析</w:t>
      </w:r>
      <w:r>
        <w:rPr>
          <w:b w:val="0"/>
          <w:bCs w:val="0"/>
        </w:rPr>
      </w:r>
    </w:p>
    <w:p>
      <w:pPr>
        <w:spacing w:line="240" w:lineRule="auto" w:before="2"/>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292"/>
        <w:gridCol w:w="1175"/>
        <w:gridCol w:w="1338"/>
        <w:gridCol w:w="3084"/>
        <w:gridCol w:w="2804"/>
      </w:tblGrid>
      <w:tr>
        <w:trPr>
          <w:trHeight w:val="402" w:hRule="exact"/>
        </w:trPr>
        <w:tc>
          <w:tcPr>
            <w:tcW w:w="12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1"/>
              <w:jc w:val="right"/>
              <w:rPr>
                <w:rFonts w:ascii="宋体" w:hAnsi="宋体" w:cs="宋体" w:eastAsia="宋体" w:hint="default"/>
                <w:sz w:val="18"/>
                <w:szCs w:val="18"/>
              </w:rPr>
            </w:pPr>
            <w:r>
              <w:rPr>
                <w:rFonts w:ascii="宋体" w:hAnsi="宋体" w:cs="宋体" w:eastAsia="宋体" w:hint="default"/>
                <w:sz w:val="18"/>
                <w:szCs w:val="18"/>
              </w:rPr>
              <w:t>占利润总额比例</w:t>
            </w:r>
          </w:p>
        </w:tc>
        <w:tc>
          <w:tcPr>
            <w:tcW w:w="30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97"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7"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629" w:hRule="exact"/>
        </w:trPr>
        <w:tc>
          <w:tcPr>
            <w:tcW w:w="1292" w:type="dxa"/>
            <w:tcBorders>
              <w:top w:val="single" w:sz="4" w:space="0" w:color="000000"/>
              <w:left w:val="single" w:sz="4" w:space="0" w:color="000000"/>
              <w:bottom w:val="nil" w:sz="6" w:space="0" w:color="auto"/>
              <w:right w:val="single" w:sz="4" w:space="0" w:color="000000"/>
            </w:tcBorders>
            <w:shd w:val="clear" w:color="auto" w:fill="D3D3D3"/>
          </w:tcPr>
          <w:p>
            <w:pPr/>
          </w:p>
        </w:tc>
        <w:tc>
          <w:tcPr>
            <w:tcW w:w="1175" w:type="dxa"/>
            <w:vMerge w:val="restart"/>
            <w:tcBorders>
              <w:top w:val="single" w:sz="4" w:space="0" w:color="000000"/>
              <w:left w:val="single" w:sz="9"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sz w:val="18"/>
              </w:rPr>
              <w:t>112,048,351.83</w:t>
            </w:r>
          </w:p>
        </w:tc>
        <w:tc>
          <w:tcPr>
            <w:tcW w:w="13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57" w:right="0"/>
              <w:jc w:val="left"/>
              <w:rPr>
                <w:rFonts w:ascii="Times New Roman" w:hAnsi="Times New Roman" w:cs="Times New Roman" w:eastAsia="Times New Roman" w:hint="default"/>
                <w:sz w:val="18"/>
                <w:szCs w:val="18"/>
              </w:rPr>
            </w:pPr>
            <w:r>
              <w:rPr>
                <w:rFonts w:ascii="Times New Roman"/>
                <w:sz w:val="18"/>
              </w:rPr>
              <w:t>35.11%</w:t>
            </w:r>
          </w:p>
        </w:tc>
        <w:tc>
          <w:tcPr>
            <w:tcW w:w="3084" w:type="dxa"/>
            <w:vMerge w:val="restart"/>
            <w:tcBorders>
              <w:top w:val="single" w:sz="4" w:space="0" w:color="000000"/>
              <w:left w:val="single" w:sz="4" w:space="0" w:color="000000"/>
              <w:right w:val="single" w:sz="4" w:space="0" w:color="000000"/>
            </w:tcBorders>
            <w:shd w:val="clear" w:color="auto" w:fill="C7EDCC"/>
          </w:tcPr>
          <w:p>
            <w:pPr>
              <w:pStyle w:val="TableParagraph"/>
              <w:spacing w:line="304" w:lineRule="auto" w:before="51"/>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十九楼网络股份有限公司股权变动 投资收益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5752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处置的交易性 </w:t>
            </w:r>
            <w:r>
              <w:rPr>
                <w:rFonts w:ascii="宋体" w:hAnsi="宋体" w:cs="宋体" w:eastAsia="宋体" w:hint="default"/>
                <w:spacing w:val="-2"/>
                <w:sz w:val="18"/>
                <w:szCs w:val="18"/>
              </w:rPr>
              <w:t>金融资产、可供出售金融资产产生的投</w:t>
            </w:r>
            <w:r>
              <w:rPr>
                <w:rFonts w:ascii="宋体" w:hAnsi="宋体" w:cs="宋体" w:eastAsia="宋体" w:hint="default"/>
                <w:sz w:val="18"/>
                <w:szCs w:val="18"/>
              </w:rPr>
              <w:t> 资收益</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1583</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万元；（</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）权益法核算增</w:t>
            </w:r>
          </w:p>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加投资收益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804"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51"/>
              <w:ind w:left="23" w:right="68"/>
              <w:jc w:val="left"/>
              <w:rPr>
                <w:rFonts w:ascii="宋体" w:hAnsi="宋体" w:cs="宋体" w:eastAsia="宋体" w:hint="default"/>
                <w:sz w:val="18"/>
                <w:szCs w:val="18"/>
              </w:rPr>
            </w:pPr>
            <w:r>
              <w:rPr>
                <w:rFonts w:ascii="宋体" w:hAnsi="宋体" w:cs="宋体" w:eastAsia="宋体" w:hint="default"/>
                <w:sz w:val="18"/>
                <w:szCs w:val="18"/>
              </w:rPr>
              <w:t>股权变动和持有的交易性金融资 产、可供出售金融资产生的投资收 益不具有可持续性；权益法核算期 间按被投资方实现净利润确认的收 益具有可持续性。</w:t>
            </w:r>
          </w:p>
        </w:tc>
      </w:tr>
      <w:tr>
        <w:trPr>
          <w:trHeight w:val="392" w:hRule="exact"/>
        </w:trPr>
        <w:tc>
          <w:tcPr>
            <w:tcW w:w="12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175" w:type="dxa"/>
            <w:vMerge/>
            <w:tcBorders>
              <w:left w:val="single" w:sz="9" w:space="0" w:color="D3D3D3"/>
              <w:right w:val="single" w:sz="4" w:space="0" w:color="000000"/>
            </w:tcBorders>
          </w:tcPr>
          <w:p>
            <w:pPr/>
          </w:p>
        </w:tc>
        <w:tc>
          <w:tcPr>
            <w:tcW w:w="1338" w:type="dxa"/>
            <w:vMerge/>
            <w:tcBorders>
              <w:left w:val="single" w:sz="4" w:space="0" w:color="000000"/>
              <w:right w:val="single" w:sz="4" w:space="0" w:color="000000"/>
            </w:tcBorders>
          </w:tcPr>
          <w:p>
            <w:pPr/>
          </w:p>
        </w:tc>
        <w:tc>
          <w:tcPr>
            <w:tcW w:w="3084" w:type="dxa"/>
            <w:vMerge/>
            <w:tcBorders>
              <w:left w:val="single" w:sz="4" w:space="0" w:color="000000"/>
              <w:right w:val="single" w:sz="4" w:space="0" w:color="000000"/>
            </w:tcBorders>
            <w:shd w:val="clear" w:color="auto" w:fill="C7EDCC"/>
          </w:tcPr>
          <w:p>
            <w:pPr/>
          </w:p>
        </w:tc>
        <w:tc>
          <w:tcPr>
            <w:tcW w:w="2804" w:type="dxa"/>
            <w:vMerge/>
            <w:tcBorders>
              <w:left w:val="single" w:sz="4" w:space="0" w:color="000000"/>
              <w:right w:val="single" w:sz="4" w:space="0" w:color="000000"/>
            </w:tcBorders>
            <w:shd w:val="clear" w:color="auto" w:fill="C7EDCC"/>
          </w:tcPr>
          <w:p>
            <w:pPr/>
          </w:p>
        </w:tc>
      </w:tr>
      <w:tr>
        <w:trPr>
          <w:trHeight w:val="629" w:hRule="exact"/>
        </w:trPr>
        <w:tc>
          <w:tcPr>
            <w:tcW w:w="1292" w:type="dxa"/>
            <w:tcBorders>
              <w:top w:val="nil" w:sz="6" w:space="0" w:color="auto"/>
              <w:left w:val="single" w:sz="4" w:space="0" w:color="000000"/>
              <w:bottom w:val="single" w:sz="4" w:space="0" w:color="000000"/>
              <w:right w:val="single" w:sz="4" w:space="0" w:color="000000"/>
            </w:tcBorders>
            <w:shd w:val="clear" w:color="auto" w:fill="D3D3D3"/>
          </w:tcPr>
          <w:p>
            <w:pPr/>
          </w:p>
        </w:tc>
        <w:tc>
          <w:tcPr>
            <w:tcW w:w="1175" w:type="dxa"/>
            <w:vMerge/>
            <w:tcBorders>
              <w:left w:val="single" w:sz="9" w:space="0" w:color="D3D3D3"/>
              <w:bottom w:val="single" w:sz="4" w:space="0" w:color="000000"/>
              <w:right w:val="single" w:sz="4" w:space="0" w:color="000000"/>
            </w:tcBorders>
          </w:tcPr>
          <w:p>
            <w:pPr/>
          </w:p>
        </w:tc>
        <w:tc>
          <w:tcPr>
            <w:tcW w:w="1338" w:type="dxa"/>
            <w:vMerge/>
            <w:tcBorders>
              <w:left w:val="single" w:sz="4" w:space="0" w:color="000000"/>
              <w:bottom w:val="single" w:sz="4" w:space="0" w:color="000000"/>
              <w:right w:val="single" w:sz="4" w:space="0" w:color="000000"/>
            </w:tcBorders>
          </w:tcPr>
          <w:p>
            <w:pPr/>
          </w:p>
        </w:tc>
        <w:tc>
          <w:tcPr>
            <w:tcW w:w="3084" w:type="dxa"/>
            <w:vMerge/>
            <w:tcBorders>
              <w:left w:val="single" w:sz="4" w:space="0" w:color="000000"/>
              <w:bottom w:val="single" w:sz="4" w:space="0" w:color="000000"/>
              <w:right w:val="single" w:sz="4" w:space="0" w:color="000000"/>
            </w:tcBorders>
            <w:shd w:val="clear" w:color="auto" w:fill="C7EDCC"/>
          </w:tcPr>
          <w:p>
            <w:pPr/>
          </w:p>
        </w:tc>
        <w:tc>
          <w:tcPr>
            <w:tcW w:w="2804" w:type="dxa"/>
            <w:vMerge/>
            <w:tcBorders>
              <w:left w:val="single" w:sz="4" w:space="0" w:color="000000"/>
              <w:bottom w:val="single" w:sz="4" w:space="0" w:color="000000"/>
              <w:right w:val="single" w:sz="4" w:space="0" w:color="000000"/>
            </w:tcBorders>
            <w:shd w:val="clear" w:color="auto" w:fill="C7EDCC"/>
          </w:tcPr>
          <w:p>
            <w:pPr/>
          </w:p>
        </w:tc>
      </w:tr>
      <w:tr>
        <w:trPr>
          <w:trHeight w:val="714" w:hRule="exact"/>
        </w:trPr>
        <w:tc>
          <w:tcPr>
            <w:tcW w:w="12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79"/>
              <w:jc w:val="left"/>
              <w:rPr>
                <w:rFonts w:ascii="宋体" w:hAnsi="宋体" w:cs="宋体" w:eastAsia="宋体" w:hint="default"/>
                <w:sz w:val="18"/>
                <w:szCs w:val="18"/>
              </w:rPr>
            </w:pPr>
            <w:r>
              <w:rPr>
                <w:rFonts w:ascii="宋体" w:hAnsi="宋体" w:cs="宋体" w:eastAsia="宋体" w:hint="default"/>
                <w:sz w:val="18"/>
                <w:szCs w:val="18"/>
              </w:rPr>
              <w:t>公允价值变动 损益</w:t>
            </w:r>
          </w:p>
        </w:tc>
        <w:tc>
          <w:tcPr>
            <w:tcW w:w="11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08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804"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2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1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8,195,840.05</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w:t>
            </w:r>
          </w:p>
        </w:tc>
        <w:tc>
          <w:tcPr>
            <w:tcW w:w="308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804"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2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1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9,818,819.68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w:t>
            </w:r>
          </w:p>
        </w:tc>
        <w:tc>
          <w:tcPr>
            <w:tcW w:w="308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804"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2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17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2,416,840.78</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0.76%</w:t>
            </w:r>
          </w:p>
        </w:tc>
        <w:tc>
          <w:tcPr>
            <w:tcW w:w="308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804" w:type="dxa"/>
            <w:tcBorders>
              <w:top w:val="single" w:sz="4" w:space="0" w:color="000000"/>
              <w:left w:val="single" w:sz="4" w:space="0" w:color="000000"/>
              <w:bottom w:val="single" w:sz="4" w:space="0" w:color="000000"/>
              <w:right w:val="single" w:sz="4" w:space="0" w:color="000000"/>
            </w:tcBorders>
            <w:shd w:val="clear" w:color="auto" w:fill="C7EDCC"/>
          </w:tcPr>
          <w:p>
            <w:pP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r>
        <w:rPr/>
        <w:t>四、资产及负债状况</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、资产构成重大变动情况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373"/>
        <w:gridCol w:w="1181"/>
        <w:gridCol w:w="1078"/>
        <w:gridCol w:w="1210"/>
        <w:gridCol w:w="1078"/>
        <w:gridCol w:w="809"/>
        <w:gridCol w:w="2943"/>
      </w:tblGrid>
      <w:tr>
        <w:trPr>
          <w:trHeight w:val="384" w:hRule="exact"/>
        </w:trPr>
        <w:tc>
          <w:tcPr>
            <w:tcW w:w="1373" w:type="dxa"/>
            <w:tcBorders>
              <w:top w:val="single" w:sz="4" w:space="0" w:color="000000"/>
              <w:left w:val="single" w:sz="4" w:space="0" w:color="000000"/>
              <w:bottom w:val="nil" w:sz="6" w:space="0" w:color="auto"/>
              <w:right w:val="single" w:sz="4" w:space="0" w:color="000000"/>
            </w:tcBorders>
            <w:shd w:val="clear" w:color="auto" w:fill="D3D3D3"/>
          </w:tcPr>
          <w:p>
            <w:pP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809" w:type="dxa"/>
            <w:tcBorders>
              <w:top w:val="single" w:sz="4" w:space="0" w:color="000000"/>
              <w:left w:val="single" w:sz="4" w:space="0" w:color="000000"/>
              <w:bottom w:val="nil" w:sz="6" w:space="0" w:color="auto"/>
              <w:right w:val="single" w:sz="4" w:space="0" w:color="000000"/>
            </w:tcBorders>
            <w:shd w:val="clear" w:color="auto" w:fill="D3D3D3"/>
          </w:tcPr>
          <w:p>
            <w:pPr/>
          </w:p>
        </w:tc>
        <w:tc>
          <w:tcPr>
            <w:tcW w:w="2943"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79" w:hRule="exact"/>
        </w:trPr>
        <w:tc>
          <w:tcPr>
            <w:tcW w:w="1373" w:type="dxa"/>
            <w:vMerge w:val="restart"/>
            <w:tcBorders>
              <w:top w:val="nil" w:sz="6" w:space="0" w:color="auto"/>
              <w:left w:val="single" w:sz="4" w:space="0" w:color="000000"/>
              <w:right w:val="single" w:sz="4" w:space="0" w:color="000000"/>
            </w:tcBorders>
            <w:shd w:val="clear" w:color="auto" w:fill="D3D3D3"/>
          </w:tcPr>
          <w:p>
            <w:pPr/>
          </w:p>
        </w:tc>
        <w:tc>
          <w:tcPr>
            <w:tcW w:w="1181" w:type="dxa"/>
            <w:tcBorders>
              <w:top w:val="single" w:sz="4" w:space="0" w:color="000000"/>
              <w:left w:val="single" w:sz="4" w:space="0" w:color="000000"/>
              <w:bottom w:val="nil" w:sz="6" w:space="0" w:color="auto"/>
              <w:right w:val="single" w:sz="4" w:space="0" w:color="000000"/>
            </w:tcBorders>
            <w:shd w:val="clear" w:color="auto" w:fill="D3D3D3"/>
          </w:tcPr>
          <w:p>
            <w:pPr/>
          </w:p>
        </w:tc>
        <w:tc>
          <w:tcPr>
            <w:tcW w:w="107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69"/>
              <w:ind w:left="442" w:right="83"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21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7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69"/>
              <w:ind w:left="443" w:right="83"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80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8"/>
              <w:ind w:left="38"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4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8"/>
              <w:ind w:left="93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73" w:type="dxa"/>
            <w:vMerge/>
            <w:tcBorders>
              <w:left w:val="single" w:sz="4" w:space="0" w:color="000000"/>
              <w:bottom w:val="nil" w:sz="6" w:space="0" w:color="auto"/>
              <w:right w:val="single" w:sz="4" w:space="0" w:color="000000"/>
            </w:tcBorders>
            <w:shd w:val="clear" w:color="auto" w:fill="D3D3D3"/>
          </w:tcPr>
          <w:p>
            <w:pPr/>
          </w:p>
        </w:tc>
        <w:tc>
          <w:tcPr>
            <w:tcW w:w="118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78" w:type="dxa"/>
            <w:vMerge/>
            <w:tcBorders>
              <w:left w:val="single" w:sz="4" w:space="0" w:color="000000"/>
              <w:right w:val="single" w:sz="4" w:space="0" w:color="000000"/>
            </w:tcBorders>
            <w:shd w:val="clear" w:color="auto" w:fill="D3D3D3"/>
          </w:tcPr>
          <w:p>
            <w:pPr/>
          </w:p>
        </w:tc>
        <w:tc>
          <w:tcPr>
            <w:tcW w:w="121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78" w:type="dxa"/>
            <w:vMerge/>
            <w:tcBorders>
              <w:left w:val="single" w:sz="4" w:space="0" w:color="000000"/>
              <w:right w:val="single" w:sz="4" w:space="0" w:color="000000"/>
            </w:tcBorders>
            <w:shd w:val="clear" w:color="auto" w:fill="D3D3D3"/>
          </w:tcPr>
          <w:p>
            <w:pPr/>
          </w:p>
        </w:tc>
        <w:tc>
          <w:tcPr>
            <w:tcW w:w="809" w:type="dxa"/>
            <w:vMerge/>
            <w:tcBorders>
              <w:left w:val="single" w:sz="4" w:space="0" w:color="000000"/>
              <w:bottom w:val="nil" w:sz="6" w:space="0" w:color="auto"/>
              <w:right w:val="single" w:sz="4" w:space="0" w:color="000000"/>
            </w:tcBorders>
            <w:shd w:val="clear" w:color="auto" w:fill="D3D3D3"/>
          </w:tcPr>
          <w:p>
            <w:pPr/>
          </w:p>
        </w:tc>
        <w:tc>
          <w:tcPr>
            <w:tcW w:w="2943" w:type="dxa"/>
            <w:vMerge/>
            <w:tcBorders>
              <w:left w:val="single" w:sz="4" w:space="0" w:color="000000"/>
              <w:bottom w:val="nil" w:sz="6" w:space="0" w:color="auto"/>
              <w:right w:val="single" w:sz="4" w:space="0" w:color="000000"/>
            </w:tcBorders>
            <w:shd w:val="clear" w:color="auto" w:fill="D3D3D3"/>
          </w:tcPr>
          <w:p>
            <w:pPr/>
          </w:p>
        </w:tc>
      </w:tr>
      <w:tr>
        <w:trPr>
          <w:trHeight w:val="202" w:hRule="exact"/>
        </w:trPr>
        <w:tc>
          <w:tcPr>
            <w:tcW w:w="1373" w:type="dxa"/>
            <w:vMerge w:val="restart"/>
            <w:tcBorders>
              <w:top w:val="nil" w:sz="6" w:space="0" w:color="auto"/>
              <w:left w:val="single" w:sz="4" w:space="0" w:color="000000"/>
              <w:right w:val="single" w:sz="4" w:space="0" w:color="000000"/>
            </w:tcBorders>
            <w:shd w:val="clear" w:color="auto" w:fill="D3D3D3"/>
          </w:tcPr>
          <w:p>
            <w:pPr/>
          </w:p>
        </w:tc>
        <w:tc>
          <w:tcPr>
            <w:tcW w:w="1181" w:type="dxa"/>
            <w:vMerge/>
            <w:tcBorders>
              <w:left w:val="single" w:sz="4" w:space="0" w:color="000000"/>
              <w:bottom w:val="nil" w:sz="6" w:space="0" w:color="auto"/>
              <w:right w:val="single" w:sz="4" w:space="0" w:color="000000"/>
            </w:tcBorders>
            <w:shd w:val="clear" w:color="auto" w:fill="D3D3D3"/>
          </w:tcPr>
          <w:p>
            <w:pPr/>
          </w:p>
        </w:tc>
        <w:tc>
          <w:tcPr>
            <w:tcW w:w="1078" w:type="dxa"/>
            <w:vMerge/>
            <w:tcBorders>
              <w:left w:val="single" w:sz="4" w:space="0" w:color="000000"/>
              <w:right w:val="single" w:sz="4" w:space="0" w:color="000000"/>
            </w:tcBorders>
            <w:shd w:val="clear" w:color="auto" w:fill="D3D3D3"/>
          </w:tcPr>
          <w:p>
            <w:pPr/>
          </w:p>
        </w:tc>
        <w:tc>
          <w:tcPr>
            <w:tcW w:w="1210" w:type="dxa"/>
            <w:vMerge/>
            <w:tcBorders>
              <w:left w:val="single" w:sz="4" w:space="0" w:color="000000"/>
              <w:bottom w:val="nil" w:sz="6" w:space="0" w:color="auto"/>
              <w:right w:val="single" w:sz="4" w:space="0" w:color="000000"/>
            </w:tcBorders>
            <w:shd w:val="clear" w:color="auto" w:fill="D3D3D3"/>
          </w:tcPr>
          <w:p>
            <w:pPr/>
          </w:p>
        </w:tc>
        <w:tc>
          <w:tcPr>
            <w:tcW w:w="1078" w:type="dxa"/>
            <w:vMerge/>
            <w:tcBorders>
              <w:left w:val="single" w:sz="4" w:space="0" w:color="000000"/>
              <w:right w:val="single" w:sz="4" w:space="0" w:color="000000"/>
            </w:tcBorders>
            <w:shd w:val="clear" w:color="auto" w:fill="D3D3D3"/>
          </w:tcPr>
          <w:p>
            <w:pPr/>
          </w:p>
        </w:tc>
        <w:tc>
          <w:tcPr>
            <w:tcW w:w="809" w:type="dxa"/>
            <w:vMerge w:val="restart"/>
            <w:tcBorders>
              <w:top w:val="nil" w:sz="6" w:space="0" w:color="auto"/>
              <w:left w:val="single" w:sz="4" w:space="0" w:color="000000"/>
              <w:right w:val="single" w:sz="4" w:space="0" w:color="000000"/>
            </w:tcBorders>
            <w:shd w:val="clear" w:color="auto" w:fill="D3D3D3"/>
          </w:tcPr>
          <w:p>
            <w:pPr/>
          </w:p>
        </w:tc>
        <w:tc>
          <w:tcPr>
            <w:tcW w:w="2943"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373" w:type="dxa"/>
            <w:vMerge/>
            <w:tcBorders>
              <w:left w:val="single" w:sz="4" w:space="0" w:color="000000"/>
              <w:bottom w:val="single" w:sz="4" w:space="0" w:color="000000"/>
              <w:right w:val="single" w:sz="4" w:space="0" w:color="000000"/>
            </w:tcBorders>
            <w:shd w:val="clear" w:color="auto" w:fill="D3D3D3"/>
          </w:tcPr>
          <w:p>
            <w:pPr/>
          </w:p>
        </w:tc>
        <w:tc>
          <w:tcPr>
            <w:tcW w:w="1181" w:type="dxa"/>
            <w:tcBorders>
              <w:top w:val="nil" w:sz="6" w:space="0" w:color="auto"/>
              <w:left w:val="single" w:sz="4" w:space="0" w:color="000000"/>
              <w:bottom w:val="single" w:sz="4" w:space="0" w:color="000000"/>
              <w:right w:val="single" w:sz="4" w:space="0" w:color="000000"/>
            </w:tcBorders>
            <w:shd w:val="clear" w:color="auto" w:fill="D3D3D3"/>
          </w:tcPr>
          <w:p>
            <w:pPr/>
          </w:p>
        </w:tc>
        <w:tc>
          <w:tcPr>
            <w:tcW w:w="1078" w:type="dxa"/>
            <w:vMerge/>
            <w:tcBorders>
              <w:left w:val="single" w:sz="4" w:space="0" w:color="000000"/>
              <w:bottom w:val="single" w:sz="4" w:space="0" w:color="000000"/>
              <w:right w:val="single" w:sz="4" w:space="0" w:color="000000"/>
            </w:tcBorders>
            <w:shd w:val="clear" w:color="auto" w:fill="D3D3D3"/>
          </w:tcPr>
          <w:p>
            <w:pPr/>
          </w:p>
        </w:tc>
        <w:tc>
          <w:tcPr>
            <w:tcW w:w="121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78" w:type="dxa"/>
            <w:vMerge/>
            <w:tcBorders>
              <w:left w:val="single" w:sz="4" w:space="0" w:color="000000"/>
              <w:bottom w:val="single" w:sz="4" w:space="0" w:color="000000"/>
              <w:right w:val="single" w:sz="4" w:space="0" w:color="000000"/>
            </w:tcBorders>
            <w:shd w:val="clear" w:color="auto" w:fill="D3D3D3"/>
          </w:tcPr>
          <w:p>
            <w:pPr/>
          </w:p>
        </w:tc>
        <w:tc>
          <w:tcPr>
            <w:tcW w:w="809" w:type="dxa"/>
            <w:vMerge/>
            <w:tcBorders>
              <w:left w:val="single" w:sz="4" w:space="0" w:color="000000"/>
              <w:bottom w:val="single" w:sz="4" w:space="0" w:color="000000"/>
              <w:right w:val="single" w:sz="4" w:space="0" w:color="000000"/>
            </w:tcBorders>
            <w:shd w:val="clear" w:color="auto" w:fill="D3D3D3"/>
          </w:tcPr>
          <w:p>
            <w:pPr/>
          </w:p>
        </w:tc>
        <w:tc>
          <w:tcPr>
            <w:tcW w:w="2943"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1373" w:type="dxa"/>
            <w:tcBorders>
              <w:top w:val="single" w:sz="4" w:space="0" w:color="000000"/>
              <w:left w:val="single" w:sz="4" w:space="0" w:color="000000"/>
              <w:bottom w:val="nil" w:sz="6" w:space="0" w:color="auto"/>
              <w:right w:val="single" w:sz="4" w:space="0" w:color="000000"/>
            </w:tcBorders>
            <w:shd w:val="clear" w:color="auto" w:fill="D3D3D3"/>
          </w:tcPr>
          <w:p>
            <w:pPr/>
          </w:p>
        </w:tc>
        <w:tc>
          <w:tcPr>
            <w:tcW w:w="1181"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sz w:val="18"/>
              </w:rPr>
              <w:t>919,068,496.22</w:t>
            </w:r>
          </w:p>
        </w:tc>
        <w:tc>
          <w:tcPr>
            <w:tcW w:w="10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9" w:right="0"/>
              <w:jc w:val="left"/>
              <w:rPr>
                <w:rFonts w:ascii="Times New Roman" w:hAnsi="Times New Roman" w:cs="Times New Roman" w:eastAsia="Times New Roman" w:hint="default"/>
                <w:sz w:val="18"/>
                <w:szCs w:val="18"/>
              </w:rPr>
            </w:pPr>
            <w:r>
              <w:rPr>
                <w:rFonts w:ascii="Times New Roman"/>
                <w:sz w:val="18"/>
              </w:rPr>
              <w:t>38.38%</w:t>
            </w:r>
          </w:p>
        </w:tc>
        <w:tc>
          <w:tcPr>
            <w:tcW w:w="121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453,740,819.94</w:t>
            </w:r>
          </w:p>
        </w:tc>
        <w:tc>
          <w:tcPr>
            <w:tcW w:w="10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0" w:right="0"/>
              <w:jc w:val="left"/>
              <w:rPr>
                <w:rFonts w:ascii="Times New Roman" w:hAnsi="Times New Roman" w:cs="Times New Roman" w:eastAsia="Times New Roman" w:hint="default"/>
                <w:sz w:val="18"/>
                <w:szCs w:val="18"/>
              </w:rPr>
            </w:pPr>
            <w:r>
              <w:rPr>
                <w:rFonts w:ascii="Times New Roman"/>
                <w:sz w:val="18"/>
              </w:rPr>
              <w:t>23.23%</w:t>
            </w:r>
          </w:p>
        </w:tc>
        <w:tc>
          <w:tcPr>
            <w:tcW w:w="80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15.15%</w:t>
            </w:r>
          </w:p>
        </w:tc>
        <w:tc>
          <w:tcPr>
            <w:tcW w:w="2943"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51"/>
              <w:ind w:left="22" w:right="28"/>
              <w:jc w:val="left"/>
              <w:rPr>
                <w:rFonts w:ascii="宋体" w:hAnsi="宋体" w:cs="宋体" w:eastAsia="宋体" w:hint="default"/>
                <w:sz w:val="18"/>
                <w:szCs w:val="18"/>
              </w:rPr>
            </w:pPr>
            <w:r>
              <w:rPr>
                <w:rFonts w:ascii="宋体" w:hAnsi="宋体" w:cs="宋体" w:eastAsia="宋体" w:hint="default"/>
                <w:sz w:val="18"/>
                <w:szCs w:val="18"/>
              </w:rPr>
              <w:t>主要系收到的现金增加及减少理财所 致。</w:t>
            </w:r>
          </w:p>
        </w:tc>
      </w:tr>
      <w:tr>
        <w:trPr>
          <w:trHeight w:val="392" w:hRule="exact"/>
        </w:trPr>
        <w:tc>
          <w:tcPr>
            <w:tcW w:w="137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81" w:type="dxa"/>
            <w:vMerge/>
            <w:tcBorders>
              <w:left w:val="single" w:sz="10" w:space="0" w:color="D3D3D3"/>
              <w:right w:val="single" w:sz="4" w:space="0" w:color="000000"/>
            </w:tcBorders>
          </w:tcPr>
          <w:p>
            <w:pPr/>
          </w:p>
        </w:tc>
        <w:tc>
          <w:tcPr>
            <w:tcW w:w="1078" w:type="dxa"/>
            <w:vMerge/>
            <w:tcBorders>
              <w:left w:val="single" w:sz="4" w:space="0" w:color="000000"/>
              <w:right w:val="single" w:sz="4" w:space="0" w:color="000000"/>
            </w:tcBorders>
          </w:tcPr>
          <w:p>
            <w:pPr/>
          </w:p>
        </w:tc>
        <w:tc>
          <w:tcPr>
            <w:tcW w:w="1210"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2943" w:type="dxa"/>
            <w:vMerge/>
            <w:tcBorders>
              <w:left w:val="single" w:sz="4" w:space="0" w:color="000000"/>
              <w:right w:val="single" w:sz="4" w:space="0" w:color="000000"/>
            </w:tcBorders>
            <w:shd w:val="clear" w:color="auto" w:fill="C7EDCC"/>
          </w:tcPr>
          <w:p>
            <w:pPr/>
          </w:p>
        </w:tc>
      </w:tr>
      <w:tr>
        <w:trPr>
          <w:trHeight w:val="161" w:hRule="exact"/>
        </w:trPr>
        <w:tc>
          <w:tcPr>
            <w:tcW w:w="1373" w:type="dxa"/>
            <w:tcBorders>
              <w:top w:val="nil" w:sz="6" w:space="0" w:color="auto"/>
              <w:left w:val="single" w:sz="4" w:space="0" w:color="000000"/>
              <w:bottom w:val="single" w:sz="4" w:space="0" w:color="000000"/>
              <w:right w:val="single" w:sz="4" w:space="0" w:color="000000"/>
            </w:tcBorders>
            <w:shd w:val="clear" w:color="auto" w:fill="D3D3D3"/>
          </w:tcPr>
          <w:p>
            <w:pPr/>
          </w:p>
        </w:tc>
        <w:tc>
          <w:tcPr>
            <w:tcW w:w="1181" w:type="dxa"/>
            <w:vMerge/>
            <w:tcBorders>
              <w:left w:val="single" w:sz="10" w:space="0" w:color="D3D3D3"/>
              <w:bottom w:val="single" w:sz="4" w:space="0" w:color="000000"/>
              <w:right w:val="single" w:sz="4" w:space="0" w:color="000000"/>
            </w:tcBorders>
          </w:tcPr>
          <w:p>
            <w:pPr/>
          </w:p>
        </w:tc>
        <w:tc>
          <w:tcPr>
            <w:tcW w:w="1078" w:type="dxa"/>
            <w:vMerge/>
            <w:tcBorders>
              <w:left w:val="single" w:sz="4" w:space="0" w:color="000000"/>
              <w:bottom w:val="single" w:sz="4" w:space="0" w:color="000000"/>
              <w:right w:val="single" w:sz="4" w:space="0" w:color="000000"/>
            </w:tcBorders>
          </w:tcPr>
          <w:p>
            <w:pPr/>
          </w:p>
        </w:tc>
        <w:tc>
          <w:tcPr>
            <w:tcW w:w="1210" w:type="dxa"/>
            <w:vMerge/>
            <w:tcBorders>
              <w:left w:val="single" w:sz="4" w:space="0" w:color="000000"/>
              <w:bottom w:val="single" w:sz="4" w:space="0" w:color="000000"/>
              <w:right w:val="single" w:sz="4" w:space="0" w:color="000000"/>
            </w:tcBorders>
          </w:tcPr>
          <w:p>
            <w:pPr/>
          </w:p>
        </w:tc>
        <w:tc>
          <w:tcPr>
            <w:tcW w:w="1078" w:type="dxa"/>
            <w:vMerge/>
            <w:tcBorders>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2943" w:type="dxa"/>
            <w:vMerge/>
            <w:tcBorders>
              <w:left w:val="single" w:sz="4" w:space="0" w:color="000000"/>
              <w:bottom w:val="single" w:sz="4" w:space="0" w:color="000000"/>
              <w:right w:val="single" w:sz="4" w:space="0" w:color="000000"/>
            </w:tcBorders>
            <w:shd w:val="clear" w:color="auto" w:fill="C7EDCC"/>
          </w:tcPr>
          <w:p>
            <w:pPr/>
          </w:p>
        </w:tc>
      </w:tr>
      <w:tr>
        <w:trPr>
          <w:trHeight w:val="161" w:hRule="exact"/>
        </w:trPr>
        <w:tc>
          <w:tcPr>
            <w:tcW w:w="1373" w:type="dxa"/>
            <w:tcBorders>
              <w:top w:val="single" w:sz="4" w:space="0" w:color="000000"/>
              <w:left w:val="single" w:sz="4" w:space="0" w:color="000000"/>
              <w:bottom w:val="nil" w:sz="6" w:space="0" w:color="auto"/>
              <w:right w:val="single" w:sz="4" w:space="0" w:color="000000"/>
            </w:tcBorders>
            <w:shd w:val="clear" w:color="auto" w:fill="D3D3D3"/>
          </w:tcPr>
          <w:p>
            <w:pPr/>
          </w:p>
        </w:tc>
        <w:tc>
          <w:tcPr>
            <w:tcW w:w="1181"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sz w:val="18"/>
              </w:rPr>
              <w:t>474,472,388.18</w:t>
            </w:r>
          </w:p>
        </w:tc>
        <w:tc>
          <w:tcPr>
            <w:tcW w:w="10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9" w:right="0"/>
              <w:jc w:val="left"/>
              <w:rPr>
                <w:rFonts w:ascii="Times New Roman" w:hAnsi="Times New Roman" w:cs="Times New Roman" w:eastAsia="Times New Roman" w:hint="default"/>
                <w:sz w:val="18"/>
                <w:szCs w:val="18"/>
              </w:rPr>
            </w:pPr>
            <w:r>
              <w:rPr>
                <w:rFonts w:ascii="Times New Roman"/>
                <w:sz w:val="18"/>
              </w:rPr>
              <w:t>19.81%</w:t>
            </w:r>
          </w:p>
        </w:tc>
        <w:tc>
          <w:tcPr>
            <w:tcW w:w="121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388,516,762.51</w:t>
            </w:r>
          </w:p>
        </w:tc>
        <w:tc>
          <w:tcPr>
            <w:tcW w:w="10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0" w:right="0"/>
              <w:jc w:val="left"/>
              <w:rPr>
                <w:rFonts w:ascii="Times New Roman" w:hAnsi="Times New Roman" w:cs="Times New Roman" w:eastAsia="Times New Roman" w:hint="default"/>
                <w:sz w:val="18"/>
                <w:szCs w:val="18"/>
              </w:rPr>
            </w:pPr>
            <w:r>
              <w:rPr>
                <w:rFonts w:ascii="Times New Roman"/>
                <w:sz w:val="18"/>
              </w:rPr>
              <w:t>19.89%</w:t>
            </w:r>
          </w:p>
        </w:tc>
        <w:tc>
          <w:tcPr>
            <w:tcW w:w="80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0" w:right="0"/>
              <w:jc w:val="left"/>
              <w:rPr>
                <w:rFonts w:ascii="Times New Roman" w:hAnsi="Times New Roman" w:cs="Times New Roman" w:eastAsia="Times New Roman" w:hint="default"/>
                <w:sz w:val="18"/>
                <w:szCs w:val="18"/>
              </w:rPr>
            </w:pPr>
            <w:r>
              <w:rPr>
                <w:rFonts w:ascii="Times New Roman"/>
                <w:sz w:val="18"/>
              </w:rPr>
              <w:t>-0.08%</w:t>
            </w:r>
          </w:p>
        </w:tc>
        <w:tc>
          <w:tcPr>
            <w:tcW w:w="2943"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主要系增加合并公司快点文化传播</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（上海）有限公司，增加应收账款。</w:t>
            </w:r>
          </w:p>
        </w:tc>
      </w:tr>
      <w:tr>
        <w:trPr>
          <w:trHeight w:val="392" w:hRule="exact"/>
        </w:trPr>
        <w:tc>
          <w:tcPr>
            <w:tcW w:w="137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81" w:type="dxa"/>
            <w:vMerge/>
            <w:tcBorders>
              <w:left w:val="single" w:sz="10" w:space="0" w:color="D3D3D3"/>
              <w:right w:val="single" w:sz="4" w:space="0" w:color="000000"/>
            </w:tcBorders>
          </w:tcPr>
          <w:p>
            <w:pPr/>
          </w:p>
        </w:tc>
        <w:tc>
          <w:tcPr>
            <w:tcW w:w="1078" w:type="dxa"/>
            <w:vMerge/>
            <w:tcBorders>
              <w:left w:val="single" w:sz="4" w:space="0" w:color="000000"/>
              <w:right w:val="single" w:sz="4" w:space="0" w:color="000000"/>
            </w:tcBorders>
          </w:tcPr>
          <w:p>
            <w:pPr/>
          </w:p>
        </w:tc>
        <w:tc>
          <w:tcPr>
            <w:tcW w:w="1210"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2943" w:type="dxa"/>
            <w:vMerge/>
            <w:tcBorders>
              <w:left w:val="single" w:sz="4" w:space="0" w:color="000000"/>
              <w:right w:val="single" w:sz="4" w:space="0" w:color="000000"/>
            </w:tcBorders>
            <w:shd w:val="clear" w:color="auto" w:fill="C7EDCC"/>
          </w:tcPr>
          <w:p>
            <w:pPr/>
          </w:p>
        </w:tc>
      </w:tr>
      <w:tr>
        <w:trPr>
          <w:trHeight w:val="161" w:hRule="exact"/>
        </w:trPr>
        <w:tc>
          <w:tcPr>
            <w:tcW w:w="1373" w:type="dxa"/>
            <w:tcBorders>
              <w:top w:val="nil" w:sz="6" w:space="0" w:color="auto"/>
              <w:left w:val="single" w:sz="4" w:space="0" w:color="000000"/>
              <w:bottom w:val="single" w:sz="4" w:space="0" w:color="000000"/>
              <w:right w:val="single" w:sz="4" w:space="0" w:color="000000"/>
            </w:tcBorders>
            <w:shd w:val="clear" w:color="auto" w:fill="D3D3D3"/>
          </w:tcPr>
          <w:p>
            <w:pPr/>
          </w:p>
        </w:tc>
        <w:tc>
          <w:tcPr>
            <w:tcW w:w="1181" w:type="dxa"/>
            <w:vMerge/>
            <w:tcBorders>
              <w:left w:val="single" w:sz="10" w:space="0" w:color="D3D3D3"/>
              <w:bottom w:val="single" w:sz="4" w:space="0" w:color="000000"/>
              <w:right w:val="single" w:sz="4" w:space="0" w:color="000000"/>
            </w:tcBorders>
          </w:tcPr>
          <w:p>
            <w:pPr/>
          </w:p>
        </w:tc>
        <w:tc>
          <w:tcPr>
            <w:tcW w:w="1078" w:type="dxa"/>
            <w:vMerge/>
            <w:tcBorders>
              <w:left w:val="single" w:sz="4" w:space="0" w:color="000000"/>
              <w:bottom w:val="single" w:sz="4" w:space="0" w:color="000000"/>
              <w:right w:val="single" w:sz="4" w:space="0" w:color="000000"/>
            </w:tcBorders>
          </w:tcPr>
          <w:p>
            <w:pPr/>
          </w:p>
        </w:tc>
        <w:tc>
          <w:tcPr>
            <w:tcW w:w="1210" w:type="dxa"/>
            <w:vMerge/>
            <w:tcBorders>
              <w:left w:val="single" w:sz="4" w:space="0" w:color="000000"/>
              <w:bottom w:val="single" w:sz="4" w:space="0" w:color="000000"/>
              <w:right w:val="single" w:sz="4" w:space="0" w:color="000000"/>
            </w:tcBorders>
          </w:tcPr>
          <w:p>
            <w:pPr/>
          </w:p>
        </w:tc>
        <w:tc>
          <w:tcPr>
            <w:tcW w:w="1078" w:type="dxa"/>
            <w:vMerge/>
            <w:tcBorders>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2943" w:type="dxa"/>
            <w:vMerge/>
            <w:tcBorders>
              <w:left w:val="single" w:sz="4" w:space="0" w:color="000000"/>
              <w:bottom w:val="single" w:sz="4" w:space="0" w:color="000000"/>
              <w:right w:val="single" w:sz="4" w:space="0" w:color="000000"/>
            </w:tcBorders>
            <w:shd w:val="clear" w:color="auto" w:fill="C7EDCC"/>
          </w:tcPr>
          <w:p>
            <w:pPr/>
          </w:p>
        </w:tc>
      </w:tr>
      <w:tr>
        <w:trPr>
          <w:trHeight w:val="402" w:hRule="exact"/>
        </w:trPr>
        <w:tc>
          <w:tcPr>
            <w:tcW w:w="13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8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41,855,184.45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35,018,591.10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-0.04%</w:t>
            </w:r>
          </w:p>
        </w:tc>
        <w:tc>
          <w:tcPr>
            <w:tcW w:w="2943"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3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81" w:type="dxa"/>
            <w:tcBorders>
              <w:top w:val="single" w:sz="4" w:space="0" w:color="000000"/>
              <w:left w:val="single" w:sz="13" w:space="0" w:color="D3D3D3"/>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2943"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253" w:hRule="exact"/>
        </w:trPr>
        <w:tc>
          <w:tcPr>
            <w:tcW w:w="1373" w:type="dxa"/>
            <w:tcBorders>
              <w:top w:val="single" w:sz="4" w:space="0" w:color="000000"/>
              <w:left w:val="single" w:sz="4" w:space="0" w:color="000000"/>
              <w:bottom w:val="nil" w:sz="6" w:space="0" w:color="auto"/>
              <w:right w:val="single" w:sz="4" w:space="0" w:color="000000"/>
            </w:tcBorders>
            <w:shd w:val="clear" w:color="auto" w:fill="D3D3D3"/>
          </w:tcPr>
          <w:p>
            <w:pPr/>
          </w:p>
        </w:tc>
        <w:tc>
          <w:tcPr>
            <w:tcW w:w="1181" w:type="dxa"/>
            <w:vMerge w:val="restart"/>
            <w:tcBorders>
              <w:top w:val="single" w:sz="4" w:space="0" w:color="000000"/>
              <w:left w:val="single" w:sz="10"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6" w:right="0"/>
              <w:jc w:val="left"/>
              <w:rPr>
                <w:rFonts w:ascii="Times New Roman" w:hAnsi="Times New Roman" w:cs="Times New Roman" w:eastAsia="Times New Roman" w:hint="default"/>
                <w:sz w:val="18"/>
                <w:szCs w:val="18"/>
              </w:rPr>
            </w:pPr>
            <w:r>
              <w:rPr>
                <w:rFonts w:ascii="Times New Roman"/>
                <w:sz w:val="18"/>
              </w:rPr>
              <w:t>331,633,842.31</w:t>
            </w:r>
          </w:p>
        </w:tc>
        <w:tc>
          <w:tcPr>
            <w:tcW w:w="10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489" w:right="0"/>
              <w:jc w:val="left"/>
              <w:rPr>
                <w:rFonts w:ascii="Times New Roman" w:hAnsi="Times New Roman" w:cs="Times New Roman" w:eastAsia="Times New Roman" w:hint="default"/>
                <w:sz w:val="18"/>
                <w:szCs w:val="18"/>
              </w:rPr>
            </w:pPr>
            <w:r>
              <w:rPr>
                <w:rFonts w:ascii="Times New Roman"/>
                <w:sz w:val="18"/>
              </w:rPr>
              <w:t>13.85%</w:t>
            </w:r>
          </w:p>
        </w:tc>
        <w:tc>
          <w:tcPr>
            <w:tcW w:w="12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52" w:right="0"/>
              <w:jc w:val="left"/>
              <w:rPr>
                <w:rFonts w:ascii="Times New Roman" w:hAnsi="Times New Roman" w:cs="Times New Roman" w:eastAsia="Times New Roman" w:hint="default"/>
                <w:sz w:val="18"/>
                <w:szCs w:val="18"/>
              </w:rPr>
            </w:pPr>
            <w:r>
              <w:rPr>
                <w:rFonts w:ascii="Times New Roman"/>
                <w:sz w:val="18"/>
              </w:rPr>
              <w:t>127,390,124.05</w:t>
            </w:r>
          </w:p>
        </w:tc>
        <w:tc>
          <w:tcPr>
            <w:tcW w:w="10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580" w:right="0"/>
              <w:jc w:val="left"/>
              <w:rPr>
                <w:rFonts w:ascii="Times New Roman" w:hAnsi="Times New Roman" w:cs="Times New Roman" w:eastAsia="Times New Roman" w:hint="default"/>
                <w:sz w:val="18"/>
                <w:szCs w:val="18"/>
              </w:rPr>
            </w:pPr>
            <w:r>
              <w:rPr>
                <w:rFonts w:ascii="Times New Roman"/>
                <w:sz w:val="18"/>
              </w:rPr>
              <w:t>6.52%</w:t>
            </w:r>
          </w:p>
        </w:tc>
        <w:tc>
          <w:tcPr>
            <w:tcW w:w="8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310" w:right="0"/>
              <w:jc w:val="left"/>
              <w:rPr>
                <w:rFonts w:ascii="Times New Roman" w:hAnsi="Times New Roman" w:cs="Times New Roman" w:eastAsia="Times New Roman" w:hint="default"/>
                <w:sz w:val="18"/>
                <w:szCs w:val="18"/>
              </w:rPr>
            </w:pPr>
            <w:r>
              <w:rPr>
                <w:rFonts w:ascii="Times New Roman"/>
                <w:sz w:val="18"/>
              </w:rPr>
              <w:t>7.33%</w:t>
            </w:r>
          </w:p>
        </w:tc>
        <w:tc>
          <w:tcPr>
            <w:tcW w:w="2943"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51"/>
              <w:ind w:left="22" w:right="28"/>
              <w:jc w:val="both"/>
              <w:rPr>
                <w:rFonts w:ascii="宋体" w:hAnsi="宋体" w:cs="宋体" w:eastAsia="宋体" w:hint="default"/>
                <w:sz w:val="18"/>
                <w:szCs w:val="18"/>
              </w:rPr>
            </w:pPr>
            <w:r>
              <w:rPr>
                <w:rFonts w:ascii="宋体" w:hAnsi="宋体" w:cs="宋体" w:eastAsia="宋体" w:hint="default"/>
                <w:sz w:val="18"/>
                <w:szCs w:val="18"/>
              </w:rPr>
              <w:t>主要系新增北京精典博维文化传媒有 限公司股权资产，减少十九楼网络股 份有限公司股权资产，新增投资杭州 华媒泽商创业投资合伙企业、杭州看 看十度网络科技有限公司、华媒金晟 文化产业投资管理有限公司，投资上 海合印包装服务有限公司和浙江衢州 盛元文创印业有限公司。权益法核算 增加投资收益。</w:t>
            </w:r>
          </w:p>
        </w:tc>
      </w:tr>
      <w:tr>
        <w:trPr>
          <w:trHeight w:val="392" w:hRule="exact"/>
        </w:trPr>
        <w:tc>
          <w:tcPr>
            <w:tcW w:w="137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81" w:type="dxa"/>
            <w:vMerge/>
            <w:tcBorders>
              <w:left w:val="single" w:sz="10" w:space="0" w:color="D3D3D3"/>
              <w:right w:val="single" w:sz="4" w:space="0" w:color="000000"/>
            </w:tcBorders>
          </w:tcPr>
          <w:p>
            <w:pPr/>
          </w:p>
        </w:tc>
        <w:tc>
          <w:tcPr>
            <w:tcW w:w="1078" w:type="dxa"/>
            <w:vMerge/>
            <w:tcBorders>
              <w:left w:val="single" w:sz="4" w:space="0" w:color="000000"/>
              <w:right w:val="single" w:sz="4" w:space="0" w:color="000000"/>
            </w:tcBorders>
          </w:tcPr>
          <w:p>
            <w:pPr/>
          </w:p>
        </w:tc>
        <w:tc>
          <w:tcPr>
            <w:tcW w:w="1210" w:type="dxa"/>
            <w:vMerge/>
            <w:tcBorders>
              <w:left w:val="single" w:sz="4" w:space="0" w:color="000000"/>
              <w:right w:val="single" w:sz="4" w:space="0" w:color="000000"/>
            </w:tcBorders>
          </w:tcPr>
          <w:p>
            <w:pPr/>
          </w:p>
        </w:tc>
        <w:tc>
          <w:tcPr>
            <w:tcW w:w="1078" w:type="dxa"/>
            <w:vMerge/>
            <w:tcBorders>
              <w:left w:val="single" w:sz="4" w:space="0" w:color="000000"/>
              <w:right w:val="single" w:sz="4" w:space="0" w:color="000000"/>
            </w:tcBorders>
          </w:tcPr>
          <w:p>
            <w:pPr/>
          </w:p>
        </w:tc>
        <w:tc>
          <w:tcPr>
            <w:tcW w:w="809" w:type="dxa"/>
            <w:vMerge/>
            <w:tcBorders>
              <w:left w:val="single" w:sz="4" w:space="0" w:color="000000"/>
              <w:right w:val="single" w:sz="4" w:space="0" w:color="000000"/>
            </w:tcBorders>
          </w:tcPr>
          <w:p>
            <w:pPr/>
          </w:p>
        </w:tc>
        <w:tc>
          <w:tcPr>
            <w:tcW w:w="2943" w:type="dxa"/>
            <w:vMerge/>
            <w:tcBorders>
              <w:left w:val="single" w:sz="4" w:space="0" w:color="000000"/>
              <w:right w:val="single" w:sz="4" w:space="0" w:color="000000"/>
            </w:tcBorders>
            <w:shd w:val="clear" w:color="auto" w:fill="C7EDCC"/>
          </w:tcPr>
          <w:p>
            <w:pPr/>
          </w:p>
        </w:tc>
      </w:tr>
      <w:tr>
        <w:trPr>
          <w:trHeight w:val="1252" w:hRule="exact"/>
        </w:trPr>
        <w:tc>
          <w:tcPr>
            <w:tcW w:w="1373" w:type="dxa"/>
            <w:tcBorders>
              <w:top w:val="nil" w:sz="6" w:space="0" w:color="auto"/>
              <w:left w:val="single" w:sz="4" w:space="0" w:color="000000"/>
              <w:bottom w:val="single" w:sz="4" w:space="0" w:color="000000"/>
              <w:right w:val="single" w:sz="4" w:space="0" w:color="000000"/>
            </w:tcBorders>
            <w:shd w:val="clear" w:color="auto" w:fill="D3D3D3"/>
          </w:tcPr>
          <w:p>
            <w:pPr/>
          </w:p>
        </w:tc>
        <w:tc>
          <w:tcPr>
            <w:tcW w:w="1181" w:type="dxa"/>
            <w:vMerge/>
            <w:tcBorders>
              <w:left w:val="single" w:sz="10" w:space="0" w:color="D3D3D3"/>
              <w:bottom w:val="single" w:sz="4" w:space="0" w:color="000000"/>
              <w:right w:val="single" w:sz="4" w:space="0" w:color="000000"/>
            </w:tcBorders>
          </w:tcPr>
          <w:p>
            <w:pPr/>
          </w:p>
        </w:tc>
        <w:tc>
          <w:tcPr>
            <w:tcW w:w="1078" w:type="dxa"/>
            <w:vMerge/>
            <w:tcBorders>
              <w:left w:val="single" w:sz="4" w:space="0" w:color="000000"/>
              <w:bottom w:val="single" w:sz="4" w:space="0" w:color="000000"/>
              <w:right w:val="single" w:sz="4" w:space="0" w:color="000000"/>
            </w:tcBorders>
          </w:tcPr>
          <w:p>
            <w:pPr/>
          </w:p>
        </w:tc>
        <w:tc>
          <w:tcPr>
            <w:tcW w:w="1210" w:type="dxa"/>
            <w:vMerge/>
            <w:tcBorders>
              <w:left w:val="single" w:sz="4" w:space="0" w:color="000000"/>
              <w:bottom w:val="single" w:sz="4" w:space="0" w:color="000000"/>
              <w:right w:val="single" w:sz="4" w:space="0" w:color="000000"/>
            </w:tcBorders>
          </w:tcPr>
          <w:p>
            <w:pPr/>
          </w:p>
        </w:tc>
        <w:tc>
          <w:tcPr>
            <w:tcW w:w="1078" w:type="dxa"/>
            <w:vMerge/>
            <w:tcBorders>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2943" w:type="dxa"/>
            <w:vMerge/>
            <w:tcBorders>
              <w:left w:val="single" w:sz="4" w:space="0" w:color="000000"/>
              <w:bottom w:val="single" w:sz="4" w:space="0" w:color="000000"/>
              <w:right w:val="single" w:sz="4" w:space="0" w:color="000000"/>
            </w:tcBorders>
            <w:shd w:val="clear" w:color="auto" w:fill="C7EDCC"/>
          </w:tcPr>
          <w:p>
            <w:pPr/>
          </w:p>
        </w:tc>
      </w:tr>
      <w:tr>
        <w:trPr>
          <w:trHeight w:val="403" w:hRule="exact"/>
        </w:trPr>
        <w:tc>
          <w:tcPr>
            <w:tcW w:w="13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8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260,867,752.82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10.89%</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251,845,621.81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12.90%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-2.01%</w:t>
            </w:r>
          </w:p>
        </w:tc>
        <w:tc>
          <w:tcPr>
            <w:tcW w:w="2943" w:type="dxa"/>
            <w:tcBorders>
              <w:top w:val="single" w:sz="4" w:space="0" w:color="000000"/>
              <w:left w:val="single" w:sz="4" w:space="0" w:color="000000"/>
              <w:bottom w:val="single" w:sz="4" w:space="0" w:color="000000"/>
              <w:right w:val="single" w:sz="4" w:space="0" w:color="000000"/>
            </w:tcBorders>
            <w:shd w:val="clear" w:color="auto" w:fill="C7EDCC"/>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1385"/>
        <w:gridCol w:w="1181"/>
        <w:gridCol w:w="1078"/>
        <w:gridCol w:w="1210"/>
        <w:gridCol w:w="1078"/>
        <w:gridCol w:w="809"/>
        <w:gridCol w:w="2954"/>
      </w:tblGrid>
      <w:tr>
        <w:trPr>
          <w:trHeight w:val="402" w:hRule="exact"/>
        </w:trPr>
        <w:tc>
          <w:tcPr>
            <w:tcW w:w="1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2954"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7,745,000.00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0.32%</w:t>
            </w:r>
          </w:p>
        </w:tc>
        <w:tc>
          <w:tcPr>
            <w:tcW w:w="121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0.32%</w:t>
            </w:r>
          </w:p>
        </w:tc>
        <w:tc>
          <w:tcPr>
            <w:tcW w:w="2954"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2954"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338" w:hRule="exact"/>
        </w:trPr>
        <w:tc>
          <w:tcPr>
            <w:tcW w:w="13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90"/>
              <w:jc w:val="both"/>
              <w:rPr>
                <w:rFonts w:ascii="宋体" w:hAnsi="宋体" w:cs="宋体" w:eastAsia="宋体" w:hint="default"/>
                <w:sz w:val="18"/>
                <w:szCs w:val="18"/>
              </w:rPr>
            </w:pPr>
            <w:r>
              <w:rPr>
                <w:rFonts w:ascii="宋体" w:hAnsi="宋体" w:cs="宋体" w:eastAsia="宋体" w:hint="default"/>
                <w:sz w:val="18"/>
                <w:szCs w:val="18"/>
              </w:rPr>
              <w:t>以公允价值计量 且其变动计入当 期损益的金融资 产</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24,167,267.21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1.24%</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w:t>
            </w:r>
          </w:p>
        </w:tc>
        <w:tc>
          <w:tcPr>
            <w:tcW w:w="29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系本年度减少金融资产投资所致。</w:t>
            </w:r>
          </w:p>
        </w:tc>
      </w:tr>
      <w:tr>
        <w:trPr>
          <w:trHeight w:val="402" w:hRule="exact"/>
        </w:trPr>
        <w:tc>
          <w:tcPr>
            <w:tcW w:w="13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6,213,033.60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-0.32%</w:t>
            </w:r>
          </w:p>
        </w:tc>
        <w:tc>
          <w:tcPr>
            <w:tcW w:w="29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系收回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楼应收股利所致。</w:t>
            </w:r>
          </w:p>
        </w:tc>
      </w:tr>
      <w:tr>
        <w:trPr>
          <w:trHeight w:val="402" w:hRule="exact"/>
        </w:trPr>
        <w:tc>
          <w:tcPr>
            <w:tcW w:w="13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47,029,455.97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154,619,267.11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7.92%</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-5.96%</w:t>
            </w:r>
          </w:p>
        </w:tc>
        <w:tc>
          <w:tcPr>
            <w:tcW w:w="29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系公司减少理财产品所致。</w:t>
            </w:r>
          </w:p>
        </w:tc>
      </w:tr>
      <w:tr>
        <w:trPr>
          <w:trHeight w:val="714" w:hRule="exact"/>
        </w:trPr>
        <w:tc>
          <w:tcPr>
            <w:tcW w:w="13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34,310,691.31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18,909,433.09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0.46%</w:t>
            </w:r>
          </w:p>
        </w:tc>
        <w:tc>
          <w:tcPr>
            <w:tcW w:w="29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主要系收购上海快点，评估增值增加 无形资产所致。</w:t>
            </w:r>
          </w:p>
        </w:tc>
      </w:tr>
      <w:tr>
        <w:trPr>
          <w:trHeight w:val="402" w:hRule="exact"/>
        </w:trPr>
        <w:tc>
          <w:tcPr>
            <w:tcW w:w="13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181,787,928.75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7.59%</w:t>
            </w:r>
          </w:p>
        </w:tc>
        <w:tc>
          <w:tcPr>
            <w:tcW w:w="1210"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7.59%</w:t>
            </w:r>
          </w:p>
        </w:tc>
        <w:tc>
          <w:tcPr>
            <w:tcW w:w="29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主要系收购上海快点产生。</w:t>
            </w:r>
          </w:p>
        </w:tc>
      </w:tr>
      <w:tr>
        <w:trPr>
          <w:trHeight w:val="714" w:hRule="exact"/>
        </w:trPr>
        <w:tc>
          <w:tcPr>
            <w:tcW w:w="13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132,155,537.00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5.52%</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84,470,520.73</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1.19%</w:t>
            </w:r>
          </w:p>
        </w:tc>
        <w:tc>
          <w:tcPr>
            <w:tcW w:w="29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主要系收购上海快点、精典博维股权 款分期支付所致。</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、以公允价值计量的资产和负债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2798"/>
        <w:gridCol w:w="1109"/>
        <w:gridCol w:w="934"/>
        <w:gridCol w:w="1175"/>
        <w:gridCol w:w="706"/>
        <w:gridCol w:w="983"/>
        <w:gridCol w:w="1105"/>
        <w:gridCol w:w="872"/>
      </w:tblGrid>
      <w:tr>
        <w:trPr>
          <w:trHeight w:val="160" w:hRule="exact"/>
        </w:trPr>
        <w:tc>
          <w:tcPr>
            <w:tcW w:w="2798" w:type="dxa"/>
            <w:vMerge w:val="restart"/>
            <w:tcBorders>
              <w:top w:val="single" w:sz="4" w:space="0" w:color="000000"/>
              <w:left w:val="single" w:sz="4" w:space="0" w:color="000000"/>
              <w:right w:val="single" w:sz="4" w:space="0" w:color="000000"/>
            </w:tcBorders>
            <w:shd w:val="clear" w:color="auto" w:fill="D3D3D3"/>
          </w:tcPr>
          <w:p>
            <w:pPr/>
          </w:p>
        </w:tc>
        <w:tc>
          <w:tcPr>
            <w:tcW w:w="1109" w:type="dxa"/>
            <w:vMerge w:val="restart"/>
            <w:tcBorders>
              <w:top w:val="single" w:sz="4" w:space="0" w:color="000000"/>
              <w:left w:val="single" w:sz="4" w:space="0" w:color="000000"/>
              <w:right w:val="single" w:sz="4" w:space="0" w:color="000000"/>
            </w:tcBorders>
            <w:shd w:val="clear" w:color="auto" w:fill="D3D3D3"/>
          </w:tcPr>
          <w:p>
            <w:pPr/>
          </w:p>
        </w:tc>
        <w:tc>
          <w:tcPr>
            <w:tcW w:w="93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98" w:right="103"/>
              <w:jc w:val="center"/>
              <w:rPr>
                <w:rFonts w:ascii="宋体" w:hAnsi="宋体" w:cs="宋体" w:eastAsia="宋体" w:hint="default"/>
                <w:sz w:val="18"/>
                <w:szCs w:val="18"/>
              </w:rPr>
            </w:pPr>
            <w:r>
              <w:rPr>
                <w:rFonts w:ascii="宋体" w:hAnsi="宋体" w:cs="宋体" w:eastAsia="宋体" w:hint="default"/>
                <w:sz w:val="18"/>
                <w:szCs w:val="18"/>
              </w:rPr>
              <w:t>本期公允 价值变动 损益</w:t>
            </w:r>
          </w:p>
        </w:tc>
        <w:tc>
          <w:tcPr>
            <w:tcW w:w="1175"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42" w:right="4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70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78" w:right="76"/>
              <w:jc w:val="center"/>
              <w:rPr>
                <w:rFonts w:ascii="宋体" w:hAnsi="宋体" w:cs="宋体" w:eastAsia="宋体" w:hint="default"/>
                <w:sz w:val="18"/>
                <w:szCs w:val="18"/>
              </w:rPr>
            </w:pPr>
            <w:r>
              <w:rPr>
                <w:rFonts w:ascii="宋体" w:hAnsi="宋体" w:cs="宋体" w:eastAsia="宋体" w:hint="default"/>
                <w:sz w:val="18"/>
                <w:szCs w:val="18"/>
              </w:rPr>
              <w:t>本期计 提的减 值</w:t>
            </w:r>
          </w:p>
        </w:tc>
        <w:tc>
          <w:tcPr>
            <w:tcW w:w="983" w:type="dxa"/>
            <w:tcBorders>
              <w:top w:val="single" w:sz="4" w:space="0" w:color="000000"/>
              <w:left w:val="single" w:sz="4" w:space="0" w:color="000000"/>
              <w:bottom w:val="nil" w:sz="6" w:space="0" w:color="auto"/>
              <w:right w:val="single" w:sz="4" w:space="0" w:color="000000"/>
            </w:tcBorders>
            <w:shd w:val="clear" w:color="auto" w:fill="D3D3D3"/>
          </w:tcPr>
          <w:p>
            <w:pPr/>
          </w:p>
        </w:tc>
        <w:tc>
          <w:tcPr>
            <w:tcW w:w="1105" w:type="dxa"/>
            <w:tcBorders>
              <w:top w:val="single" w:sz="4" w:space="0" w:color="000000"/>
              <w:left w:val="single" w:sz="4" w:space="0" w:color="000000"/>
              <w:bottom w:val="nil" w:sz="6" w:space="0" w:color="auto"/>
              <w:right w:val="single" w:sz="4" w:space="0" w:color="000000"/>
            </w:tcBorders>
            <w:shd w:val="clear" w:color="auto" w:fill="D3D3D3"/>
          </w:tcPr>
          <w:p>
            <w:pPr/>
          </w:p>
        </w:tc>
        <w:tc>
          <w:tcPr>
            <w:tcW w:w="872" w:type="dxa"/>
            <w:vMerge w:val="restart"/>
            <w:tcBorders>
              <w:top w:val="single" w:sz="4" w:space="0" w:color="000000"/>
              <w:left w:val="single" w:sz="4" w:space="0" w:color="000000"/>
              <w:right w:val="single" w:sz="4" w:space="0" w:color="000000"/>
            </w:tcBorders>
            <w:shd w:val="clear" w:color="auto" w:fill="D3D3D3"/>
          </w:tcPr>
          <w:p>
            <w:pPr/>
          </w:p>
        </w:tc>
      </w:tr>
      <w:tr>
        <w:trPr>
          <w:trHeight w:val="156" w:hRule="exact"/>
        </w:trPr>
        <w:tc>
          <w:tcPr>
            <w:tcW w:w="2798" w:type="dxa"/>
            <w:vMerge/>
            <w:tcBorders>
              <w:left w:val="single" w:sz="4" w:space="0" w:color="000000"/>
              <w:bottom w:val="nil" w:sz="6" w:space="0" w:color="auto"/>
              <w:right w:val="single" w:sz="4" w:space="0" w:color="000000"/>
            </w:tcBorders>
            <w:shd w:val="clear" w:color="auto" w:fill="D3D3D3"/>
          </w:tcPr>
          <w:p>
            <w:pPr/>
          </w:p>
        </w:tc>
        <w:tc>
          <w:tcPr>
            <w:tcW w:w="1109" w:type="dxa"/>
            <w:vMerge/>
            <w:tcBorders>
              <w:left w:val="single" w:sz="4" w:space="0" w:color="000000"/>
              <w:bottom w:val="nil" w:sz="6" w:space="0" w:color="auto"/>
              <w:right w:val="single" w:sz="4" w:space="0" w:color="000000"/>
            </w:tcBorders>
            <w:shd w:val="clear" w:color="auto" w:fill="D3D3D3"/>
          </w:tcPr>
          <w:p>
            <w:pPr/>
          </w:p>
        </w:tc>
        <w:tc>
          <w:tcPr>
            <w:tcW w:w="934" w:type="dxa"/>
            <w:vMerge/>
            <w:tcBorders>
              <w:left w:val="single" w:sz="4" w:space="0" w:color="000000"/>
              <w:right w:val="single" w:sz="4" w:space="0" w:color="000000"/>
            </w:tcBorders>
            <w:shd w:val="clear" w:color="auto" w:fill="D3D3D3"/>
          </w:tcPr>
          <w:p>
            <w:pPr/>
          </w:p>
        </w:tc>
        <w:tc>
          <w:tcPr>
            <w:tcW w:w="1175" w:type="dxa"/>
            <w:vMerge/>
            <w:tcBorders>
              <w:left w:val="single" w:sz="4" w:space="0" w:color="000000"/>
              <w:right w:val="single" w:sz="4" w:space="0" w:color="000000"/>
            </w:tcBorders>
            <w:shd w:val="clear" w:color="auto" w:fill="D3D3D3"/>
          </w:tcPr>
          <w:p>
            <w:pPr/>
          </w:p>
        </w:tc>
        <w:tc>
          <w:tcPr>
            <w:tcW w:w="706" w:type="dxa"/>
            <w:vMerge/>
            <w:tcBorders>
              <w:left w:val="single" w:sz="4" w:space="0" w:color="000000"/>
              <w:right w:val="single" w:sz="4" w:space="0" w:color="000000"/>
            </w:tcBorders>
            <w:shd w:val="clear" w:color="auto" w:fill="D3D3D3"/>
          </w:tcPr>
          <w:p>
            <w:pPr/>
          </w:p>
        </w:tc>
        <w:tc>
          <w:tcPr>
            <w:tcW w:w="983"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396" w:right="34" w:hanging="360"/>
              <w:jc w:val="left"/>
              <w:rPr>
                <w:rFonts w:ascii="宋体" w:hAnsi="宋体" w:cs="宋体" w:eastAsia="宋体" w:hint="default"/>
                <w:sz w:val="18"/>
                <w:szCs w:val="18"/>
              </w:rPr>
            </w:pPr>
            <w:r>
              <w:rPr>
                <w:rFonts w:ascii="宋体" w:hAnsi="宋体" w:cs="宋体" w:eastAsia="宋体" w:hint="default"/>
                <w:sz w:val="18"/>
                <w:szCs w:val="18"/>
              </w:rPr>
              <w:t>本期购买金 额</w:t>
            </w:r>
          </w:p>
        </w:tc>
        <w:tc>
          <w:tcPr>
            <w:tcW w:w="110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459" w:right="93"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872" w:type="dxa"/>
            <w:vMerge/>
            <w:tcBorders>
              <w:left w:val="single" w:sz="4" w:space="0" w:color="000000"/>
              <w:bottom w:val="nil" w:sz="6" w:space="0" w:color="auto"/>
              <w:right w:val="single" w:sz="4" w:space="0" w:color="000000"/>
            </w:tcBorders>
            <w:shd w:val="clear" w:color="auto" w:fill="D3D3D3"/>
          </w:tcPr>
          <w:p>
            <w:pPr/>
          </w:p>
        </w:tc>
      </w:tr>
      <w:tr>
        <w:trPr>
          <w:trHeight w:val="393" w:hRule="exact"/>
        </w:trPr>
        <w:tc>
          <w:tcPr>
            <w:tcW w:w="2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0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934" w:type="dxa"/>
            <w:vMerge/>
            <w:tcBorders>
              <w:left w:val="single" w:sz="4" w:space="0" w:color="000000"/>
              <w:right w:val="single" w:sz="4" w:space="0" w:color="000000"/>
            </w:tcBorders>
            <w:shd w:val="clear" w:color="auto" w:fill="D3D3D3"/>
          </w:tcPr>
          <w:p>
            <w:pPr/>
          </w:p>
        </w:tc>
        <w:tc>
          <w:tcPr>
            <w:tcW w:w="1175" w:type="dxa"/>
            <w:vMerge/>
            <w:tcBorders>
              <w:left w:val="single" w:sz="4" w:space="0" w:color="000000"/>
              <w:right w:val="single" w:sz="4" w:space="0" w:color="000000"/>
            </w:tcBorders>
            <w:shd w:val="clear" w:color="auto" w:fill="D3D3D3"/>
          </w:tcPr>
          <w:p>
            <w:pPr/>
          </w:p>
        </w:tc>
        <w:tc>
          <w:tcPr>
            <w:tcW w:w="706" w:type="dxa"/>
            <w:vMerge/>
            <w:tcBorders>
              <w:left w:val="single" w:sz="4" w:space="0" w:color="000000"/>
              <w:right w:val="single" w:sz="4" w:space="0" w:color="000000"/>
            </w:tcBorders>
            <w:shd w:val="clear" w:color="auto" w:fill="D3D3D3"/>
          </w:tcPr>
          <w:p>
            <w:pPr/>
          </w:p>
        </w:tc>
        <w:tc>
          <w:tcPr>
            <w:tcW w:w="983" w:type="dxa"/>
            <w:vMerge/>
            <w:tcBorders>
              <w:left w:val="single" w:sz="4" w:space="0" w:color="000000"/>
              <w:right w:val="single" w:sz="4" w:space="0" w:color="000000"/>
            </w:tcBorders>
            <w:shd w:val="clear" w:color="auto" w:fill="D3D3D3"/>
          </w:tcPr>
          <w:p>
            <w:pPr/>
          </w:p>
        </w:tc>
        <w:tc>
          <w:tcPr>
            <w:tcW w:w="1105" w:type="dxa"/>
            <w:vMerge/>
            <w:tcBorders>
              <w:left w:val="single" w:sz="4" w:space="0" w:color="000000"/>
              <w:right w:val="single" w:sz="4" w:space="0" w:color="000000"/>
            </w:tcBorders>
            <w:shd w:val="clear" w:color="auto" w:fill="D3D3D3"/>
          </w:tcPr>
          <w:p>
            <w:pPr/>
          </w:p>
        </w:tc>
        <w:tc>
          <w:tcPr>
            <w:tcW w:w="8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6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2798" w:type="dxa"/>
            <w:vMerge w:val="restart"/>
            <w:tcBorders>
              <w:top w:val="nil" w:sz="6" w:space="0" w:color="auto"/>
              <w:left w:val="single" w:sz="4" w:space="0" w:color="000000"/>
              <w:right w:val="single" w:sz="4" w:space="0" w:color="000000"/>
            </w:tcBorders>
            <w:shd w:val="clear" w:color="auto" w:fill="D3D3D3"/>
          </w:tcPr>
          <w:p>
            <w:pPr/>
          </w:p>
        </w:tc>
        <w:tc>
          <w:tcPr>
            <w:tcW w:w="1109" w:type="dxa"/>
            <w:vMerge w:val="restart"/>
            <w:tcBorders>
              <w:top w:val="nil" w:sz="6" w:space="0" w:color="auto"/>
              <w:left w:val="single" w:sz="4" w:space="0" w:color="000000"/>
              <w:right w:val="single" w:sz="4" w:space="0" w:color="000000"/>
            </w:tcBorders>
            <w:shd w:val="clear" w:color="auto" w:fill="D3D3D3"/>
          </w:tcPr>
          <w:p>
            <w:pPr/>
          </w:p>
        </w:tc>
        <w:tc>
          <w:tcPr>
            <w:tcW w:w="934" w:type="dxa"/>
            <w:vMerge/>
            <w:tcBorders>
              <w:left w:val="single" w:sz="4" w:space="0" w:color="000000"/>
              <w:right w:val="single" w:sz="4" w:space="0" w:color="000000"/>
            </w:tcBorders>
            <w:shd w:val="clear" w:color="auto" w:fill="D3D3D3"/>
          </w:tcPr>
          <w:p>
            <w:pPr/>
          </w:p>
        </w:tc>
        <w:tc>
          <w:tcPr>
            <w:tcW w:w="1175" w:type="dxa"/>
            <w:vMerge/>
            <w:tcBorders>
              <w:left w:val="single" w:sz="4" w:space="0" w:color="000000"/>
              <w:right w:val="single" w:sz="4" w:space="0" w:color="000000"/>
            </w:tcBorders>
            <w:shd w:val="clear" w:color="auto" w:fill="D3D3D3"/>
          </w:tcPr>
          <w:p>
            <w:pPr/>
          </w:p>
        </w:tc>
        <w:tc>
          <w:tcPr>
            <w:tcW w:w="706" w:type="dxa"/>
            <w:vMerge/>
            <w:tcBorders>
              <w:left w:val="single" w:sz="4" w:space="0" w:color="000000"/>
              <w:right w:val="single" w:sz="4" w:space="0" w:color="000000"/>
            </w:tcBorders>
            <w:shd w:val="clear" w:color="auto" w:fill="D3D3D3"/>
          </w:tcPr>
          <w:p>
            <w:pPr/>
          </w:p>
        </w:tc>
        <w:tc>
          <w:tcPr>
            <w:tcW w:w="983" w:type="dxa"/>
            <w:vMerge/>
            <w:tcBorders>
              <w:left w:val="single" w:sz="4" w:space="0" w:color="000000"/>
              <w:bottom w:val="nil" w:sz="6" w:space="0" w:color="auto"/>
              <w:right w:val="single" w:sz="4" w:space="0" w:color="000000"/>
            </w:tcBorders>
            <w:shd w:val="clear" w:color="auto" w:fill="D3D3D3"/>
          </w:tcPr>
          <w:p>
            <w:pPr/>
          </w:p>
        </w:tc>
        <w:tc>
          <w:tcPr>
            <w:tcW w:w="1105" w:type="dxa"/>
            <w:vMerge/>
            <w:tcBorders>
              <w:left w:val="single" w:sz="4" w:space="0" w:color="000000"/>
              <w:bottom w:val="nil" w:sz="6" w:space="0" w:color="auto"/>
              <w:right w:val="single" w:sz="4" w:space="0" w:color="000000"/>
            </w:tcBorders>
            <w:shd w:val="clear" w:color="auto" w:fill="D3D3D3"/>
          </w:tcPr>
          <w:p>
            <w:pPr/>
          </w:p>
        </w:tc>
        <w:tc>
          <w:tcPr>
            <w:tcW w:w="872" w:type="dxa"/>
            <w:vMerge w:val="restart"/>
            <w:tcBorders>
              <w:top w:val="nil" w:sz="6" w:space="0" w:color="auto"/>
              <w:left w:val="single" w:sz="4" w:space="0" w:color="000000"/>
              <w:right w:val="single" w:sz="4" w:space="0" w:color="000000"/>
            </w:tcBorders>
            <w:shd w:val="clear" w:color="auto" w:fill="D3D3D3"/>
          </w:tcPr>
          <w:p>
            <w:pPr/>
          </w:p>
        </w:tc>
      </w:tr>
      <w:tr>
        <w:trPr>
          <w:trHeight w:val="160" w:hRule="exact"/>
        </w:trPr>
        <w:tc>
          <w:tcPr>
            <w:tcW w:w="2798" w:type="dxa"/>
            <w:vMerge/>
            <w:tcBorders>
              <w:left w:val="single" w:sz="4" w:space="0" w:color="000000"/>
              <w:bottom w:val="single" w:sz="4" w:space="0" w:color="000000"/>
              <w:right w:val="single" w:sz="4" w:space="0" w:color="000000"/>
            </w:tcBorders>
            <w:shd w:val="clear" w:color="auto" w:fill="D3D3D3"/>
          </w:tcPr>
          <w:p>
            <w:pPr/>
          </w:p>
        </w:tc>
        <w:tc>
          <w:tcPr>
            <w:tcW w:w="1109" w:type="dxa"/>
            <w:vMerge/>
            <w:tcBorders>
              <w:left w:val="single" w:sz="4" w:space="0" w:color="000000"/>
              <w:bottom w:val="single" w:sz="4" w:space="0" w:color="000000"/>
              <w:right w:val="single" w:sz="4" w:space="0" w:color="000000"/>
            </w:tcBorders>
            <w:shd w:val="clear" w:color="auto" w:fill="D3D3D3"/>
          </w:tcPr>
          <w:p>
            <w:pPr/>
          </w:p>
        </w:tc>
        <w:tc>
          <w:tcPr>
            <w:tcW w:w="934" w:type="dxa"/>
            <w:vMerge/>
            <w:tcBorders>
              <w:left w:val="single" w:sz="4" w:space="0" w:color="000000"/>
              <w:bottom w:val="single" w:sz="4" w:space="0" w:color="000000"/>
              <w:right w:val="single" w:sz="4" w:space="0" w:color="000000"/>
            </w:tcBorders>
            <w:shd w:val="clear" w:color="auto" w:fill="D3D3D3"/>
          </w:tcPr>
          <w:p>
            <w:pPr/>
          </w:p>
        </w:tc>
        <w:tc>
          <w:tcPr>
            <w:tcW w:w="1175" w:type="dxa"/>
            <w:vMerge/>
            <w:tcBorders>
              <w:left w:val="single" w:sz="4" w:space="0" w:color="000000"/>
              <w:bottom w:val="single" w:sz="4" w:space="0" w:color="000000"/>
              <w:right w:val="single" w:sz="4" w:space="0" w:color="000000"/>
            </w:tcBorders>
            <w:shd w:val="clear" w:color="auto" w:fill="D3D3D3"/>
          </w:tcPr>
          <w:p>
            <w:pPr/>
          </w:p>
        </w:tc>
        <w:tc>
          <w:tcPr>
            <w:tcW w:w="706" w:type="dxa"/>
            <w:vMerge/>
            <w:tcBorders>
              <w:left w:val="single" w:sz="4" w:space="0" w:color="000000"/>
              <w:bottom w:val="single" w:sz="4" w:space="0" w:color="000000"/>
              <w:right w:val="single" w:sz="4" w:space="0" w:color="000000"/>
            </w:tcBorders>
            <w:shd w:val="clear" w:color="auto" w:fill="D3D3D3"/>
          </w:tcPr>
          <w:p>
            <w:pPr/>
          </w:p>
        </w:tc>
        <w:tc>
          <w:tcPr>
            <w:tcW w:w="983" w:type="dxa"/>
            <w:tcBorders>
              <w:top w:val="nil" w:sz="6" w:space="0" w:color="auto"/>
              <w:left w:val="single" w:sz="4" w:space="0" w:color="000000"/>
              <w:bottom w:val="single" w:sz="4" w:space="0" w:color="000000"/>
              <w:right w:val="single" w:sz="4" w:space="0" w:color="000000"/>
            </w:tcBorders>
            <w:shd w:val="clear" w:color="auto" w:fill="D3D3D3"/>
          </w:tcPr>
          <w:p>
            <w:pPr/>
          </w:p>
        </w:tc>
        <w:tc>
          <w:tcPr>
            <w:tcW w:w="1105" w:type="dxa"/>
            <w:tcBorders>
              <w:top w:val="nil" w:sz="6" w:space="0" w:color="auto"/>
              <w:left w:val="single" w:sz="4" w:space="0" w:color="000000"/>
              <w:bottom w:val="single" w:sz="4" w:space="0" w:color="000000"/>
              <w:right w:val="single" w:sz="4" w:space="0" w:color="000000"/>
            </w:tcBorders>
            <w:shd w:val="clear" w:color="auto" w:fill="D3D3D3"/>
          </w:tcPr>
          <w:p>
            <w:pPr/>
          </w:p>
        </w:tc>
        <w:tc>
          <w:tcPr>
            <w:tcW w:w="87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6884" w:type="dxa"/>
            <w:gridSpan w:val="7"/>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026" w:hRule="exact"/>
        </w:trPr>
        <w:tc>
          <w:tcPr>
            <w:tcW w:w="2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11" w:right="75"/>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以公允价值计量且其变动计入当 期损益的金融资产（不含衍生金融 资产）</w:t>
            </w:r>
          </w:p>
        </w:tc>
        <w:tc>
          <w:tcPr>
            <w:tcW w:w="110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24,167,267.21</w:t>
            </w:r>
          </w:p>
        </w:tc>
        <w:tc>
          <w:tcPr>
            <w:tcW w:w="934"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24,167,267.21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10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900,000.00</w:t>
            </w:r>
          </w:p>
        </w:tc>
        <w:tc>
          <w:tcPr>
            <w:tcW w:w="934"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340,000.00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900,000.00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340,000.00</w:t>
            </w:r>
          </w:p>
        </w:tc>
      </w:tr>
      <w:tr>
        <w:trPr>
          <w:trHeight w:val="402" w:hRule="exact"/>
        </w:trPr>
        <w:tc>
          <w:tcPr>
            <w:tcW w:w="2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10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25,067,267.21</w:t>
            </w:r>
          </w:p>
        </w:tc>
        <w:tc>
          <w:tcPr>
            <w:tcW w:w="934"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340,000.00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25,067,267.21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340,000.00</w:t>
            </w:r>
          </w:p>
        </w:tc>
      </w:tr>
      <w:tr>
        <w:trPr>
          <w:trHeight w:val="402" w:hRule="exact"/>
        </w:trPr>
        <w:tc>
          <w:tcPr>
            <w:tcW w:w="2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0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25,067,267.21</w:t>
            </w:r>
          </w:p>
        </w:tc>
        <w:tc>
          <w:tcPr>
            <w:tcW w:w="934"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340,000.00</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25,067,267.21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340,000.00</w:t>
            </w:r>
          </w:p>
        </w:tc>
      </w:tr>
      <w:tr>
        <w:trPr>
          <w:trHeight w:val="402" w:hRule="exact"/>
        </w:trPr>
        <w:tc>
          <w:tcPr>
            <w:tcW w:w="2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0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0.00</w:t>
            </w:r>
          </w:p>
        </w:tc>
        <w:tc>
          <w:tcPr>
            <w:tcW w:w="934" w:type="dxa"/>
            <w:tcBorders>
              <w:top w:val="single" w:sz="4" w:space="0" w:color="000000"/>
              <w:left w:val="single" w:sz="4" w:space="0" w:color="000000"/>
              <w:bottom w:val="single" w:sz="4" w:space="0" w:color="000000"/>
              <w:right w:val="single" w:sz="4" w:space="0" w:color="000000"/>
            </w:tcBorders>
          </w:tcPr>
          <w:p>
            <w:pPr/>
          </w:p>
        </w:tc>
        <w:tc>
          <w:tcPr>
            <w:tcW w:w="1175"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83" w:type="dxa"/>
            <w:tcBorders>
              <w:top w:val="single" w:sz="4" w:space="0" w:color="000000"/>
              <w:left w:val="single" w:sz="4" w:space="0" w:color="000000"/>
              <w:bottom w:val="single" w:sz="4" w:space="0" w:color="000000"/>
              <w:right w:val="single" w:sz="4" w:space="0" w:color="000000"/>
            </w:tcBorders>
          </w:tcPr>
          <w:p>
            <w:pPr/>
          </w:p>
        </w:tc>
        <w:tc>
          <w:tcPr>
            <w:tcW w:w="1105"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r>
        <w:rPr/>
        <w:t>五、投资状况</w:t>
      </w:r>
      <w:r>
        <w:rPr>
          <w:b w:val="0"/>
          <w:bCs w:val="0"/>
        </w:rPr>
      </w:r>
    </w:p>
    <w:p>
      <w:pPr>
        <w:spacing w:before="23"/>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、总体情况</w:t>
      </w:r>
      <w:r>
        <w:rPr>
          <w:rFonts w:ascii="宋体" w:hAnsi="宋体" w:cs="宋体" w:eastAsia="宋体" w:hint="default"/>
          <w:sz w:val="21"/>
          <w:szCs w:val="21"/>
        </w:rPr>
      </w:r>
    </w:p>
    <w:p>
      <w:pPr>
        <w:spacing w:before="8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198,923,000.00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920.12%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before="0"/>
        <w:ind w:left="139"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、报告期内获取的重大的股权投资情况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39"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419" w:firstLine="0"/>
        <w:jc w:val="right"/>
        <w:rPr>
          <w:rFonts w:ascii="宋体" w:hAnsi="宋体" w:cs="宋体" w:eastAsia="宋体" w:hint="default"/>
          <w:sz w:val="18"/>
          <w:szCs w:val="18"/>
        </w:rPr>
      </w:pPr>
      <w:r>
        <w:rPr/>
        <w:pict>
          <v:group style="position:absolute;margin-left:483.770996pt;margin-top:22.632015pt;width:17.1pt;height:74.25pt;mso-position-horizontal-relative:page;mso-position-vertical-relative:paragraph;z-index:-1260664" coordorigin="9675,453" coordsize="342,1485">
            <v:shape style="position:absolute;left:9675;top:453;width:342;height:1485" coordorigin="9675,453" coordsize="342,1485" path="m10017,609l10017,453,9675,453,9711,609,10017,609xe" filled="true" fillcolor="#d3d3d3" stroked="false">
              <v:path arrowok="t"/>
              <v:fill type="solid"/>
            </v:shape>
            <v:shape style="position:absolute;left:9675;top:453;width:342;height:1485" coordorigin="9675,453" coordsize="342,1485" path="m9993,1937l9993,1833,9711,609,9698,609,9698,1937,9993,1937xe" filled="true" fillcolor="#d3d3d3" stroked="false">
              <v:path arrowok="t"/>
              <v:fill type="solid"/>
            </v:shape>
            <v:shape style="position:absolute;left:9675;top:453;width:342;height:1485" coordorigin="9675,453" coordsize="342,1485" path="m10017,1937l10017,609,9993,609,9993,1833,10017,1937xe" filled="true" fillcolor="#d3d3d3" stroked="false">
              <v:path arrowok="t"/>
              <v:fill type="solid"/>
            </v:shape>
            <w10:wrap type="none"/>
          </v:group>
        </w:pict>
      </w: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104"/>
        <w:gridCol w:w="875"/>
        <w:gridCol w:w="350"/>
        <w:gridCol w:w="1182"/>
        <w:gridCol w:w="716"/>
        <w:gridCol w:w="620"/>
        <w:gridCol w:w="3410"/>
        <w:gridCol w:w="352"/>
        <w:gridCol w:w="875"/>
        <w:gridCol w:w="695"/>
        <w:gridCol w:w="1091"/>
        <w:gridCol w:w="1102"/>
        <w:gridCol w:w="350"/>
        <w:gridCol w:w="655"/>
        <w:gridCol w:w="905"/>
      </w:tblGrid>
      <w:tr>
        <w:trPr>
          <w:trHeight w:val="1650" w:hRule="exact"/>
        </w:trPr>
        <w:tc>
          <w:tcPr>
            <w:tcW w:w="1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65" w:right="96" w:hanging="270"/>
              <w:jc w:val="left"/>
              <w:rPr>
                <w:rFonts w:ascii="宋体" w:hAnsi="宋体" w:cs="宋体" w:eastAsia="宋体" w:hint="default"/>
                <w:sz w:val="18"/>
                <w:szCs w:val="18"/>
              </w:rPr>
            </w:pPr>
            <w:r>
              <w:rPr>
                <w:rFonts w:ascii="宋体" w:hAnsi="宋体" w:cs="宋体" w:eastAsia="宋体" w:hint="default"/>
                <w:sz w:val="18"/>
                <w:szCs w:val="18"/>
              </w:rPr>
              <w:t>被投资公司 名称</w:t>
            </w:r>
          </w:p>
        </w:tc>
        <w:tc>
          <w:tcPr>
            <w:tcW w:w="8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3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0" w:right="78"/>
              <w:jc w:val="both"/>
              <w:rPr>
                <w:rFonts w:ascii="宋体" w:hAnsi="宋体" w:cs="宋体" w:eastAsia="宋体" w:hint="default"/>
                <w:sz w:val="18"/>
                <w:szCs w:val="18"/>
              </w:rPr>
            </w:pPr>
            <w:r>
              <w:rPr>
                <w:rFonts w:ascii="宋体" w:hAnsi="宋体" w:cs="宋体" w:eastAsia="宋体" w:hint="default"/>
                <w:sz w:val="18"/>
                <w:szCs w:val="18"/>
              </w:rPr>
              <w:t>投 资 方 式</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7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62" w:right="82"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14" w:right="34"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3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合作方</w:t>
            </w:r>
          </w:p>
        </w:tc>
        <w:tc>
          <w:tcPr>
            <w:tcW w:w="3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0" w:right="79"/>
              <w:jc w:val="both"/>
              <w:rPr>
                <w:rFonts w:ascii="宋体" w:hAnsi="宋体" w:cs="宋体" w:eastAsia="宋体" w:hint="default"/>
                <w:sz w:val="18"/>
                <w:szCs w:val="18"/>
              </w:rPr>
            </w:pPr>
            <w:r>
              <w:rPr>
                <w:rFonts w:ascii="宋体" w:hAnsi="宋体" w:cs="宋体" w:eastAsia="宋体" w:hint="default"/>
                <w:sz w:val="18"/>
                <w:szCs w:val="18"/>
              </w:rPr>
              <w:t>投 资 期 限</w:t>
            </w:r>
          </w:p>
        </w:tc>
        <w:tc>
          <w:tcPr>
            <w:tcW w:w="8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6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2" w:right="71"/>
              <w:jc w:val="center"/>
              <w:rPr>
                <w:rFonts w:ascii="宋体" w:hAnsi="宋体" w:cs="宋体" w:eastAsia="宋体" w:hint="default"/>
                <w:sz w:val="18"/>
                <w:szCs w:val="18"/>
              </w:rPr>
            </w:pPr>
            <w:r>
              <w:rPr>
                <w:rFonts w:ascii="宋体" w:hAnsi="宋体" w:cs="宋体" w:eastAsia="宋体" w:hint="default"/>
                <w:sz w:val="18"/>
                <w:szCs w:val="18"/>
              </w:rPr>
              <w:t>截至资 产负债 表日的 进展情 况</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预计收益</w:t>
            </w:r>
          </w:p>
        </w:tc>
        <w:tc>
          <w:tcPr>
            <w:tcW w:w="11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54" w:right="95" w:hanging="360"/>
              <w:jc w:val="left"/>
              <w:rPr>
                <w:rFonts w:ascii="宋体" w:hAnsi="宋体" w:cs="宋体" w:eastAsia="宋体" w:hint="default"/>
                <w:sz w:val="18"/>
                <w:szCs w:val="18"/>
              </w:rPr>
            </w:pPr>
            <w:r>
              <w:rPr>
                <w:rFonts w:ascii="宋体" w:hAnsi="宋体" w:cs="宋体" w:eastAsia="宋体" w:hint="default"/>
                <w:sz w:val="18"/>
                <w:szCs w:val="18"/>
              </w:rPr>
              <w:t>本期投资盈 亏</w:t>
            </w:r>
          </w:p>
        </w:tc>
        <w:tc>
          <w:tcPr>
            <w:tcW w:w="3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0" w:right="78"/>
              <w:jc w:val="both"/>
              <w:rPr>
                <w:rFonts w:ascii="宋体" w:hAnsi="宋体" w:cs="宋体" w:eastAsia="宋体" w:hint="default"/>
                <w:sz w:val="18"/>
                <w:szCs w:val="18"/>
              </w:rPr>
            </w:pPr>
            <w:r>
              <w:rPr>
                <w:rFonts w:ascii="宋体" w:hAnsi="宋体" w:cs="宋体" w:eastAsia="宋体" w:hint="default"/>
                <w:sz w:val="18"/>
                <w:szCs w:val="18"/>
              </w:rPr>
              <w:t>是 否 涉 诉</w:t>
            </w:r>
          </w:p>
        </w:tc>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1" w:right="53"/>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9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披露索引</w:t>
            </w:r>
          </w:p>
          <w:p>
            <w:pPr>
              <w:pStyle w:val="TableParagraph"/>
              <w:spacing w:line="240" w:lineRule="auto" w:before="76"/>
              <w:ind w:left="86" w:right="0"/>
              <w:jc w:val="left"/>
              <w:rPr>
                <w:rFonts w:ascii="宋体" w:hAnsi="宋体" w:cs="宋体" w:eastAsia="宋体" w:hint="default"/>
                <w:sz w:val="18"/>
                <w:szCs w:val="18"/>
              </w:rPr>
            </w:pPr>
            <w:r>
              <w:rPr>
                <w:rFonts w:ascii="宋体" w:hAnsi="宋体" w:cs="宋体" w:eastAsia="宋体" w:hint="default"/>
                <w:sz w:val="18"/>
                <w:szCs w:val="18"/>
              </w:rPr>
              <w:t>（如有）</w:t>
            </w:r>
          </w:p>
        </w:tc>
      </w:tr>
      <w:tr>
        <w:trPr>
          <w:trHeight w:val="1026" w:hRule="exact"/>
        </w:trPr>
        <w:tc>
          <w:tcPr>
            <w:tcW w:w="11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69"/>
              <w:jc w:val="both"/>
              <w:rPr>
                <w:rFonts w:ascii="宋体" w:hAnsi="宋体" w:cs="宋体" w:eastAsia="宋体" w:hint="default"/>
                <w:sz w:val="18"/>
                <w:szCs w:val="18"/>
              </w:rPr>
            </w:pPr>
            <w:r>
              <w:rPr>
                <w:rFonts w:ascii="宋体" w:hAnsi="宋体" w:cs="宋体" w:eastAsia="宋体" w:hint="default"/>
                <w:sz w:val="18"/>
                <w:szCs w:val="18"/>
              </w:rPr>
              <w:t>杭州看看十 度网络科技 有限公司</w:t>
            </w:r>
          </w:p>
        </w:tc>
        <w:tc>
          <w:tcPr>
            <w:tcW w:w="8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网络视频</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6"/>
              <w:jc w:val="left"/>
              <w:rPr>
                <w:rFonts w:ascii="宋体" w:hAnsi="宋体" w:cs="宋体" w:eastAsia="宋体" w:hint="default"/>
                <w:sz w:val="18"/>
                <w:szCs w:val="18"/>
              </w:rPr>
            </w:pPr>
            <w:r>
              <w:rPr>
                <w:rFonts w:ascii="宋体" w:hAnsi="宋体" w:cs="宋体" w:eastAsia="宋体" w:hint="default"/>
                <w:sz w:val="18"/>
                <w:szCs w:val="18"/>
              </w:rPr>
              <w:t>新 设</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1,020,000.00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34.00%</w:t>
            </w:r>
          </w:p>
        </w:tc>
        <w:tc>
          <w:tcPr>
            <w:tcW w:w="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34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4"/>
                <w:sz w:val="18"/>
                <w:szCs w:val="18"/>
              </w:rPr>
              <w:t>重庆看看十度网络科技投资有限公司、杭州</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荣和文化创意有限公司</w:t>
            </w:r>
          </w:p>
        </w:tc>
        <w:tc>
          <w:tcPr>
            <w:tcW w:w="3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年</w:t>
            </w:r>
          </w:p>
        </w:tc>
        <w:tc>
          <w:tcPr>
            <w:tcW w:w="8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网络视频</w:t>
            </w:r>
          </w:p>
        </w:tc>
        <w:tc>
          <w:tcPr>
            <w:tcW w:w="6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20"/>
              <w:jc w:val="left"/>
              <w:rPr>
                <w:rFonts w:ascii="宋体" w:hAnsi="宋体" w:cs="宋体" w:eastAsia="宋体" w:hint="default"/>
                <w:sz w:val="18"/>
                <w:szCs w:val="18"/>
              </w:rPr>
            </w:pPr>
            <w:r>
              <w:rPr>
                <w:rFonts w:ascii="宋体" w:hAnsi="宋体" w:cs="宋体" w:eastAsia="宋体" w:hint="default"/>
                <w:sz w:val="18"/>
                <w:szCs w:val="18"/>
              </w:rPr>
              <w:t>公司成 立</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-150,580.19</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71"/>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2015-023</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1026" w:hRule="exact"/>
        </w:trPr>
        <w:tc>
          <w:tcPr>
            <w:tcW w:w="11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快点文化传 </w:t>
            </w:r>
            <w:r>
              <w:rPr>
                <w:rFonts w:ascii="宋体" w:hAnsi="宋体" w:cs="宋体" w:eastAsia="宋体" w:hint="default"/>
                <w:spacing w:val="-6"/>
                <w:sz w:val="18"/>
                <w:szCs w:val="18"/>
              </w:rPr>
              <w:t>播（上海）有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6"/>
              <w:jc w:val="left"/>
              <w:rPr>
                <w:rFonts w:ascii="宋体" w:hAnsi="宋体" w:cs="宋体" w:eastAsia="宋体" w:hint="default"/>
                <w:sz w:val="18"/>
                <w:szCs w:val="18"/>
              </w:rPr>
            </w:pPr>
            <w:r>
              <w:rPr>
                <w:rFonts w:ascii="宋体" w:hAnsi="宋体" w:cs="宋体" w:eastAsia="宋体" w:hint="default"/>
                <w:sz w:val="18"/>
                <w:szCs w:val="18"/>
              </w:rPr>
              <w:t>收 购</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213,882,015.00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34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33"/>
              <w:jc w:val="left"/>
              <w:rPr>
                <w:rFonts w:ascii="宋体" w:hAnsi="宋体" w:cs="宋体" w:eastAsia="宋体" w:hint="default"/>
                <w:sz w:val="18"/>
                <w:szCs w:val="18"/>
              </w:rPr>
            </w:pPr>
            <w:r>
              <w:rPr>
                <w:rFonts w:ascii="宋体" w:hAnsi="宋体" w:cs="宋体" w:eastAsia="宋体" w:hint="default"/>
                <w:spacing w:val="-4"/>
                <w:sz w:val="18"/>
                <w:szCs w:val="18"/>
              </w:rPr>
              <w:t>林鹭华、韩</w:t>
            </w:r>
            <w:r>
              <w:rPr>
                <w:rFonts w:ascii="宋体" w:hAnsi="宋体" w:cs="宋体" w:eastAsia="宋体" w:hint="default"/>
                <w:spacing w:val="2"/>
                <w:sz w:val="18"/>
                <w:szCs w:val="18"/>
              </w:rPr>
              <w:t> </w:t>
            </w:r>
            <w:r>
              <w:rPr>
                <w:rFonts w:ascii="宋体" w:hAnsi="宋体" w:cs="宋体" w:eastAsia="宋体" w:hint="default"/>
                <w:spacing w:val="-6"/>
                <w:sz w:val="18"/>
                <w:szCs w:val="18"/>
              </w:rPr>
              <w:t>锋、杨治国、蒋谢珍、刘志英、</w:t>
            </w:r>
            <w:r>
              <w:rPr>
                <w:rFonts w:ascii="宋体" w:hAnsi="宋体" w:cs="宋体" w:eastAsia="宋体" w:hint="default"/>
                <w:spacing w:val="-34"/>
                <w:sz w:val="18"/>
                <w:szCs w:val="18"/>
              </w:rPr>
              <w:t> </w:t>
            </w:r>
            <w:r>
              <w:rPr>
                <w:rFonts w:ascii="宋体" w:hAnsi="宋体" w:cs="宋体" w:eastAsia="宋体" w:hint="default"/>
                <w:sz w:val="18"/>
                <w:szCs w:val="18"/>
              </w:rPr>
              <w:t>冯岚、郑美月、</w:t>
            </w:r>
          </w:p>
        </w:tc>
        <w:tc>
          <w:tcPr>
            <w:tcW w:w="3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7"/>
              <w:jc w:val="left"/>
              <w:rPr>
                <w:rFonts w:ascii="宋体" w:hAnsi="宋体" w:cs="宋体" w:eastAsia="宋体" w:hint="default"/>
                <w:sz w:val="18"/>
                <w:szCs w:val="18"/>
              </w:rPr>
            </w:pPr>
            <w:r>
              <w:rPr>
                <w:rFonts w:ascii="宋体" w:hAnsi="宋体" w:cs="宋体" w:eastAsia="宋体" w:hint="default"/>
                <w:sz w:val="18"/>
                <w:szCs w:val="18"/>
              </w:rPr>
              <w:t>长 期</w:t>
            </w:r>
          </w:p>
        </w:tc>
        <w:tc>
          <w:tcPr>
            <w:tcW w:w="8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6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20"/>
              <w:jc w:val="left"/>
              <w:rPr>
                <w:rFonts w:ascii="宋体" w:hAnsi="宋体" w:cs="宋体" w:eastAsia="宋体" w:hint="default"/>
                <w:sz w:val="18"/>
                <w:szCs w:val="18"/>
              </w:rPr>
            </w:pPr>
            <w:r>
              <w:rPr>
                <w:rFonts w:ascii="宋体" w:hAnsi="宋体" w:cs="宋体" w:eastAsia="宋体" w:hint="default"/>
                <w:sz w:val="18"/>
                <w:szCs w:val="18"/>
              </w:rPr>
              <w:t>交易完 成</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15,810,000.00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10,694,612.02</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2015-035</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1026" w:hRule="exact"/>
        </w:trPr>
        <w:tc>
          <w:tcPr>
            <w:tcW w:w="11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69"/>
              <w:jc w:val="both"/>
              <w:rPr>
                <w:rFonts w:ascii="宋体" w:hAnsi="宋体" w:cs="宋体" w:eastAsia="宋体" w:hint="default"/>
                <w:sz w:val="18"/>
                <w:szCs w:val="18"/>
              </w:rPr>
            </w:pPr>
            <w:r>
              <w:rPr>
                <w:rFonts w:ascii="宋体" w:hAnsi="宋体" w:cs="宋体" w:eastAsia="宋体" w:hint="default"/>
                <w:sz w:val="18"/>
                <w:szCs w:val="18"/>
              </w:rPr>
              <w:t>杭州华泰一 媒文化传媒 有限公司</w:t>
            </w:r>
          </w:p>
        </w:tc>
        <w:tc>
          <w:tcPr>
            <w:tcW w:w="8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6"/>
              <w:jc w:val="left"/>
              <w:rPr>
                <w:rFonts w:ascii="宋体" w:hAnsi="宋体" w:cs="宋体" w:eastAsia="宋体" w:hint="default"/>
                <w:sz w:val="18"/>
                <w:szCs w:val="18"/>
              </w:rPr>
            </w:pPr>
            <w:r>
              <w:rPr>
                <w:rFonts w:ascii="宋体" w:hAnsi="宋体" w:cs="宋体" w:eastAsia="宋体" w:hint="default"/>
                <w:sz w:val="18"/>
                <w:szCs w:val="18"/>
              </w:rPr>
              <w:t>新 设</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5,100,000.00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34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杭州泰一指尚科技有限公司</w:t>
            </w:r>
          </w:p>
        </w:tc>
        <w:tc>
          <w:tcPr>
            <w:tcW w:w="3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7"/>
              <w:jc w:val="left"/>
              <w:rPr>
                <w:rFonts w:ascii="宋体" w:hAnsi="宋体" w:cs="宋体" w:eastAsia="宋体" w:hint="default"/>
                <w:sz w:val="18"/>
                <w:szCs w:val="18"/>
              </w:rPr>
            </w:pPr>
            <w:r>
              <w:rPr>
                <w:rFonts w:ascii="宋体" w:hAnsi="宋体" w:cs="宋体" w:eastAsia="宋体" w:hint="default"/>
                <w:sz w:val="18"/>
                <w:szCs w:val="18"/>
              </w:rPr>
              <w:t>长 期</w:t>
            </w:r>
          </w:p>
        </w:tc>
        <w:tc>
          <w:tcPr>
            <w:tcW w:w="8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6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20"/>
              <w:jc w:val="left"/>
              <w:rPr>
                <w:rFonts w:ascii="宋体" w:hAnsi="宋体" w:cs="宋体" w:eastAsia="宋体" w:hint="default"/>
                <w:sz w:val="18"/>
                <w:szCs w:val="18"/>
              </w:rPr>
            </w:pPr>
            <w:r>
              <w:rPr>
                <w:rFonts w:ascii="宋体" w:hAnsi="宋体" w:cs="宋体" w:eastAsia="宋体" w:hint="default"/>
                <w:sz w:val="18"/>
                <w:szCs w:val="18"/>
              </w:rPr>
              <w:t>公司成 立</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-239,341.22</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2015-044</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1338" w:hRule="exact"/>
        </w:trPr>
        <w:tc>
          <w:tcPr>
            <w:tcW w:w="11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杭州华媒泽 商创业投资 </w:t>
            </w:r>
            <w:r>
              <w:rPr>
                <w:rFonts w:ascii="宋体" w:hAnsi="宋体" w:cs="宋体" w:eastAsia="宋体" w:hint="default"/>
                <w:spacing w:val="-6"/>
                <w:sz w:val="18"/>
                <w:szCs w:val="18"/>
              </w:rPr>
              <w:t>合伙企业（有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限合伙）</w:t>
            </w:r>
          </w:p>
        </w:tc>
        <w:tc>
          <w:tcPr>
            <w:tcW w:w="8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36"/>
              <w:jc w:val="left"/>
              <w:rPr>
                <w:rFonts w:ascii="宋体" w:hAnsi="宋体" w:cs="宋体" w:eastAsia="宋体" w:hint="default"/>
                <w:sz w:val="18"/>
                <w:szCs w:val="18"/>
              </w:rPr>
            </w:pPr>
            <w:r>
              <w:rPr>
                <w:rFonts w:ascii="宋体" w:hAnsi="宋体" w:cs="宋体" w:eastAsia="宋体" w:hint="default"/>
                <w:sz w:val="18"/>
                <w:szCs w:val="18"/>
              </w:rPr>
              <w:t>新 设</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w:t>
            </w:r>
          </w:p>
        </w:tc>
        <w:tc>
          <w:tcPr>
            <w:tcW w:w="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46"/>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34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浙江浙商创业投资管理集团有限公司</w:t>
            </w:r>
          </w:p>
        </w:tc>
        <w:tc>
          <w:tcPr>
            <w:tcW w:w="3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p>
        </w:tc>
        <w:tc>
          <w:tcPr>
            <w:tcW w:w="8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6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20"/>
              <w:jc w:val="left"/>
              <w:rPr>
                <w:rFonts w:ascii="宋体" w:hAnsi="宋体" w:cs="宋体" w:eastAsia="宋体" w:hint="default"/>
                <w:sz w:val="18"/>
                <w:szCs w:val="18"/>
              </w:rPr>
            </w:pPr>
            <w:r>
              <w:rPr>
                <w:rFonts w:ascii="宋体" w:hAnsi="宋体" w:cs="宋体" w:eastAsia="宋体" w:hint="default"/>
                <w:sz w:val="18"/>
                <w:szCs w:val="18"/>
              </w:rPr>
              <w:t>公司成 立</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-243,009.22</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2015-013</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1026" w:hRule="exact"/>
        </w:trPr>
        <w:tc>
          <w:tcPr>
            <w:tcW w:w="11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69"/>
              <w:jc w:val="both"/>
              <w:rPr>
                <w:rFonts w:ascii="宋体" w:hAnsi="宋体" w:cs="宋体" w:eastAsia="宋体" w:hint="default"/>
                <w:sz w:val="18"/>
                <w:szCs w:val="18"/>
              </w:rPr>
            </w:pPr>
            <w:r>
              <w:rPr>
                <w:rFonts w:ascii="宋体" w:hAnsi="宋体" w:cs="宋体" w:eastAsia="宋体" w:hint="default"/>
                <w:sz w:val="18"/>
                <w:szCs w:val="18"/>
              </w:rPr>
              <w:t>上海合印包 装服务有限 公司</w:t>
            </w:r>
          </w:p>
        </w:tc>
        <w:tc>
          <w:tcPr>
            <w:tcW w:w="8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印刷</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6"/>
              <w:jc w:val="left"/>
              <w:rPr>
                <w:rFonts w:ascii="宋体" w:hAnsi="宋体" w:cs="宋体" w:eastAsia="宋体" w:hint="default"/>
                <w:sz w:val="18"/>
                <w:szCs w:val="18"/>
              </w:rPr>
            </w:pPr>
            <w:r>
              <w:rPr>
                <w:rFonts w:ascii="宋体" w:hAnsi="宋体" w:cs="宋体" w:eastAsia="宋体" w:hint="default"/>
                <w:sz w:val="18"/>
                <w:szCs w:val="18"/>
              </w:rPr>
              <w:t>增 资</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55,380,000.00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30.84%</w:t>
            </w:r>
          </w:p>
        </w:tc>
        <w:tc>
          <w:tcPr>
            <w:tcW w:w="62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34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茅迅毅、吴以亮</w:t>
            </w:r>
          </w:p>
        </w:tc>
        <w:tc>
          <w:tcPr>
            <w:tcW w:w="3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37"/>
              <w:jc w:val="left"/>
              <w:rPr>
                <w:rFonts w:ascii="宋体" w:hAnsi="宋体" w:cs="宋体" w:eastAsia="宋体" w:hint="default"/>
                <w:sz w:val="18"/>
                <w:szCs w:val="18"/>
              </w:rPr>
            </w:pPr>
            <w:r>
              <w:rPr>
                <w:rFonts w:ascii="宋体" w:hAnsi="宋体" w:cs="宋体" w:eastAsia="宋体" w:hint="default"/>
                <w:sz w:val="18"/>
                <w:szCs w:val="18"/>
              </w:rPr>
              <w:t>长 期</w:t>
            </w:r>
          </w:p>
        </w:tc>
        <w:tc>
          <w:tcPr>
            <w:tcW w:w="87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印刷</w:t>
            </w:r>
          </w:p>
        </w:tc>
        <w:tc>
          <w:tcPr>
            <w:tcW w:w="6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20"/>
              <w:jc w:val="left"/>
              <w:rPr>
                <w:rFonts w:ascii="宋体" w:hAnsi="宋体" w:cs="宋体" w:eastAsia="宋体" w:hint="default"/>
                <w:sz w:val="18"/>
                <w:szCs w:val="18"/>
              </w:rPr>
            </w:pPr>
            <w:r>
              <w:rPr>
                <w:rFonts w:ascii="宋体" w:hAnsi="宋体" w:cs="宋体" w:eastAsia="宋体" w:hint="default"/>
                <w:sz w:val="18"/>
                <w:szCs w:val="18"/>
              </w:rPr>
              <w:t>公司成 立</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8,789,400.00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8,469,310.11</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0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2015-051</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号公告</w:t>
            </w:r>
          </w:p>
        </w:tc>
      </w:tr>
    </w:tbl>
    <w:p>
      <w:pPr>
        <w:spacing w:after="0" w:line="240" w:lineRule="auto"/>
        <w:jc w:val="left"/>
        <w:rPr>
          <w:rFonts w:ascii="宋体" w:hAnsi="宋体" w:cs="宋体" w:eastAsia="宋体" w:hint="default"/>
          <w:sz w:val="18"/>
          <w:szCs w:val="18"/>
        </w:rPr>
        <w:sectPr>
          <w:headerReference w:type="default" r:id="rId12"/>
          <w:footerReference w:type="default" r:id="rId13"/>
          <w:pgSz w:w="16840" w:h="11910" w:orient="landscape"/>
          <w:pgMar w:header="867" w:footer="978" w:top="1060" w:bottom="1160" w:left="1300" w:right="1020"/>
          <w:pgNumType w:start="22"/>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4"/>
        <w:ind w:left="139" w:right="-20" w:firstLine="0"/>
        <w:jc w:val="left"/>
        <w:rPr>
          <w:rFonts w:ascii="宋体" w:hAnsi="宋体" w:cs="宋体" w:eastAsia="宋体" w:hint="default"/>
          <w:sz w:val="18"/>
          <w:szCs w:val="18"/>
        </w:rPr>
      </w:pPr>
      <w:r>
        <w:rPr>
          <w:rFonts w:ascii="宋体" w:hAnsi="宋体" w:cs="宋体" w:eastAsia="宋体" w:hint="default"/>
          <w:sz w:val="18"/>
          <w:szCs w:val="18"/>
        </w:rPr>
        <w:t>北京精典博</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196" w:lineRule="exact" w:before="124"/>
        <w:ind w:left="139" w:right="0" w:firstLine="0"/>
        <w:jc w:val="left"/>
        <w:rPr>
          <w:rFonts w:ascii="宋体" w:hAnsi="宋体" w:cs="宋体" w:eastAsia="宋体" w:hint="default"/>
          <w:sz w:val="18"/>
          <w:szCs w:val="18"/>
        </w:rPr>
      </w:pPr>
      <w:r>
        <w:rPr>
          <w:rFonts w:ascii="宋体" w:hAnsi="宋体" w:cs="宋体" w:eastAsia="宋体" w:hint="default"/>
          <w:sz w:val="18"/>
          <w:szCs w:val="18"/>
        </w:rPr>
        <w:t>图书、广</w:t>
      </w:r>
    </w:p>
    <w:p>
      <w:pPr>
        <w:spacing w:line="172"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收</w:t>
      </w:r>
    </w:p>
    <w:p>
      <w:pPr>
        <w:spacing w:line="316" w:lineRule="auto" w:before="128"/>
        <w:ind w:left="760" w:right="226" w:firstLine="0"/>
        <w:jc w:val="left"/>
        <w:rPr>
          <w:rFonts w:ascii="宋体" w:hAnsi="宋体" w:cs="宋体" w:eastAsia="宋体" w:hint="default"/>
          <w:sz w:val="18"/>
          <w:szCs w:val="18"/>
        </w:rPr>
      </w:pPr>
      <w:r>
        <w:rPr>
          <w:spacing w:val="-4"/>
        </w:rPr>
        <w:br w:type="column"/>
      </w:r>
      <w:r>
        <w:rPr>
          <w:rFonts w:ascii="宋体" w:hAnsi="宋体" w:cs="宋体" w:eastAsia="宋体" w:hint="default"/>
          <w:spacing w:val="-4"/>
          <w:sz w:val="18"/>
          <w:szCs w:val="18"/>
        </w:rPr>
        <w:t>吴梅林、曹金玲、北京瑞益创享文化投资中</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心（有限合伙）、钱淼根、杭州文广创业投</w:t>
      </w:r>
    </w:p>
    <w:p>
      <w:pPr>
        <w:spacing w:line="212" w:lineRule="exact" w:before="19"/>
        <w:ind w:left="139" w:right="-18" w:firstLine="0"/>
        <w:jc w:val="left"/>
        <w:rPr>
          <w:rFonts w:ascii="宋体" w:hAnsi="宋体" w:cs="宋体" w:eastAsia="宋体" w:hint="default"/>
          <w:sz w:val="18"/>
          <w:szCs w:val="18"/>
        </w:rPr>
      </w:pPr>
      <w:r>
        <w:rPr/>
        <w:pict>
          <v:group style="position:absolute;margin-left:70.130997pt;margin-top:-34.738274pt;width:715.1pt;height:408.1pt;mso-position-horizontal-relative:page;mso-position-vertical-relative:paragraph;z-index:-1260640" coordorigin="1403,-695" coordsize="14302,8162">
            <v:group style="position:absolute;left:1410;top:-688;width:14019;height:2" coordorigin="1410,-688" coordsize="14019,2">
              <v:shape style="position:absolute;left:1410;top:-688;width:14019;height:2" coordorigin="1410,-688" coordsize="14019,0" path="m1410,-688l15428,-688e" filled="false" stroked="true" strokeweight=".72pt" strokecolor="#000000">
                <v:path arrowok="t"/>
              </v:shape>
            </v:group>
            <v:group style="position:absolute;left:1429;top:-656;width:2;height:1953" coordorigin="1429,-656" coordsize="2,1953">
              <v:shape style="position:absolute;left:1429;top:-656;width:2;height:1953" coordorigin="1429,-656" coordsize="0,1953" path="m1429,-656l1429,1296e" filled="false" stroked="true" strokeweight="1.1pt" strokecolor="#c7edcc">
                <v:path arrowok="t"/>
              </v:shape>
            </v:group>
            <v:group style="position:absolute;left:1440;top:-656;width:1072;height:468" coordorigin="1440,-656" coordsize="1072,468">
              <v:shape style="position:absolute;left:1440;top:-656;width:1072;height:468" coordorigin="1440,-656" coordsize="1072,468" path="m1440,-656l1440,-188,2512,-188,2512,-656,1440,-656xe" filled="true" fillcolor="#c7edcc" stroked="false">
                <v:path arrowok="t"/>
                <v:fill type="solid"/>
              </v:shape>
            </v:group>
            <v:group style="position:absolute;left:1440;top:828;width:1072;height:468" coordorigin="1440,828" coordsize="1072,468">
              <v:shape style="position:absolute;left:1440;top:828;width:1072;height:468" coordorigin="1440,828" coordsize="1072,468" path="m2511,1296l2511,828,1440,828,1440,1296,2511,1296xe" filled="true" fillcolor="#c7edcc" stroked="false">
                <v:path arrowok="t"/>
                <v:fill type="solid"/>
              </v:shape>
            </v:group>
            <v:group style="position:absolute;left:2499;top:-188;width:2;height:1017" coordorigin="2499,-188" coordsize="2,1017">
              <v:shape style="position:absolute;left:2499;top:-188;width:2;height:1017" coordorigin="2499,-188" coordsize="0,1017" path="m2499,-188l2499,828e" filled="false" stroked="true" strokeweight="1.2pt" strokecolor="#c7edcc">
                <v:path arrowok="t"/>
              </v:shape>
            </v:group>
            <v:group style="position:absolute;left:1440;top:-188;width:1048;height:353" coordorigin="1440,-188" coordsize="1048,353">
              <v:shape style="position:absolute;left:1440;top:-188;width:1048;height:353" coordorigin="1440,-188" coordsize="1048,353" path="m1440,-188l1440,164,2487,164,2487,-188,1440,-188xe" filled="true" fillcolor="#c7edcc" stroked="false">
                <v:path arrowok="t"/>
                <v:fill type="solid"/>
              </v:shape>
            </v:group>
            <v:group style="position:absolute;left:1440;top:164;width:1048;height:312" coordorigin="1440,164" coordsize="1048,312">
              <v:shape style="position:absolute;left:1440;top:164;width:1048;height:312" coordorigin="1440,164" coordsize="1048,312" path="m1440,164l1440,476,2487,476,2487,164,1440,164xe" filled="true" fillcolor="#c7edcc" stroked="false">
                <v:path arrowok="t"/>
                <v:fill type="solid"/>
              </v:shape>
            </v:group>
            <v:group style="position:absolute;left:1440;top:476;width:1048;height:352" coordorigin="1440,476" coordsize="1048,352">
              <v:shape style="position:absolute;left:1440;top:476;width:1048;height:352" coordorigin="1440,476" coordsize="1048,352" path="m1440,476l1440,828,2487,828,2487,476,1440,476xe" filled="true" fillcolor="#c7edcc" stroked="false">
                <v:path arrowok="t"/>
                <v:fill type="solid"/>
              </v:shape>
            </v:group>
            <v:group style="position:absolute;left:2533;top:-656;width:2;height:1953" coordorigin="2533,-656" coordsize="2,1953">
              <v:shape style="position:absolute;left:2533;top:-656;width:2;height:1953" coordorigin="2533,-656" coordsize="0,1953" path="m2533,-656l2533,1296e" filled="false" stroked="true" strokeweight="1.1pt" strokecolor="#c7edcc">
                <v:path arrowok="t"/>
              </v:shape>
            </v:group>
            <v:group style="position:absolute;left:2544;top:-656;width:842;height:468" coordorigin="2544,-656" coordsize="842,468">
              <v:shape style="position:absolute;left:2544;top:-656;width:842;height:468" coordorigin="2544,-656" coordsize="842,468" path="m2544,-656l2544,-188,3386,-188,3386,-656,2544,-656xe" filled="true" fillcolor="#c7edcc" stroked="false">
                <v:path arrowok="t"/>
                <v:fill type="solid"/>
              </v:shape>
            </v:group>
            <v:group style="position:absolute;left:2544;top:828;width:843;height:468" coordorigin="2544,828" coordsize="843,468">
              <v:shape style="position:absolute;left:2544;top:828;width:843;height:468" coordorigin="2544,828" coordsize="843,468" path="m3386,1296l3386,828,2544,828,2544,1296,3386,1296xe" filled="true" fillcolor="#c7edcc" stroked="false">
                <v:path arrowok="t"/>
                <v:fill type="solid"/>
              </v:shape>
            </v:group>
            <v:group style="position:absolute;left:3374;top:-188;width:2;height:1017" coordorigin="3374,-188" coordsize="2,1017">
              <v:shape style="position:absolute;left:3374;top:-188;width:2;height:1017" coordorigin="3374,-188" coordsize="0,1017" path="m3374,-188l3374,828e" filled="false" stroked="true" strokeweight="1.2pt" strokecolor="#c7edcc">
                <v:path arrowok="t"/>
              </v:shape>
            </v:group>
            <v:group style="position:absolute;left:2544;top:-188;width:819;height:353" coordorigin="2544,-188" coordsize="819,353">
              <v:shape style="position:absolute;left:2544;top:-188;width:819;height:353" coordorigin="2544,-188" coordsize="819,353" path="m2544,-188l2544,164,3362,164,3362,-188,2544,-188xe" filled="true" fillcolor="#c7edcc" stroked="false">
                <v:path arrowok="t"/>
                <v:fill type="solid"/>
              </v:shape>
            </v:group>
            <v:group style="position:absolute;left:2544;top:164;width:819;height:312" coordorigin="2544,164" coordsize="819,312">
              <v:shape style="position:absolute;left:2544;top:164;width:819;height:312" coordorigin="2544,164" coordsize="819,312" path="m2544,164l2544,476,3362,476,3362,164,2544,164xe" filled="true" fillcolor="#c7edcc" stroked="false">
                <v:path arrowok="t"/>
                <v:fill type="solid"/>
              </v:shape>
            </v:group>
            <v:group style="position:absolute;left:2544;top:476;width:819;height:352" coordorigin="2544,476" coordsize="819,352">
              <v:shape style="position:absolute;left:2544;top:476;width:819;height:352" coordorigin="2544,476" coordsize="819,352" path="m2544,476l2544,828,3362,828,3362,476,2544,476xe" filled="true" fillcolor="#c7edcc" stroked="false">
                <v:path arrowok="t"/>
                <v:fill type="solid"/>
              </v:shape>
            </v:group>
            <v:group style="position:absolute;left:5656;top:-656;width:2;height:1953" coordorigin="5656,-656" coordsize="2,1953">
              <v:shape style="position:absolute;left:5656;top:-656;width:2;height:1953" coordorigin="5656,-656" coordsize="0,1953" path="m5656,-656l5656,1296e" filled="false" stroked="true" strokeweight="1.2pt" strokecolor="#c7edcc">
                <v:path arrowok="t"/>
              </v:shape>
            </v:group>
            <v:group style="position:absolute;left:5668;top:-656;width:588;height:624" coordorigin="5668,-656" coordsize="588,624">
              <v:shape style="position:absolute;left:5668;top:-656;width:588;height:624" coordorigin="5668,-656" coordsize="588,624" path="m5668,-656l5668,-32,6256,-32,6256,-656,5668,-656xe" filled="true" fillcolor="#c7edcc" stroked="false">
                <v:path arrowok="t"/>
                <v:fill type="solid"/>
              </v:shape>
            </v:group>
            <v:group style="position:absolute;left:5667;top:672;width:588;height:624" coordorigin="5667,672" coordsize="588,624">
              <v:shape style="position:absolute;left:5667;top:672;width:588;height:624" coordorigin="5667,672" coordsize="588,624" path="m6255,1296l6255,672,5667,672,5667,1296,6255,1296xe" filled="true" fillcolor="#c7edcc" stroked="false">
                <v:path arrowok="t"/>
                <v:fill type="solid"/>
              </v:shape>
            </v:group>
            <v:group style="position:absolute;left:6243;top:-32;width:2;height:705" coordorigin="6243,-32" coordsize="2,705">
              <v:shape style="position:absolute;left:6243;top:-32;width:2;height:705" coordorigin="6243,-32" coordsize="0,705" path="m6243,-32l6243,672e" filled="false" stroked="true" strokeweight="1.2pt" strokecolor="#c7edcc">
                <v:path arrowok="t"/>
              </v:shape>
            </v:group>
            <v:group style="position:absolute;left:5667;top:-32;width:564;height:353" coordorigin="5667,-32" coordsize="564,353">
              <v:shape style="position:absolute;left:5667;top:-32;width:564;height:353" coordorigin="5667,-32" coordsize="564,353" path="m5667,-32l5667,320,6231,320,6231,-32,5667,-32xe" filled="true" fillcolor="#c7edcc" stroked="false">
                <v:path arrowok="t"/>
                <v:fill type="solid"/>
              </v:shape>
            </v:group>
            <v:group style="position:absolute;left:5667;top:320;width:564;height:352" coordorigin="5667,320" coordsize="564,352">
              <v:shape style="position:absolute;left:5667;top:320;width:564;height:352" coordorigin="5667,320" coordsize="564,352" path="m5667,320l5667,672,6231,672,6231,320,5667,320xe" filled="true" fillcolor="#c7edcc" stroked="false">
                <v:path arrowok="t"/>
                <v:fill type="solid"/>
              </v:shape>
            </v:group>
            <v:group style="position:absolute;left:6276;top:-656;width:2;height:1953" coordorigin="6276,-656" coordsize="2,1953">
              <v:shape style="position:absolute;left:6276;top:-656;width:2;height:1953" coordorigin="6276,-656" coordsize="0,1953" path="m6276,-656l6276,1296e" filled="false" stroked="true" strokeweight="1.140pt" strokecolor="#c7edcc">
                <v:path arrowok="t"/>
              </v:shape>
            </v:group>
            <v:group style="position:absolute;left:9654;top:-656;width:2;height:1953" coordorigin="9654,-656" coordsize="2,1953">
              <v:shape style="position:absolute;left:9654;top:-656;width:2;height:1953" coordorigin="9654,-656" coordsize="0,1953" path="m9654,-656l9654,1296e" filled="false" stroked="true" strokeweight="1.140pt" strokecolor="#c7edcc">
                <v:path arrowok="t"/>
              </v:shape>
            </v:group>
            <v:group style="position:absolute;left:6288;top:-656;width:3356;height:353" coordorigin="6288,-656" coordsize="3356,353">
              <v:shape style="position:absolute;left:6288;top:-656;width:3356;height:353" coordorigin="6288,-656" coordsize="3356,353" path="m6288,-656l6288,-304,9643,-304,9643,-656,6288,-656xe" filled="true" fillcolor="#c7edcc" stroked="false">
                <v:path arrowok="t"/>
                <v:fill type="solid"/>
              </v:shape>
            </v:group>
            <v:group style="position:absolute;left:6288;top:-304;width:3356;height:312" coordorigin="6288,-304" coordsize="3356,312">
              <v:shape style="position:absolute;left:6288;top:-304;width:3356;height:312" coordorigin="6288,-304" coordsize="3356,312" path="m6288,-304l6288,8,9643,8,9643,-304,6288,-304xe" filled="true" fillcolor="#c7edcc" stroked="false">
                <v:path arrowok="t"/>
                <v:fill type="solid"/>
              </v:shape>
            </v:group>
            <v:group style="position:absolute;left:6288;top:8;width:3356;height:312" coordorigin="6288,8" coordsize="3356,312">
              <v:shape style="position:absolute;left:6288;top:8;width:3356;height:312" coordorigin="6288,8" coordsize="3356,312" path="m6288,8l6288,320,9643,320,9643,8,6288,8xe" filled="true" fillcolor="#c7edcc" stroked="false">
                <v:path arrowok="t"/>
                <v:fill type="solid"/>
              </v:shape>
            </v:group>
            <v:group style="position:absolute;left:6288;top:320;width:3356;height:312" coordorigin="6288,320" coordsize="3356,312">
              <v:shape style="position:absolute;left:6288;top:320;width:3356;height:312" coordorigin="6288,320" coordsize="3356,312" path="m6288,320l6288,632,9643,632,9643,320,6288,320xe" filled="true" fillcolor="#c7edcc" stroked="false">
                <v:path arrowok="t"/>
                <v:fill type="solid"/>
              </v:shape>
            </v:group>
            <v:group style="position:absolute;left:6288;top:632;width:3356;height:312" coordorigin="6288,632" coordsize="3356,312">
              <v:shape style="position:absolute;left:6288;top:632;width:3356;height:312" coordorigin="6288,632" coordsize="3356,312" path="m6288,632l6288,944,9643,944,9643,632,6288,632xe" filled="true" fillcolor="#c7edcc" stroked="false">
                <v:path arrowok="t"/>
                <v:fill type="solid"/>
              </v:shape>
            </v:group>
            <v:group style="position:absolute;left:6288;top:944;width:3356;height:352" coordorigin="6288,944" coordsize="3356,352">
              <v:shape style="position:absolute;left:6288;top:944;width:3356;height:352" coordorigin="6288,944" coordsize="3356,352" path="m6288,944l6288,1296,9643,1296,9643,944,6288,944xe" filled="true" fillcolor="#c7edcc" stroked="false">
                <v:path arrowok="t"/>
                <v:fill type="solid"/>
              </v:shape>
            </v:group>
            <v:group style="position:absolute;left:9675;top:-656;width:342;height:1329" coordorigin="9675,-656" coordsize="342,1329">
              <v:shape style="position:absolute;left:9675;top:-656;width:342;height:1329" coordorigin="9675,-656" coordsize="342,1329" path="m10017,-32l10017,-656,9675,-656,9836,-32,10017,-32xe" filled="true" fillcolor="#c7edcc" stroked="false">
                <v:path arrowok="t"/>
                <v:fill type="solid"/>
              </v:shape>
              <v:shape style="position:absolute;left:9675;top:-656;width:342;height:1329" coordorigin="9675,-656" coordsize="342,1329" path="m9993,672l9993,579,9836,-32,9698,-32,9698,672,9993,672xe" filled="true" fillcolor="#c7edcc" stroked="false">
                <v:path arrowok="t"/>
                <v:fill type="solid"/>
              </v:shape>
              <v:shape style="position:absolute;left:9675;top:-656;width:342;height:1329" coordorigin="9675,-656" coordsize="342,1329" path="m10017,672l10017,-32,9993,-32,9993,579,10017,672xe" filled="true" fillcolor="#c7edcc" stroked="false">
                <v:path arrowok="t"/>
                <v:fill type="solid"/>
              </v:shape>
            </v:group>
            <v:group style="position:absolute;left:9698;top:-32;width:296;height:353" coordorigin="9698,-32" coordsize="296,353">
              <v:shape style="position:absolute;left:9698;top:-32;width:296;height:353" coordorigin="9698,-32" coordsize="296,353" path="m9698,-32l9698,320,9993,320,9993,-32,9698,-32xe" filled="true" fillcolor="#c7edcc" stroked="false">
                <v:path arrowok="t"/>
                <v:fill type="solid"/>
              </v:shape>
            </v:group>
            <v:group style="position:absolute;left:9698;top:320;width:296;height:352" coordorigin="9698,320" coordsize="296,352">
              <v:shape style="position:absolute;left:9698;top:320;width:296;height:352" coordorigin="9698,320" coordsize="296,352" path="m9698,320l9698,672,9993,672,9993,320,9698,320xe" filled="true" fillcolor="#c7edcc" stroked="false">
                <v:path arrowok="t"/>
                <v:fill type="solid"/>
              </v:shape>
            </v:group>
            <v:group style="position:absolute;left:10038;top:-656;width:2;height:1953" coordorigin="10038,-656" coordsize="2,1953">
              <v:shape style="position:absolute;left:10038;top:-656;width:2;height:1953" coordorigin="10038,-656" coordsize="0,1953" path="m10038,-656l10038,1296e" filled="false" stroked="true" strokeweight="1.2pt" strokecolor="#c7edcc">
                <v:path arrowok="t"/>
              </v:shape>
            </v:group>
            <v:group style="position:absolute;left:10050;top:-656;width:842;height:468" coordorigin="10050,-656" coordsize="842,468">
              <v:shape style="position:absolute;left:10050;top:-656;width:842;height:468" coordorigin="10050,-656" coordsize="842,468" path="m10050,-656l10050,-188,10892,-188,10892,-656,10050,-656xe" filled="true" fillcolor="#c7edcc" stroked="false">
                <v:path arrowok="t"/>
                <v:fill type="solid"/>
              </v:shape>
            </v:group>
            <v:group style="position:absolute;left:10050;top:828;width:843;height:468" coordorigin="10050,828" coordsize="843,468">
              <v:shape style="position:absolute;left:10050;top:828;width:843;height:468" coordorigin="10050,828" coordsize="843,468" path="m10892,1296l10892,828,10050,828,10050,1296,10892,1296xe" filled="true" fillcolor="#c7edcc" stroked="false">
                <v:path arrowok="t"/>
                <v:fill type="solid"/>
              </v:shape>
            </v:group>
            <v:group style="position:absolute;left:10880;top:-188;width:2;height:1017" coordorigin="10880,-188" coordsize="2,1017">
              <v:shape style="position:absolute;left:10880;top:-188;width:2;height:1017" coordorigin="10880,-188" coordsize="0,1017" path="m10880,-188l10880,828e" filled="false" stroked="true" strokeweight="1.199pt" strokecolor="#c7edcc">
                <v:path arrowok="t"/>
              </v:shape>
            </v:group>
            <v:group style="position:absolute;left:10050;top:-188;width:819;height:353" coordorigin="10050,-188" coordsize="819,353">
              <v:shape style="position:absolute;left:10050;top:-188;width:819;height:353" coordorigin="10050,-188" coordsize="819,353" path="m10050,-188l10050,164,10868,164,10868,-188,10050,-188xe" filled="true" fillcolor="#c7edcc" stroked="false">
                <v:path arrowok="t"/>
                <v:fill type="solid"/>
              </v:shape>
            </v:group>
            <v:group style="position:absolute;left:10050;top:164;width:819;height:312" coordorigin="10050,164" coordsize="819,312">
              <v:shape style="position:absolute;left:10050;top:164;width:819;height:312" coordorigin="10050,164" coordsize="819,312" path="m10050,164l10050,476,10868,476,10868,164,10050,164xe" filled="true" fillcolor="#c7edcc" stroked="false">
                <v:path arrowok="t"/>
                <v:fill type="solid"/>
              </v:shape>
            </v:group>
            <v:group style="position:absolute;left:10050;top:476;width:819;height:352" coordorigin="10050,476" coordsize="819,352">
              <v:shape style="position:absolute;left:10050;top:476;width:819;height:352" coordorigin="10050,476" coordsize="819,352" path="m10050,476l10050,828,10868,828,10868,476,10050,476xe" filled="true" fillcolor="#c7edcc" stroked="false">
                <v:path arrowok="t"/>
                <v:fill type="solid"/>
              </v:shape>
            </v:group>
            <v:group style="position:absolute;left:10913;top:-656;width:2;height:1953" coordorigin="10913,-656" coordsize="2,1953">
              <v:shape style="position:absolute;left:10913;top:-656;width:2;height:1953" coordorigin="10913,-656" coordsize="0,1953" path="m10913,-656l10913,1296e" filled="false" stroked="true" strokeweight="1.1pt" strokecolor="#c7edcc">
                <v:path arrowok="t"/>
              </v:shape>
            </v:group>
            <v:group style="position:absolute;left:10924;top:-656;width:664;height:468" coordorigin="10924,-656" coordsize="664,468">
              <v:shape style="position:absolute;left:10924;top:-656;width:664;height:468" coordorigin="10924,-656" coordsize="664,468" path="m10924,-656l10924,-188,11588,-188,11588,-656,10924,-656xe" filled="true" fillcolor="#c7edcc" stroked="false">
                <v:path arrowok="t"/>
                <v:fill type="solid"/>
              </v:shape>
            </v:group>
            <v:group style="position:absolute;left:10925;top:828;width:663;height:468" coordorigin="10925,828" coordsize="663,468">
              <v:shape style="position:absolute;left:10925;top:828;width:663;height:468" coordorigin="10925,828" coordsize="663,468" path="m11587,1296l11587,828,10925,828,10925,1296,11587,1296xe" filled="true" fillcolor="#c7edcc" stroked="false">
                <v:path arrowok="t"/>
                <v:fill type="solid"/>
              </v:shape>
            </v:group>
            <v:group style="position:absolute;left:11576;top:-188;width:2;height:1017" coordorigin="11576,-188" coordsize="2,1017">
              <v:shape style="position:absolute;left:11576;top:-188;width:2;height:1017" coordorigin="11576,-188" coordsize="0,1017" path="m11576,-188l11576,828e" filled="false" stroked="true" strokeweight="1.141pt" strokecolor="#c7edcc">
                <v:path arrowok="t"/>
              </v:shape>
            </v:group>
            <v:group style="position:absolute;left:10925;top:-188;width:640;height:353" coordorigin="10925,-188" coordsize="640,353">
              <v:shape style="position:absolute;left:10925;top:-188;width:640;height:353" coordorigin="10925,-188" coordsize="640,353" path="m10925,-188l10925,164,11564,164,11564,-188,10925,-188xe" filled="true" fillcolor="#c7edcc" stroked="false">
                <v:path arrowok="t"/>
                <v:fill type="solid"/>
              </v:shape>
            </v:group>
            <v:group style="position:absolute;left:10925;top:164;width:640;height:312" coordorigin="10925,164" coordsize="640,312">
              <v:shape style="position:absolute;left:10925;top:164;width:640;height:312" coordorigin="10925,164" coordsize="640,312" path="m10925,164l10925,476,11564,476,11564,164,10925,164xe" filled="true" fillcolor="#c7edcc" stroked="false">
                <v:path arrowok="t"/>
                <v:fill type="solid"/>
              </v:shape>
            </v:group>
            <v:group style="position:absolute;left:10925;top:476;width:640;height:352" coordorigin="10925,476" coordsize="640,352">
              <v:shape style="position:absolute;left:10925;top:476;width:640;height:352" coordorigin="10925,476" coordsize="640,352" path="m10925,476l10925,828,11564,828,11564,476,10925,476xe" filled="true" fillcolor="#c7edcc" stroked="false">
                <v:path arrowok="t"/>
                <v:fill type="solid"/>
              </v:shape>
            </v:group>
            <v:group style="position:absolute;left:14806;top:-656;width:2;height:1953" coordorigin="14806,-656" coordsize="2,1953">
              <v:shape style="position:absolute;left:14806;top:-656;width:2;height:1953" coordorigin="14806,-656" coordsize="0,1953" path="m14806,-656l14806,1296e" filled="false" stroked="true" strokeweight="1.2pt" strokecolor="#c7edcc">
                <v:path arrowok="t"/>
              </v:shape>
            </v:group>
            <v:group style="position:absolute;left:14818;top:-656;width:872;height:624" coordorigin="14818,-656" coordsize="872,624">
              <v:shape style="position:absolute;left:14818;top:-656;width:872;height:624" coordorigin="14818,-656" coordsize="872,624" path="m14818,-656l14818,-32,15690,-32,15690,-656,14818,-656xe" filled="true" fillcolor="#c7edcc" stroked="false">
                <v:path arrowok="t"/>
                <v:fill type="solid"/>
              </v:shape>
            </v:group>
            <v:group style="position:absolute;left:14817;top:672;width:873;height:624" coordorigin="14817,672" coordsize="873,624">
              <v:shape style="position:absolute;left:14817;top:672;width:873;height:624" coordorigin="14817,672" coordsize="873,624" path="m15690,1296l15690,672,14817,672,14817,1296,15690,1296xe" filled="true" fillcolor="#c7edcc" stroked="false">
                <v:path arrowok="t"/>
                <v:fill type="solid"/>
              </v:shape>
            </v:group>
            <v:group style="position:absolute;left:15678;top:-32;width:2;height:705" coordorigin="15678,-32" coordsize="2,705">
              <v:shape style="position:absolute;left:15678;top:-32;width:2;height:705" coordorigin="15678,-32" coordsize="0,705" path="m15678,-32l15678,672e" filled="false" stroked="true" strokeweight="1.140pt" strokecolor="#c7edcc">
                <v:path arrowok="t"/>
              </v:shape>
            </v:group>
            <v:group style="position:absolute;left:14817;top:-32;width:850;height:353" coordorigin="14817,-32" coordsize="850,353">
              <v:shape style="position:absolute;left:14817;top:-32;width:850;height:353" coordorigin="14817,-32" coordsize="850,353" path="m14817,-32l14817,320,15667,320,15667,-32,14817,-32xe" filled="true" fillcolor="#c7edcc" stroked="false">
                <v:path arrowok="t"/>
                <v:fill type="solid"/>
              </v:shape>
            </v:group>
            <v:group style="position:absolute;left:14817;top:320;width:850;height:352" coordorigin="14817,320" coordsize="850,352">
              <v:shape style="position:absolute;left:14817;top:320;width:850;height:352" coordorigin="14817,320" coordsize="850,352" path="m14817,320l14817,672,15667,672,15667,320,14817,320xe" filled="true" fillcolor="#c7edcc" stroked="false">
                <v:path arrowok="t"/>
                <v:fill type="solid"/>
              </v:shape>
            </v:group>
            <v:group style="position:absolute;left:1407;top:-661;width:14292;height:2" coordorigin="1407,-661" coordsize="14292,2">
              <v:shape style="position:absolute;left:1407;top:-661;width:14292;height:2" coordorigin="1407,-661" coordsize="14292,0" path="m1407,-661l15699,-661e" filled="false" stroked="true" strokeweight=".48pt" strokecolor="#000000">
                <v:path arrowok="t"/>
              </v:shape>
            </v:group>
            <v:group style="position:absolute;left:2516;top:-656;width:2;height:1953" coordorigin="2516,-656" coordsize="2,1953">
              <v:shape style="position:absolute;left:2516;top:-656;width:2;height:1953" coordorigin="2516,-656" coordsize="0,1953" path="m2516,-656l2516,1296e" filled="false" stroked="true" strokeweight=".47998pt" strokecolor="#000000">
                <v:path arrowok="t"/>
              </v:shape>
            </v:group>
            <v:group style="position:absolute;left:3391;top:-656;width:2;height:1953" coordorigin="3391,-656" coordsize="2,1953">
              <v:shape style="position:absolute;left:3391;top:-656;width:2;height:1953" coordorigin="3391,-656" coordsize="0,1953" path="m3391,-656l3391,1296e" filled="false" stroked="true" strokeweight=".48pt" strokecolor="#000000">
                <v:path arrowok="t"/>
              </v:shape>
            </v:group>
            <v:group style="position:absolute;left:3741;top:-656;width:2;height:1953" coordorigin="3741,-656" coordsize="2,1953">
              <v:shape style="position:absolute;left:3741;top:-656;width:2;height:1953" coordorigin="3741,-656" coordsize="0,1953" path="m3741,-656l3741,1296e" filled="false" stroked="true" strokeweight=".48pt" strokecolor="#000000">
                <v:path arrowok="t"/>
              </v:shape>
            </v:group>
            <v:group style="position:absolute;left:4923;top:-656;width:2;height:1953" coordorigin="4923,-656" coordsize="2,1953">
              <v:shape style="position:absolute;left:4923;top:-656;width:2;height:1953" coordorigin="4923,-656" coordsize="0,1953" path="m4923,-656l4923,1296e" filled="false" stroked="true" strokeweight=".48pt" strokecolor="#000000">
                <v:path arrowok="t"/>
              </v:shape>
            </v:group>
            <v:group style="position:absolute;left:5640;top:-656;width:2;height:1953" coordorigin="5640,-656" coordsize="2,1953">
              <v:shape style="position:absolute;left:5640;top:-656;width:2;height:1953" coordorigin="5640,-656" coordsize="0,1953" path="m5640,-656l5640,1296e" filled="false" stroked="true" strokeweight=".48001pt" strokecolor="#000000">
                <v:path arrowok="t"/>
              </v:shape>
            </v:group>
            <v:group style="position:absolute;left:6260;top:-656;width:2;height:1953" coordorigin="6260,-656" coordsize="2,1953">
              <v:shape style="position:absolute;left:6260;top:-656;width:2;height:1953" coordorigin="6260,-656" coordsize="0,1953" path="m6260,-656l6260,1296e" filled="false" stroked="true" strokeweight=".48001pt" strokecolor="#000000">
                <v:path arrowok="t"/>
              </v:shape>
            </v:group>
            <v:group style="position:absolute;left:9671;top:-656;width:2;height:1953" coordorigin="9671,-656" coordsize="2,1953">
              <v:shape style="position:absolute;left:9671;top:-656;width:2;height:1953" coordorigin="9671,-656" coordsize="0,1953" path="m9671,-656l9671,1296e" filled="false" stroked="true" strokeweight=".48001pt" strokecolor="#000000">
                <v:path arrowok="t"/>
              </v:shape>
            </v:group>
            <v:group style="position:absolute;left:10022;top:-656;width:2;height:1953" coordorigin="10022,-656" coordsize="2,1953">
              <v:shape style="position:absolute;left:10022;top:-656;width:2;height:1953" coordorigin="10022,-656" coordsize="0,1953" path="m10022,-656l10022,1296e" filled="false" stroked="true" strokeweight=".48001pt" strokecolor="#000000">
                <v:path arrowok="t"/>
              </v:shape>
            </v:group>
            <v:group style="position:absolute;left:10897;top:-656;width:2;height:1953" coordorigin="10897,-656" coordsize="2,1953">
              <v:shape style="position:absolute;left:10897;top:-656;width:2;height:1953" coordorigin="10897,-656" coordsize="0,1953" path="m10897,-656l10897,1296e" filled="false" stroked="true" strokeweight=".48004pt" strokecolor="#000000">
                <v:path arrowok="t"/>
              </v:shape>
            </v:group>
            <v:group style="position:absolute;left:11592;top:-656;width:2;height:1953" coordorigin="11592,-656" coordsize="2,1953">
              <v:shape style="position:absolute;left:11592;top:-656;width:2;height:1953" coordorigin="11592,-656" coordsize="0,1953" path="m11592,-656l11592,1296e" filled="false" stroked="true" strokeweight=".47998pt" strokecolor="#000000">
                <v:path arrowok="t"/>
              </v:shape>
            </v:group>
            <v:group style="position:absolute;left:12683;top:-656;width:2;height:1953" coordorigin="12683,-656" coordsize="2,1953">
              <v:shape style="position:absolute;left:12683;top:-656;width:2;height:1953" coordorigin="12683,-656" coordsize="0,1953" path="m12683,-656l12683,1296e" filled="false" stroked="true" strokeweight=".47998pt" strokecolor="#000000">
                <v:path arrowok="t"/>
              </v:shape>
            </v:group>
            <v:group style="position:absolute;left:13784;top:-656;width:2;height:1953" coordorigin="13784,-656" coordsize="2,1953">
              <v:shape style="position:absolute;left:13784;top:-656;width:2;height:1953" coordorigin="13784,-656" coordsize="0,1953" path="m13784,-656l13784,1296e" filled="false" stroked="true" strokeweight=".47998pt" strokecolor="#000000">
                <v:path arrowok="t"/>
              </v:shape>
            </v:group>
            <v:group style="position:absolute;left:14135;top:-656;width:2;height:1953" coordorigin="14135,-656" coordsize="2,1953">
              <v:shape style="position:absolute;left:14135;top:-656;width:2;height:1953" coordorigin="14135,-656" coordsize="0,1953" path="m14135,-656l14135,1296e" filled="false" stroked="true" strokeweight=".48004pt" strokecolor="#000000">
                <v:path arrowok="t"/>
              </v:shape>
            </v:group>
            <v:group style="position:absolute;left:14790;top:-656;width:2;height:1953" coordorigin="14790,-656" coordsize="2,1953">
              <v:shape style="position:absolute;left:14790;top:-656;width:2;height:1953" coordorigin="14790,-656" coordsize="0,1953" path="m14790,-656l14790,1296e" filled="false" stroked="true" strokeweight=".47998pt" strokecolor="#000000">
                <v:path arrowok="t"/>
              </v:shape>
            </v:group>
            <v:group style="position:absolute;left:1428;top:1306;width:2;height:1329" coordorigin="1428,1306" coordsize="2,1329">
              <v:shape style="position:absolute;left:1428;top:1306;width:2;height:1329" coordorigin="1428,1306" coordsize="0,1329" path="m1428,1306l1428,2634e" filled="false" stroked="true" strokeweight="1.140pt" strokecolor="#c7edcc">
                <v:path arrowok="t"/>
              </v:shape>
            </v:group>
            <v:group style="position:absolute;left:2499;top:1306;width:2;height:1329" coordorigin="2499,1306" coordsize="2,1329">
              <v:shape style="position:absolute;left:2499;top:1306;width:2;height:1329" coordorigin="2499,1306" coordsize="0,1329" path="m2499,1306l2499,2634e" filled="false" stroked="true" strokeweight="1.2pt" strokecolor="#c7edcc">
                <v:path arrowok="t"/>
              </v:shape>
            </v:group>
            <v:group style="position:absolute;left:1440;top:1306;width:1048;height:353" coordorigin="1440,1306" coordsize="1048,353">
              <v:shape style="position:absolute;left:1440;top:1306;width:1048;height:353" coordorigin="1440,1306" coordsize="1048,353" path="m1440,1306l1440,1658,2487,1658,2487,1306,1440,1306xe" filled="true" fillcolor="#c7edcc" stroked="false">
                <v:path arrowok="t"/>
                <v:fill type="solid"/>
              </v:shape>
            </v:group>
            <v:group style="position:absolute;left:1440;top:1658;width:1048;height:312" coordorigin="1440,1658" coordsize="1048,312">
              <v:shape style="position:absolute;left:1440;top:1658;width:1048;height:312" coordorigin="1440,1658" coordsize="1048,312" path="m1440,1658l1440,1970,2487,1970,2487,1658,1440,1658xe" filled="true" fillcolor="#c7edcc" stroked="false">
                <v:path arrowok="t"/>
                <v:fill type="solid"/>
              </v:shape>
            </v:group>
            <v:group style="position:absolute;left:1440;top:1970;width:1048;height:312" coordorigin="1440,1970" coordsize="1048,312">
              <v:shape style="position:absolute;left:1440;top:1970;width:1048;height:312" coordorigin="1440,1970" coordsize="1048,312" path="m1440,1970l1440,2282,2487,2282,2487,1970,1440,1970xe" filled="true" fillcolor="#c7edcc" stroked="false">
                <v:path arrowok="t"/>
                <v:fill type="solid"/>
              </v:shape>
            </v:group>
            <v:group style="position:absolute;left:1440;top:2282;width:1048;height:352" coordorigin="1440,2282" coordsize="1048,352">
              <v:shape style="position:absolute;left:1440;top:2282;width:1048;height:352" coordorigin="1440,2282" coordsize="1048,352" path="m1440,2282l1440,2634,2487,2634,2487,2282,1440,2282xe" filled="true" fillcolor="#c7edcc" stroked="false">
                <v:path arrowok="t"/>
                <v:fill type="solid"/>
              </v:shape>
            </v:group>
            <v:group style="position:absolute;left:2533;top:1306;width:2;height:1329" coordorigin="2533,1306" coordsize="2,1329">
              <v:shape style="position:absolute;left:2533;top:1306;width:2;height:1329" coordorigin="2533,1306" coordsize="0,1329" path="m2533,1306l2533,2634e" filled="false" stroked="true" strokeweight="1.1pt" strokecolor="#c7edcc">
                <v:path arrowok="t"/>
              </v:shape>
            </v:group>
            <v:group style="position:absolute;left:2544;top:1306;width:842;height:312" coordorigin="2544,1306" coordsize="842,312">
              <v:shape style="position:absolute;left:2544;top:1306;width:842;height:312" coordorigin="2544,1306" coordsize="842,312" path="m2544,1306l2544,1618,3386,1618,3386,1306,2544,1306xe" filled="true" fillcolor="#c7edcc" stroked="false">
                <v:path arrowok="t"/>
                <v:fill type="solid"/>
              </v:shape>
            </v:group>
            <v:group style="position:absolute;left:2544;top:2322;width:843;height:312" coordorigin="2544,2322" coordsize="843,312">
              <v:shape style="position:absolute;left:2544;top:2322;width:843;height:312" coordorigin="2544,2322" coordsize="843,312" path="m3386,2634l3386,2322,2544,2322,2544,2634,3386,2634xe" filled="true" fillcolor="#c7edcc" stroked="false">
                <v:path arrowok="t"/>
                <v:fill type="solid"/>
              </v:shape>
            </v:group>
            <v:group style="position:absolute;left:3374;top:1618;width:2;height:705" coordorigin="3374,1618" coordsize="2,705">
              <v:shape style="position:absolute;left:3374;top:1618;width:2;height:705" coordorigin="3374,1618" coordsize="0,705" path="m3374,1618l3374,2322e" filled="false" stroked="true" strokeweight="1.2pt" strokecolor="#c7edcc">
                <v:path arrowok="t"/>
              </v:shape>
            </v:group>
            <v:group style="position:absolute;left:2544;top:1618;width:819;height:353" coordorigin="2544,1618" coordsize="819,353">
              <v:shape style="position:absolute;left:2544;top:1618;width:819;height:353" coordorigin="2544,1618" coordsize="819,353" path="m2544,1618l2544,1970,3362,1970,3362,1618,2544,1618xe" filled="true" fillcolor="#c7edcc" stroked="false">
                <v:path arrowok="t"/>
                <v:fill type="solid"/>
              </v:shape>
            </v:group>
            <v:group style="position:absolute;left:2544;top:1970;width:819;height:352" coordorigin="2544,1970" coordsize="819,352">
              <v:shape style="position:absolute;left:2544;top:1970;width:819;height:352" coordorigin="2544,1970" coordsize="819,352" path="m2544,1970l2544,2322,3362,2322,3362,1970,2544,1970xe" filled="true" fillcolor="#c7edcc" stroked="false">
                <v:path arrowok="t"/>
                <v:fill type="solid"/>
              </v:shape>
            </v:group>
            <v:group style="position:absolute;left:5656;top:1306;width:2;height:1329" coordorigin="5656,1306" coordsize="2,1329">
              <v:shape style="position:absolute;left:5656;top:1306;width:2;height:1329" coordorigin="5656,1306" coordsize="0,1329" path="m5656,1306l5656,2634e" filled="false" stroked="true" strokeweight="1.2pt" strokecolor="#c7edcc">
                <v:path arrowok="t"/>
              </v:shape>
            </v:group>
            <v:group style="position:absolute;left:5668;top:1306;width:588;height:312" coordorigin="5668,1306" coordsize="588,312">
              <v:shape style="position:absolute;left:5668;top:1306;width:588;height:312" coordorigin="5668,1306" coordsize="588,312" path="m5668,1306l5668,1618,6256,1618,6256,1306,5668,1306xe" filled="true" fillcolor="#c7edcc" stroked="false">
                <v:path arrowok="t"/>
                <v:fill type="solid"/>
              </v:shape>
            </v:group>
            <v:group style="position:absolute;left:5667;top:2322;width:588;height:312" coordorigin="5667,2322" coordsize="588,312">
              <v:shape style="position:absolute;left:5667;top:2322;width:588;height:312" coordorigin="5667,2322" coordsize="588,312" path="m6255,2634l6255,2322,5667,2322,5667,2634,6255,2634xe" filled="true" fillcolor="#c7edcc" stroked="false">
                <v:path arrowok="t"/>
                <v:fill type="solid"/>
              </v:shape>
            </v:group>
            <v:group style="position:absolute;left:6243;top:1618;width:2;height:705" coordorigin="6243,1618" coordsize="2,705">
              <v:shape style="position:absolute;left:6243;top:1618;width:2;height:705" coordorigin="6243,1618" coordsize="0,705" path="m6243,1618l6243,2322e" filled="false" stroked="true" strokeweight="1.2pt" strokecolor="#c7edcc">
                <v:path arrowok="t"/>
              </v:shape>
            </v:group>
            <v:group style="position:absolute;left:5667;top:1618;width:564;height:353" coordorigin="5667,1618" coordsize="564,353">
              <v:shape style="position:absolute;left:5667;top:1618;width:564;height:353" coordorigin="5667,1618" coordsize="564,353" path="m5667,1618l5667,1970,6231,1970,6231,1618,5667,1618xe" filled="true" fillcolor="#c7edcc" stroked="false">
                <v:path arrowok="t"/>
                <v:fill type="solid"/>
              </v:shape>
            </v:group>
            <v:group style="position:absolute;left:5667;top:1970;width:564;height:352" coordorigin="5667,1970" coordsize="564,352">
              <v:shape style="position:absolute;left:5667;top:1970;width:564;height:352" coordorigin="5667,1970" coordsize="564,352" path="m5667,1970l5667,2322,6231,2322,6231,1970,5667,1970xe" filled="true" fillcolor="#c7edcc" stroked="false">
                <v:path arrowok="t"/>
                <v:fill type="solid"/>
              </v:shape>
            </v:group>
            <v:group style="position:absolute;left:6277;top:1306;width:2;height:1329" coordorigin="6277,1306" coordsize="2,1329">
              <v:shape style="position:absolute;left:6277;top:1306;width:2;height:1329" coordorigin="6277,1306" coordsize="0,1329" path="m6277,1306l6277,2634e" filled="false" stroked="true" strokeweight="1.1pt" strokecolor="#c7edcc">
                <v:path arrowok="t"/>
              </v:shape>
            </v:group>
            <v:group style="position:absolute;left:6288;top:1306;width:3378;height:468" coordorigin="6288,1306" coordsize="3378,468">
              <v:shape style="position:absolute;left:6288;top:1306;width:3378;height:468" coordorigin="6288,1306" coordsize="3378,468" path="m6288,1306l6288,1774,9666,1774,9666,1306,6288,1306xe" filled="true" fillcolor="#c7edcc" stroked="false">
                <v:path arrowok="t"/>
                <v:fill type="solid"/>
              </v:shape>
            </v:group>
            <v:group style="position:absolute;left:6288;top:2166;width:3378;height:468" coordorigin="6288,2166" coordsize="3378,468">
              <v:shape style="position:absolute;left:6288;top:2166;width:3378;height:468" coordorigin="6288,2166" coordsize="3378,468" path="m9666,2634l9666,2166,6288,2166,6288,2634,9666,2634xe" filled="true" fillcolor="#c7edcc" stroked="false">
                <v:path arrowok="t"/>
                <v:fill type="solid"/>
              </v:shape>
            </v:group>
            <v:group style="position:absolute;left:9654;top:1774;width:2;height:393" coordorigin="9654,1774" coordsize="2,393">
              <v:shape style="position:absolute;left:9654;top:1774;width:2;height:393" coordorigin="9654,1774" coordsize="0,393" path="m9654,1774l9654,2166e" filled="false" stroked="true" strokeweight="1.140pt" strokecolor="#c7edcc">
                <v:path arrowok="t"/>
              </v:shape>
            </v:group>
            <v:group style="position:absolute;left:6288;top:1774;width:3356;height:393" coordorigin="6288,1774" coordsize="3356,393">
              <v:shape style="position:absolute;left:6288;top:1774;width:3356;height:393" coordorigin="6288,1774" coordsize="3356,393" path="m6288,1774l6288,2166,9643,2166,9643,1774,6288,1774xe" filled="true" fillcolor="#c7edcc" stroked="false">
                <v:path arrowok="t"/>
                <v:fill type="solid"/>
              </v:shape>
            </v:group>
            <v:group style="position:absolute;left:9687;top:1306;width:2;height:1329" coordorigin="9687,1306" coordsize="2,1329">
              <v:shape style="position:absolute;left:9687;top:1306;width:2;height:1329" coordorigin="9687,1306" coordsize="0,1329" path="m9687,1306l9687,2634e" filled="false" stroked="true" strokeweight="1.1pt" strokecolor="#c7edcc">
                <v:path arrowok="t"/>
              </v:shape>
            </v:group>
            <v:group style="position:absolute;left:9698;top:1306;width:320;height:312" coordorigin="9698,1306" coordsize="320,312">
              <v:shape style="position:absolute;left:9698;top:1306;width:320;height:312" coordorigin="9698,1306" coordsize="320,312" path="m9698,1306l9698,1618,10018,1618,10018,1306,9698,1306xe" filled="true" fillcolor="#c7edcc" stroked="false">
                <v:path arrowok="t"/>
                <v:fill type="solid"/>
              </v:shape>
            </v:group>
            <v:group style="position:absolute;left:9698;top:2322;width:320;height:312" coordorigin="9698,2322" coordsize="320,312">
              <v:shape style="position:absolute;left:9698;top:2322;width:320;height:312" coordorigin="9698,2322" coordsize="320,312" path="m10017,2634l10017,2322,9698,2322,9698,2634,10017,2634xe" filled="true" fillcolor="#c7edcc" stroked="false">
                <v:path arrowok="t"/>
                <v:fill type="solid"/>
              </v:shape>
            </v:group>
            <v:group style="position:absolute;left:10005;top:1618;width:2;height:705" coordorigin="10005,1618" coordsize="2,705">
              <v:shape style="position:absolute;left:10005;top:1618;width:2;height:705" coordorigin="10005,1618" coordsize="0,705" path="m10005,1618l10005,2322e" filled="false" stroked="true" strokeweight="1.2pt" strokecolor="#c7edcc">
                <v:path arrowok="t"/>
              </v:shape>
            </v:group>
            <v:group style="position:absolute;left:9698;top:1618;width:296;height:353" coordorigin="9698,1618" coordsize="296,353">
              <v:shape style="position:absolute;left:9698;top:1618;width:296;height:353" coordorigin="9698,1618" coordsize="296,353" path="m9698,1618l9698,1970,9993,1970,9993,1618,9698,1618xe" filled="true" fillcolor="#c7edcc" stroked="false">
                <v:path arrowok="t"/>
                <v:fill type="solid"/>
              </v:shape>
            </v:group>
            <v:group style="position:absolute;left:9698;top:1970;width:296;height:352" coordorigin="9698,1970" coordsize="296,352">
              <v:shape style="position:absolute;left:9698;top:1970;width:296;height:352" coordorigin="9698,1970" coordsize="296,352" path="m9698,1970l9698,2322,9993,2322,9993,1970,9698,1970xe" filled="true" fillcolor="#c7edcc" stroked="false">
                <v:path arrowok="t"/>
                <v:fill type="solid"/>
              </v:shape>
            </v:group>
            <v:group style="position:absolute;left:10038;top:1306;width:2;height:1329" coordorigin="10038,1306" coordsize="2,1329">
              <v:shape style="position:absolute;left:10038;top:1306;width:2;height:1329" coordorigin="10038,1306" coordsize="0,1329" path="m10038,1306l10038,2634e" filled="false" stroked="true" strokeweight="1.2pt" strokecolor="#c7edcc">
                <v:path arrowok="t"/>
              </v:shape>
            </v:group>
            <v:group style="position:absolute;left:10050;top:1306;width:842;height:468" coordorigin="10050,1306" coordsize="842,468">
              <v:shape style="position:absolute;left:10050;top:1306;width:842;height:468" coordorigin="10050,1306" coordsize="842,468" path="m10050,1306l10050,1774,10892,1774,10892,1306,10050,1306xe" filled="true" fillcolor="#c7edcc" stroked="false">
                <v:path arrowok="t"/>
                <v:fill type="solid"/>
              </v:shape>
            </v:group>
            <v:group style="position:absolute;left:10050;top:2166;width:843;height:468" coordorigin="10050,2166" coordsize="843,468">
              <v:shape style="position:absolute;left:10050;top:2166;width:843;height:468" coordorigin="10050,2166" coordsize="843,468" path="m10892,2634l10892,2166,10050,2166,10050,2634,10892,2634xe" filled="true" fillcolor="#c7edcc" stroked="false">
                <v:path arrowok="t"/>
                <v:fill type="solid"/>
              </v:shape>
            </v:group>
            <v:group style="position:absolute;left:10880;top:1774;width:2;height:393" coordorigin="10880,1774" coordsize="2,393">
              <v:shape style="position:absolute;left:10880;top:1774;width:2;height:393" coordorigin="10880,1774" coordsize="0,393" path="m10880,1774l10880,2166e" filled="false" stroked="true" strokeweight="1.199pt" strokecolor="#c7edcc">
                <v:path arrowok="t"/>
              </v:shape>
            </v:group>
            <v:group style="position:absolute;left:10050;top:1774;width:819;height:393" coordorigin="10050,1774" coordsize="819,393">
              <v:shape style="position:absolute;left:10050;top:1774;width:819;height:393" coordorigin="10050,1774" coordsize="819,393" path="m10050,1774l10050,2166,10868,2166,10868,1774,10050,1774xe" filled="true" fillcolor="#c7edcc" stroked="false">
                <v:path arrowok="t"/>
                <v:fill type="solid"/>
              </v:shape>
            </v:group>
            <v:group style="position:absolute;left:10913;top:1306;width:2;height:1329" coordorigin="10913,1306" coordsize="2,1329">
              <v:shape style="position:absolute;left:10913;top:1306;width:2;height:1329" coordorigin="10913,1306" coordsize="0,1329" path="m10913,1306l10913,2634e" filled="false" stroked="true" strokeweight="1.1pt" strokecolor="#c7edcc">
                <v:path arrowok="t"/>
              </v:shape>
            </v:group>
            <v:group style="position:absolute;left:10924;top:1306;width:664;height:312" coordorigin="10924,1306" coordsize="664,312">
              <v:shape style="position:absolute;left:10924;top:1306;width:664;height:312" coordorigin="10924,1306" coordsize="664,312" path="m10924,1306l10924,1618,11588,1618,11588,1306,10924,1306xe" filled="true" fillcolor="#c7edcc" stroked="false">
                <v:path arrowok="t"/>
                <v:fill type="solid"/>
              </v:shape>
            </v:group>
            <v:group style="position:absolute;left:10925;top:2322;width:663;height:312" coordorigin="10925,2322" coordsize="663,312">
              <v:shape style="position:absolute;left:10925;top:2322;width:663;height:312" coordorigin="10925,2322" coordsize="663,312" path="m11587,2634l11587,2322,10925,2322,10925,2634,11587,2634xe" filled="true" fillcolor="#c7edcc" stroked="false">
                <v:path arrowok="t"/>
                <v:fill type="solid"/>
              </v:shape>
            </v:group>
            <v:group style="position:absolute;left:11576;top:1618;width:2;height:705" coordorigin="11576,1618" coordsize="2,705">
              <v:shape style="position:absolute;left:11576;top:1618;width:2;height:705" coordorigin="11576,1618" coordsize="0,705" path="m11576,1618l11576,2322e" filled="false" stroked="true" strokeweight="1.141pt" strokecolor="#c7edcc">
                <v:path arrowok="t"/>
              </v:shape>
            </v:group>
            <v:group style="position:absolute;left:10925;top:1618;width:640;height:353" coordorigin="10925,1618" coordsize="640,353">
              <v:shape style="position:absolute;left:10925;top:1618;width:640;height:353" coordorigin="10925,1618" coordsize="640,353" path="m10925,1618l10925,1970,11564,1970,11564,1618,10925,1618xe" filled="true" fillcolor="#c7edcc" stroked="false">
                <v:path arrowok="t"/>
                <v:fill type="solid"/>
              </v:shape>
            </v:group>
            <v:group style="position:absolute;left:10925;top:1970;width:640;height:352" coordorigin="10925,1970" coordsize="640,352">
              <v:shape style="position:absolute;left:10925;top:1970;width:640;height:352" coordorigin="10925,1970" coordsize="640,352" path="m10925,1970l10925,2322,11564,2322,11564,1970,10925,1970xe" filled="true" fillcolor="#c7edcc" stroked="false">
                <v:path arrowok="t"/>
                <v:fill type="solid"/>
              </v:shape>
            </v:group>
            <v:group style="position:absolute;left:14806;top:1306;width:2;height:1329" coordorigin="14806,1306" coordsize="2,1329">
              <v:shape style="position:absolute;left:14806;top:1306;width:2;height:1329" coordorigin="14806,1306" coordsize="0,1329" path="m14806,1306l14806,2634e" filled="false" stroked="true" strokeweight="1.2pt" strokecolor="#c7edcc">
                <v:path arrowok="t"/>
              </v:shape>
            </v:group>
            <v:group style="position:absolute;left:14818;top:1306;width:872;height:312" coordorigin="14818,1306" coordsize="872,312">
              <v:shape style="position:absolute;left:14818;top:1306;width:872;height:312" coordorigin="14818,1306" coordsize="872,312" path="m14818,1306l14818,1618,15690,1618,15690,1306,14818,1306xe" filled="true" fillcolor="#c7edcc" stroked="false">
                <v:path arrowok="t"/>
                <v:fill type="solid"/>
              </v:shape>
            </v:group>
            <v:group style="position:absolute;left:14817;top:2322;width:873;height:312" coordorigin="14817,2322" coordsize="873,312">
              <v:shape style="position:absolute;left:14817;top:2322;width:873;height:312" coordorigin="14817,2322" coordsize="873,312" path="m15690,2634l15690,2322,14817,2322,14817,2634,15690,2634xe" filled="true" fillcolor="#c7edcc" stroked="false">
                <v:path arrowok="t"/>
                <v:fill type="solid"/>
              </v:shape>
            </v:group>
            <v:group style="position:absolute;left:15678;top:1618;width:2;height:705" coordorigin="15678,1618" coordsize="2,705">
              <v:shape style="position:absolute;left:15678;top:1618;width:2;height:705" coordorigin="15678,1618" coordsize="0,705" path="m15678,1618l15678,2322e" filled="false" stroked="true" strokeweight="1.140pt" strokecolor="#c7edcc">
                <v:path arrowok="t"/>
              </v:shape>
            </v:group>
            <v:group style="position:absolute;left:14817;top:1618;width:850;height:353" coordorigin="14817,1618" coordsize="850,353">
              <v:shape style="position:absolute;left:14817;top:1618;width:850;height:353" coordorigin="14817,1618" coordsize="850,353" path="m14817,1618l14817,1970,15667,1970,15667,1618,14817,1618xe" filled="true" fillcolor="#c7edcc" stroked="false">
                <v:path arrowok="t"/>
                <v:fill type="solid"/>
              </v:shape>
            </v:group>
            <v:group style="position:absolute;left:14817;top:1970;width:850;height:352" coordorigin="14817,1970" coordsize="850,352">
              <v:shape style="position:absolute;left:14817;top:1970;width:850;height:352" coordorigin="14817,1970" coordsize="850,352" path="m14817,1970l14817,2322,15667,2322,15667,1970,14817,1970xe" filled="true" fillcolor="#c7edcc" stroked="false">
                <v:path arrowok="t"/>
                <v:fill type="solid"/>
              </v:shape>
            </v:group>
            <v:group style="position:absolute;left:1407;top:1301;width:14292;height:2" coordorigin="1407,1301" coordsize="14292,2">
              <v:shape style="position:absolute;left:1407;top:1301;width:14292;height:2" coordorigin="1407,1301" coordsize="14292,0" path="m1407,1301l15699,1301e" filled="false" stroked="true" strokeweight=".48pt" strokecolor="#000000">
                <v:path arrowok="t"/>
              </v:shape>
            </v:group>
            <v:group style="position:absolute;left:2516;top:1306;width:2;height:1329" coordorigin="2516,1306" coordsize="2,1329">
              <v:shape style="position:absolute;left:2516;top:1306;width:2;height:1329" coordorigin="2516,1306" coordsize="0,1329" path="m2516,1306l2516,2634e" filled="false" stroked="true" strokeweight=".47998pt" strokecolor="#000000">
                <v:path arrowok="t"/>
              </v:shape>
            </v:group>
            <v:group style="position:absolute;left:3391;top:1306;width:2;height:1329" coordorigin="3391,1306" coordsize="2,1329">
              <v:shape style="position:absolute;left:3391;top:1306;width:2;height:1329" coordorigin="3391,1306" coordsize="0,1329" path="m3391,1306l3391,2634e" filled="false" stroked="true" strokeweight=".48pt" strokecolor="#000000">
                <v:path arrowok="t"/>
              </v:shape>
            </v:group>
            <v:group style="position:absolute;left:3741;top:1306;width:2;height:1329" coordorigin="3741,1306" coordsize="2,1329">
              <v:shape style="position:absolute;left:3741;top:1306;width:2;height:1329" coordorigin="3741,1306" coordsize="0,1329" path="m3741,1306l3741,2634e" filled="false" stroked="true" strokeweight=".48pt" strokecolor="#000000">
                <v:path arrowok="t"/>
              </v:shape>
            </v:group>
            <v:group style="position:absolute;left:4923;top:1306;width:2;height:1329" coordorigin="4923,1306" coordsize="2,1329">
              <v:shape style="position:absolute;left:4923;top:1306;width:2;height:1329" coordorigin="4923,1306" coordsize="0,1329" path="m4923,1306l4923,2634e" filled="false" stroked="true" strokeweight=".48pt" strokecolor="#000000">
                <v:path arrowok="t"/>
              </v:shape>
            </v:group>
            <v:group style="position:absolute;left:5640;top:1306;width:2;height:1329" coordorigin="5640,1306" coordsize="2,1329">
              <v:shape style="position:absolute;left:5640;top:1306;width:2;height:1329" coordorigin="5640,1306" coordsize="0,1329" path="m5640,1306l5640,2634e" filled="false" stroked="true" strokeweight=".48001pt" strokecolor="#000000">
                <v:path arrowok="t"/>
              </v:shape>
            </v:group>
            <v:group style="position:absolute;left:6260;top:1306;width:2;height:1329" coordorigin="6260,1306" coordsize="2,1329">
              <v:shape style="position:absolute;left:6260;top:1306;width:2;height:1329" coordorigin="6260,1306" coordsize="0,1329" path="m6260,1306l6260,2634e" filled="false" stroked="true" strokeweight=".48001pt" strokecolor="#000000">
                <v:path arrowok="t"/>
              </v:shape>
            </v:group>
            <v:group style="position:absolute;left:9671;top:1306;width:2;height:1329" coordorigin="9671,1306" coordsize="2,1329">
              <v:shape style="position:absolute;left:9671;top:1306;width:2;height:1329" coordorigin="9671,1306" coordsize="0,1329" path="m9671,1306l9671,2634e" filled="false" stroked="true" strokeweight=".48001pt" strokecolor="#000000">
                <v:path arrowok="t"/>
              </v:shape>
            </v:group>
            <v:group style="position:absolute;left:10022;top:1306;width:2;height:1329" coordorigin="10022,1306" coordsize="2,1329">
              <v:shape style="position:absolute;left:10022;top:1306;width:2;height:1329" coordorigin="10022,1306" coordsize="0,1329" path="m10022,1306l10022,2634e" filled="false" stroked="true" strokeweight=".48001pt" strokecolor="#000000">
                <v:path arrowok="t"/>
              </v:shape>
            </v:group>
            <v:group style="position:absolute;left:10897;top:1306;width:2;height:1329" coordorigin="10897,1306" coordsize="2,1329">
              <v:shape style="position:absolute;left:10897;top:1306;width:2;height:1329" coordorigin="10897,1306" coordsize="0,1329" path="m10897,1306l10897,2634e" filled="false" stroked="true" strokeweight=".48004pt" strokecolor="#000000">
                <v:path arrowok="t"/>
              </v:shape>
            </v:group>
            <v:group style="position:absolute;left:11592;top:1306;width:2;height:1329" coordorigin="11592,1306" coordsize="2,1329">
              <v:shape style="position:absolute;left:11592;top:1306;width:2;height:1329" coordorigin="11592,1306" coordsize="0,1329" path="m11592,1306l11592,2634e" filled="false" stroked="true" strokeweight=".47998pt" strokecolor="#000000">
                <v:path arrowok="t"/>
              </v:shape>
            </v:group>
            <v:group style="position:absolute;left:12683;top:1306;width:2;height:1329" coordorigin="12683,1306" coordsize="2,1329">
              <v:shape style="position:absolute;left:12683;top:1306;width:2;height:1329" coordorigin="12683,1306" coordsize="0,1329" path="m12683,1306l12683,2634e" filled="false" stroked="true" strokeweight=".47998pt" strokecolor="#000000">
                <v:path arrowok="t"/>
              </v:shape>
            </v:group>
            <v:group style="position:absolute;left:13784;top:1306;width:2;height:1329" coordorigin="13784,1306" coordsize="2,1329">
              <v:shape style="position:absolute;left:13784;top:1306;width:2;height:1329" coordorigin="13784,1306" coordsize="0,1329" path="m13784,1306l13784,2634e" filled="false" stroked="true" strokeweight=".47998pt" strokecolor="#000000">
                <v:path arrowok="t"/>
              </v:shape>
            </v:group>
            <v:group style="position:absolute;left:14135;top:1306;width:2;height:1329" coordorigin="14135,1306" coordsize="2,1329">
              <v:shape style="position:absolute;left:14135;top:1306;width:2;height:1329" coordorigin="14135,1306" coordsize="0,1329" path="m14135,1306l14135,2634e" filled="false" stroked="true" strokeweight=".48004pt" strokecolor="#000000">
                <v:path arrowok="t"/>
              </v:shape>
            </v:group>
            <v:group style="position:absolute;left:14790;top:1306;width:2;height:1329" coordorigin="14790,1306" coordsize="2,1329">
              <v:shape style="position:absolute;left:14790;top:1306;width:2;height:1329" coordorigin="14790,1306" coordsize="0,1329" path="m14790,1306l14790,2634e" filled="false" stroked="true" strokeweight=".47998pt" strokecolor="#000000">
                <v:path arrowok="t"/>
              </v:shape>
            </v:group>
            <v:group style="position:absolute;left:1429;top:2644;width:2;height:1017" coordorigin="1429,2644" coordsize="2,1017">
              <v:shape style="position:absolute;left:1429;top:2644;width:2;height:1017" coordorigin="1429,2644" coordsize="0,1017" path="m1429,2644l1429,3660e" filled="false" stroked="true" strokeweight="1.1pt" strokecolor="#c7edcc">
                <v:path arrowok="t"/>
              </v:shape>
            </v:group>
            <v:group style="position:absolute;left:1440;top:2644;width:1072;height:156" coordorigin="1440,2644" coordsize="1072,156">
              <v:shape style="position:absolute;left:1440;top:2644;width:1072;height:156" coordorigin="1440,2644" coordsize="1072,156" path="m1440,2644l1440,2800,2512,2800,2512,2644,1440,2644xe" filled="true" fillcolor="#c7edcc" stroked="false">
                <v:path arrowok="t"/>
                <v:fill type="solid"/>
              </v:shape>
            </v:group>
            <v:group style="position:absolute;left:1440;top:3504;width:1072;height:156" coordorigin="1440,3504" coordsize="1072,156">
              <v:shape style="position:absolute;left:1440;top:3504;width:1072;height:156" coordorigin="1440,3504" coordsize="1072,156" path="m2511,3660l2511,3504,1440,3504,1440,3660,2511,3660xe" filled="true" fillcolor="#c7edcc" stroked="false">
                <v:path arrowok="t"/>
                <v:fill type="solid"/>
              </v:shape>
            </v:group>
            <v:group style="position:absolute;left:2499;top:2800;width:2;height:705" coordorigin="2499,2800" coordsize="2,705">
              <v:shape style="position:absolute;left:2499;top:2800;width:2;height:705" coordorigin="2499,2800" coordsize="0,705" path="m2499,2800l2499,3504e" filled="false" stroked="true" strokeweight="1.2pt" strokecolor="#c7edcc">
                <v:path arrowok="t"/>
              </v:shape>
            </v:group>
            <v:group style="position:absolute;left:1440;top:2800;width:1048;height:353" coordorigin="1440,2800" coordsize="1048,353">
              <v:shape style="position:absolute;left:1440;top:2800;width:1048;height:353" coordorigin="1440,2800" coordsize="1048,353" path="m1440,2800l1440,3152,2487,3152,2487,2800,1440,2800xe" filled="true" fillcolor="#c7edcc" stroked="false">
                <v:path arrowok="t"/>
                <v:fill type="solid"/>
              </v:shape>
            </v:group>
            <v:group style="position:absolute;left:1440;top:3152;width:1048;height:352" coordorigin="1440,3152" coordsize="1048,352">
              <v:shape style="position:absolute;left:1440;top:3152;width:1048;height:352" coordorigin="1440,3152" coordsize="1048,352" path="m1440,3152l1440,3504,2487,3504,2487,3152,1440,3152xe" filled="true" fillcolor="#c7edcc" stroked="false">
                <v:path arrowok="t"/>
                <v:fill type="solid"/>
              </v:shape>
            </v:group>
            <v:group style="position:absolute;left:2533;top:2644;width:2;height:1017" coordorigin="2533,2644" coordsize="2,1017">
              <v:shape style="position:absolute;left:2533;top:2644;width:2;height:1017" coordorigin="2533,2644" coordsize="0,1017" path="m2533,2644l2533,3660e" filled="false" stroked="true" strokeweight="1.1pt" strokecolor="#c7edcc">
                <v:path arrowok="t"/>
              </v:shape>
            </v:group>
            <v:group style="position:absolute;left:2544;top:2644;width:842;height:312" coordorigin="2544,2644" coordsize="842,312">
              <v:shape style="position:absolute;left:2544;top:2644;width:842;height:312" coordorigin="2544,2644" coordsize="842,312" path="m2544,2644l2544,2956,3386,2956,3386,2644,2544,2644xe" filled="true" fillcolor="#c7edcc" stroked="false">
                <v:path arrowok="t"/>
                <v:fill type="solid"/>
              </v:shape>
            </v:group>
            <v:group style="position:absolute;left:2544;top:3348;width:843;height:312" coordorigin="2544,3348" coordsize="843,312">
              <v:shape style="position:absolute;left:2544;top:3348;width:843;height:312" coordorigin="2544,3348" coordsize="843,312" path="m3386,3660l3386,3348,2544,3348,2544,3660,3386,3660xe" filled="true" fillcolor="#c7edcc" stroked="false">
                <v:path arrowok="t"/>
                <v:fill type="solid"/>
              </v:shape>
            </v:group>
            <v:group style="position:absolute;left:3374;top:2956;width:2;height:393" coordorigin="3374,2956" coordsize="2,393">
              <v:shape style="position:absolute;left:3374;top:2956;width:2;height:393" coordorigin="3374,2956" coordsize="0,393" path="m3374,2956l3374,3348e" filled="false" stroked="true" strokeweight="1.2pt" strokecolor="#c7edcc">
                <v:path arrowok="t"/>
              </v:shape>
            </v:group>
            <v:group style="position:absolute;left:2544;top:2956;width:819;height:393" coordorigin="2544,2956" coordsize="819,393">
              <v:shape style="position:absolute;left:2544;top:2956;width:819;height:393" coordorigin="2544,2956" coordsize="819,393" path="m2544,2956l2544,3348,3362,3348,3362,2956,2544,2956xe" filled="true" fillcolor="#c7edcc" stroked="false">
                <v:path arrowok="t"/>
                <v:fill type="solid"/>
              </v:shape>
            </v:group>
            <v:group style="position:absolute;left:5656;top:2644;width:2;height:1017" coordorigin="5656,2644" coordsize="2,1017">
              <v:shape style="position:absolute;left:5656;top:2644;width:2;height:1017" coordorigin="5656,2644" coordsize="0,1017" path="m5656,2644l5656,3660e" filled="false" stroked="true" strokeweight="1.2pt" strokecolor="#c7edcc">
                <v:path arrowok="t"/>
              </v:shape>
            </v:group>
            <v:group style="position:absolute;left:5668;top:2644;width:588;height:156" coordorigin="5668,2644" coordsize="588,156">
              <v:shape style="position:absolute;left:5668;top:2644;width:588;height:156" coordorigin="5668,2644" coordsize="588,156" path="m5668,2644l5668,2800,6256,2800,6256,2644,5668,2644xe" filled="true" fillcolor="#c7edcc" stroked="false">
                <v:path arrowok="t"/>
                <v:fill type="solid"/>
              </v:shape>
            </v:group>
            <v:group style="position:absolute;left:5667;top:3504;width:588;height:156" coordorigin="5667,3504" coordsize="588,156">
              <v:shape style="position:absolute;left:5667;top:3504;width:588;height:156" coordorigin="5667,3504" coordsize="588,156" path="m6255,3660l6255,3504,5667,3504,5667,3660,6255,3660xe" filled="true" fillcolor="#c7edcc" stroked="false">
                <v:path arrowok="t"/>
                <v:fill type="solid"/>
              </v:shape>
            </v:group>
            <v:group style="position:absolute;left:6243;top:2800;width:2;height:705" coordorigin="6243,2800" coordsize="2,705">
              <v:shape style="position:absolute;left:6243;top:2800;width:2;height:705" coordorigin="6243,2800" coordsize="0,705" path="m6243,2800l6243,3504e" filled="false" stroked="true" strokeweight="1.2pt" strokecolor="#c7edcc">
                <v:path arrowok="t"/>
              </v:shape>
            </v:group>
            <v:group style="position:absolute;left:5667;top:2800;width:564;height:353" coordorigin="5667,2800" coordsize="564,353">
              <v:shape style="position:absolute;left:5667;top:2800;width:564;height:353" coordorigin="5667,2800" coordsize="564,353" path="m5667,2800l5667,3152,6231,3152,6231,2800,5667,2800xe" filled="true" fillcolor="#c7edcc" stroked="false">
                <v:path arrowok="t"/>
                <v:fill type="solid"/>
              </v:shape>
            </v:group>
            <v:group style="position:absolute;left:5667;top:3152;width:564;height:352" coordorigin="5667,3152" coordsize="564,352">
              <v:shape style="position:absolute;left:5667;top:3152;width:564;height:352" coordorigin="5667,3152" coordsize="564,352" path="m5667,3152l5667,3504,6231,3504,6231,3152,5667,3152xe" filled="true" fillcolor="#c7edcc" stroked="false">
                <v:path arrowok="t"/>
                <v:fill type="solid"/>
              </v:shape>
            </v:group>
            <v:group style="position:absolute;left:6277;top:2644;width:2;height:1017" coordorigin="6277,2644" coordsize="2,1017">
              <v:shape style="position:absolute;left:6277;top:2644;width:2;height:1017" coordorigin="6277,2644" coordsize="0,1017" path="m6277,2644l6277,3660e" filled="false" stroked="true" strokeweight="1.1pt" strokecolor="#c7edcc">
                <v:path arrowok="t"/>
              </v:shape>
            </v:group>
            <v:group style="position:absolute;left:6288;top:2644;width:3378;height:312" coordorigin="6288,2644" coordsize="3378,312">
              <v:shape style="position:absolute;left:6288;top:2644;width:3378;height:312" coordorigin="6288,2644" coordsize="3378,312" path="m6288,2644l6288,2956,9666,2956,9666,2644,6288,2644xe" filled="true" fillcolor="#c7edcc" stroked="false">
                <v:path arrowok="t"/>
                <v:fill type="solid"/>
              </v:shape>
            </v:group>
            <v:group style="position:absolute;left:6288;top:3348;width:3378;height:312" coordorigin="6288,3348" coordsize="3378,312">
              <v:shape style="position:absolute;left:6288;top:3348;width:3378;height:312" coordorigin="6288,3348" coordsize="3378,312" path="m9666,3660l9666,3348,6288,3348,6288,3660,9666,3660xe" filled="true" fillcolor="#c7edcc" stroked="false">
                <v:path arrowok="t"/>
                <v:fill type="solid"/>
              </v:shape>
            </v:group>
            <v:group style="position:absolute;left:9654;top:2956;width:2;height:393" coordorigin="9654,2956" coordsize="2,393">
              <v:shape style="position:absolute;left:9654;top:2956;width:2;height:393" coordorigin="9654,2956" coordsize="0,393" path="m9654,2956l9654,3348e" filled="false" stroked="true" strokeweight="1.140pt" strokecolor="#c7edcc">
                <v:path arrowok="t"/>
              </v:shape>
            </v:group>
            <v:group style="position:absolute;left:6288;top:2956;width:3356;height:393" coordorigin="6288,2956" coordsize="3356,393">
              <v:shape style="position:absolute;left:6288;top:2956;width:3356;height:393" coordorigin="6288,2956" coordsize="3356,393" path="m6288,2956l6288,3348,9643,3348,9643,2956,6288,2956xe" filled="true" fillcolor="#c7edcc" stroked="false">
                <v:path arrowok="t"/>
                <v:fill type="solid"/>
              </v:shape>
            </v:group>
            <v:group style="position:absolute;left:9687;top:2644;width:2;height:1017" coordorigin="9687,2644" coordsize="2,1017">
              <v:shape style="position:absolute;left:9687;top:2644;width:2;height:1017" coordorigin="9687,2644" coordsize="0,1017" path="m9687,2644l9687,3660e" filled="false" stroked="true" strokeweight="1.1pt" strokecolor="#c7edcc">
                <v:path arrowok="t"/>
              </v:shape>
            </v:group>
            <v:group style="position:absolute;left:9698;top:2644;width:320;height:156" coordorigin="9698,2644" coordsize="320,156">
              <v:shape style="position:absolute;left:9698;top:2644;width:320;height:156" coordorigin="9698,2644" coordsize="320,156" path="m9698,2644l9698,2800,10018,2800,10018,2644,9698,2644xe" filled="true" fillcolor="#c7edcc" stroked="false">
                <v:path arrowok="t"/>
                <v:fill type="solid"/>
              </v:shape>
            </v:group>
            <v:group style="position:absolute;left:9698;top:3504;width:320;height:156" coordorigin="9698,3504" coordsize="320,156">
              <v:shape style="position:absolute;left:9698;top:3504;width:320;height:156" coordorigin="9698,3504" coordsize="320,156" path="m10017,3660l10017,3504,9698,3504,9698,3660,10017,3660xe" filled="true" fillcolor="#c7edcc" stroked="false">
                <v:path arrowok="t"/>
                <v:fill type="solid"/>
              </v:shape>
            </v:group>
            <v:group style="position:absolute;left:10005;top:2800;width:2;height:705" coordorigin="10005,2800" coordsize="2,705">
              <v:shape style="position:absolute;left:10005;top:2800;width:2;height:705" coordorigin="10005,2800" coordsize="0,705" path="m10005,2800l10005,3504e" filled="false" stroked="true" strokeweight="1.2pt" strokecolor="#c7edcc">
                <v:path arrowok="t"/>
              </v:shape>
            </v:group>
            <v:group style="position:absolute;left:9698;top:2800;width:296;height:353" coordorigin="9698,2800" coordsize="296,353">
              <v:shape style="position:absolute;left:9698;top:2800;width:296;height:353" coordorigin="9698,2800" coordsize="296,353" path="m9698,2800l9698,3152,9993,3152,9993,2800,9698,2800xe" filled="true" fillcolor="#c7edcc" stroked="false">
                <v:path arrowok="t"/>
                <v:fill type="solid"/>
              </v:shape>
            </v:group>
            <v:group style="position:absolute;left:9698;top:3152;width:296;height:352" coordorigin="9698,3152" coordsize="296,352">
              <v:shape style="position:absolute;left:9698;top:3152;width:296;height:352" coordorigin="9698,3152" coordsize="296,352" path="m9698,3152l9698,3504,9993,3504,9993,3152,9698,3152xe" filled="true" fillcolor="#c7edcc" stroked="false">
                <v:path arrowok="t"/>
                <v:fill type="solid"/>
              </v:shape>
            </v:group>
            <v:group style="position:absolute;left:10038;top:2644;width:2;height:1017" coordorigin="10038,2644" coordsize="2,1017">
              <v:shape style="position:absolute;left:10038;top:2644;width:2;height:1017" coordorigin="10038,2644" coordsize="0,1017" path="m10038,2644l10038,3660e" filled="false" stroked="true" strokeweight="1.2pt" strokecolor="#c7edcc">
                <v:path arrowok="t"/>
              </v:shape>
            </v:group>
            <v:group style="position:absolute;left:10050;top:2644;width:842;height:312" coordorigin="10050,2644" coordsize="842,312">
              <v:shape style="position:absolute;left:10050;top:2644;width:842;height:312" coordorigin="10050,2644" coordsize="842,312" path="m10050,2644l10050,2956,10892,2956,10892,2644,10050,2644xe" filled="true" fillcolor="#c7edcc" stroked="false">
                <v:path arrowok="t"/>
                <v:fill type="solid"/>
              </v:shape>
            </v:group>
            <v:group style="position:absolute;left:10050;top:3348;width:843;height:312" coordorigin="10050,3348" coordsize="843,312">
              <v:shape style="position:absolute;left:10050;top:3348;width:843;height:312" coordorigin="10050,3348" coordsize="843,312" path="m10892,3660l10892,3348,10050,3348,10050,3660,10892,3660xe" filled="true" fillcolor="#c7edcc" stroked="false">
                <v:path arrowok="t"/>
                <v:fill type="solid"/>
              </v:shape>
            </v:group>
            <v:group style="position:absolute;left:10880;top:2956;width:2;height:393" coordorigin="10880,2956" coordsize="2,393">
              <v:shape style="position:absolute;left:10880;top:2956;width:2;height:393" coordorigin="10880,2956" coordsize="0,393" path="m10880,2956l10880,3348e" filled="false" stroked="true" strokeweight="1.199pt" strokecolor="#c7edcc">
                <v:path arrowok="t"/>
              </v:shape>
            </v:group>
            <v:group style="position:absolute;left:10050;top:2956;width:819;height:393" coordorigin="10050,2956" coordsize="819,393">
              <v:shape style="position:absolute;left:10050;top:2956;width:819;height:393" coordorigin="10050,2956" coordsize="819,393" path="m10050,2956l10050,3348,10868,3348,10868,2956,10050,2956xe" filled="true" fillcolor="#c7edcc" stroked="false">
                <v:path arrowok="t"/>
                <v:fill type="solid"/>
              </v:shape>
            </v:group>
            <v:group style="position:absolute;left:10913;top:2644;width:2;height:1017" coordorigin="10913,2644" coordsize="2,1017">
              <v:shape style="position:absolute;left:10913;top:2644;width:2;height:1017" coordorigin="10913,2644" coordsize="0,1017" path="m10913,2644l10913,3660e" filled="false" stroked="true" strokeweight="1.1pt" strokecolor="#c7edcc">
                <v:path arrowok="t"/>
              </v:shape>
            </v:group>
            <v:group style="position:absolute;left:10924;top:2644;width:664;height:156" coordorigin="10924,2644" coordsize="664,156">
              <v:shape style="position:absolute;left:10924;top:2644;width:664;height:156" coordorigin="10924,2644" coordsize="664,156" path="m10924,2644l10924,2800,11588,2800,11588,2644,10924,2644xe" filled="true" fillcolor="#c7edcc" stroked="false">
                <v:path arrowok="t"/>
                <v:fill type="solid"/>
              </v:shape>
            </v:group>
            <v:group style="position:absolute;left:10925;top:3504;width:663;height:156" coordorigin="10925,3504" coordsize="663,156">
              <v:shape style="position:absolute;left:10925;top:3504;width:663;height:156" coordorigin="10925,3504" coordsize="663,156" path="m11587,3660l11587,3504,10925,3504,10925,3660,11587,3660xe" filled="true" fillcolor="#c7edcc" stroked="false">
                <v:path arrowok="t"/>
                <v:fill type="solid"/>
              </v:shape>
            </v:group>
            <v:group style="position:absolute;left:11576;top:2800;width:2;height:705" coordorigin="11576,2800" coordsize="2,705">
              <v:shape style="position:absolute;left:11576;top:2800;width:2;height:705" coordorigin="11576,2800" coordsize="0,705" path="m11576,2800l11576,3504e" filled="false" stroked="true" strokeweight="1.141pt" strokecolor="#c7edcc">
                <v:path arrowok="t"/>
              </v:shape>
            </v:group>
            <v:group style="position:absolute;left:10925;top:2800;width:640;height:353" coordorigin="10925,2800" coordsize="640,353">
              <v:shape style="position:absolute;left:10925;top:2800;width:640;height:353" coordorigin="10925,2800" coordsize="640,353" path="m10925,2800l10925,3152,11564,3152,11564,2800,10925,2800xe" filled="true" fillcolor="#c7edcc" stroked="false">
                <v:path arrowok="t"/>
                <v:fill type="solid"/>
              </v:shape>
            </v:group>
            <v:group style="position:absolute;left:10925;top:3152;width:640;height:352" coordorigin="10925,3152" coordsize="640,352">
              <v:shape style="position:absolute;left:10925;top:3152;width:640;height:352" coordorigin="10925,3152" coordsize="640,352" path="m10925,3152l10925,3504,11564,3504,11564,3152,10925,3152xe" filled="true" fillcolor="#c7edcc" stroked="false">
                <v:path arrowok="t"/>
                <v:fill type="solid"/>
              </v:shape>
            </v:group>
            <v:group style="position:absolute;left:14806;top:2644;width:2;height:1017" coordorigin="14806,2644" coordsize="2,1017">
              <v:shape style="position:absolute;left:14806;top:2644;width:2;height:1017" coordorigin="14806,2644" coordsize="0,1017" path="m14806,2644l14806,3660e" filled="false" stroked="true" strokeweight="1.2pt" strokecolor="#c7edcc">
                <v:path arrowok="t"/>
              </v:shape>
            </v:group>
            <v:group style="position:absolute;left:14818;top:2644;width:872;height:156" coordorigin="14818,2644" coordsize="872,156">
              <v:shape style="position:absolute;left:14818;top:2644;width:872;height:156" coordorigin="14818,2644" coordsize="872,156" path="m14818,2644l14818,2800,15690,2800,15690,2644,14818,2644xe" filled="true" fillcolor="#c7edcc" stroked="false">
                <v:path arrowok="t"/>
                <v:fill type="solid"/>
              </v:shape>
            </v:group>
            <v:group style="position:absolute;left:14817;top:3504;width:873;height:156" coordorigin="14817,3504" coordsize="873,156">
              <v:shape style="position:absolute;left:14817;top:3504;width:873;height:156" coordorigin="14817,3504" coordsize="873,156" path="m15690,3660l15690,3504,14817,3504,14817,3660,15690,3660xe" filled="true" fillcolor="#c7edcc" stroked="false">
                <v:path arrowok="t"/>
                <v:fill type="solid"/>
              </v:shape>
            </v:group>
            <v:group style="position:absolute;left:15678;top:2800;width:2;height:705" coordorigin="15678,2800" coordsize="2,705">
              <v:shape style="position:absolute;left:15678;top:2800;width:2;height:705" coordorigin="15678,2800" coordsize="0,705" path="m15678,2800l15678,3504e" filled="false" stroked="true" strokeweight="1.140pt" strokecolor="#c7edcc">
                <v:path arrowok="t"/>
              </v:shape>
            </v:group>
            <v:group style="position:absolute;left:14817;top:2800;width:850;height:353" coordorigin="14817,2800" coordsize="850,353">
              <v:shape style="position:absolute;left:14817;top:2800;width:850;height:353" coordorigin="14817,2800" coordsize="850,353" path="m14817,2800l14817,3152,15667,3152,15667,2800,14817,2800xe" filled="true" fillcolor="#c7edcc" stroked="false">
                <v:path arrowok="t"/>
                <v:fill type="solid"/>
              </v:shape>
            </v:group>
            <v:group style="position:absolute;left:14817;top:3152;width:850;height:352" coordorigin="14817,3152" coordsize="850,352">
              <v:shape style="position:absolute;left:14817;top:3152;width:850;height:352" coordorigin="14817,3152" coordsize="850,352" path="m14817,3152l14817,3504,15667,3504,15667,3152,14817,3152xe" filled="true" fillcolor="#c7edcc" stroked="false">
                <v:path arrowok="t"/>
                <v:fill type="solid"/>
              </v:shape>
            </v:group>
            <v:group style="position:absolute;left:1407;top:2639;width:14292;height:2" coordorigin="1407,2639" coordsize="14292,2">
              <v:shape style="position:absolute;left:1407;top:2639;width:14292;height:2" coordorigin="1407,2639" coordsize="14292,0" path="m1407,2639l15699,2639e" filled="false" stroked="true" strokeweight=".48001pt" strokecolor="#000000">
                <v:path arrowok="t"/>
              </v:shape>
            </v:group>
            <v:group style="position:absolute;left:2516;top:2644;width:2;height:1017" coordorigin="2516,2644" coordsize="2,1017">
              <v:shape style="position:absolute;left:2516;top:2644;width:2;height:1017" coordorigin="2516,2644" coordsize="0,1017" path="m2516,2644l2516,3660e" filled="false" stroked="true" strokeweight=".47998pt" strokecolor="#000000">
                <v:path arrowok="t"/>
              </v:shape>
            </v:group>
            <v:group style="position:absolute;left:3391;top:2644;width:2;height:1017" coordorigin="3391,2644" coordsize="2,1017">
              <v:shape style="position:absolute;left:3391;top:2644;width:2;height:1017" coordorigin="3391,2644" coordsize="0,1017" path="m3391,2644l3391,3660e" filled="false" stroked="true" strokeweight=".48pt" strokecolor="#000000">
                <v:path arrowok="t"/>
              </v:shape>
            </v:group>
            <v:group style="position:absolute;left:3741;top:2644;width:2;height:1017" coordorigin="3741,2644" coordsize="2,1017">
              <v:shape style="position:absolute;left:3741;top:2644;width:2;height:1017" coordorigin="3741,2644" coordsize="0,1017" path="m3741,2644l3741,3660e" filled="false" stroked="true" strokeweight=".48pt" strokecolor="#000000">
                <v:path arrowok="t"/>
              </v:shape>
            </v:group>
            <v:group style="position:absolute;left:4923;top:2644;width:2;height:1017" coordorigin="4923,2644" coordsize="2,1017">
              <v:shape style="position:absolute;left:4923;top:2644;width:2;height:1017" coordorigin="4923,2644" coordsize="0,1017" path="m4923,2644l4923,3660e" filled="false" stroked="true" strokeweight=".48pt" strokecolor="#000000">
                <v:path arrowok="t"/>
              </v:shape>
            </v:group>
            <v:group style="position:absolute;left:5640;top:2644;width:2;height:1017" coordorigin="5640,2644" coordsize="2,1017">
              <v:shape style="position:absolute;left:5640;top:2644;width:2;height:1017" coordorigin="5640,2644" coordsize="0,1017" path="m5640,2644l5640,3660e" filled="false" stroked="true" strokeweight=".48001pt" strokecolor="#000000">
                <v:path arrowok="t"/>
              </v:shape>
            </v:group>
            <v:group style="position:absolute;left:6260;top:2644;width:2;height:1017" coordorigin="6260,2644" coordsize="2,1017">
              <v:shape style="position:absolute;left:6260;top:2644;width:2;height:1017" coordorigin="6260,2644" coordsize="0,1017" path="m6260,2644l6260,3660e" filled="false" stroked="true" strokeweight=".48001pt" strokecolor="#000000">
                <v:path arrowok="t"/>
              </v:shape>
            </v:group>
            <v:group style="position:absolute;left:9671;top:2644;width:2;height:1017" coordorigin="9671,2644" coordsize="2,1017">
              <v:shape style="position:absolute;left:9671;top:2644;width:2;height:1017" coordorigin="9671,2644" coordsize="0,1017" path="m9671,2644l9671,3660e" filled="false" stroked="true" strokeweight=".48001pt" strokecolor="#000000">
                <v:path arrowok="t"/>
              </v:shape>
            </v:group>
            <v:group style="position:absolute;left:10022;top:2644;width:2;height:1017" coordorigin="10022,2644" coordsize="2,1017">
              <v:shape style="position:absolute;left:10022;top:2644;width:2;height:1017" coordorigin="10022,2644" coordsize="0,1017" path="m10022,2644l10022,3660e" filled="false" stroked="true" strokeweight=".48001pt" strokecolor="#000000">
                <v:path arrowok="t"/>
              </v:shape>
            </v:group>
            <v:group style="position:absolute;left:10897;top:2644;width:2;height:1017" coordorigin="10897,2644" coordsize="2,1017">
              <v:shape style="position:absolute;left:10897;top:2644;width:2;height:1017" coordorigin="10897,2644" coordsize="0,1017" path="m10897,2644l10897,3660e" filled="false" stroked="true" strokeweight=".48004pt" strokecolor="#000000">
                <v:path arrowok="t"/>
              </v:shape>
            </v:group>
            <v:group style="position:absolute;left:11592;top:2644;width:2;height:1017" coordorigin="11592,2644" coordsize="2,1017">
              <v:shape style="position:absolute;left:11592;top:2644;width:2;height:1017" coordorigin="11592,2644" coordsize="0,1017" path="m11592,2644l11592,3660e" filled="false" stroked="true" strokeweight=".47998pt" strokecolor="#000000">
                <v:path arrowok="t"/>
              </v:shape>
            </v:group>
            <v:group style="position:absolute;left:12683;top:2644;width:2;height:1017" coordorigin="12683,2644" coordsize="2,1017">
              <v:shape style="position:absolute;left:12683;top:2644;width:2;height:1017" coordorigin="12683,2644" coordsize="0,1017" path="m12683,2644l12683,3660e" filled="false" stroked="true" strokeweight=".47998pt" strokecolor="#000000">
                <v:path arrowok="t"/>
              </v:shape>
            </v:group>
            <v:group style="position:absolute;left:13784;top:2644;width:2;height:1017" coordorigin="13784,2644" coordsize="2,1017">
              <v:shape style="position:absolute;left:13784;top:2644;width:2;height:1017" coordorigin="13784,2644" coordsize="0,1017" path="m13784,2644l13784,3660e" filled="false" stroked="true" strokeweight=".47998pt" strokecolor="#000000">
                <v:path arrowok="t"/>
              </v:shape>
            </v:group>
            <v:group style="position:absolute;left:14135;top:2644;width:2;height:1017" coordorigin="14135,2644" coordsize="2,1017">
              <v:shape style="position:absolute;left:14135;top:2644;width:2;height:1017" coordorigin="14135,2644" coordsize="0,1017" path="m14135,2644l14135,3660e" filled="false" stroked="true" strokeweight=".48004pt" strokecolor="#000000">
                <v:path arrowok="t"/>
              </v:shape>
            </v:group>
            <v:group style="position:absolute;left:14790;top:2644;width:2;height:1017" coordorigin="14790,2644" coordsize="2,1017">
              <v:shape style="position:absolute;left:14790;top:2644;width:2;height:1017" coordorigin="14790,2644" coordsize="0,1017" path="m14790,2644l14790,3660e" filled="false" stroked="true" strokeweight=".47998pt" strokecolor="#000000">
                <v:path arrowok="t"/>
              </v:shape>
            </v:group>
            <v:group style="position:absolute;left:1428;top:3670;width:2;height:1017" coordorigin="1428,3670" coordsize="2,1017">
              <v:shape style="position:absolute;left:1428;top:3670;width:2;height:1017" coordorigin="1428,3670" coordsize="0,1017" path="m1428,3670l1428,4686e" filled="false" stroked="true" strokeweight="1.140pt" strokecolor="#c7edcc">
                <v:path arrowok="t"/>
              </v:shape>
            </v:group>
            <v:group style="position:absolute;left:2499;top:3670;width:2;height:1017" coordorigin="2499,3670" coordsize="2,1017">
              <v:shape style="position:absolute;left:2499;top:3670;width:2;height:1017" coordorigin="2499,3670" coordsize="0,1017" path="m2499,3670l2499,4686e" filled="false" stroked="true" strokeweight="1.2pt" strokecolor="#c7edcc">
                <v:path arrowok="t"/>
              </v:shape>
            </v:group>
            <v:group style="position:absolute;left:1440;top:3670;width:1048;height:353" coordorigin="1440,3670" coordsize="1048,353">
              <v:shape style="position:absolute;left:1440;top:3670;width:1048;height:353" coordorigin="1440,3670" coordsize="1048,353" path="m1440,3670l1440,4022,2487,4022,2487,3670,1440,3670xe" filled="true" fillcolor="#c7edcc" stroked="false">
                <v:path arrowok="t"/>
                <v:fill type="solid"/>
              </v:shape>
            </v:group>
            <v:group style="position:absolute;left:1440;top:4022;width:1048;height:312" coordorigin="1440,4022" coordsize="1048,312">
              <v:shape style="position:absolute;left:1440;top:4022;width:1048;height:312" coordorigin="1440,4022" coordsize="1048,312" path="m1440,4022l1440,4334,2487,4334,2487,4022,1440,4022xe" filled="true" fillcolor="#c7edcc" stroked="false">
                <v:path arrowok="t"/>
                <v:fill type="solid"/>
              </v:shape>
            </v:group>
            <v:group style="position:absolute;left:1440;top:4334;width:1048;height:352" coordorigin="1440,4334" coordsize="1048,352">
              <v:shape style="position:absolute;left:1440;top:4334;width:1048;height:352" coordorigin="1440,4334" coordsize="1048,352" path="m1440,4334l1440,4686,2487,4686,2487,4334,1440,4334xe" filled="true" fillcolor="#c7edcc" stroked="false">
                <v:path arrowok="t"/>
                <v:fill type="solid"/>
              </v:shape>
            </v:group>
            <v:group style="position:absolute;left:2533;top:3670;width:2;height:1017" coordorigin="2533,3670" coordsize="2,1017">
              <v:shape style="position:absolute;left:2533;top:3670;width:2;height:1017" coordorigin="2533,3670" coordsize="0,1017" path="m2533,3670l2533,4686e" filled="false" stroked="true" strokeweight="1.1pt" strokecolor="#c7edcc">
                <v:path arrowok="t"/>
              </v:shape>
            </v:group>
            <v:group style="position:absolute;left:2544;top:3670;width:842;height:312" coordorigin="2544,3670" coordsize="842,312">
              <v:shape style="position:absolute;left:2544;top:3670;width:842;height:312" coordorigin="2544,3670" coordsize="842,312" path="m2544,3670l2544,3982,3386,3982,3386,3670,2544,3670xe" filled="true" fillcolor="#c7edcc" stroked="false">
                <v:path arrowok="t"/>
                <v:fill type="solid"/>
              </v:shape>
            </v:group>
            <v:group style="position:absolute;left:2544;top:4374;width:843;height:312" coordorigin="2544,4374" coordsize="843,312">
              <v:shape style="position:absolute;left:2544;top:4374;width:843;height:312" coordorigin="2544,4374" coordsize="843,312" path="m3386,4686l3386,4374,2544,4374,2544,4686,3386,4686xe" filled="true" fillcolor="#c7edcc" stroked="false">
                <v:path arrowok="t"/>
                <v:fill type="solid"/>
              </v:shape>
            </v:group>
            <v:group style="position:absolute;left:3374;top:3982;width:2;height:393" coordorigin="3374,3982" coordsize="2,393">
              <v:shape style="position:absolute;left:3374;top:3982;width:2;height:393" coordorigin="3374,3982" coordsize="0,393" path="m3374,3982l3374,4374e" filled="false" stroked="true" strokeweight="1.2pt" strokecolor="#c7edcc">
                <v:path arrowok="t"/>
              </v:shape>
            </v:group>
            <v:group style="position:absolute;left:2544;top:3982;width:819;height:393" coordorigin="2544,3982" coordsize="819,393">
              <v:shape style="position:absolute;left:2544;top:3982;width:819;height:393" coordorigin="2544,3982" coordsize="819,393" path="m2544,3982l2544,4374,3362,4374,3362,3982,2544,3982xe" filled="true" fillcolor="#c7edcc" stroked="false">
                <v:path arrowok="t"/>
                <v:fill type="solid"/>
              </v:shape>
            </v:group>
            <v:group style="position:absolute;left:5656;top:3670;width:2;height:1017" coordorigin="5656,3670" coordsize="2,1017">
              <v:shape style="position:absolute;left:5656;top:3670;width:2;height:1017" coordorigin="5656,3670" coordsize="0,1017" path="m5656,3670l5656,4686e" filled="false" stroked="true" strokeweight="1.2pt" strokecolor="#c7edcc">
                <v:path arrowok="t"/>
              </v:shape>
            </v:group>
            <v:group style="position:absolute;left:5668;top:3670;width:588;height:156" coordorigin="5668,3670" coordsize="588,156">
              <v:shape style="position:absolute;left:5668;top:3670;width:588;height:156" coordorigin="5668,3670" coordsize="588,156" path="m5668,3670l5668,3826,6256,3826,6256,3670,5668,3670xe" filled="true" fillcolor="#c7edcc" stroked="false">
                <v:path arrowok="t"/>
                <v:fill type="solid"/>
              </v:shape>
            </v:group>
            <v:group style="position:absolute;left:5667;top:4530;width:588;height:156" coordorigin="5667,4530" coordsize="588,156">
              <v:shape style="position:absolute;left:5667;top:4530;width:588;height:156" coordorigin="5667,4530" coordsize="588,156" path="m6255,4686l6255,4530,5667,4530,5667,4686,6255,4686xe" filled="true" fillcolor="#c7edcc" stroked="false">
                <v:path arrowok="t"/>
                <v:fill type="solid"/>
              </v:shape>
            </v:group>
            <v:group style="position:absolute;left:6243;top:3826;width:2;height:705" coordorigin="6243,3826" coordsize="2,705">
              <v:shape style="position:absolute;left:6243;top:3826;width:2;height:705" coordorigin="6243,3826" coordsize="0,705" path="m6243,3826l6243,4530e" filled="false" stroked="true" strokeweight="1.2pt" strokecolor="#c7edcc">
                <v:path arrowok="t"/>
              </v:shape>
            </v:group>
            <v:group style="position:absolute;left:5667;top:3826;width:564;height:353" coordorigin="5667,3826" coordsize="564,353">
              <v:shape style="position:absolute;left:5667;top:3826;width:564;height:353" coordorigin="5667,3826" coordsize="564,353" path="m5667,3826l5667,4178,6231,4178,6231,3826,5667,3826xe" filled="true" fillcolor="#c7edcc" stroked="false">
                <v:path arrowok="t"/>
                <v:fill type="solid"/>
              </v:shape>
            </v:group>
            <v:group style="position:absolute;left:5667;top:4178;width:564;height:352" coordorigin="5667,4178" coordsize="564,352">
              <v:shape style="position:absolute;left:5667;top:4178;width:564;height:352" coordorigin="5667,4178" coordsize="564,352" path="m5667,4178l5667,4530,6231,4530,6231,4178,5667,4178xe" filled="true" fillcolor="#c7edcc" stroked="false">
                <v:path arrowok="t"/>
                <v:fill type="solid"/>
              </v:shape>
            </v:group>
            <v:group style="position:absolute;left:6277;top:3670;width:2;height:1017" coordorigin="6277,3670" coordsize="2,1017">
              <v:shape style="position:absolute;left:6277;top:3670;width:2;height:1017" coordorigin="6277,3670" coordsize="0,1017" path="m6277,3670l6277,4686e" filled="false" stroked="true" strokeweight="1.1pt" strokecolor="#c7edcc">
                <v:path arrowok="t"/>
              </v:shape>
            </v:group>
            <v:group style="position:absolute;left:6288;top:3670;width:3378;height:156" coordorigin="6288,3670" coordsize="3378,156">
              <v:shape style="position:absolute;left:6288;top:3670;width:3378;height:156" coordorigin="6288,3670" coordsize="3378,156" path="m6288,3670l6288,3826,9666,3826,9666,3670,6288,3670xe" filled="true" fillcolor="#c7edcc" stroked="false">
                <v:path arrowok="t"/>
                <v:fill type="solid"/>
              </v:shape>
            </v:group>
            <v:group style="position:absolute;left:6288;top:4530;width:3378;height:156" coordorigin="6288,4530" coordsize="3378,156">
              <v:shape style="position:absolute;left:6288;top:4530;width:3378;height:156" coordorigin="6288,4530" coordsize="3378,156" path="m9666,4686l9666,4530,6288,4530,6288,4686,9666,4686xe" filled="true" fillcolor="#c7edcc" stroked="false">
                <v:path arrowok="t"/>
                <v:fill type="solid"/>
              </v:shape>
            </v:group>
            <v:group style="position:absolute;left:9654;top:3826;width:2;height:705" coordorigin="9654,3826" coordsize="2,705">
              <v:shape style="position:absolute;left:9654;top:3826;width:2;height:705" coordorigin="9654,3826" coordsize="0,705" path="m9654,3826l9654,4530e" filled="false" stroked="true" strokeweight="1.140pt" strokecolor="#c7edcc">
                <v:path arrowok="t"/>
              </v:shape>
            </v:group>
            <v:group style="position:absolute;left:6288;top:3826;width:3356;height:353" coordorigin="6288,3826" coordsize="3356,353">
              <v:shape style="position:absolute;left:6288;top:3826;width:3356;height:353" coordorigin="6288,3826" coordsize="3356,353" path="m6288,3826l6288,4178,9643,4178,9643,3826,6288,3826xe" filled="true" fillcolor="#c7edcc" stroked="false">
                <v:path arrowok="t"/>
                <v:fill type="solid"/>
              </v:shape>
            </v:group>
            <v:group style="position:absolute;left:6288;top:4178;width:3356;height:352" coordorigin="6288,4178" coordsize="3356,352">
              <v:shape style="position:absolute;left:6288;top:4178;width:3356;height:352" coordorigin="6288,4178" coordsize="3356,352" path="m6288,4178l6288,4530,9643,4530,9643,4178,6288,4178xe" filled="true" fillcolor="#c7edcc" stroked="false">
                <v:path arrowok="t"/>
                <v:fill type="solid"/>
              </v:shape>
            </v:group>
            <v:group style="position:absolute;left:9687;top:3670;width:2;height:1017" coordorigin="9687,3670" coordsize="2,1017">
              <v:shape style="position:absolute;left:9687;top:3670;width:2;height:1017" coordorigin="9687,3670" coordsize="0,1017" path="m9687,3670l9687,4686e" filled="false" stroked="true" strokeweight="1.1pt" strokecolor="#c7edcc">
                <v:path arrowok="t"/>
              </v:shape>
            </v:group>
            <v:group style="position:absolute;left:9698;top:3670;width:320;height:156" coordorigin="9698,3670" coordsize="320,156">
              <v:shape style="position:absolute;left:9698;top:3670;width:320;height:156" coordorigin="9698,3670" coordsize="320,156" path="m9698,3670l9698,3826,10018,3826,10018,3670,9698,3670xe" filled="true" fillcolor="#c7edcc" stroked="false">
                <v:path arrowok="t"/>
                <v:fill type="solid"/>
              </v:shape>
            </v:group>
            <v:group style="position:absolute;left:9698;top:4530;width:320;height:156" coordorigin="9698,4530" coordsize="320,156">
              <v:shape style="position:absolute;left:9698;top:4530;width:320;height:156" coordorigin="9698,4530" coordsize="320,156" path="m10017,4686l10017,4530,9698,4530,9698,4686,10017,4686xe" filled="true" fillcolor="#c7edcc" stroked="false">
                <v:path arrowok="t"/>
                <v:fill type="solid"/>
              </v:shape>
            </v:group>
            <v:group style="position:absolute;left:10005;top:3826;width:2;height:705" coordorigin="10005,3826" coordsize="2,705">
              <v:shape style="position:absolute;left:10005;top:3826;width:2;height:705" coordorigin="10005,3826" coordsize="0,705" path="m10005,3826l10005,4530e" filled="false" stroked="true" strokeweight="1.2pt" strokecolor="#c7edcc">
                <v:path arrowok="t"/>
              </v:shape>
            </v:group>
            <v:group style="position:absolute;left:9698;top:3826;width:296;height:353" coordorigin="9698,3826" coordsize="296,353">
              <v:shape style="position:absolute;left:9698;top:3826;width:296;height:353" coordorigin="9698,3826" coordsize="296,353" path="m9698,3826l9698,4178,9993,4178,9993,3826,9698,3826xe" filled="true" fillcolor="#c7edcc" stroked="false">
                <v:path arrowok="t"/>
                <v:fill type="solid"/>
              </v:shape>
            </v:group>
            <v:group style="position:absolute;left:9698;top:4178;width:296;height:352" coordorigin="9698,4178" coordsize="296,352">
              <v:shape style="position:absolute;left:9698;top:4178;width:296;height:352" coordorigin="9698,4178" coordsize="296,352" path="m9698,4178l9698,4530,9993,4530,9993,4178,9698,4178xe" filled="true" fillcolor="#c7edcc" stroked="false">
                <v:path arrowok="t"/>
                <v:fill type="solid"/>
              </v:shape>
            </v:group>
            <v:group style="position:absolute;left:10038;top:3670;width:2;height:1017" coordorigin="10038,3670" coordsize="2,1017">
              <v:shape style="position:absolute;left:10038;top:3670;width:2;height:1017" coordorigin="10038,3670" coordsize="0,1017" path="m10038,3670l10038,4686e" filled="false" stroked="true" strokeweight="1.2pt" strokecolor="#c7edcc">
                <v:path arrowok="t"/>
              </v:shape>
            </v:group>
            <v:group style="position:absolute;left:10050;top:3670;width:842;height:312" coordorigin="10050,3670" coordsize="842,312">
              <v:shape style="position:absolute;left:10050;top:3670;width:842;height:312" coordorigin="10050,3670" coordsize="842,312" path="m10050,3670l10050,3982,10892,3982,10892,3670,10050,3670xe" filled="true" fillcolor="#c7edcc" stroked="false">
                <v:path arrowok="t"/>
                <v:fill type="solid"/>
              </v:shape>
            </v:group>
            <v:group style="position:absolute;left:10050;top:4374;width:843;height:312" coordorigin="10050,4374" coordsize="843,312">
              <v:shape style="position:absolute;left:10050;top:4374;width:843;height:312" coordorigin="10050,4374" coordsize="843,312" path="m10892,4686l10892,4374,10050,4374,10050,4686,10892,4686xe" filled="true" fillcolor="#c7edcc" stroked="false">
                <v:path arrowok="t"/>
                <v:fill type="solid"/>
              </v:shape>
            </v:group>
            <v:group style="position:absolute;left:10880;top:3982;width:2;height:393" coordorigin="10880,3982" coordsize="2,393">
              <v:shape style="position:absolute;left:10880;top:3982;width:2;height:393" coordorigin="10880,3982" coordsize="0,393" path="m10880,3982l10880,4374e" filled="false" stroked="true" strokeweight="1.199pt" strokecolor="#c7edcc">
                <v:path arrowok="t"/>
              </v:shape>
            </v:group>
            <v:group style="position:absolute;left:10050;top:3982;width:819;height:393" coordorigin="10050,3982" coordsize="819,393">
              <v:shape style="position:absolute;left:10050;top:3982;width:819;height:393" coordorigin="10050,3982" coordsize="819,393" path="m10050,3982l10050,4374,10868,4374,10868,3982,10050,3982xe" filled="true" fillcolor="#c7edcc" stroked="false">
                <v:path arrowok="t"/>
                <v:fill type="solid"/>
              </v:shape>
            </v:group>
            <v:group style="position:absolute;left:10913;top:3670;width:2;height:1017" coordorigin="10913,3670" coordsize="2,1017">
              <v:shape style="position:absolute;left:10913;top:3670;width:2;height:1017" coordorigin="10913,3670" coordsize="0,1017" path="m10913,3670l10913,4686e" filled="false" stroked="true" strokeweight="1.1pt" strokecolor="#c7edcc">
                <v:path arrowok="t"/>
              </v:shape>
            </v:group>
            <v:group style="position:absolute;left:10924;top:3670;width:664;height:156" coordorigin="10924,3670" coordsize="664,156">
              <v:shape style="position:absolute;left:10924;top:3670;width:664;height:156" coordorigin="10924,3670" coordsize="664,156" path="m10924,3670l10924,3826,11588,3826,11588,3670,10924,3670xe" filled="true" fillcolor="#c7edcc" stroked="false">
                <v:path arrowok="t"/>
                <v:fill type="solid"/>
              </v:shape>
            </v:group>
            <v:group style="position:absolute;left:10925;top:4530;width:663;height:156" coordorigin="10925,4530" coordsize="663,156">
              <v:shape style="position:absolute;left:10925;top:4530;width:663;height:156" coordorigin="10925,4530" coordsize="663,156" path="m11587,4686l11587,4530,10925,4530,10925,4686,11587,4686xe" filled="true" fillcolor="#c7edcc" stroked="false">
                <v:path arrowok="t"/>
                <v:fill type="solid"/>
              </v:shape>
            </v:group>
            <v:group style="position:absolute;left:11576;top:3826;width:2;height:705" coordorigin="11576,3826" coordsize="2,705">
              <v:shape style="position:absolute;left:11576;top:3826;width:2;height:705" coordorigin="11576,3826" coordsize="0,705" path="m11576,3826l11576,4530e" filled="false" stroked="true" strokeweight="1.141pt" strokecolor="#c7edcc">
                <v:path arrowok="t"/>
              </v:shape>
            </v:group>
            <v:group style="position:absolute;left:10925;top:3826;width:640;height:353" coordorigin="10925,3826" coordsize="640,353">
              <v:shape style="position:absolute;left:10925;top:3826;width:640;height:353" coordorigin="10925,3826" coordsize="640,353" path="m10925,3826l10925,4178,11564,4178,11564,3826,10925,3826xe" filled="true" fillcolor="#c7edcc" stroked="false">
                <v:path arrowok="t"/>
                <v:fill type="solid"/>
              </v:shape>
            </v:group>
            <v:group style="position:absolute;left:10925;top:4178;width:640;height:352" coordorigin="10925,4178" coordsize="640,352">
              <v:shape style="position:absolute;left:10925;top:4178;width:640;height:352" coordorigin="10925,4178" coordsize="640,352" path="m10925,4178l10925,4530,11564,4530,11564,4178,10925,4178xe" filled="true" fillcolor="#c7edcc" stroked="false">
                <v:path arrowok="t"/>
                <v:fill type="solid"/>
              </v:shape>
            </v:group>
            <v:group style="position:absolute;left:14806;top:3670;width:2;height:1017" coordorigin="14806,3670" coordsize="2,1017">
              <v:shape style="position:absolute;left:14806;top:3670;width:2;height:1017" coordorigin="14806,3670" coordsize="0,1017" path="m14806,3670l14806,4686e" filled="false" stroked="true" strokeweight="1.2pt" strokecolor="#c7edcc">
                <v:path arrowok="t"/>
              </v:shape>
            </v:group>
            <v:group style="position:absolute;left:14818;top:3670;width:872;height:156" coordorigin="14818,3670" coordsize="872,156">
              <v:shape style="position:absolute;left:14818;top:3670;width:872;height:156" coordorigin="14818,3670" coordsize="872,156" path="m14818,3670l14818,3826,15690,3826,15690,3670,14818,3670xe" filled="true" fillcolor="#c7edcc" stroked="false">
                <v:path arrowok="t"/>
                <v:fill type="solid"/>
              </v:shape>
            </v:group>
            <v:group style="position:absolute;left:14817;top:4530;width:873;height:156" coordorigin="14817,4530" coordsize="873,156">
              <v:shape style="position:absolute;left:14817;top:4530;width:873;height:156" coordorigin="14817,4530" coordsize="873,156" path="m15690,4686l15690,4530,14817,4530,14817,4686,15690,4686xe" filled="true" fillcolor="#c7edcc" stroked="false">
                <v:path arrowok="t"/>
                <v:fill type="solid"/>
              </v:shape>
            </v:group>
            <v:group style="position:absolute;left:15678;top:3826;width:2;height:705" coordorigin="15678,3826" coordsize="2,705">
              <v:shape style="position:absolute;left:15678;top:3826;width:2;height:705" coordorigin="15678,3826" coordsize="0,705" path="m15678,3826l15678,4530e" filled="false" stroked="true" strokeweight="1.140pt" strokecolor="#c7edcc">
                <v:path arrowok="t"/>
              </v:shape>
            </v:group>
            <v:group style="position:absolute;left:14817;top:3826;width:850;height:353" coordorigin="14817,3826" coordsize="850,353">
              <v:shape style="position:absolute;left:14817;top:3826;width:850;height:353" coordorigin="14817,3826" coordsize="850,353" path="m14817,3826l14817,4178,15667,4178,15667,3826,14817,3826xe" filled="true" fillcolor="#c7edcc" stroked="false">
                <v:path arrowok="t"/>
                <v:fill type="solid"/>
              </v:shape>
            </v:group>
            <v:group style="position:absolute;left:14817;top:4178;width:850;height:352" coordorigin="14817,4178" coordsize="850,352">
              <v:shape style="position:absolute;left:14817;top:4178;width:850;height:352" coordorigin="14817,4178" coordsize="850,352" path="m14817,4178l14817,4530,15667,4530,15667,4178,14817,4178xe" filled="true" fillcolor="#c7edcc" stroked="false">
                <v:path arrowok="t"/>
                <v:fill type="solid"/>
              </v:shape>
            </v:group>
            <v:group style="position:absolute;left:1407;top:3665;width:14292;height:2" coordorigin="1407,3665" coordsize="14292,2">
              <v:shape style="position:absolute;left:1407;top:3665;width:14292;height:2" coordorigin="1407,3665" coordsize="14292,0" path="m1407,3665l15699,3665e" filled="false" stroked="true" strokeweight=".48001pt" strokecolor="#000000">
                <v:path arrowok="t"/>
              </v:shape>
            </v:group>
            <v:group style="position:absolute;left:2516;top:3670;width:2;height:1017" coordorigin="2516,3670" coordsize="2,1017">
              <v:shape style="position:absolute;left:2516;top:3670;width:2;height:1017" coordorigin="2516,3670" coordsize="0,1017" path="m2516,3670l2516,4686e" filled="false" stroked="true" strokeweight=".47998pt" strokecolor="#000000">
                <v:path arrowok="t"/>
              </v:shape>
            </v:group>
            <v:group style="position:absolute;left:3391;top:3670;width:2;height:1017" coordorigin="3391,3670" coordsize="2,1017">
              <v:shape style="position:absolute;left:3391;top:3670;width:2;height:1017" coordorigin="3391,3670" coordsize="0,1017" path="m3391,3670l3391,4686e" filled="false" stroked="true" strokeweight=".48pt" strokecolor="#000000">
                <v:path arrowok="t"/>
              </v:shape>
            </v:group>
            <v:group style="position:absolute;left:3741;top:3670;width:2;height:1017" coordorigin="3741,3670" coordsize="2,1017">
              <v:shape style="position:absolute;left:3741;top:3670;width:2;height:1017" coordorigin="3741,3670" coordsize="0,1017" path="m3741,3670l3741,4686e" filled="false" stroked="true" strokeweight=".48pt" strokecolor="#000000">
                <v:path arrowok="t"/>
              </v:shape>
            </v:group>
            <v:group style="position:absolute;left:4923;top:3670;width:2;height:1017" coordorigin="4923,3670" coordsize="2,1017">
              <v:shape style="position:absolute;left:4923;top:3670;width:2;height:1017" coordorigin="4923,3670" coordsize="0,1017" path="m4923,3670l4923,4686e" filled="false" stroked="true" strokeweight=".48pt" strokecolor="#000000">
                <v:path arrowok="t"/>
              </v:shape>
            </v:group>
            <v:group style="position:absolute;left:5640;top:3670;width:2;height:1017" coordorigin="5640,3670" coordsize="2,1017">
              <v:shape style="position:absolute;left:5640;top:3670;width:2;height:1017" coordorigin="5640,3670" coordsize="0,1017" path="m5640,3670l5640,4686e" filled="false" stroked="true" strokeweight=".48001pt" strokecolor="#000000">
                <v:path arrowok="t"/>
              </v:shape>
            </v:group>
            <v:group style="position:absolute;left:6260;top:3670;width:2;height:1017" coordorigin="6260,3670" coordsize="2,1017">
              <v:shape style="position:absolute;left:6260;top:3670;width:2;height:1017" coordorigin="6260,3670" coordsize="0,1017" path="m6260,3670l6260,4686e" filled="false" stroked="true" strokeweight=".48001pt" strokecolor="#000000">
                <v:path arrowok="t"/>
              </v:shape>
            </v:group>
            <v:group style="position:absolute;left:9671;top:3670;width:2;height:1017" coordorigin="9671,3670" coordsize="2,1017">
              <v:shape style="position:absolute;left:9671;top:3670;width:2;height:1017" coordorigin="9671,3670" coordsize="0,1017" path="m9671,3670l9671,4686e" filled="false" stroked="true" strokeweight=".48001pt" strokecolor="#000000">
                <v:path arrowok="t"/>
              </v:shape>
            </v:group>
            <v:group style="position:absolute;left:10022;top:3670;width:2;height:1017" coordorigin="10022,3670" coordsize="2,1017">
              <v:shape style="position:absolute;left:10022;top:3670;width:2;height:1017" coordorigin="10022,3670" coordsize="0,1017" path="m10022,3670l10022,4686e" filled="false" stroked="true" strokeweight=".48001pt" strokecolor="#000000">
                <v:path arrowok="t"/>
              </v:shape>
            </v:group>
            <v:group style="position:absolute;left:10897;top:3670;width:2;height:1017" coordorigin="10897,3670" coordsize="2,1017">
              <v:shape style="position:absolute;left:10897;top:3670;width:2;height:1017" coordorigin="10897,3670" coordsize="0,1017" path="m10897,3670l10897,4686e" filled="false" stroked="true" strokeweight=".48004pt" strokecolor="#000000">
                <v:path arrowok="t"/>
              </v:shape>
            </v:group>
            <v:group style="position:absolute;left:11592;top:3670;width:2;height:1017" coordorigin="11592,3670" coordsize="2,1017">
              <v:shape style="position:absolute;left:11592;top:3670;width:2;height:1017" coordorigin="11592,3670" coordsize="0,1017" path="m11592,3670l11592,4686e" filled="false" stroked="true" strokeweight=".47998pt" strokecolor="#000000">
                <v:path arrowok="t"/>
              </v:shape>
            </v:group>
            <v:group style="position:absolute;left:12683;top:3670;width:2;height:1017" coordorigin="12683,3670" coordsize="2,1017">
              <v:shape style="position:absolute;left:12683;top:3670;width:2;height:1017" coordorigin="12683,3670" coordsize="0,1017" path="m12683,3670l12683,4686e" filled="false" stroked="true" strokeweight=".47998pt" strokecolor="#000000">
                <v:path arrowok="t"/>
              </v:shape>
            </v:group>
            <v:group style="position:absolute;left:13784;top:3670;width:2;height:1017" coordorigin="13784,3670" coordsize="2,1017">
              <v:shape style="position:absolute;left:13784;top:3670;width:2;height:1017" coordorigin="13784,3670" coordsize="0,1017" path="m13784,3670l13784,4686e" filled="false" stroked="true" strokeweight=".47998pt" strokecolor="#000000">
                <v:path arrowok="t"/>
              </v:shape>
            </v:group>
            <v:group style="position:absolute;left:14135;top:3670;width:2;height:1017" coordorigin="14135,3670" coordsize="2,1017">
              <v:shape style="position:absolute;left:14135;top:3670;width:2;height:1017" coordorigin="14135,3670" coordsize="0,1017" path="m14135,3670l14135,4686e" filled="false" stroked="true" strokeweight=".48004pt" strokecolor="#000000">
                <v:path arrowok="t"/>
              </v:shape>
            </v:group>
            <v:group style="position:absolute;left:14790;top:3670;width:2;height:1017" coordorigin="14790,3670" coordsize="2,1017">
              <v:shape style="position:absolute;left:14790;top:3670;width:2;height:1017" coordorigin="14790,3670" coordsize="0,1017" path="m14790,3670l14790,4686e" filled="false" stroked="true" strokeweight=".47998pt" strokecolor="#000000">
                <v:path arrowok="t"/>
              </v:shape>
            </v:group>
            <v:group style="position:absolute;left:1429;top:4696;width:2;height:1017" coordorigin="1429,4696" coordsize="2,1017">
              <v:shape style="position:absolute;left:1429;top:4696;width:2;height:1017" coordorigin="1429,4696" coordsize="0,1017" path="m1429,4696l1429,5712e" filled="false" stroked="true" strokeweight="1.1pt" strokecolor="#c7edcc">
                <v:path arrowok="t"/>
              </v:shape>
            </v:group>
            <v:group style="position:absolute;left:1440;top:4696;width:1072;height:156" coordorigin="1440,4696" coordsize="1072,156">
              <v:shape style="position:absolute;left:1440;top:4696;width:1072;height:156" coordorigin="1440,4696" coordsize="1072,156" path="m1440,4696l1440,4852,2512,4852,2512,4696,1440,4696xe" filled="true" fillcolor="#c7edcc" stroked="false">
                <v:path arrowok="t"/>
                <v:fill type="solid"/>
              </v:shape>
            </v:group>
            <v:group style="position:absolute;left:1440;top:5556;width:1072;height:156" coordorigin="1440,5556" coordsize="1072,156">
              <v:shape style="position:absolute;left:1440;top:5556;width:1072;height:156" coordorigin="1440,5556" coordsize="1072,156" path="m2511,5712l2511,5556,1440,5556,1440,5712,2511,5712xe" filled="true" fillcolor="#c7edcc" stroked="false">
                <v:path arrowok="t"/>
                <v:fill type="solid"/>
              </v:shape>
            </v:group>
            <v:group style="position:absolute;left:2499;top:4852;width:2;height:705" coordorigin="2499,4852" coordsize="2,705">
              <v:shape style="position:absolute;left:2499;top:4852;width:2;height:705" coordorigin="2499,4852" coordsize="0,705" path="m2499,4852l2499,5556e" filled="false" stroked="true" strokeweight="1.2pt" strokecolor="#c7edcc">
                <v:path arrowok="t"/>
              </v:shape>
            </v:group>
            <v:group style="position:absolute;left:1440;top:4852;width:1048;height:353" coordorigin="1440,4852" coordsize="1048,353">
              <v:shape style="position:absolute;left:1440;top:4852;width:1048;height:353" coordorigin="1440,4852" coordsize="1048,353" path="m1440,4852l1440,5204,2487,5204,2487,4852,1440,4852xe" filled="true" fillcolor="#c7edcc" stroked="false">
                <v:path arrowok="t"/>
                <v:fill type="solid"/>
              </v:shape>
            </v:group>
            <v:group style="position:absolute;left:1440;top:5204;width:1048;height:352" coordorigin="1440,5204" coordsize="1048,352">
              <v:shape style="position:absolute;left:1440;top:5204;width:1048;height:352" coordorigin="1440,5204" coordsize="1048,352" path="m1440,5204l1440,5556,2487,5556,2487,5204,1440,5204xe" filled="true" fillcolor="#c7edcc" stroked="false">
                <v:path arrowok="t"/>
                <v:fill type="solid"/>
              </v:shape>
            </v:group>
            <v:group style="position:absolute;left:2533;top:4696;width:2;height:1017" coordorigin="2533,4696" coordsize="2,1017">
              <v:shape style="position:absolute;left:2533;top:4696;width:2;height:1017" coordorigin="2533,4696" coordsize="0,1017" path="m2533,4696l2533,5712e" filled="false" stroked="true" strokeweight="1.1pt" strokecolor="#c7edcc">
                <v:path arrowok="t"/>
              </v:shape>
            </v:group>
            <v:group style="position:absolute;left:2544;top:4696;width:842;height:156" coordorigin="2544,4696" coordsize="842,156">
              <v:shape style="position:absolute;left:2544;top:4696;width:842;height:156" coordorigin="2544,4696" coordsize="842,156" path="m2544,4696l2544,4852,3386,4852,3386,4696,2544,4696xe" filled="true" fillcolor="#c7edcc" stroked="false">
                <v:path arrowok="t"/>
                <v:fill type="solid"/>
              </v:shape>
            </v:group>
            <v:group style="position:absolute;left:2544;top:5556;width:843;height:156" coordorigin="2544,5556" coordsize="843,156">
              <v:shape style="position:absolute;left:2544;top:5556;width:843;height:156" coordorigin="2544,5556" coordsize="843,156" path="m3386,5712l3386,5556,2544,5556,2544,5712,3386,5712xe" filled="true" fillcolor="#c7edcc" stroked="false">
                <v:path arrowok="t"/>
                <v:fill type="solid"/>
              </v:shape>
            </v:group>
            <v:group style="position:absolute;left:3374;top:4852;width:2;height:705" coordorigin="3374,4852" coordsize="2,705">
              <v:shape style="position:absolute;left:3374;top:4852;width:2;height:705" coordorigin="3374,4852" coordsize="0,705" path="m3374,4852l3374,5556e" filled="false" stroked="true" strokeweight="1.2pt" strokecolor="#c7edcc">
                <v:path arrowok="t"/>
              </v:shape>
            </v:group>
            <v:group style="position:absolute;left:2544;top:4852;width:819;height:353" coordorigin="2544,4852" coordsize="819,353">
              <v:shape style="position:absolute;left:2544;top:4852;width:819;height:353" coordorigin="2544,4852" coordsize="819,353" path="m2544,4852l2544,5204,3362,5204,3362,4852,2544,4852xe" filled="true" fillcolor="#c7edcc" stroked="false">
                <v:path arrowok="t"/>
                <v:fill type="solid"/>
              </v:shape>
            </v:group>
            <v:group style="position:absolute;left:2544;top:5204;width:819;height:352" coordorigin="2544,5204" coordsize="819,352">
              <v:shape style="position:absolute;left:2544;top:5204;width:819;height:352" coordorigin="2544,5204" coordsize="819,352" path="m2544,5204l2544,5556,3362,5556,3362,5204,2544,5204xe" filled="true" fillcolor="#c7edcc" stroked="false">
                <v:path arrowok="t"/>
                <v:fill type="solid"/>
              </v:shape>
            </v:group>
            <v:group style="position:absolute;left:5656;top:4696;width:2;height:1017" coordorigin="5656,4696" coordsize="2,1017">
              <v:shape style="position:absolute;left:5656;top:4696;width:2;height:1017" coordorigin="5656,4696" coordsize="0,1017" path="m5656,4696l5656,5712e" filled="false" stroked="true" strokeweight="1.2pt" strokecolor="#c7edcc">
                <v:path arrowok="t"/>
              </v:shape>
            </v:group>
            <v:group style="position:absolute;left:5668;top:4696;width:588;height:156" coordorigin="5668,4696" coordsize="588,156">
              <v:shape style="position:absolute;left:5668;top:4696;width:588;height:156" coordorigin="5668,4696" coordsize="588,156" path="m5668,4696l5668,4852,6256,4852,6256,4696,5668,4696xe" filled="true" fillcolor="#c7edcc" stroked="false">
                <v:path arrowok="t"/>
                <v:fill type="solid"/>
              </v:shape>
            </v:group>
            <v:group style="position:absolute;left:5667;top:5556;width:588;height:156" coordorigin="5667,5556" coordsize="588,156">
              <v:shape style="position:absolute;left:5667;top:5556;width:588;height:156" coordorigin="5667,5556" coordsize="588,156" path="m6255,5712l6255,5556,5667,5556,5667,5712,6255,5712xe" filled="true" fillcolor="#c7edcc" stroked="false">
                <v:path arrowok="t"/>
                <v:fill type="solid"/>
              </v:shape>
            </v:group>
            <v:group style="position:absolute;left:6243;top:4852;width:2;height:705" coordorigin="6243,4852" coordsize="2,705">
              <v:shape style="position:absolute;left:6243;top:4852;width:2;height:705" coordorigin="6243,4852" coordsize="0,705" path="m6243,4852l6243,5556e" filled="false" stroked="true" strokeweight="1.2pt" strokecolor="#c7edcc">
                <v:path arrowok="t"/>
              </v:shape>
            </v:group>
            <v:group style="position:absolute;left:5667;top:4852;width:564;height:353" coordorigin="5667,4852" coordsize="564,353">
              <v:shape style="position:absolute;left:5667;top:4852;width:564;height:353" coordorigin="5667,4852" coordsize="564,353" path="m5667,4852l5667,5204,6231,5204,6231,4852,5667,4852xe" filled="true" fillcolor="#c7edcc" stroked="false">
                <v:path arrowok="t"/>
                <v:fill type="solid"/>
              </v:shape>
            </v:group>
            <v:group style="position:absolute;left:5667;top:5204;width:564;height:352" coordorigin="5667,5204" coordsize="564,352">
              <v:shape style="position:absolute;left:5667;top:5204;width:564;height:352" coordorigin="5667,5204" coordsize="564,352" path="m5667,5204l5667,5556,6231,5556,6231,5204,5667,5204xe" filled="true" fillcolor="#c7edcc" stroked="false">
                <v:path arrowok="t"/>
                <v:fill type="solid"/>
              </v:shape>
            </v:group>
            <v:group style="position:absolute;left:6277;top:4696;width:2;height:1017" coordorigin="6277,4696" coordsize="2,1017">
              <v:shape style="position:absolute;left:6277;top:4696;width:2;height:1017" coordorigin="6277,4696" coordsize="0,1017" path="m6277,4696l6277,5712e" filled="false" stroked="true" strokeweight="1.1pt" strokecolor="#c7edcc">
                <v:path arrowok="t"/>
              </v:shape>
            </v:group>
            <v:group style="position:absolute;left:6288;top:4696;width:3378;height:156" coordorigin="6288,4696" coordsize="3378,156">
              <v:shape style="position:absolute;left:6288;top:4696;width:3378;height:156" coordorigin="6288,4696" coordsize="3378,156" path="m6288,4696l6288,4852,9666,4852,9666,4696,6288,4696xe" filled="true" fillcolor="#c7edcc" stroked="false">
                <v:path arrowok="t"/>
                <v:fill type="solid"/>
              </v:shape>
            </v:group>
            <v:group style="position:absolute;left:6288;top:5556;width:3378;height:156" coordorigin="6288,5556" coordsize="3378,156">
              <v:shape style="position:absolute;left:6288;top:5556;width:3378;height:156" coordorigin="6288,5556" coordsize="3378,156" path="m9666,5712l9666,5556,6288,5556,6288,5712,9666,5712xe" filled="true" fillcolor="#c7edcc" stroked="false">
                <v:path arrowok="t"/>
                <v:fill type="solid"/>
              </v:shape>
            </v:group>
            <v:group style="position:absolute;left:9654;top:4852;width:2;height:705" coordorigin="9654,4852" coordsize="2,705">
              <v:shape style="position:absolute;left:9654;top:4852;width:2;height:705" coordorigin="9654,4852" coordsize="0,705" path="m9654,4852l9654,5556e" filled="false" stroked="true" strokeweight="1.140pt" strokecolor="#c7edcc">
                <v:path arrowok="t"/>
              </v:shape>
            </v:group>
            <v:group style="position:absolute;left:6288;top:4852;width:3356;height:353" coordorigin="6288,4852" coordsize="3356,353">
              <v:shape style="position:absolute;left:6288;top:4852;width:3356;height:353" coordorigin="6288,4852" coordsize="3356,353" path="m6288,4852l6288,5204,9643,5204,9643,4852,6288,4852xe" filled="true" fillcolor="#c7edcc" stroked="false">
                <v:path arrowok="t"/>
                <v:fill type="solid"/>
              </v:shape>
            </v:group>
            <v:group style="position:absolute;left:6288;top:5204;width:3356;height:352" coordorigin="6288,5204" coordsize="3356,352">
              <v:shape style="position:absolute;left:6288;top:5204;width:3356;height:352" coordorigin="6288,5204" coordsize="3356,352" path="m6288,5204l6288,5556,9643,5556,9643,5204,6288,5204xe" filled="true" fillcolor="#c7edcc" stroked="false">
                <v:path arrowok="t"/>
                <v:fill type="solid"/>
              </v:shape>
            </v:group>
            <v:group style="position:absolute;left:9687;top:4696;width:2;height:1017" coordorigin="9687,4696" coordsize="2,1017">
              <v:shape style="position:absolute;left:9687;top:4696;width:2;height:1017" coordorigin="9687,4696" coordsize="0,1017" path="m9687,4696l9687,5712e" filled="false" stroked="true" strokeweight="1.1pt" strokecolor="#c7edcc">
                <v:path arrowok="t"/>
              </v:shape>
            </v:group>
            <v:group style="position:absolute;left:9698;top:4696;width:320;height:156" coordorigin="9698,4696" coordsize="320,156">
              <v:shape style="position:absolute;left:9698;top:4696;width:320;height:156" coordorigin="9698,4696" coordsize="320,156" path="m9698,4696l9698,4852,10018,4852,10018,4696,9698,4696xe" filled="true" fillcolor="#c7edcc" stroked="false">
                <v:path arrowok="t"/>
                <v:fill type="solid"/>
              </v:shape>
            </v:group>
            <v:group style="position:absolute;left:9698;top:5556;width:320;height:156" coordorigin="9698,5556" coordsize="320,156">
              <v:shape style="position:absolute;left:9698;top:5556;width:320;height:156" coordorigin="9698,5556" coordsize="320,156" path="m10017,5712l10017,5556,9698,5556,9698,5712,10017,5712xe" filled="true" fillcolor="#c7edcc" stroked="false">
                <v:path arrowok="t"/>
                <v:fill type="solid"/>
              </v:shape>
            </v:group>
            <v:group style="position:absolute;left:10005;top:4852;width:2;height:705" coordorigin="10005,4852" coordsize="2,705">
              <v:shape style="position:absolute;left:10005;top:4852;width:2;height:705" coordorigin="10005,4852" coordsize="0,705" path="m10005,4852l10005,5556e" filled="false" stroked="true" strokeweight="1.2pt" strokecolor="#c7edcc">
                <v:path arrowok="t"/>
              </v:shape>
            </v:group>
            <v:group style="position:absolute;left:9698;top:4852;width:296;height:353" coordorigin="9698,4852" coordsize="296,353">
              <v:shape style="position:absolute;left:9698;top:4852;width:296;height:353" coordorigin="9698,4852" coordsize="296,353" path="m9698,4852l9698,5204,9993,5204,9993,4852,9698,4852xe" filled="true" fillcolor="#c7edcc" stroked="false">
                <v:path arrowok="t"/>
                <v:fill type="solid"/>
              </v:shape>
            </v:group>
            <v:group style="position:absolute;left:9698;top:5204;width:296;height:352" coordorigin="9698,5204" coordsize="296,352">
              <v:shape style="position:absolute;left:9698;top:5204;width:296;height:352" coordorigin="9698,5204" coordsize="296,352" path="m9698,5204l9698,5556,9993,5556,9993,5204,9698,5204xe" filled="true" fillcolor="#c7edcc" stroked="false">
                <v:path arrowok="t"/>
                <v:fill type="solid"/>
              </v:shape>
            </v:group>
            <v:group style="position:absolute;left:10038;top:4696;width:2;height:1017" coordorigin="10038,4696" coordsize="2,1017">
              <v:shape style="position:absolute;left:10038;top:4696;width:2;height:1017" coordorigin="10038,4696" coordsize="0,1017" path="m10038,4696l10038,5712e" filled="false" stroked="true" strokeweight="1.2pt" strokecolor="#c7edcc">
                <v:path arrowok="t"/>
              </v:shape>
            </v:group>
            <v:group style="position:absolute;left:10050;top:4696;width:842;height:156" coordorigin="10050,4696" coordsize="842,156">
              <v:shape style="position:absolute;left:10050;top:4696;width:842;height:156" coordorigin="10050,4696" coordsize="842,156" path="m10050,4696l10050,4852,10892,4852,10892,4696,10050,4696xe" filled="true" fillcolor="#c7edcc" stroked="false">
                <v:path arrowok="t"/>
                <v:fill type="solid"/>
              </v:shape>
            </v:group>
            <v:group style="position:absolute;left:10050;top:5556;width:843;height:156" coordorigin="10050,5556" coordsize="843,156">
              <v:shape style="position:absolute;left:10050;top:5556;width:843;height:156" coordorigin="10050,5556" coordsize="843,156" path="m10892,5712l10892,5556,10050,5556,10050,5712,10892,5712xe" filled="true" fillcolor="#c7edcc" stroked="false">
                <v:path arrowok="t"/>
                <v:fill type="solid"/>
              </v:shape>
            </v:group>
            <v:group style="position:absolute;left:10880;top:4852;width:2;height:705" coordorigin="10880,4852" coordsize="2,705">
              <v:shape style="position:absolute;left:10880;top:4852;width:2;height:705" coordorigin="10880,4852" coordsize="0,705" path="m10880,4852l10880,5556e" filled="false" stroked="true" strokeweight="1.199pt" strokecolor="#c7edcc">
                <v:path arrowok="t"/>
              </v:shape>
            </v:group>
            <v:group style="position:absolute;left:10050;top:4852;width:819;height:353" coordorigin="10050,4852" coordsize="819,353">
              <v:shape style="position:absolute;left:10050;top:4852;width:819;height:353" coordorigin="10050,4852" coordsize="819,353" path="m10050,4852l10050,5204,10868,5204,10868,4852,10050,4852xe" filled="true" fillcolor="#c7edcc" stroked="false">
                <v:path arrowok="t"/>
                <v:fill type="solid"/>
              </v:shape>
            </v:group>
            <v:group style="position:absolute;left:10050;top:5204;width:819;height:352" coordorigin="10050,5204" coordsize="819,352">
              <v:shape style="position:absolute;left:10050;top:5204;width:819;height:352" coordorigin="10050,5204" coordsize="819,352" path="m10050,5204l10050,5556,10868,5556,10868,5204,10050,5204xe" filled="true" fillcolor="#c7edcc" stroked="false">
                <v:path arrowok="t"/>
                <v:fill type="solid"/>
              </v:shape>
            </v:group>
            <v:group style="position:absolute;left:10913;top:4696;width:2;height:1017" coordorigin="10913,4696" coordsize="2,1017">
              <v:shape style="position:absolute;left:10913;top:4696;width:2;height:1017" coordorigin="10913,4696" coordsize="0,1017" path="m10913,4696l10913,5712e" filled="false" stroked="true" strokeweight="1.1pt" strokecolor="#c7edcc">
                <v:path arrowok="t"/>
              </v:shape>
            </v:group>
            <v:group style="position:absolute;left:10924;top:4696;width:664;height:156" coordorigin="10924,4696" coordsize="664,156">
              <v:shape style="position:absolute;left:10924;top:4696;width:664;height:156" coordorigin="10924,4696" coordsize="664,156" path="m10924,4696l10924,4852,11588,4852,11588,4696,10924,4696xe" filled="true" fillcolor="#c7edcc" stroked="false">
                <v:path arrowok="t"/>
                <v:fill type="solid"/>
              </v:shape>
            </v:group>
            <v:group style="position:absolute;left:10925;top:5556;width:663;height:156" coordorigin="10925,5556" coordsize="663,156">
              <v:shape style="position:absolute;left:10925;top:5556;width:663;height:156" coordorigin="10925,5556" coordsize="663,156" path="m11587,5712l11587,5556,10925,5556,10925,5712,11587,5712xe" filled="true" fillcolor="#c7edcc" stroked="false">
                <v:path arrowok="t"/>
                <v:fill type="solid"/>
              </v:shape>
            </v:group>
            <v:group style="position:absolute;left:11576;top:4852;width:2;height:705" coordorigin="11576,4852" coordsize="2,705">
              <v:shape style="position:absolute;left:11576;top:4852;width:2;height:705" coordorigin="11576,4852" coordsize="0,705" path="m11576,4852l11576,5556e" filled="false" stroked="true" strokeweight="1.141pt" strokecolor="#c7edcc">
                <v:path arrowok="t"/>
              </v:shape>
            </v:group>
            <v:group style="position:absolute;left:10925;top:4852;width:640;height:353" coordorigin="10925,4852" coordsize="640,353">
              <v:shape style="position:absolute;left:10925;top:4852;width:640;height:353" coordorigin="10925,4852" coordsize="640,353" path="m10925,4852l10925,5204,11564,5204,11564,4852,10925,4852xe" filled="true" fillcolor="#c7edcc" stroked="false">
                <v:path arrowok="t"/>
                <v:fill type="solid"/>
              </v:shape>
            </v:group>
            <v:group style="position:absolute;left:10925;top:5204;width:640;height:352" coordorigin="10925,5204" coordsize="640,352">
              <v:shape style="position:absolute;left:10925;top:5204;width:640;height:352" coordorigin="10925,5204" coordsize="640,352" path="m10925,5204l10925,5556,11564,5556,11564,5204,10925,5204xe" filled="true" fillcolor="#c7edcc" stroked="false">
                <v:path arrowok="t"/>
                <v:fill type="solid"/>
              </v:shape>
            </v:group>
            <v:group style="position:absolute;left:14806;top:4696;width:2;height:1017" coordorigin="14806,4696" coordsize="2,1017">
              <v:shape style="position:absolute;left:14806;top:4696;width:2;height:1017" coordorigin="14806,4696" coordsize="0,1017" path="m14806,4696l14806,5712e" filled="false" stroked="true" strokeweight="1.2pt" strokecolor="#c7edcc">
                <v:path arrowok="t"/>
              </v:shape>
            </v:group>
            <v:group style="position:absolute;left:14818;top:4696;width:872;height:156" coordorigin="14818,4696" coordsize="872,156">
              <v:shape style="position:absolute;left:14818;top:4696;width:872;height:156" coordorigin="14818,4696" coordsize="872,156" path="m14818,4696l14818,4852,15690,4852,15690,4696,14818,4696xe" filled="true" fillcolor="#c7edcc" stroked="false">
                <v:path arrowok="t"/>
                <v:fill type="solid"/>
              </v:shape>
            </v:group>
            <v:group style="position:absolute;left:14817;top:5556;width:873;height:156" coordorigin="14817,5556" coordsize="873,156">
              <v:shape style="position:absolute;left:14817;top:5556;width:873;height:156" coordorigin="14817,5556" coordsize="873,156" path="m15690,5712l15690,5556,14817,5556,14817,5712,15690,5712xe" filled="true" fillcolor="#c7edcc" stroked="false">
                <v:path arrowok="t"/>
                <v:fill type="solid"/>
              </v:shape>
            </v:group>
            <v:group style="position:absolute;left:15678;top:4852;width:2;height:705" coordorigin="15678,4852" coordsize="2,705">
              <v:shape style="position:absolute;left:15678;top:4852;width:2;height:705" coordorigin="15678,4852" coordsize="0,705" path="m15678,4852l15678,5556e" filled="false" stroked="true" strokeweight="1.140pt" strokecolor="#c7edcc">
                <v:path arrowok="t"/>
              </v:shape>
            </v:group>
            <v:group style="position:absolute;left:14817;top:4852;width:850;height:353" coordorigin="14817,4852" coordsize="850,353">
              <v:shape style="position:absolute;left:14817;top:4852;width:850;height:353" coordorigin="14817,4852" coordsize="850,353" path="m14817,4852l14817,5204,15667,5204,15667,4852,14817,4852xe" filled="true" fillcolor="#c7edcc" stroked="false">
                <v:path arrowok="t"/>
                <v:fill type="solid"/>
              </v:shape>
            </v:group>
            <v:group style="position:absolute;left:14817;top:5204;width:850;height:352" coordorigin="14817,5204" coordsize="850,352">
              <v:shape style="position:absolute;left:14817;top:5204;width:850;height:352" coordorigin="14817,5204" coordsize="850,352" path="m14817,5204l14817,5556,15667,5556,15667,5204,14817,5204xe" filled="true" fillcolor="#c7edcc" stroked="false">
                <v:path arrowok="t"/>
                <v:fill type="solid"/>
              </v:shape>
            </v:group>
            <v:group style="position:absolute;left:1407;top:4691;width:14292;height:2" coordorigin="1407,4691" coordsize="14292,2">
              <v:shape style="position:absolute;left:1407;top:4691;width:14292;height:2" coordorigin="1407,4691" coordsize="14292,0" path="m1407,4691l15699,4691e" filled="false" stroked="true" strokeweight=".47998pt" strokecolor="#000000">
                <v:path arrowok="t"/>
              </v:shape>
            </v:group>
            <v:group style="position:absolute;left:2516;top:4696;width:2;height:1017" coordorigin="2516,4696" coordsize="2,1017">
              <v:shape style="position:absolute;left:2516;top:4696;width:2;height:1017" coordorigin="2516,4696" coordsize="0,1017" path="m2516,4696l2516,5712e" filled="false" stroked="true" strokeweight=".47998pt" strokecolor="#000000">
                <v:path arrowok="t"/>
              </v:shape>
            </v:group>
            <v:group style="position:absolute;left:3391;top:4696;width:2;height:1017" coordorigin="3391,4696" coordsize="2,1017">
              <v:shape style="position:absolute;left:3391;top:4696;width:2;height:1017" coordorigin="3391,4696" coordsize="0,1017" path="m3391,4696l3391,5712e" filled="false" stroked="true" strokeweight=".48pt" strokecolor="#000000">
                <v:path arrowok="t"/>
              </v:shape>
            </v:group>
            <v:group style="position:absolute;left:3741;top:4696;width:2;height:1017" coordorigin="3741,4696" coordsize="2,1017">
              <v:shape style="position:absolute;left:3741;top:4696;width:2;height:1017" coordorigin="3741,4696" coordsize="0,1017" path="m3741,4696l3741,5712e" filled="false" stroked="true" strokeweight=".48pt" strokecolor="#000000">
                <v:path arrowok="t"/>
              </v:shape>
            </v:group>
            <v:group style="position:absolute;left:4923;top:4696;width:2;height:1017" coordorigin="4923,4696" coordsize="2,1017">
              <v:shape style="position:absolute;left:4923;top:4696;width:2;height:1017" coordorigin="4923,4696" coordsize="0,1017" path="m4923,4696l4923,5712e" filled="false" stroked="true" strokeweight=".48pt" strokecolor="#000000">
                <v:path arrowok="t"/>
              </v:shape>
            </v:group>
            <v:group style="position:absolute;left:5640;top:4696;width:2;height:1017" coordorigin="5640,4696" coordsize="2,1017">
              <v:shape style="position:absolute;left:5640;top:4696;width:2;height:1017" coordorigin="5640,4696" coordsize="0,1017" path="m5640,4696l5640,5712e" filled="false" stroked="true" strokeweight=".48001pt" strokecolor="#000000">
                <v:path arrowok="t"/>
              </v:shape>
            </v:group>
            <v:group style="position:absolute;left:6260;top:4696;width:2;height:1017" coordorigin="6260,4696" coordsize="2,1017">
              <v:shape style="position:absolute;left:6260;top:4696;width:2;height:1017" coordorigin="6260,4696" coordsize="0,1017" path="m6260,4696l6260,5712e" filled="false" stroked="true" strokeweight=".48001pt" strokecolor="#000000">
                <v:path arrowok="t"/>
              </v:shape>
            </v:group>
            <v:group style="position:absolute;left:9671;top:4696;width:2;height:1017" coordorigin="9671,4696" coordsize="2,1017">
              <v:shape style="position:absolute;left:9671;top:4696;width:2;height:1017" coordorigin="9671,4696" coordsize="0,1017" path="m9671,4696l9671,5712e" filled="false" stroked="true" strokeweight=".48001pt" strokecolor="#000000">
                <v:path arrowok="t"/>
              </v:shape>
            </v:group>
            <v:group style="position:absolute;left:10022;top:4696;width:2;height:1017" coordorigin="10022,4696" coordsize="2,1017">
              <v:shape style="position:absolute;left:10022;top:4696;width:2;height:1017" coordorigin="10022,4696" coordsize="0,1017" path="m10022,4696l10022,5712e" filled="false" stroked="true" strokeweight=".48001pt" strokecolor="#000000">
                <v:path arrowok="t"/>
              </v:shape>
            </v:group>
            <v:group style="position:absolute;left:10897;top:4696;width:2;height:1017" coordorigin="10897,4696" coordsize="2,1017">
              <v:shape style="position:absolute;left:10897;top:4696;width:2;height:1017" coordorigin="10897,4696" coordsize="0,1017" path="m10897,4696l10897,5712e" filled="false" stroked="true" strokeweight=".48004pt" strokecolor="#000000">
                <v:path arrowok="t"/>
              </v:shape>
            </v:group>
            <v:group style="position:absolute;left:11592;top:4696;width:2;height:1017" coordorigin="11592,4696" coordsize="2,1017">
              <v:shape style="position:absolute;left:11592;top:4696;width:2;height:1017" coordorigin="11592,4696" coordsize="0,1017" path="m11592,4696l11592,5712e" filled="false" stroked="true" strokeweight=".47998pt" strokecolor="#000000">
                <v:path arrowok="t"/>
              </v:shape>
            </v:group>
            <v:group style="position:absolute;left:12683;top:4696;width:2;height:1017" coordorigin="12683,4696" coordsize="2,1017">
              <v:shape style="position:absolute;left:12683;top:4696;width:2;height:1017" coordorigin="12683,4696" coordsize="0,1017" path="m12683,4696l12683,5712e" filled="false" stroked="true" strokeweight=".47998pt" strokecolor="#000000">
                <v:path arrowok="t"/>
              </v:shape>
            </v:group>
            <v:group style="position:absolute;left:13784;top:4696;width:2;height:1017" coordorigin="13784,4696" coordsize="2,1017">
              <v:shape style="position:absolute;left:13784;top:4696;width:2;height:1017" coordorigin="13784,4696" coordsize="0,1017" path="m13784,4696l13784,5712e" filled="false" stroked="true" strokeweight=".47998pt" strokecolor="#000000">
                <v:path arrowok="t"/>
              </v:shape>
            </v:group>
            <v:group style="position:absolute;left:14135;top:4696;width:2;height:1017" coordorigin="14135,4696" coordsize="2,1017">
              <v:shape style="position:absolute;left:14135;top:4696;width:2;height:1017" coordorigin="14135,4696" coordsize="0,1017" path="m14135,4696l14135,5712e" filled="false" stroked="true" strokeweight=".48004pt" strokecolor="#000000">
                <v:path arrowok="t"/>
              </v:shape>
            </v:group>
            <v:group style="position:absolute;left:14790;top:4696;width:2;height:1017" coordorigin="14790,4696" coordsize="2,1017">
              <v:shape style="position:absolute;left:14790;top:4696;width:2;height:1017" coordorigin="14790,4696" coordsize="0,1017" path="m14790,4696l14790,5712e" filled="false" stroked="true" strokeweight=".47998pt" strokecolor="#000000">
                <v:path arrowok="t"/>
              </v:shape>
            </v:group>
            <v:group style="position:absolute;left:1428;top:5722;width:2;height:1329" coordorigin="1428,5722" coordsize="2,1329">
              <v:shape style="position:absolute;left:1428;top:5722;width:2;height:1329" coordorigin="1428,5722" coordsize="0,1329" path="m1428,5722l1428,7050e" filled="false" stroked="true" strokeweight="1.140pt" strokecolor="#c7edcc">
                <v:path arrowok="t"/>
              </v:shape>
            </v:group>
            <v:group style="position:absolute;left:2499;top:5722;width:2;height:1329" coordorigin="2499,5722" coordsize="2,1329">
              <v:shape style="position:absolute;left:2499;top:5722;width:2;height:1329" coordorigin="2499,5722" coordsize="0,1329" path="m2499,5722l2499,7050e" filled="false" stroked="true" strokeweight="1.2pt" strokecolor="#c7edcc">
                <v:path arrowok="t"/>
              </v:shape>
            </v:group>
            <v:group style="position:absolute;left:1440;top:5722;width:1048;height:353" coordorigin="1440,5722" coordsize="1048,353">
              <v:shape style="position:absolute;left:1440;top:5722;width:1048;height:353" coordorigin="1440,5722" coordsize="1048,353" path="m1440,5722l1440,6074,2487,6074,2487,5722,1440,5722xe" filled="true" fillcolor="#c7edcc" stroked="false">
                <v:path arrowok="t"/>
                <v:fill type="solid"/>
              </v:shape>
            </v:group>
            <v:group style="position:absolute;left:1440;top:6074;width:1048;height:312" coordorigin="1440,6074" coordsize="1048,312">
              <v:shape style="position:absolute;left:1440;top:6074;width:1048;height:312" coordorigin="1440,6074" coordsize="1048,312" path="m1440,6074l1440,6386,2487,6386,2487,6074,1440,6074xe" filled="true" fillcolor="#c7edcc" stroked="false">
                <v:path arrowok="t"/>
                <v:fill type="solid"/>
              </v:shape>
            </v:group>
            <v:group style="position:absolute;left:1440;top:6386;width:1048;height:312" coordorigin="1440,6386" coordsize="1048,312">
              <v:shape style="position:absolute;left:1440;top:6386;width:1048;height:312" coordorigin="1440,6386" coordsize="1048,312" path="m1440,6386l1440,6698,2487,6698,2487,6386,1440,6386xe" filled="true" fillcolor="#c7edcc" stroked="false">
                <v:path arrowok="t"/>
                <v:fill type="solid"/>
              </v:shape>
            </v:group>
            <v:group style="position:absolute;left:1440;top:6698;width:1048;height:352" coordorigin="1440,6698" coordsize="1048,352">
              <v:shape style="position:absolute;left:1440;top:6698;width:1048;height:352" coordorigin="1440,6698" coordsize="1048,352" path="m1440,6698l1440,7050,2487,7050,2487,6698,1440,6698xe" filled="true" fillcolor="#c7edcc" stroked="false">
                <v:path arrowok="t"/>
                <v:fill type="solid"/>
              </v:shape>
            </v:group>
            <v:group style="position:absolute;left:2533;top:5722;width:2;height:1329" coordorigin="2533,5722" coordsize="2,1329">
              <v:shape style="position:absolute;left:2533;top:5722;width:2;height:1329" coordorigin="2533,5722" coordsize="0,1329" path="m2533,5722l2533,7050e" filled="false" stroked="true" strokeweight="1.1pt" strokecolor="#c7edcc">
                <v:path arrowok="t"/>
              </v:shape>
            </v:group>
            <v:group style="position:absolute;left:2544;top:5722;width:842;height:156" coordorigin="2544,5722" coordsize="842,156">
              <v:shape style="position:absolute;left:2544;top:5722;width:842;height:156" coordorigin="2544,5722" coordsize="842,156" path="m2544,5722l2544,5878,3386,5878,3386,5722,2544,5722xe" filled="true" fillcolor="#c7edcc" stroked="false">
                <v:path arrowok="t"/>
                <v:fill type="solid"/>
              </v:shape>
            </v:group>
            <v:group style="position:absolute;left:2544;top:6894;width:843;height:156" coordorigin="2544,6894" coordsize="843,156">
              <v:shape style="position:absolute;left:2544;top:6894;width:843;height:156" coordorigin="2544,6894" coordsize="843,156" path="m3386,7050l3386,6894,2544,6894,2544,7050,3386,7050xe" filled="true" fillcolor="#c7edcc" stroked="false">
                <v:path arrowok="t"/>
                <v:fill type="solid"/>
              </v:shape>
            </v:group>
            <v:group style="position:absolute;left:3374;top:5878;width:2;height:1017" coordorigin="3374,5878" coordsize="2,1017">
              <v:shape style="position:absolute;left:3374;top:5878;width:2;height:1017" coordorigin="3374,5878" coordsize="0,1017" path="m3374,5878l3374,6894e" filled="false" stroked="true" strokeweight="1.2pt" strokecolor="#c7edcc">
                <v:path arrowok="t"/>
              </v:shape>
            </v:group>
            <v:group style="position:absolute;left:2544;top:5878;width:819;height:353" coordorigin="2544,5878" coordsize="819,353">
              <v:shape style="position:absolute;left:2544;top:5878;width:819;height:353" coordorigin="2544,5878" coordsize="819,353" path="m2544,5878l2544,6230,3362,6230,3362,5878,2544,5878xe" filled="true" fillcolor="#c7edcc" stroked="false">
                <v:path arrowok="t"/>
                <v:fill type="solid"/>
              </v:shape>
            </v:group>
            <v:group style="position:absolute;left:2544;top:6230;width:819;height:312" coordorigin="2544,6230" coordsize="819,312">
              <v:shape style="position:absolute;left:2544;top:6230;width:819;height:312" coordorigin="2544,6230" coordsize="819,312" path="m2544,6230l2544,6542,3362,6542,3362,6230,2544,6230xe" filled="true" fillcolor="#c7edcc" stroked="false">
                <v:path arrowok="t"/>
                <v:fill type="solid"/>
              </v:shape>
            </v:group>
            <v:group style="position:absolute;left:2544;top:6542;width:819;height:352" coordorigin="2544,6542" coordsize="819,352">
              <v:shape style="position:absolute;left:2544;top:6542;width:819;height:352" coordorigin="2544,6542" coordsize="819,352" path="m2544,6542l2544,6894,3362,6894,3362,6542,2544,6542xe" filled="true" fillcolor="#c7edcc" stroked="false">
                <v:path arrowok="t"/>
                <v:fill type="solid"/>
              </v:shape>
            </v:group>
            <v:group style="position:absolute;left:3407;top:5722;width:2;height:1329" coordorigin="3407,5722" coordsize="2,1329">
              <v:shape style="position:absolute;left:3407;top:5722;width:2;height:1329" coordorigin="3407,5722" coordsize="0,1329" path="m3407,5722l3407,7050e" filled="false" stroked="true" strokeweight="1.1pt" strokecolor="#ffffff">
                <v:path arrowok="t"/>
              </v:shape>
            </v:group>
            <v:group style="position:absolute;left:3418;top:5722;width:318;height:312" coordorigin="3418,5722" coordsize="318,312">
              <v:shape style="position:absolute;left:3418;top:5722;width:318;height:312" coordorigin="3418,5722" coordsize="318,312" path="m3418,5722l3418,6034,3736,6034,3736,5722,3418,5722xe" filled="true" fillcolor="#ffffff" stroked="false">
                <v:path arrowok="t"/>
                <v:fill type="solid"/>
              </v:shape>
            </v:group>
            <v:group style="position:absolute;left:3419;top:6034;width:296;height:353" coordorigin="3419,6034" coordsize="296,353">
              <v:shape style="position:absolute;left:3419;top:6034;width:296;height:353" coordorigin="3419,6034" coordsize="296,353" path="m3419,6034l3419,6386,3714,6386,3714,6034,3419,6034xe" filled="true" fillcolor="#ffffff" stroked="false">
                <v:path arrowok="t"/>
                <v:fill type="solid"/>
              </v:shape>
            </v:group>
            <v:group style="position:absolute;left:3419;top:6386;width:296;height:352" coordorigin="3419,6386" coordsize="296,352">
              <v:shape style="position:absolute;left:3419;top:6386;width:296;height:352" coordorigin="3419,6386" coordsize="296,352" path="m3419,6386l3419,6738,3714,6738,3714,6386,3419,6386xe" filled="true" fillcolor="#ffffff" stroked="false">
                <v:path arrowok="t"/>
                <v:fill type="solid"/>
              </v:shape>
            </v:group>
            <v:group style="position:absolute;left:5656;top:5722;width:2;height:1329" coordorigin="5656,5722" coordsize="2,1329">
              <v:shape style="position:absolute;left:5656;top:5722;width:2;height:1329" coordorigin="5656,5722" coordsize="0,1329" path="m5656,5722l5656,7050e" filled="false" stroked="true" strokeweight="1.2pt" strokecolor="#c7edcc">
                <v:path arrowok="t"/>
              </v:shape>
            </v:group>
            <v:group style="position:absolute;left:5668;top:5722;width:588;height:312" coordorigin="5668,5722" coordsize="588,312">
              <v:shape style="position:absolute;left:5668;top:5722;width:588;height:312" coordorigin="5668,5722" coordsize="588,312" path="m5668,5722l5668,6034,6256,6034,6256,5722,5668,5722xe" filled="true" fillcolor="#c7edcc" stroked="false">
                <v:path arrowok="t"/>
                <v:fill type="solid"/>
              </v:shape>
            </v:group>
            <v:group style="position:absolute;left:5667;top:6738;width:588;height:312" coordorigin="5667,6738" coordsize="588,312">
              <v:shape style="position:absolute;left:5667;top:6738;width:588;height:312" coordorigin="5667,6738" coordsize="588,312" path="m6255,7050l6255,6738,5667,6738,5667,7050,6255,7050xe" filled="true" fillcolor="#c7edcc" stroked="false">
                <v:path arrowok="t"/>
                <v:fill type="solid"/>
              </v:shape>
            </v:group>
            <v:group style="position:absolute;left:6243;top:6034;width:2;height:705" coordorigin="6243,6034" coordsize="2,705">
              <v:shape style="position:absolute;left:6243;top:6034;width:2;height:705" coordorigin="6243,6034" coordsize="0,705" path="m6243,6034l6243,6738e" filled="false" stroked="true" strokeweight="1.2pt" strokecolor="#c7edcc">
                <v:path arrowok="t"/>
              </v:shape>
            </v:group>
            <v:group style="position:absolute;left:5667;top:6034;width:564;height:353" coordorigin="5667,6034" coordsize="564,353">
              <v:shape style="position:absolute;left:5667;top:6034;width:564;height:353" coordorigin="5667,6034" coordsize="564,353" path="m5667,6034l5667,6386,6231,6386,6231,6034,5667,6034xe" filled="true" fillcolor="#c7edcc" stroked="false">
                <v:path arrowok="t"/>
                <v:fill type="solid"/>
              </v:shape>
            </v:group>
            <v:group style="position:absolute;left:5667;top:6386;width:564;height:352" coordorigin="5667,6386" coordsize="564,352">
              <v:shape style="position:absolute;left:5667;top:6386;width:564;height:352" coordorigin="5667,6386" coordsize="564,352" path="m5667,6386l5667,6738,6231,6738,6231,6386,5667,6386xe" filled="true" fillcolor="#c7edcc" stroked="false">
                <v:path arrowok="t"/>
                <v:fill type="solid"/>
              </v:shape>
            </v:group>
            <v:group style="position:absolute;left:6277;top:5722;width:2;height:1329" coordorigin="6277,5722" coordsize="2,1329">
              <v:shape style="position:absolute;left:6277;top:5722;width:2;height:1329" coordorigin="6277,5722" coordsize="0,1329" path="m6277,5722l6277,7050e" filled="false" stroked="true" strokeweight="1.1pt" strokecolor="#c7edcc">
                <v:path arrowok="t"/>
              </v:shape>
            </v:group>
            <v:group style="position:absolute;left:6288;top:5722;width:3378;height:468" coordorigin="6288,5722" coordsize="3378,468">
              <v:shape style="position:absolute;left:6288;top:5722;width:3378;height:468" coordorigin="6288,5722" coordsize="3378,468" path="m6288,5722l6288,6190,9666,6190,9666,5722,6288,5722xe" filled="true" fillcolor="#c7edcc" stroked="false">
                <v:path arrowok="t"/>
                <v:fill type="solid"/>
              </v:shape>
            </v:group>
            <v:group style="position:absolute;left:6288;top:6582;width:3378;height:468" coordorigin="6288,6582" coordsize="3378,468">
              <v:shape style="position:absolute;left:6288;top:6582;width:3378;height:468" coordorigin="6288,6582" coordsize="3378,468" path="m9666,7050l9666,6582,6288,6582,6288,7050,9666,7050xe" filled="true" fillcolor="#c7edcc" stroked="false">
                <v:path arrowok="t"/>
                <v:fill type="solid"/>
              </v:shape>
            </v:group>
            <v:group style="position:absolute;left:9654;top:6190;width:2;height:393" coordorigin="9654,6190" coordsize="2,393">
              <v:shape style="position:absolute;left:9654;top:6190;width:2;height:393" coordorigin="9654,6190" coordsize="0,393" path="m9654,6190l9654,6582e" filled="false" stroked="true" strokeweight="1.140pt" strokecolor="#c7edcc">
                <v:path arrowok="t"/>
              </v:shape>
            </v:group>
            <v:group style="position:absolute;left:6288;top:6190;width:3356;height:393" coordorigin="6288,6190" coordsize="3356,393">
              <v:shape style="position:absolute;left:6288;top:6190;width:3356;height:393" coordorigin="6288,6190" coordsize="3356,393" path="m6288,6190l6288,6582,9643,6582,9643,6190,6288,6190xe" filled="true" fillcolor="#c7edcc" stroked="false">
                <v:path arrowok="t"/>
                <v:fill type="solid"/>
              </v:shape>
            </v:group>
            <v:group style="position:absolute;left:9687;top:5722;width:2;height:1329" coordorigin="9687,5722" coordsize="2,1329">
              <v:shape style="position:absolute;left:9687;top:5722;width:2;height:1329" coordorigin="9687,5722" coordsize="0,1329" path="m9687,5722l9687,7050e" filled="false" stroked="true" strokeweight="1.1pt" strokecolor="#c7edcc">
                <v:path arrowok="t"/>
              </v:shape>
            </v:group>
            <v:group style="position:absolute;left:9698;top:5722;width:320;height:312" coordorigin="9698,5722" coordsize="320,312">
              <v:shape style="position:absolute;left:9698;top:5722;width:320;height:312" coordorigin="9698,5722" coordsize="320,312" path="m9698,5722l9698,6034,10018,6034,10018,5722,9698,5722xe" filled="true" fillcolor="#c7edcc" stroked="false">
                <v:path arrowok="t"/>
                <v:fill type="solid"/>
              </v:shape>
            </v:group>
            <v:group style="position:absolute;left:9698;top:6738;width:320;height:312" coordorigin="9698,6738" coordsize="320,312">
              <v:shape style="position:absolute;left:9698;top:6738;width:320;height:312" coordorigin="9698,6738" coordsize="320,312" path="m10017,7050l10017,6738,9698,6738,9698,7050,10017,7050xe" filled="true" fillcolor="#c7edcc" stroked="false">
                <v:path arrowok="t"/>
                <v:fill type="solid"/>
              </v:shape>
            </v:group>
            <v:group style="position:absolute;left:10005;top:6034;width:2;height:705" coordorigin="10005,6034" coordsize="2,705">
              <v:shape style="position:absolute;left:10005;top:6034;width:2;height:705" coordorigin="10005,6034" coordsize="0,705" path="m10005,6034l10005,6738e" filled="false" stroked="true" strokeweight="1.2pt" strokecolor="#c7edcc">
                <v:path arrowok="t"/>
              </v:shape>
            </v:group>
            <v:group style="position:absolute;left:9698;top:6034;width:296;height:353" coordorigin="9698,6034" coordsize="296,353">
              <v:shape style="position:absolute;left:9698;top:6034;width:296;height:353" coordorigin="9698,6034" coordsize="296,353" path="m9698,6034l9698,6386,9993,6386,9993,6034,9698,6034xe" filled="true" fillcolor="#c7edcc" stroked="false">
                <v:path arrowok="t"/>
                <v:fill type="solid"/>
              </v:shape>
            </v:group>
            <v:group style="position:absolute;left:9698;top:6386;width:296;height:352" coordorigin="9698,6386" coordsize="296,352">
              <v:shape style="position:absolute;left:9698;top:6386;width:296;height:352" coordorigin="9698,6386" coordsize="296,352" path="m9698,6386l9698,6738,9993,6738,9993,6386,9698,6386xe" filled="true" fillcolor="#c7edcc" stroked="false">
                <v:path arrowok="t"/>
                <v:fill type="solid"/>
              </v:shape>
            </v:group>
            <v:group style="position:absolute;left:10038;top:5722;width:2;height:1329" coordorigin="10038,5722" coordsize="2,1329">
              <v:shape style="position:absolute;left:10038;top:5722;width:2;height:1329" coordorigin="10038,5722" coordsize="0,1329" path="m10038,5722l10038,7050e" filled="false" stroked="true" strokeweight="1.2pt" strokecolor="#c7edcc">
                <v:path arrowok="t"/>
              </v:shape>
            </v:group>
            <v:group style="position:absolute;left:10050;top:5722;width:842;height:156" coordorigin="10050,5722" coordsize="842,156">
              <v:shape style="position:absolute;left:10050;top:5722;width:842;height:156" coordorigin="10050,5722" coordsize="842,156" path="m10050,5722l10050,5878,10892,5878,10892,5722,10050,5722xe" filled="true" fillcolor="#c7edcc" stroked="false">
                <v:path arrowok="t"/>
                <v:fill type="solid"/>
              </v:shape>
            </v:group>
            <v:group style="position:absolute;left:10050;top:6894;width:843;height:156" coordorigin="10050,6894" coordsize="843,156">
              <v:shape style="position:absolute;left:10050;top:6894;width:843;height:156" coordorigin="10050,6894" coordsize="843,156" path="m10892,7050l10892,6894,10050,6894,10050,7050,10892,7050xe" filled="true" fillcolor="#c7edcc" stroked="false">
                <v:path arrowok="t"/>
                <v:fill type="solid"/>
              </v:shape>
            </v:group>
            <v:group style="position:absolute;left:10880;top:5878;width:2;height:1017" coordorigin="10880,5878" coordsize="2,1017">
              <v:shape style="position:absolute;left:10880;top:5878;width:2;height:1017" coordorigin="10880,5878" coordsize="0,1017" path="m10880,5878l10880,6894e" filled="false" stroked="true" strokeweight="1.199pt" strokecolor="#c7edcc">
                <v:path arrowok="t"/>
              </v:shape>
            </v:group>
            <v:group style="position:absolute;left:10050;top:5878;width:819;height:353" coordorigin="10050,5878" coordsize="819,353">
              <v:shape style="position:absolute;left:10050;top:5878;width:819;height:353" coordorigin="10050,5878" coordsize="819,353" path="m10050,5878l10050,6230,10868,6230,10868,5878,10050,5878xe" filled="true" fillcolor="#c7edcc" stroked="false">
                <v:path arrowok="t"/>
                <v:fill type="solid"/>
              </v:shape>
            </v:group>
            <v:group style="position:absolute;left:10050;top:6230;width:819;height:312" coordorigin="10050,6230" coordsize="819,312">
              <v:shape style="position:absolute;left:10050;top:6230;width:819;height:312" coordorigin="10050,6230" coordsize="819,312" path="m10050,6230l10050,6542,10868,6542,10868,6230,10050,6230xe" filled="true" fillcolor="#c7edcc" stroked="false">
                <v:path arrowok="t"/>
                <v:fill type="solid"/>
              </v:shape>
            </v:group>
            <v:group style="position:absolute;left:10050;top:6542;width:819;height:352" coordorigin="10050,6542" coordsize="819,352">
              <v:shape style="position:absolute;left:10050;top:6542;width:819;height:352" coordorigin="10050,6542" coordsize="819,352" path="m10050,6542l10050,6894,10868,6894,10868,6542,10050,6542xe" filled="true" fillcolor="#c7edcc" stroked="false">
                <v:path arrowok="t"/>
                <v:fill type="solid"/>
              </v:shape>
            </v:group>
            <v:group style="position:absolute;left:10913;top:5722;width:2;height:1329" coordorigin="10913,5722" coordsize="2,1329">
              <v:shape style="position:absolute;left:10913;top:5722;width:2;height:1329" coordorigin="10913,5722" coordsize="0,1329" path="m10913,5722l10913,7050e" filled="false" stroked="true" strokeweight="1.1pt" strokecolor="#c7edcc">
                <v:path arrowok="t"/>
              </v:shape>
            </v:group>
            <v:group style="position:absolute;left:10924;top:5722;width:664;height:312" coordorigin="10924,5722" coordsize="664,312">
              <v:shape style="position:absolute;left:10924;top:5722;width:664;height:312" coordorigin="10924,5722" coordsize="664,312" path="m10924,5722l10924,6034,11588,6034,11588,5722,10924,5722xe" filled="true" fillcolor="#c7edcc" stroked="false">
                <v:path arrowok="t"/>
                <v:fill type="solid"/>
              </v:shape>
            </v:group>
            <v:group style="position:absolute;left:10925;top:6738;width:663;height:312" coordorigin="10925,6738" coordsize="663,312">
              <v:shape style="position:absolute;left:10925;top:6738;width:663;height:312" coordorigin="10925,6738" coordsize="663,312" path="m11587,7050l11587,6738,10925,6738,10925,7050,11587,7050xe" filled="true" fillcolor="#c7edcc" stroked="false">
                <v:path arrowok="t"/>
                <v:fill type="solid"/>
              </v:shape>
            </v:group>
            <v:group style="position:absolute;left:11576;top:6034;width:2;height:705" coordorigin="11576,6034" coordsize="2,705">
              <v:shape style="position:absolute;left:11576;top:6034;width:2;height:705" coordorigin="11576,6034" coordsize="0,705" path="m11576,6034l11576,6738e" filled="false" stroked="true" strokeweight="1.141pt" strokecolor="#c7edcc">
                <v:path arrowok="t"/>
              </v:shape>
            </v:group>
            <v:group style="position:absolute;left:10925;top:6034;width:640;height:353" coordorigin="10925,6034" coordsize="640,353">
              <v:shape style="position:absolute;left:10925;top:6034;width:640;height:353" coordorigin="10925,6034" coordsize="640,353" path="m10925,6034l10925,6386,11564,6386,11564,6034,10925,6034xe" filled="true" fillcolor="#c7edcc" stroked="false">
                <v:path arrowok="t"/>
                <v:fill type="solid"/>
              </v:shape>
            </v:group>
            <v:group style="position:absolute;left:10925;top:6386;width:640;height:352" coordorigin="10925,6386" coordsize="640,352">
              <v:shape style="position:absolute;left:10925;top:6386;width:640;height:352" coordorigin="10925,6386" coordsize="640,352" path="m10925,6386l10925,6738,11564,6738,11564,6386,10925,6386xe" filled="true" fillcolor="#c7edcc" stroked="false">
                <v:path arrowok="t"/>
                <v:fill type="solid"/>
              </v:shape>
            </v:group>
            <v:group style="position:absolute;left:14806;top:5722;width:2;height:1329" coordorigin="14806,5722" coordsize="2,1329">
              <v:shape style="position:absolute;left:14806;top:5722;width:2;height:1329" coordorigin="14806,5722" coordsize="0,1329" path="m14806,5722l14806,7050e" filled="false" stroked="true" strokeweight="1.2pt" strokecolor="#c7edcc">
                <v:path arrowok="t"/>
              </v:shape>
            </v:group>
            <v:group style="position:absolute;left:14818;top:5722;width:872;height:312" coordorigin="14818,5722" coordsize="872,312">
              <v:shape style="position:absolute;left:14818;top:5722;width:872;height:312" coordorigin="14818,5722" coordsize="872,312" path="m14818,5722l14818,6034,15690,6034,15690,5722,14818,5722xe" filled="true" fillcolor="#c7edcc" stroked="false">
                <v:path arrowok="t"/>
                <v:fill type="solid"/>
              </v:shape>
            </v:group>
            <v:group style="position:absolute;left:14817;top:6738;width:873;height:312" coordorigin="14817,6738" coordsize="873,312">
              <v:shape style="position:absolute;left:14817;top:6738;width:873;height:312" coordorigin="14817,6738" coordsize="873,312" path="m15690,7050l15690,6738,14817,6738,14817,7050,15690,7050xe" filled="true" fillcolor="#c7edcc" stroked="false">
                <v:path arrowok="t"/>
                <v:fill type="solid"/>
              </v:shape>
            </v:group>
            <v:group style="position:absolute;left:15678;top:6034;width:2;height:705" coordorigin="15678,6034" coordsize="2,705">
              <v:shape style="position:absolute;left:15678;top:6034;width:2;height:705" coordorigin="15678,6034" coordsize="0,705" path="m15678,6034l15678,6738e" filled="false" stroked="true" strokeweight="1.140pt" strokecolor="#c7edcc">
                <v:path arrowok="t"/>
              </v:shape>
            </v:group>
            <v:group style="position:absolute;left:14817;top:6034;width:850;height:353" coordorigin="14817,6034" coordsize="850,353">
              <v:shape style="position:absolute;left:14817;top:6034;width:850;height:353" coordorigin="14817,6034" coordsize="850,353" path="m14817,6034l14817,6386,15667,6386,15667,6034,14817,6034xe" filled="true" fillcolor="#c7edcc" stroked="false">
                <v:path arrowok="t"/>
                <v:fill type="solid"/>
              </v:shape>
            </v:group>
            <v:group style="position:absolute;left:14817;top:6386;width:850;height:352" coordorigin="14817,6386" coordsize="850,352">
              <v:shape style="position:absolute;left:14817;top:6386;width:850;height:352" coordorigin="14817,6386" coordsize="850,352" path="m14817,6386l14817,6738,15667,6738,15667,6386,14817,6386xe" filled="true" fillcolor="#c7edcc" stroked="false">
                <v:path arrowok="t"/>
                <v:fill type="solid"/>
              </v:shape>
            </v:group>
            <v:group style="position:absolute;left:1407;top:5717;width:14292;height:2" coordorigin="1407,5717" coordsize="14292,2">
              <v:shape style="position:absolute;left:1407;top:5717;width:14292;height:2" coordorigin="1407,5717" coordsize="14292,0" path="m1407,5717l15699,5717e" filled="false" stroked="true" strokeweight=".48001pt" strokecolor="#000000">
                <v:path arrowok="t"/>
              </v:shape>
            </v:group>
            <v:group style="position:absolute;left:2516;top:5722;width:2;height:1329" coordorigin="2516,5722" coordsize="2,1329">
              <v:shape style="position:absolute;left:2516;top:5722;width:2;height:1329" coordorigin="2516,5722" coordsize="0,1329" path="m2516,5722l2516,7050e" filled="false" stroked="true" strokeweight=".47998pt" strokecolor="#000000">
                <v:path arrowok="t"/>
              </v:shape>
            </v:group>
            <v:group style="position:absolute;left:3391;top:5722;width:2;height:1329" coordorigin="3391,5722" coordsize="2,1329">
              <v:shape style="position:absolute;left:3391;top:5722;width:2;height:1329" coordorigin="3391,5722" coordsize="0,1329" path="m3391,5722l3391,7050e" filled="false" stroked="true" strokeweight=".48pt" strokecolor="#000000">
                <v:path arrowok="t"/>
              </v:shape>
            </v:group>
            <v:group style="position:absolute;left:3741;top:5722;width:2;height:1329" coordorigin="3741,5722" coordsize="2,1329">
              <v:shape style="position:absolute;left:3741;top:5722;width:2;height:1329" coordorigin="3741,5722" coordsize="0,1329" path="m3741,5722l3741,7050e" filled="false" stroked="true" strokeweight=".48pt" strokecolor="#000000">
                <v:path arrowok="t"/>
              </v:shape>
            </v:group>
            <v:group style="position:absolute;left:4923;top:5722;width:2;height:1329" coordorigin="4923,5722" coordsize="2,1329">
              <v:shape style="position:absolute;left:4923;top:5722;width:2;height:1329" coordorigin="4923,5722" coordsize="0,1329" path="m4923,5722l4923,7050e" filled="false" stroked="true" strokeweight=".48pt" strokecolor="#000000">
                <v:path arrowok="t"/>
              </v:shape>
            </v:group>
            <v:group style="position:absolute;left:5640;top:5722;width:2;height:1329" coordorigin="5640,5722" coordsize="2,1329">
              <v:shape style="position:absolute;left:5640;top:5722;width:2;height:1329" coordorigin="5640,5722" coordsize="0,1329" path="m5640,5722l5640,7050e" filled="false" stroked="true" strokeweight=".48001pt" strokecolor="#000000">
                <v:path arrowok="t"/>
              </v:shape>
            </v:group>
            <v:group style="position:absolute;left:6260;top:5722;width:2;height:1329" coordorigin="6260,5722" coordsize="2,1329">
              <v:shape style="position:absolute;left:6260;top:5722;width:2;height:1329" coordorigin="6260,5722" coordsize="0,1329" path="m6260,5722l6260,7050e" filled="false" stroked="true" strokeweight=".48001pt" strokecolor="#000000">
                <v:path arrowok="t"/>
              </v:shape>
            </v:group>
            <v:group style="position:absolute;left:9671;top:5722;width:2;height:1329" coordorigin="9671,5722" coordsize="2,1329">
              <v:shape style="position:absolute;left:9671;top:5722;width:2;height:1329" coordorigin="9671,5722" coordsize="0,1329" path="m9671,5722l9671,7050e" filled="false" stroked="true" strokeweight=".48001pt" strokecolor="#000000">
                <v:path arrowok="t"/>
              </v:shape>
            </v:group>
            <v:group style="position:absolute;left:10022;top:5722;width:2;height:1329" coordorigin="10022,5722" coordsize="2,1329">
              <v:shape style="position:absolute;left:10022;top:5722;width:2;height:1329" coordorigin="10022,5722" coordsize="0,1329" path="m10022,5722l10022,7050e" filled="false" stroked="true" strokeweight=".48001pt" strokecolor="#000000">
                <v:path arrowok="t"/>
              </v:shape>
            </v:group>
            <v:group style="position:absolute;left:10897;top:5722;width:2;height:1329" coordorigin="10897,5722" coordsize="2,1329">
              <v:shape style="position:absolute;left:10897;top:5722;width:2;height:1329" coordorigin="10897,5722" coordsize="0,1329" path="m10897,5722l10897,7050e" filled="false" stroked="true" strokeweight=".48004pt" strokecolor="#000000">
                <v:path arrowok="t"/>
              </v:shape>
            </v:group>
            <v:group style="position:absolute;left:11592;top:5722;width:2;height:1329" coordorigin="11592,5722" coordsize="2,1329">
              <v:shape style="position:absolute;left:11592;top:5722;width:2;height:1329" coordorigin="11592,5722" coordsize="0,1329" path="m11592,5722l11592,7050e" filled="false" stroked="true" strokeweight=".47998pt" strokecolor="#000000">
                <v:path arrowok="t"/>
              </v:shape>
            </v:group>
            <v:group style="position:absolute;left:12683;top:5722;width:2;height:1329" coordorigin="12683,5722" coordsize="2,1329">
              <v:shape style="position:absolute;left:12683;top:5722;width:2;height:1329" coordorigin="12683,5722" coordsize="0,1329" path="m12683,5722l12683,7050e" filled="false" stroked="true" strokeweight=".47998pt" strokecolor="#000000">
                <v:path arrowok="t"/>
              </v:shape>
            </v:group>
            <v:group style="position:absolute;left:13784;top:5722;width:2;height:1329" coordorigin="13784,5722" coordsize="2,1329">
              <v:shape style="position:absolute;left:13784;top:5722;width:2;height:1329" coordorigin="13784,5722" coordsize="0,1329" path="m13784,5722l13784,7050e" filled="false" stroked="true" strokeweight=".47998pt" strokecolor="#000000">
                <v:path arrowok="t"/>
              </v:shape>
            </v:group>
            <v:group style="position:absolute;left:14135;top:5722;width:2;height:1329" coordorigin="14135,5722" coordsize="2,1329">
              <v:shape style="position:absolute;left:14135;top:5722;width:2;height:1329" coordorigin="14135,5722" coordsize="0,1329" path="m14135,5722l14135,7050e" filled="false" stroked="true" strokeweight=".48004pt" strokecolor="#000000">
                <v:path arrowok="t"/>
              </v:shape>
            </v:group>
            <v:group style="position:absolute;left:14790;top:5722;width:2;height:1329" coordorigin="14790,5722" coordsize="2,1329">
              <v:shape style="position:absolute;left:14790;top:5722;width:2;height:1329" coordorigin="14790,5722" coordsize="0,1329" path="m14790,5722l14790,7050e" filled="false" stroked="true" strokeweight=".47998pt" strokecolor="#000000">
                <v:path arrowok="t"/>
              </v:shape>
            </v:group>
            <v:group style="position:absolute;left:1428;top:7060;width:2;height:393" coordorigin="1428,7060" coordsize="2,393">
              <v:shape style="position:absolute;left:1428;top:7060;width:2;height:393" coordorigin="1428,7060" coordsize="0,393" path="m1428,7060l1428,7452e" filled="false" stroked="true" strokeweight="1.140pt" strokecolor="#d3d3d3">
                <v:path arrowok="t"/>
              </v:shape>
            </v:group>
            <v:group style="position:absolute;left:2499;top:7060;width:2;height:393" coordorigin="2499,7060" coordsize="2,393">
              <v:shape style="position:absolute;left:2499;top:7060;width:2;height:393" coordorigin="2499,7060" coordsize="0,393" path="m2499,7060l2499,7452e" filled="false" stroked="true" strokeweight="1.2pt" strokecolor="#d3d3d3">
                <v:path arrowok="t"/>
              </v:shape>
            </v:group>
            <v:group style="position:absolute;left:1440;top:7060;width:1048;height:393" coordorigin="1440,7060" coordsize="1048,393">
              <v:shape style="position:absolute;left:1440;top:7060;width:1048;height:393" coordorigin="1440,7060" coordsize="1048,393" path="m1440,7060l1440,7452,2487,7452,2487,7060,1440,7060xe" filled="true" fillcolor="#d3d3d3" stroked="false">
                <v:path arrowok="t"/>
                <v:fill type="solid"/>
              </v:shape>
            </v:group>
            <v:group style="position:absolute;left:2532;top:7060;width:2;height:393" coordorigin="2532,7060" coordsize="2,393">
              <v:shape style="position:absolute;left:2532;top:7060;width:2;height:393" coordorigin="2532,7060" coordsize="0,393" path="m2532,7060l2532,7452e" filled="false" stroked="true" strokeweight="1.140pt" strokecolor="#d3d3d3">
                <v:path arrowok="t"/>
              </v:shape>
            </v:group>
            <v:group style="position:absolute;left:3374;top:7060;width:2;height:393" coordorigin="3374,7060" coordsize="2,393">
              <v:shape style="position:absolute;left:3374;top:7060;width:2;height:393" coordorigin="3374,7060" coordsize="0,393" path="m3374,7060l3374,7452e" filled="false" stroked="true" strokeweight="1.2pt" strokecolor="#d3d3d3">
                <v:path arrowok="t"/>
              </v:shape>
            </v:group>
            <v:group style="position:absolute;left:2544;top:7060;width:819;height:393" coordorigin="2544,7060" coordsize="819,393">
              <v:shape style="position:absolute;left:2544;top:7060;width:819;height:393" coordorigin="2544,7060" coordsize="819,393" path="m2544,7060l2544,7452,3362,7452,3362,7060,2544,7060xe" filled="true" fillcolor="#d3d3d3" stroked="false">
                <v:path arrowok="t"/>
                <v:fill type="solid"/>
              </v:shape>
            </v:group>
            <v:group style="position:absolute;left:3407;top:7060;width:2;height:393" coordorigin="3407,7060" coordsize="2,393">
              <v:shape style="position:absolute;left:3407;top:7060;width:2;height:393" coordorigin="3407,7060" coordsize="0,393" path="m3407,7060l3407,7452e" filled="false" stroked="true" strokeweight="1.140pt" strokecolor="#d3d3d3">
                <v:path arrowok="t"/>
              </v:shape>
            </v:group>
            <v:group style="position:absolute;left:3725;top:7060;width:2;height:393" coordorigin="3725,7060" coordsize="2,393">
              <v:shape style="position:absolute;left:3725;top:7060;width:2;height:393" coordorigin="3725,7060" coordsize="0,393" path="m3725,7060l3725,7452e" filled="false" stroked="true" strokeweight="1.140pt" strokecolor="#d3d3d3">
                <v:path arrowok="t"/>
              </v:shape>
            </v:group>
            <v:group style="position:absolute;left:3419;top:7060;width:296;height:393" coordorigin="3419,7060" coordsize="296,393">
              <v:shape style="position:absolute;left:3419;top:7060;width:296;height:393" coordorigin="3419,7060" coordsize="296,393" path="m3419,7060l3419,7452,3714,7452,3714,7060,3419,7060xe" filled="true" fillcolor="#d3d3d3" stroked="false">
                <v:path arrowok="t"/>
                <v:fill type="solid"/>
              </v:shape>
            </v:group>
            <v:group style="position:absolute;left:4940;top:7060;width:2;height:393" coordorigin="4940,7060" coordsize="2,393">
              <v:shape style="position:absolute;left:4940;top:7060;width:2;height:393" coordorigin="4940,7060" coordsize="0,393" path="m4940,7060l4940,7452e" filled="false" stroked="true" strokeweight="1.140pt" strokecolor="#d3d3d3">
                <v:path arrowok="t"/>
              </v:shape>
            </v:group>
            <v:group style="position:absolute;left:5624;top:7060;width:2;height:393" coordorigin="5624,7060" coordsize="2,393">
              <v:shape style="position:absolute;left:5624;top:7060;width:2;height:393" coordorigin="5624,7060" coordsize="0,393" path="m5624,7060l5624,7452e" filled="false" stroked="true" strokeweight="1.140pt" strokecolor="#d3d3d3">
                <v:path arrowok="t"/>
              </v:shape>
            </v:group>
            <v:group style="position:absolute;left:4951;top:7060;width:662;height:393" coordorigin="4951,7060" coordsize="662,393">
              <v:shape style="position:absolute;left:4951;top:7060;width:662;height:393" coordorigin="4951,7060" coordsize="662,393" path="m4951,7060l4951,7452,5612,7452,5612,7060,4951,7060xe" filled="true" fillcolor="#d3d3d3" stroked="false">
                <v:path arrowok="t"/>
                <v:fill type="solid"/>
              </v:shape>
            </v:group>
            <v:group style="position:absolute;left:5656;top:7060;width:2;height:393" coordorigin="5656,7060" coordsize="2,393">
              <v:shape style="position:absolute;left:5656;top:7060;width:2;height:393" coordorigin="5656,7060" coordsize="0,393" path="m5656,7060l5656,7452e" filled="false" stroked="true" strokeweight="1.140pt" strokecolor="#d3d3d3">
                <v:path arrowok="t"/>
              </v:shape>
            </v:group>
            <v:group style="position:absolute;left:6243;top:7060;width:2;height:393" coordorigin="6243,7060" coordsize="2,393">
              <v:shape style="position:absolute;left:6243;top:7060;width:2;height:393" coordorigin="6243,7060" coordsize="0,393" path="m6243,7060l6243,7452e" filled="false" stroked="true" strokeweight="1.2pt" strokecolor="#d3d3d3">
                <v:path arrowok="t"/>
              </v:shape>
            </v:group>
            <v:group style="position:absolute;left:5667;top:7060;width:564;height:393" coordorigin="5667,7060" coordsize="564,393">
              <v:shape style="position:absolute;left:5667;top:7060;width:564;height:393" coordorigin="5667,7060" coordsize="564,393" path="m5667,7060l5667,7452,6231,7452,6231,7060,5667,7060xe" filled="true" fillcolor="#d3d3d3" stroked="false">
                <v:path arrowok="t"/>
                <v:fill type="solid"/>
              </v:shape>
            </v:group>
            <v:group style="position:absolute;left:6276;top:7060;width:2;height:393" coordorigin="6276,7060" coordsize="2,393">
              <v:shape style="position:absolute;left:6276;top:7060;width:2;height:393" coordorigin="6276,7060" coordsize="0,393" path="m6276,7060l6276,7452e" filled="false" stroked="true" strokeweight="1.140pt" strokecolor="#d3d3d3">
                <v:path arrowok="t"/>
              </v:shape>
            </v:group>
            <v:group style="position:absolute;left:9654;top:7060;width:2;height:393" coordorigin="9654,7060" coordsize="2,393">
              <v:shape style="position:absolute;left:9654;top:7060;width:2;height:393" coordorigin="9654,7060" coordsize="0,393" path="m9654,7060l9654,7452e" filled="false" stroked="true" strokeweight="1.140pt" strokecolor="#d3d3d3">
                <v:path arrowok="t"/>
              </v:shape>
            </v:group>
            <v:group style="position:absolute;left:6288;top:7060;width:3356;height:393" coordorigin="6288,7060" coordsize="3356,393">
              <v:shape style="position:absolute;left:6288;top:7060;width:3356;height:393" coordorigin="6288,7060" coordsize="3356,393" path="m6288,7060l6288,7452,9643,7452,9643,7060,6288,7060xe" filled="true" fillcolor="#d3d3d3" stroked="false">
                <v:path arrowok="t"/>
                <v:fill type="solid"/>
              </v:shape>
            </v:group>
            <v:group style="position:absolute;left:9687;top:7060;width:2;height:393" coordorigin="9687,7060" coordsize="2,393">
              <v:shape style="position:absolute;left:9687;top:7060;width:2;height:393" coordorigin="9687,7060" coordsize="0,393" path="m9687,7060l9687,7452e" filled="false" stroked="true" strokeweight="1.140pt" strokecolor="#d3d3d3">
                <v:path arrowok="t"/>
              </v:shape>
            </v:group>
            <v:group style="position:absolute;left:10005;top:7060;width:2;height:393" coordorigin="10005,7060" coordsize="2,393">
              <v:shape style="position:absolute;left:10005;top:7060;width:2;height:393" coordorigin="10005,7060" coordsize="0,393" path="m10005,7060l10005,7452e" filled="false" stroked="true" strokeweight="1.2pt" strokecolor="#d3d3d3">
                <v:path arrowok="t"/>
              </v:shape>
            </v:group>
            <v:group style="position:absolute;left:9698;top:7060;width:296;height:393" coordorigin="9698,7060" coordsize="296,393">
              <v:shape style="position:absolute;left:9698;top:7060;width:296;height:393" coordorigin="9698,7060" coordsize="296,393" path="m9698,7060l9698,7452,9993,7452,9993,7060,9698,7060xe" filled="true" fillcolor="#d3d3d3" stroked="false">
                <v:path arrowok="t"/>
                <v:fill type="solid"/>
              </v:shape>
            </v:group>
            <v:group style="position:absolute;left:10038;top:7060;width:2;height:393" coordorigin="10038,7060" coordsize="2,393">
              <v:shape style="position:absolute;left:10038;top:7060;width:2;height:393" coordorigin="10038,7060" coordsize="0,393" path="m10038,7060l10038,7452e" filled="false" stroked="true" strokeweight="1.140pt" strokecolor="#d3d3d3">
                <v:path arrowok="t"/>
              </v:shape>
            </v:group>
            <v:group style="position:absolute;left:10880;top:7060;width:2;height:393" coordorigin="10880,7060" coordsize="2,393">
              <v:shape style="position:absolute;left:10880;top:7060;width:2;height:393" coordorigin="10880,7060" coordsize="0,393" path="m10880,7060l10880,7452e" filled="false" stroked="true" strokeweight="1.199pt" strokecolor="#d3d3d3">
                <v:path arrowok="t"/>
              </v:shape>
            </v:group>
            <v:group style="position:absolute;left:10050;top:7060;width:819;height:393" coordorigin="10050,7060" coordsize="819,393">
              <v:shape style="position:absolute;left:10050;top:7060;width:819;height:393" coordorigin="10050,7060" coordsize="819,393" path="m10050,7060l10050,7452,10868,7452,10868,7060,10050,7060xe" filled="true" fillcolor="#d3d3d3" stroked="false">
                <v:path arrowok="t"/>
                <v:fill type="solid"/>
              </v:shape>
            </v:group>
            <v:group style="position:absolute;left:10913;top:7060;width:2;height:393" coordorigin="10913,7060" coordsize="2,393">
              <v:shape style="position:absolute;left:10913;top:7060;width:2;height:393" coordorigin="10913,7060" coordsize="0,393" path="m10913,7060l10913,7452e" filled="false" stroked="true" strokeweight="1.140pt" strokecolor="#d3d3d3">
                <v:path arrowok="t"/>
              </v:shape>
            </v:group>
            <v:group style="position:absolute;left:11576;top:7060;width:2;height:393" coordorigin="11576,7060" coordsize="2,393">
              <v:shape style="position:absolute;left:11576;top:7060;width:2;height:393" coordorigin="11576,7060" coordsize="0,393" path="m11576,7060l11576,7452e" filled="false" stroked="true" strokeweight="1.140pt" strokecolor="#d3d3d3">
                <v:path arrowok="t"/>
              </v:shape>
            </v:group>
            <v:group style="position:absolute;left:10925;top:7060;width:640;height:393" coordorigin="10925,7060" coordsize="640,393">
              <v:shape style="position:absolute;left:10925;top:7060;width:640;height:393" coordorigin="10925,7060" coordsize="640,393" path="m10925,7060l10925,7452,11564,7452,11564,7060,10925,7060xe" filled="true" fillcolor="#d3d3d3" stroked="false">
                <v:path arrowok="t"/>
                <v:fill type="solid"/>
              </v:shape>
            </v:group>
            <v:group style="position:absolute;left:13800;top:7060;width:2;height:393" coordorigin="13800,7060" coordsize="2,393">
              <v:shape style="position:absolute;left:13800;top:7060;width:2;height:393" coordorigin="13800,7060" coordsize="0,393" path="m13800,7060l13800,7452e" filled="false" stroked="true" strokeweight="1.140pt" strokecolor="#d3d3d3">
                <v:path arrowok="t"/>
              </v:shape>
            </v:group>
            <v:group style="position:absolute;left:14118;top:7060;width:2;height:393" coordorigin="14118,7060" coordsize="2,393">
              <v:shape style="position:absolute;left:14118;top:7060;width:2;height:393" coordorigin="14118,7060" coordsize="0,393" path="m14118,7060l14118,7452e" filled="false" stroked="true" strokeweight="1.140pt" strokecolor="#d3d3d3">
                <v:path arrowok="t"/>
              </v:shape>
            </v:group>
            <v:group style="position:absolute;left:13812;top:7060;width:296;height:393" coordorigin="13812,7060" coordsize="296,393">
              <v:shape style="position:absolute;left:13812;top:7060;width:296;height:393" coordorigin="13812,7060" coordsize="296,393" path="m13812,7060l13812,7452,14107,7452,14107,7060,13812,7060xe" filled="true" fillcolor="#d3d3d3" stroked="false">
                <v:path arrowok="t"/>
                <v:fill type="solid"/>
              </v:shape>
            </v:group>
            <v:group style="position:absolute;left:14151;top:7060;width:2;height:393" coordorigin="14151,7060" coordsize="2,393">
              <v:shape style="position:absolute;left:14151;top:7060;width:2;height:393" coordorigin="14151,7060" coordsize="0,393" path="m14151,7060l14151,7452e" filled="false" stroked="true" strokeweight="1.140pt" strokecolor="#d3d3d3">
                <v:path arrowok="t"/>
              </v:shape>
            </v:group>
            <v:group style="position:absolute;left:14774;top:7060;width:2;height:393" coordorigin="14774,7060" coordsize="2,393">
              <v:shape style="position:absolute;left:14774;top:7060;width:2;height:393" coordorigin="14774,7060" coordsize="0,393" path="m14774,7060l14774,7452e" filled="false" stroked="true" strokeweight="1.140pt" strokecolor="#d3d3d3">
                <v:path arrowok="t"/>
              </v:shape>
            </v:group>
            <v:group style="position:absolute;left:14162;top:7060;width:600;height:393" coordorigin="14162,7060" coordsize="600,393">
              <v:shape style="position:absolute;left:14162;top:7060;width:600;height:393" coordorigin="14162,7060" coordsize="600,393" path="m14162,7060l14162,7452,14762,7452,14762,7060,14162,7060xe" filled="true" fillcolor="#d3d3d3" stroked="false">
                <v:path arrowok="t"/>
                <v:fill type="solid"/>
              </v:shape>
            </v:group>
            <v:group style="position:absolute;left:14806;top:7060;width:2;height:393" coordorigin="14806,7060" coordsize="2,393">
              <v:shape style="position:absolute;left:14806;top:7060;width:2;height:393" coordorigin="14806,7060" coordsize="0,393" path="m14806,7060l14806,7452e" filled="false" stroked="true" strokeweight="1.140pt" strokecolor="#d3d3d3">
                <v:path arrowok="t"/>
              </v:shape>
            </v:group>
            <v:group style="position:absolute;left:15678;top:7060;width:2;height:393" coordorigin="15678,7060" coordsize="2,393">
              <v:shape style="position:absolute;left:15678;top:7060;width:2;height:393" coordorigin="15678,7060" coordsize="0,393" path="m15678,7060l15678,7452e" filled="false" stroked="true" strokeweight="1.139pt" strokecolor="#d3d3d3">
                <v:path arrowok="t"/>
              </v:shape>
            </v:group>
            <v:group style="position:absolute;left:14817;top:7060;width:850;height:393" coordorigin="14817,7060" coordsize="850,393">
              <v:shape style="position:absolute;left:14817;top:7060;width:850;height:393" coordorigin="14817,7060" coordsize="850,393" path="m14817,7060l14817,7452,15667,7452,15667,7060,14817,7060xe" filled="true" fillcolor="#d3d3d3" stroked="false">
                <v:path arrowok="t"/>
                <v:fill type="solid"/>
              </v:shape>
            </v:group>
            <v:group style="position:absolute;left:1407;top:7055;width:14292;height:2" coordorigin="1407,7055" coordsize="14292,2">
              <v:shape style="position:absolute;left:1407;top:7055;width:14292;height:2" coordorigin="1407,7055" coordsize="14292,0" path="m1407,7055l15699,7055e" filled="false" stroked="true" strokeweight=".47998pt" strokecolor="#000000">
                <v:path arrowok="t"/>
              </v:shape>
            </v:group>
            <v:group style="position:absolute;left:1412;top:-666;width:2;height:8128" coordorigin="1412,-666" coordsize="2,8128">
              <v:shape style="position:absolute;left:1412;top:-666;width:2;height:8128" coordorigin="1412,-666" coordsize="0,8128" path="m1412,-666l1412,7462e" filled="false" stroked="true" strokeweight=".48001pt" strokecolor="#000000">
                <v:path arrowok="t"/>
              </v:shape>
            </v:group>
            <v:group style="position:absolute;left:1407;top:7457;width:1104;height:2" coordorigin="1407,7457" coordsize="1104,2">
              <v:shape style="position:absolute;left:1407;top:7457;width:1104;height:2" coordorigin="1407,7457" coordsize="1104,0" path="m1407,7457l2511,7457e" filled="false" stroked="true" strokeweight=".48001pt" strokecolor="#000000">
                <v:path arrowok="t"/>
              </v:shape>
            </v:group>
            <v:group style="position:absolute;left:2516;top:7060;width:2;height:402" coordorigin="2516,7060" coordsize="2,402">
              <v:shape style="position:absolute;left:2516;top:7060;width:2;height:402" coordorigin="2516,7060" coordsize="0,402" path="m2516,7060l2516,7462e" filled="false" stroked="true" strokeweight=".47998pt" strokecolor="#000000">
                <v:path arrowok="t"/>
              </v:shape>
            </v:group>
            <v:group style="position:absolute;left:2521;top:7457;width:866;height:2" coordorigin="2521,7457" coordsize="866,2">
              <v:shape style="position:absolute;left:2521;top:7457;width:866;height:2" coordorigin="2521,7457" coordsize="866,0" path="m2521,7457l3386,7457e" filled="false" stroked="true" strokeweight=".48001pt" strokecolor="#000000">
                <v:path arrowok="t"/>
              </v:shape>
            </v:group>
            <v:group style="position:absolute;left:3391;top:7060;width:2;height:402" coordorigin="3391,7060" coordsize="2,402">
              <v:shape style="position:absolute;left:3391;top:7060;width:2;height:402" coordorigin="3391,7060" coordsize="0,402" path="m3391,7060l3391,7462e" filled="false" stroked="true" strokeweight=".48pt" strokecolor="#000000">
                <v:path arrowok="t"/>
              </v:shape>
            </v:group>
            <v:group style="position:absolute;left:3396;top:7457;width:341;height:2" coordorigin="3396,7457" coordsize="341,2">
              <v:shape style="position:absolute;left:3396;top:7457;width:341;height:2" coordorigin="3396,7457" coordsize="341,0" path="m3396,7457l3737,7457e" filled="false" stroked="true" strokeweight=".48001pt" strokecolor="#000000">
                <v:path arrowok="t"/>
              </v:shape>
            </v:group>
            <v:group style="position:absolute;left:3741;top:7060;width:2;height:402" coordorigin="3741,7060" coordsize="2,402">
              <v:shape style="position:absolute;left:3741;top:7060;width:2;height:402" coordorigin="3741,7060" coordsize="0,402" path="m3741,7060l3741,7462e" filled="false" stroked="true" strokeweight=".48pt" strokecolor="#000000">
                <v:path arrowok="t"/>
              </v:shape>
            </v:group>
            <v:group style="position:absolute;left:3746;top:7457;width:1173;height:2" coordorigin="3746,7457" coordsize="1173,2">
              <v:shape style="position:absolute;left:3746;top:7457;width:1173;height:2" coordorigin="3746,7457" coordsize="1173,0" path="m3746,7457l4919,7457e" filled="false" stroked="true" strokeweight=".48001pt" strokecolor="#000000">
                <v:path arrowok="t"/>
              </v:shape>
            </v:group>
            <v:group style="position:absolute;left:4923;top:7060;width:2;height:402" coordorigin="4923,7060" coordsize="2,402">
              <v:shape style="position:absolute;left:4923;top:7060;width:2;height:402" coordorigin="4923,7060" coordsize="0,402" path="m4923,7060l4923,7462e" filled="false" stroked="true" strokeweight=".48pt" strokecolor="#000000">
                <v:path arrowok="t"/>
              </v:shape>
            </v:group>
            <v:group style="position:absolute;left:4928;top:7457;width:707;height:2" coordorigin="4928,7457" coordsize="707,2">
              <v:shape style="position:absolute;left:4928;top:7457;width:707;height:2" coordorigin="4928,7457" coordsize="707,0" path="m4928,7457l5635,7457e" filled="false" stroked="true" strokeweight=".48001pt" strokecolor="#000000">
                <v:path arrowok="t"/>
              </v:shape>
            </v:group>
            <v:group style="position:absolute;left:5640;top:7060;width:2;height:402" coordorigin="5640,7060" coordsize="2,402">
              <v:shape style="position:absolute;left:5640;top:7060;width:2;height:402" coordorigin="5640,7060" coordsize="0,402" path="m5640,7060l5640,7462e" filled="false" stroked="true" strokeweight=".48001pt" strokecolor="#000000">
                <v:path arrowok="t"/>
              </v:shape>
            </v:group>
            <v:group style="position:absolute;left:5645;top:7457;width:611;height:2" coordorigin="5645,7457" coordsize="611,2">
              <v:shape style="position:absolute;left:5645;top:7457;width:611;height:2" coordorigin="5645,7457" coordsize="611,0" path="m5645,7457l6255,7457e" filled="false" stroked="true" strokeweight=".48001pt" strokecolor="#000000">
                <v:path arrowok="t"/>
              </v:shape>
            </v:group>
            <v:group style="position:absolute;left:6260;top:7060;width:2;height:402" coordorigin="6260,7060" coordsize="2,402">
              <v:shape style="position:absolute;left:6260;top:7060;width:2;height:402" coordorigin="6260,7060" coordsize="0,402" path="m6260,7060l6260,7462e" filled="false" stroked="true" strokeweight=".48001pt" strokecolor="#000000">
                <v:path arrowok="t"/>
              </v:shape>
            </v:group>
            <v:group style="position:absolute;left:6265;top:7457;width:3401;height:2" coordorigin="6265,7457" coordsize="3401,2">
              <v:shape style="position:absolute;left:6265;top:7457;width:3401;height:2" coordorigin="6265,7457" coordsize="3401,0" path="m6265,7457l9666,7457e" filled="false" stroked="true" strokeweight=".48001pt" strokecolor="#000000">
                <v:path arrowok="t"/>
              </v:shape>
            </v:group>
            <v:group style="position:absolute;left:9671;top:7060;width:2;height:402" coordorigin="9671,7060" coordsize="2,402">
              <v:shape style="position:absolute;left:9671;top:7060;width:2;height:402" coordorigin="9671,7060" coordsize="0,402" path="m9671,7060l9671,7462e" filled="false" stroked="true" strokeweight=".48001pt" strokecolor="#000000">
                <v:path arrowok="t"/>
              </v:shape>
            </v:group>
            <v:group style="position:absolute;left:9675;top:7457;width:342;height:2" coordorigin="9675,7457" coordsize="342,2">
              <v:shape style="position:absolute;left:9675;top:7457;width:342;height:2" coordorigin="9675,7457" coordsize="342,0" path="m9675,7457l10017,7457e" filled="false" stroked="true" strokeweight=".48001pt" strokecolor="#000000">
                <v:path arrowok="t"/>
              </v:shape>
            </v:group>
            <v:group style="position:absolute;left:10022;top:7060;width:2;height:402" coordorigin="10022,7060" coordsize="2,402">
              <v:shape style="position:absolute;left:10022;top:7060;width:2;height:402" coordorigin="10022,7060" coordsize="0,402" path="m10022,7060l10022,7462e" filled="false" stroked="true" strokeweight=".48001pt" strokecolor="#000000">
                <v:path arrowok="t"/>
              </v:shape>
            </v:group>
            <v:group style="position:absolute;left:10027;top:7457;width:866;height:2" coordorigin="10027,7457" coordsize="866,2">
              <v:shape style="position:absolute;left:10027;top:7457;width:866;height:2" coordorigin="10027,7457" coordsize="866,0" path="m10027,7457l10892,7457e" filled="false" stroked="true" strokeweight=".48001pt" strokecolor="#000000">
                <v:path arrowok="t"/>
              </v:shape>
            </v:group>
            <v:group style="position:absolute;left:10897;top:7060;width:2;height:402" coordorigin="10897,7060" coordsize="2,402">
              <v:shape style="position:absolute;left:10897;top:7060;width:2;height:402" coordorigin="10897,7060" coordsize="0,402" path="m10897,7060l10897,7462e" filled="false" stroked="true" strokeweight=".48004pt" strokecolor="#000000">
                <v:path arrowok="t"/>
              </v:shape>
            </v:group>
            <v:group style="position:absolute;left:10902;top:7457;width:686;height:2" coordorigin="10902,7457" coordsize="686,2">
              <v:shape style="position:absolute;left:10902;top:7457;width:686;height:2" coordorigin="10902,7457" coordsize="686,0" path="m10902,7457l11587,7457e" filled="false" stroked="true" strokeweight=".48001pt" strokecolor="#000000">
                <v:path arrowok="t"/>
              </v:shape>
            </v:group>
            <v:group style="position:absolute;left:11592;top:7060;width:2;height:402" coordorigin="11592,7060" coordsize="2,402">
              <v:shape style="position:absolute;left:11592;top:7060;width:2;height:402" coordorigin="11592,7060" coordsize="0,402" path="m11592,7060l11592,7462e" filled="false" stroked="true" strokeweight=".47998pt" strokecolor="#000000">
                <v:path arrowok="t"/>
              </v:shape>
            </v:group>
            <v:group style="position:absolute;left:11597;top:7457;width:1082;height:2" coordorigin="11597,7457" coordsize="1082,2">
              <v:shape style="position:absolute;left:11597;top:7457;width:1082;height:2" coordorigin="11597,7457" coordsize="1082,0" path="m11597,7457l12678,7457e" filled="false" stroked="true" strokeweight=".48001pt" strokecolor="#000000">
                <v:path arrowok="t"/>
              </v:shape>
            </v:group>
            <v:group style="position:absolute;left:12683;top:7060;width:2;height:402" coordorigin="12683,7060" coordsize="2,402">
              <v:shape style="position:absolute;left:12683;top:7060;width:2;height:402" coordorigin="12683,7060" coordsize="0,402" path="m12683,7060l12683,7462e" filled="false" stroked="true" strokeweight=".47998pt" strokecolor="#000000">
                <v:path arrowok="t"/>
              </v:shape>
            </v:group>
            <v:group style="position:absolute;left:12687;top:7457;width:1092;height:2" coordorigin="12687,7457" coordsize="1092,2">
              <v:shape style="position:absolute;left:12687;top:7457;width:1092;height:2" coordorigin="12687,7457" coordsize="1092,0" path="m12687,7457l13779,7457e" filled="false" stroked="true" strokeweight=".48001pt" strokecolor="#000000">
                <v:path arrowok="t"/>
              </v:shape>
            </v:group>
            <v:group style="position:absolute;left:13784;top:7060;width:2;height:402" coordorigin="13784,7060" coordsize="2,402">
              <v:shape style="position:absolute;left:13784;top:7060;width:2;height:402" coordorigin="13784,7060" coordsize="0,402" path="m13784,7060l13784,7462e" filled="false" stroked="true" strokeweight=".47998pt" strokecolor="#000000">
                <v:path arrowok="t"/>
              </v:shape>
            </v:group>
            <v:group style="position:absolute;left:13789;top:7457;width:341;height:2" coordorigin="13789,7457" coordsize="341,2">
              <v:shape style="position:absolute;left:13789;top:7457;width:341;height:2" coordorigin="13789,7457" coordsize="341,0" path="m13789,7457l14130,7457e" filled="false" stroked="true" strokeweight=".48001pt" strokecolor="#000000">
                <v:path arrowok="t"/>
              </v:shape>
            </v:group>
            <v:group style="position:absolute;left:14135;top:7060;width:2;height:402" coordorigin="14135,7060" coordsize="2,402">
              <v:shape style="position:absolute;left:14135;top:7060;width:2;height:402" coordorigin="14135,7060" coordsize="0,402" path="m14135,7060l14135,7462e" filled="false" stroked="true" strokeweight=".48004pt" strokecolor="#000000">
                <v:path arrowok="t"/>
              </v:shape>
            </v:group>
            <v:group style="position:absolute;left:14139;top:7457;width:646;height:2" coordorigin="14139,7457" coordsize="646,2">
              <v:shape style="position:absolute;left:14139;top:7457;width:646;height:2" coordorigin="14139,7457" coordsize="646,0" path="m14139,7457l14785,7457e" filled="false" stroked="true" strokeweight=".48001pt" strokecolor="#000000">
                <v:path arrowok="t"/>
              </v:shape>
            </v:group>
            <v:group style="position:absolute;left:14790;top:7060;width:2;height:402" coordorigin="14790,7060" coordsize="2,402">
              <v:shape style="position:absolute;left:14790;top:7060;width:2;height:402" coordorigin="14790,7060" coordsize="0,402" path="m14790,7060l14790,7462e" filled="false" stroked="true" strokeweight=".47998pt" strokecolor="#000000">
                <v:path arrowok="t"/>
              </v:shape>
            </v:group>
            <v:group style="position:absolute;left:14795;top:7457;width:896;height:2" coordorigin="14795,7457" coordsize="896,2">
              <v:shape style="position:absolute;left:14795;top:7457;width:896;height:2" coordorigin="14795,7457" coordsize="896,0" path="m14795,7457l15690,7457e" filled="false" stroked="true" strokeweight=".48001pt" strokecolor="#000000">
                <v:path arrowok="t"/>
              </v:shape>
            </v:group>
            <v:group style="position:absolute;left:15695;top:-666;width:2;height:8128" coordorigin="15695,-666" coordsize="2,8128">
              <v:shape style="position:absolute;left:15695;top:-666;width:2;height:8128" coordorigin="15695,-666" coordsize="0,8128" path="m15695,-666l15695,7462e" filled="false" stroked="true" strokeweight=".48004pt" strokecolor="#000000">
                <v:path arrowok="t"/>
              </v:shape>
            </v:group>
            <w10:wrap type="none"/>
          </v:group>
        </w:pict>
      </w:r>
      <w:r>
        <w:rPr>
          <w:rFonts w:ascii="宋体" w:hAnsi="宋体" w:cs="宋体" w:eastAsia="宋体" w:hint="default"/>
          <w:sz w:val="18"/>
          <w:szCs w:val="18"/>
        </w:rPr>
        <w:t>自有资 </w:t>
      </w:r>
      <w:r>
        <w:rPr>
          <w:rFonts w:ascii="宋体" w:hAnsi="宋体" w:cs="宋体" w:eastAsia="宋体" w:hint="default"/>
          <w:spacing w:val="-4"/>
          <w:sz w:val="18"/>
          <w:szCs w:val="18"/>
        </w:rPr>
        <w:t>资有限公司、马淑清、北京博大会成投资管</w:t>
      </w:r>
      <w:r>
        <w:rPr>
          <w:rFonts w:ascii="宋体" w:hAnsi="宋体" w:cs="宋体" w:eastAsia="宋体" w:hint="default"/>
          <w:spacing w:val="-35"/>
          <w:sz w:val="18"/>
          <w:szCs w:val="18"/>
        </w:rPr>
        <w:t> </w:t>
      </w:r>
      <w:r>
        <w:rPr>
          <w:rFonts w:ascii="宋体" w:hAnsi="宋体" w:cs="宋体" w:eastAsia="宋体" w:hint="default"/>
          <w:sz w:val="18"/>
          <w:szCs w:val="18"/>
        </w:rPr>
        <w:t>长</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24"/>
        <w:ind w:left="131" w:right="-20" w:firstLine="0"/>
        <w:jc w:val="left"/>
        <w:rPr>
          <w:rFonts w:ascii="宋体" w:hAnsi="宋体" w:cs="宋体" w:eastAsia="宋体" w:hint="default"/>
          <w:sz w:val="18"/>
          <w:szCs w:val="18"/>
        </w:rPr>
      </w:pPr>
      <w:r>
        <w:rPr>
          <w:rFonts w:ascii="宋体" w:hAnsi="宋体" w:cs="宋体" w:eastAsia="宋体" w:hint="default"/>
          <w:sz w:val="18"/>
          <w:szCs w:val="18"/>
        </w:rPr>
        <w:t>图书、广</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24"/>
        <w:ind w:left="114" w:right="-20" w:firstLine="0"/>
        <w:jc w:val="left"/>
        <w:rPr>
          <w:rFonts w:ascii="宋体" w:hAnsi="宋体" w:cs="宋体" w:eastAsia="宋体" w:hint="default"/>
          <w:sz w:val="18"/>
          <w:szCs w:val="18"/>
        </w:rPr>
      </w:pPr>
      <w:r>
        <w:rPr>
          <w:rFonts w:ascii="宋体" w:hAnsi="宋体" w:cs="宋体" w:eastAsia="宋体" w:hint="default"/>
          <w:sz w:val="18"/>
          <w:szCs w:val="18"/>
        </w:rPr>
        <w:t>第一次</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24"/>
        <w:ind w:left="139"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4"/>
          <w:szCs w:val="24"/>
        </w:rPr>
      </w:pPr>
    </w:p>
    <w:p>
      <w:pPr>
        <w:spacing w:line="172" w:lineRule="exact" w:before="0"/>
        <w:ind w:left="30" w:right="0" w:firstLine="0"/>
        <w:jc w:val="left"/>
        <w:rPr>
          <w:rFonts w:ascii="Times New Roman" w:hAnsi="Times New Roman" w:cs="Times New Roman" w:eastAsia="Times New Roman" w:hint="default"/>
          <w:sz w:val="18"/>
          <w:szCs w:val="18"/>
        </w:rPr>
      </w:pPr>
      <w:r>
        <w:rPr>
          <w:rFonts w:ascii="Times New Roman"/>
          <w:sz w:val="18"/>
        </w:rPr>
        <w:t>2015-059</w:t>
      </w:r>
    </w:p>
    <w:p>
      <w:pPr>
        <w:spacing w:after="0" w:line="172" w:lineRule="exact"/>
        <w:jc w:val="left"/>
        <w:rPr>
          <w:rFonts w:ascii="Times New Roman" w:hAnsi="Times New Roman" w:cs="Times New Roman" w:eastAsia="Times New Roman" w:hint="default"/>
          <w:sz w:val="18"/>
          <w:szCs w:val="18"/>
        </w:rPr>
        <w:sectPr>
          <w:pgSz w:w="16840" w:h="11910" w:orient="landscape"/>
          <w:pgMar w:header="867" w:footer="978" w:top="1060" w:bottom="1160" w:left="1300" w:right="1020"/>
          <w:cols w:num="7" w:equalWidth="0">
            <w:col w:w="1040" w:space="64"/>
            <w:col w:w="1195" w:space="1928"/>
            <w:col w:w="4351" w:space="40"/>
            <w:col w:w="852" w:space="40"/>
            <w:col w:w="655" w:space="2557"/>
            <w:col w:w="725" w:space="40"/>
            <w:col w:w="1033"/>
          </w:cols>
        </w:sectPr>
      </w:pPr>
    </w:p>
    <w:p>
      <w:pPr>
        <w:spacing w:line="180" w:lineRule="exact" w:before="0"/>
        <w:ind w:left="139" w:right="-20" w:firstLine="0"/>
        <w:jc w:val="left"/>
        <w:rPr>
          <w:rFonts w:ascii="宋体" w:hAnsi="宋体" w:cs="宋体" w:eastAsia="宋体" w:hint="default"/>
          <w:sz w:val="18"/>
          <w:szCs w:val="18"/>
        </w:rPr>
      </w:pPr>
      <w:r>
        <w:rPr>
          <w:rFonts w:ascii="宋体" w:hAnsi="宋体" w:cs="宋体" w:eastAsia="宋体" w:hint="default"/>
          <w:sz w:val="18"/>
          <w:szCs w:val="18"/>
        </w:rPr>
        <w:t>维文化传媒</w:t>
      </w:r>
    </w:p>
    <w:p>
      <w:pPr>
        <w:spacing w:before="77"/>
        <w:ind w:left="139" w:right="-20" w:firstLine="0"/>
        <w:jc w:val="left"/>
        <w:rPr>
          <w:rFonts w:ascii="宋体" w:hAnsi="宋体" w:cs="宋体" w:eastAsia="宋体" w:hint="default"/>
          <w:sz w:val="18"/>
          <w:szCs w:val="18"/>
        </w:rPr>
      </w:pPr>
      <w:r>
        <w:rPr>
          <w:rFonts w:ascii="宋体" w:hAnsi="宋体" w:cs="宋体" w:eastAsia="宋体" w:hint="default"/>
          <w:sz w:val="18"/>
          <w:szCs w:val="18"/>
        </w:rPr>
        <w:t>有限公司</w:t>
      </w:r>
    </w:p>
    <w:p>
      <w:pPr>
        <w:spacing w:line="141" w:lineRule="exact" w:before="0"/>
        <w:ind w:left="13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告</w:t>
      </w:r>
      <w:r>
        <w:rPr>
          <w:rFonts w:ascii="宋体" w:hAnsi="宋体" w:cs="宋体" w:eastAsia="宋体" w:hint="default"/>
          <w:spacing w:val="-81"/>
          <w:sz w:val="18"/>
          <w:szCs w:val="18"/>
        </w:rPr>
        <w:t>、</w:t>
      </w:r>
      <w:r>
        <w:rPr>
          <w:rFonts w:ascii="宋体" w:hAnsi="宋体" w:cs="宋体" w:eastAsia="宋体" w:hint="default"/>
          <w:sz w:val="18"/>
          <w:szCs w:val="18"/>
        </w:rPr>
        <w:t>影视版</w:t>
      </w:r>
    </w:p>
    <w:p>
      <w:pPr>
        <w:spacing w:line="157"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购</w:t>
      </w:r>
    </w:p>
    <w:p>
      <w:pPr>
        <w:spacing w:line="196" w:lineRule="exact" w:before="0"/>
        <w:ind w:left="139" w:right="0" w:firstLine="0"/>
        <w:jc w:val="left"/>
        <w:rPr>
          <w:rFonts w:ascii="宋体" w:hAnsi="宋体" w:cs="宋体" w:eastAsia="宋体" w:hint="default"/>
          <w:sz w:val="18"/>
          <w:szCs w:val="18"/>
        </w:rPr>
      </w:pPr>
      <w:r>
        <w:rPr>
          <w:rFonts w:ascii="宋体" w:hAnsi="宋体" w:cs="宋体" w:eastAsia="宋体" w:hint="default"/>
          <w:sz w:val="18"/>
          <w:szCs w:val="18"/>
        </w:rPr>
        <w:t>权</w:t>
      </w:r>
      <w:r>
        <w:rPr>
          <w:rFonts w:ascii="宋体" w:hAnsi="宋体" w:cs="宋体" w:eastAsia="宋体" w:hint="default"/>
          <w:spacing w:val="-81"/>
          <w:sz w:val="18"/>
          <w:szCs w:val="18"/>
        </w:rPr>
        <w:t>、</w:t>
      </w:r>
      <w:r>
        <w:rPr>
          <w:rFonts w:ascii="宋体" w:hAnsi="宋体" w:cs="宋体" w:eastAsia="宋体" w:hint="default"/>
          <w:sz w:val="18"/>
          <w:szCs w:val="18"/>
        </w:rPr>
        <w:t>艺术品</w:t>
      </w:r>
    </w:p>
    <w:p>
      <w:pPr>
        <w:spacing w:line="146" w:lineRule="exact" w:before="0"/>
        <w:ind w:left="132" w:right="0" w:firstLine="0"/>
        <w:jc w:val="left"/>
        <w:rPr>
          <w:rFonts w:ascii="Times New Roman" w:hAnsi="Times New Roman" w:cs="Times New Roman" w:eastAsia="Times New Roman" w:hint="default"/>
          <w:sz w:val="18"/>
          <w:szCs w:val="18"/>
        </w:rPr>
      </w:pPr>
      <w:r>
        <w:rPr/>
        <w:br w:type="column"/>
      </w:r>
      <w:r>
        <w:rPr>
          <w:rFonts w:ascii="Times New Roman"/>
          <w:sz w:val="18"/>
        </w:rPr>
        <w:t>107,520,000.00  </w:t>
      </w:r>
      <w:r>
        <w:rPr>
          <w:rFonts w:ascii="Times New Roman"/>
          <w:spacing w:val="23"/>
          <w:sz w:val="18"/>
        </w:rPr>
        <w:t> </w:t>
      </w:r>
      <w:r>
        <w:rPr>
          <w:rFonts w:ascii="Times New Roman"/>
          <w:sz w:val="18"/>
        </w:rPr>
        <w:t>35.00%</w:t>
      </w:r>
    </w:p>
    <w:p>
      <w:pPr>
        <w:spacing w:line="191"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金</w:t>
      </w:r>
    </w:p>
    <w:p>
      <w:pPr>
        <w:spacing w:line="316" w:lineRule="auto" w:before="101"/>
        <w:ind w:left="139" w:right="-18" w:firstLine="0"/>
        <w:jc w:val="left"/>
        <w:rPr>
          <w:rFonts w:ascii="宋体" w:hAnsi="宋体" w:cs="宋体" w:eastAsia="宋体" w:hint="default"/>
          <w:sz w:val="18"/>
          <w:szCs w:val="18"/>
        </w:rPr>
      </w:pPr>
      <w:r>
        <w:rPr>
          <w:spacing w:val="-5"/>
        </w:rPr>
        <w:br w:type="column"/>
      </w:r>
      <w:r>
        <w:rPr>
          <w:rFonts w:ascii="宋体" w:hAnsi="宋体" w:cs="宋体" w:eastAsia="宋体" w:hint="default"/>
          <w:spacing w:val="-5"/>
          <w:sz w:val="18"/>
          <w:szCs w:val="18"/>
        </w:rPr>
        <w:t>理中心（有限合伙）、潘建文、徐平华、章</w:t>
      </w:r>
      <w:r>
        <w:rPr>
          <w:rFonts w:ascii="宋体" w:hAnsi="宋体" w:cs="宋体" w:eastAsia="宋体" w:hint="default"/>
          <w:spacing w:val="-6"/>
          <w:sz w:val="18"/>
          <w:szCs w:val="18"/>
        </w:rPr>
        <w:t> </w:t>
      </w:r>
      <w:r>
        <w:rPr>
          <w:rFonts w:ascii="宋体" w:hAnsi="宋体" w:cs="宋体" w:eastAsia="宋体" w:hint="default"/>
          <w:sz w:val="18"/>
          <w:szCs w:val="18"/>
        </w:rPr>
        <w:t>期</w:t>
      </w:r>
      <w:r>
        <w:rPr>
          <w:rFonts w:ascii="宋体" w:hAnsi="宋体" w:cs="宋体" w:eastAsia="宋体" w:hint="default"/>
          <w:sz w:val="18"/>
          <w:szCs w:val="18"/>
        </w:rPr>
        <w:t> </w:t>
      </w:r>
      <w:r>
        <w:rPr>
          <w:rFonts w:ascii="宋体" w:hAnsi="宋体" w:cs="宋体" w:eastAsia="宋体" w:hint="default"/>
          <w:spacing w:val="-13"/>
          <w:sz w:val="18"/>
          <w:szCs w:val="18"/>
        </w:rPr>
        <w:t>剑、赵达峰、北京百团百利创业投资中心（有</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限合伙）</w:t>
      </w:r>
    </w:p>
    <w:p>
      <w:pPr>
        <w:spacing w:line="180" w:lineRule="exact" w:before="0"/>
        <w:ind w:left="131"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告</w:t>
      </w:r>
      <w:r>
        <w:rPr>
          <w:rFonts w:ascii="宋体" w:hAnsi="宋体" w:cs="宋体" w:eastAsia="宋体" w:hint="default"/>
          <w:spacing w:val="-81"/>
          <w:sz w:val="18"/>
          <w:szCs w:val="18"/>
        </w:rPr>
        <w:t>、</w:t>
      </w:r>
      <w:r>
        <w:rPr>
          <w:rFonts w:ascii="宋体" w:hAnsi="宋体" w:cs="宋体" w:eastAsia="宋体" w:hint="default"/>
          <w:sz w:val="18"/>
          <w:szCs w:val="18"/>
        </w:rPr>
        <w:t>影视版</w:t>
      </w:r>
      <w:r>
        <w:rPr>
          <w:rFonts w:ascii="宋体" w:hAnsi="宋体" w:cs="宋体" w:eastAsia="宋体" w:hint="default"/>
          <w:spacing w:val="-35"/>
          <w:sz w:val="18"/>
          <w:szCs w:val="18"/>
        </w:rPr>
        <w:t> </w:t>
      </w:r>
      <w:r>
        <w:rPr>
          <w:rFonts w:ascii="宋体" w:hAnsi="宋体" w:cs="宋体" w:eastAsia="宋体" w:hint="default"/>
          <w:sz w:val="18"/>
          <w:szCs w:val="18"/>
        </w:rPr>
        <w:t>收购已</w:t>
      </w:r>
    </w:p>
    <w:p>
      <w:pPr>
        <w:spacing w:before="77"/>
        <w:ind w:left="131" w:right="-19" w:firstLine="0"/>
        <w:jc w:val="left"/>
        <w:rPr>
          <w:rFonts w:ascii="宋体" w:hAnsi="宋体" w:cs="宋体" w:eastAsia="宋体" w:hint="default"/>
          <w:sz w:val="18"/>
          <w:szCs w:val="18"/>
        </w:rPr>
      </w:pPr>
      <w:r>
        <w:rPr>
          <w:rFonts w:ascii="宋体" w:hAnsi="宋体" w:cs="宋体" w:eastAsia="宋体" w:hint="default"/>
          <w:sz w:val="18"/>
          <w:szCs w:val="18"/>
        </w:rPr>
        <w:t>权</w:t>
      </w:r>
      <w:r>
        <w:rPr>
          <w:rFonts w:ascii="宋体" w:hAnsi="宋体" w:cs="宋体" w:eastAsia="宋体" w:hint="default"/>
          <w:spacing w:val="-81"/>
          <w:sz w:val="18"/>
          <w:szCs w:val="18"/>
        </w:rPr>
        <w:t>、</w:t>
      </w:r>
      <w:r>
        <w:rPr>
          <w:rFonts w:ascii="宋体" w:hAnsi="宋体" w:cs="宋体" w:eastAsia="宋体" w:hint="default"/>
          <w:sz w:val="18"/>
          <w:szCs w:val="18"/>
        </w:rPr>
        <w:t>艺术品</w:t>
      </w:r>
      <w:r>
        <w:rPr>
          <w:rFonts w:ascii="宋体" w:hAnsi="宋体" w:cs="宋体" w:eastAsia="宋体" w:hint="default"/>
          <w:spacing w:val="-35"/>
          <w:sz w:val="18"/>
          <w:szCs w:val="18"/>
        </w:rPr>
        <w:t> </w:t>
      </w:r>
      <w:r>
        <w:rPr>
          <w:rFonts w:ascii="宋体" w:hAnsi="宋体" w:cs="宋体" w:eastAsia="宋体" w:hint="default"/>
          <w:sz w:val="18"/>
          <w:szCs w:val="18"/>
        </w:rPr>
        <w:t>完成</w:t>
      </w:r>
    </w:p>
    <w:p>
      <w:pPr>
        <w:spacing w:line="194" w:lineRule="exact" w:before="0"/>
        <w:ind w:left="139" w:right="-14"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8,400,000.00   9,592,716.78</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否</w:t>
      </w:r>
    </w:p>
    <w:p>
      <w:pPr>
        <w:spacing w:line="194" w:lineRule="exact" w:before="0"/>
        <w:ind w:left="130" w:right="-20" w:firstLine="0"/>
        <w:jc w:val="left"/>
        <w:rPr>
          <w:rFonts w:ascii="Times New Roman" w:hAnsi="Times New Roman" w:cs="Times New Roman" w:eastAsia="Times New Roman" w:hint="default"/>
          <w:sz w:val="18"/>
          <w:szCs w:val="18"/>
        </w:rPr>
      </w:pPr>
      <w:r>
        <w:rPr/>
        <w:br w:type="column"/>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01</w:t>
      </w:r>
    </w:p>
    <w:p>
      <w:pPr>
        <w:spacing w:before="64"/>
        <w:ind w:left="130" w:right="-20" w:firstLine="0"/>
        <w:jc w:val="left"/>
        <w:rPr>
          <w:rFonts w:ascii="宋体" w:hAnsi="宋体" w:cs="宋体" w:eastAsia="宋体" w:hint="default"/>
          <w:sz w:val="18"/>
          <w:szCs w:val="18"/>
        </w:rPr>
      </w:pPr>
      <w:r>
        <w:rPr>
          <w:rFonts w:ascii="宋体" w:hAnsi="宋体" w:cs="宋体" w:eastAsia="宋体" w:hint="default"/>
          <w:sz w:val="18"/>
          <w:szCs w:val="18"/>
        </w:rPr>
        <w:t>日</w:t>
      </w:r>
    </w:p>
    <w:p>
      <w:pPr>
        <w:spacing w:before="101"/>
        <w:ind w:left="1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号公告</w:t>
      </w:r>
    </w:p>
    <w:p>
      <w:pPr>
        <w:spacing w:after="0"/>
        <w:jc w:val="left"/>
        <w:rPr>
          <w:rFonts w:ascii="宋体" w:hAnsi="宋体" w:cs="宋体" w:eastAsia="宋体" w:hint="default"/>
          <w:sz w:val="18"/>
          <w:szCs w:val="18"/>
        </w:rPr>
        <w:sectPr>
          <w:type w:val="continuous"/>
          <w:pgSz w:w="16840" w:h="11910" w:orient="landscape"/>
          <w:pgMar w:top="1060" w:bottom="1180" w:left="1300" w:right="1020"/>
          <w:cols w:num="8" w:equalWidth="0">
            <w:col w:w="1040" w:space="64"/>
            <w:col w:w="1195" w:space="40"/>
            <w:col w:w="2209" w:space="300"/>
            <w:col w:w="3731" w:space="40"/>
            <w:col w:w="1547" w:space="106"/>
            <w:col w:w="2422" w:space="40"/>
            <w:col w:w="731" w:space="40"/>
            <w:col w:w="1015"/>
          </w:cols>
        </w:sectPr>
      </w:pPr>
    </w:p>
    <w:p>
      <w:pPr>
        <w:spacing w:line="319" w:lineRule="auto" w:before="107"/>
        <w:ind w:left="139" w:right="0" w:firstLine="0"/>
        <w:jc w:val="both"/>
        <w:rPr>
          <w:rFonts w:ascii="宋体" w:hAnsi="宋体" w:cs="宋体" w:eastAsia="宋体" w:hint="default"/>
          <w:sz w:val="18"/>
          <w:szCs w:val="18"/>
        </w:rPr>
      </w:pPr>
      <w:r>
        <w:rPr>
          <w:rFonts w:ascii="宋体" w:hAnsi="宋体" w:cs="宋体" w:eastAsia="宋体" w:hint="default"/>
          <w:sz w:val="18"/>
          <w:szCs w:val="18"/>
        </w:rPr>
        <w:t>杭州华创全 媒科创园区 管理有限公 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14"/>
          <w:szCs w:val="14"/>
        </w:rPr>
      </w:pPr>
    </w:p>
    <w:p>
      <w:pPr>
        <w:tabs>
          <w:tab w:pos="1014" w:val="left" w:leader="none"/>
        </w:tabs>
        <w:spacing w:line="319" w:lineRule="auto" w:before="0"/>
        <w:ind w:left="139" w:right="0" w:firstLine="0"/>
        <w:jc w:val="left"/>
        <w:rPr>
          <w:rFonts w:ascii="宋体" w:hAnsi="宋体" w:cs="宋体" w:eastAsia="宋体" w:hint="default"/>
          <w:sz w:val="18"/>
          <w:szCs w:val="18"/>
        </w:rPr>
      </w:pPr>
      <w:r>
        <w:rPr>
          <w:rFonts w:ascii="宋体" w:hAnsi="宋体" w:cs="宋体" w:eastAsia="宋体" w:hint="default"/>
          <w:sz w:val="18"/>
          <w:szCs w:val="18"/>
        </w:rPr>
        <w:t>园区物业</w:t>
      </w:r>
      <w:r>
        <w:rPr>
          <w:rFonts w:ascii="宋体" w:hAnsi="宋体" w:cs="宋体" w:eastAsia="宋体" w:hint="default"/>
          <w:spacing w:val="64"/>
          <w:sz w:val="18"/>
          <w:szCs w:val="18"/>
        </w:rPr>
        <w:t> </w:t>
      </w:r>
      <w:r>
        <w:rPr>
          <w:rFonts w:ascii="宋体" w:hAnsi="宋体" w:cs="宋体" w:eastAsia="宋体" w:hint="default"/>
          <w:sz w:val="18"/>
          <w:szCs w:val="18"/>
        </w:rPr>
        <w:t>新</w:t>
      </w:r>
      <w:r>
        <w:rPr>
          <w:rFonts w:ascii="宋体" w:hAnsi="宋体" w:cs="宋体" w:eastAsia="宋体" w:hint="default"/>
          <w:sz w:val="18"/>
          <w:szCs w:val="18"/>
        </w:rPr>
        <w:t> 管理</w:t>
        <w:tab/>
        <w:t>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44"/>
        <w:ind w:left="139" w:right="-17" w:firstLine="0"/>
        <w:jc w:val="left"/>
        <w:rPr>
          <w:rFonts w:ascii="Times New Roman" w:hAnsi="Times New Roman" w:cs="Times New Roman" w:eastAsia="Times New Roman" w:hint="default"/>
          <w:sz w:val="18"/>
          <w:szCs w:val="18"/>
        </w:rPr>
      </w:pPr>
      <w:r>
        <w:rPr>
          <w:rFonts w:ascii="Times New Roman"/>
          <w:sz w:val="18"/>
        </w:rPr>
        <w:t>4,000,000.00  </w:t>
      </w:r>
      <w:r>
        <w:rPr>
          <w:rFonts w:ascii="Times New Roman"/>
          <w:spacing w:val="24"/>
          <w:sz w:val="18"/>
        </w:rPr>
        <w:t> </w:t>
      </w:r>
      <w:r>
        <w:rPr>
          <w:rFonts w:ascii="Times New Roman"/>
          <w:sz w:val="18"/>
        </w:rPr>
        <w:t>40.00%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6"/>
        <w:rPr>
          <w:rFonts w:ascii="Times New Roman" w:hAnsi="Times New Roman" w:cs="Times New Roman" w:eastAsia="Times New Roman" w:hint="default"/>
          <w:sz w:val="18"/>
          <w:szCs w:val="18"/>
        </w:rPr>
      </w:pPr>
    </w:p>
    <w:p>
      <w:pPr>
        <w:spacing w:line="319" w:lineRule="auto" w:before="0"/>
        <w:ind w:left="14" w:right="-20" w:firstLine="0"/>
        <w:jc w:val="left"/>
        <w:rPr>
          <w:rFonts w:ascii="宋体" w:hAnsi="宋体" w:cs="宋体" w:eastAsia="宋体" w:hint="default"/>
          <w:sz w:val="18"/>
          <w:szCs w:val="18"/>
        </w:rPr>
      </w:pPr>
      <w:r>
        <w:rPr>
          <w:rFonts w:ascii="宋体" w:hAnsi="宋体" w:cs="宋体" w:eastAsia="宋体" w:hint="default"/>
          <w:sz w:val="18"/>
          <w:szCs w:val="18"/>
        </w:rPr>
        <w:t>自有资 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3"/>
        <w:rPr>
          <w:rFonts w:ascii="宋体" w:hAnsi="宋体" w:cs="宋体" w:eastAsia="宋体" w:hint="default"/>
          <w:sz w:val="25"/>
          <w:szCs w:val="25"/>
        </w:rPr>
      </w:pPr>
    </w:p>
    <w:p>
      <w:pPr>
        <w:spacing w:before="0"/>
        <w:ind w:left="40" w:right="-20" w:firstLine="0"/>
        <w:jc w:val="left"/>
        <w:rPr>
          <w:rFonts w:ascii="宋体" w:hAnsi="宋体" w:cs="宋体" w:eastAsia="宋体" w:hint="default"/>
          <w:sz w:val="18"/>
          <w:szCs w:val="18"/>
        </w:rPr>
      </w:pPr>
      <w:r>
        <w:rPr>
          <w:rFonts w:ascii="宋体" w:hAnsi="宋体" w:cs="宋体" w:eastAsia="宋体" w:hint="default"/>
          <w:sz w:val="18"/>
          <w:szCs w:val="18"/>
        </w:rPr>
        <w:t>浙江文创控股集团有限公司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14"/>
          <w:szCs w:val="14"/>
        </w:rPr>
      </w:pPr>
    </w:p>
    <w:p>
      <w:pPr>
        <w:tabs>
          <w:tab w:pos="1366" w:val="left" w:leader="none"/>
        </w:tabs>
        <w:spacing w:line="196" w:lineRule="exact" w:before="0"/>
        <w:ind w:left="139" w:right="-20" w:firstLine="0"/>
        <w:jc w:val="left"/>
        <w:rPr>
          <w:rFonts w:ascii="宋体" w:hAnsi="宋体" w:cs="宋体" w:eastAsia="宋体" w:hint="default"/>
          <w:sz w:val="18"/>
          <w:szCs w:val="18"/>
        </w:rPr>
      </w:pPr>
      <w:r>
        <w:rPr>
          <w:rFonts w:ascii="宋体" w:hAnsi="宋体" w:cs="宋体" w:eastAsia="宋体" w:hint="default"/>
          <w:sz w:val="18"/>
          <w:szCs w:val="18"/>
        </w:rPr>
        <w:t>长</w:t>
        <w:tab/>
        <w:t>公司成</w:t>
      </w:r>
    </w:p>
    <w:p>
      <w:pPr>
        <w:spacing w:line="157" w:lineRule="exact" w:before="0"/>
        <w:ind w:left="491" w:right="-20" w:firstLine="0"/>
        <w:jc w:val="left"/>
        <w:rPr>
          <w:rFonts w:ascii="宋体" w:hAnsi="宋体" w:cs="宋体" w:eastAsia="宋体" w:hint="default"/>
          <w:sz w:val="18"/>
          <w:szCs w:val="18"/>
        </w:rPr>
      </w:pPr>
      <w:r>
        <w:rPr>
          <w:rFonts w:ascii="宋体" w:hAnsi="宋体" w:cs="宋体" w:eastAsia="宋体" w:hint="default"/>
          <w:sz w:val="18"/>
          <w:szCs w:val="18"/>
        </w:rPr>
        <w:t>服务</w:t>
      </w:r>
    </w:p>
    <w:p>
      <w:pPr>
        <w:tabs>
          <w:tab w:pos="1366" w:val="left" w:leader="none"/>
        </w:tabs>
        <w:spacing w:line="196" w:lineRule="exact" w:before="0"/>
        <w:ind w:left="139" w:right="-20" w:firstLine="0"/>
        <w:jc w:val="left"/>
        <w:rPr>
          <w:rFonts w:ascii="宋体" w:hAnsi="宋体" w:cs="宋体" w:eastAsia="宋体" w:hint="default"/>
          <w:sz w:val="18"/>
          <w:szCs w:val="18"/>
        </w:rPr>
      </w:pPr>
      <w:r>
        <w:rPr>
          <w:rFonts w:ascii="宋体" w:hAnsi="宋体" w:cs="宋体" w:eastAsia="宋体" w:hint="default"/>
          <w:sz w:val="18"/>
          <w:szCs w:val="18"/>
        </w:rPr>
        <w:t>期</w:t>
        <w:tab/>
        <w:t>立</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3"/>
        <w:rPr>
          <w:rFonts w:ascii="宋体" w:hAnsi="宋体" w:cs="宋体" w:eastAsia="宋体" w:hint="default"/>
          <w:sz w:val="25"/>
          <w:szCs w:val="25"/>
        </w:rPr>
      </w:pPr>
    </w:p>
    <w:p>
      <w:pPr>
        <w:tabs>
          <w:tab w:pos="684" w:val="left" w:leader="none"/>
        </w:tabs>
        <w:spacing w:before="0"/>
        <w:ind w:left="139"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0.00</w:t>
        <w:tab/>
        <w:t>-106,406.57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0"/>
          <w:szCs w:val="20"/>
        </w:rPr>
      </w:pPr>
      <w:r>
        <w:rPr/>
        <w:br w:type="column"/>
      </w:r>
      <w:r>
        <w:rPr>
          <w:rFonts w:ascii="宋体"/>
          <w:sz w:val="20"/>
        </w:rPr>
      </w:r>
    </w:p>
    <w:p>
      <w:pPr>
        <w:spacing w:before="0"/>
        <w:ind w:left="130" w:right="-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before="63"/>
        <w:ind w:left="130" w:right="-2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15</w:t>
      </w:r>
    </w:p>
    <w:p>
      <w:pPr>
        <w:spacing w:before="64"/>
        <w:ind w:left="130" w:right="-20" w:firstLine="0"/>
        <w:jc w:val="left"/>
        <w:rPr>
          <w:rFonts w:ascii="宋体" w:hAnsi="宋体" w:cs="宋体" w:eastAsia="宋体" w:hint="default"/>
          <w:sz w:val="18"/>
          <w:szCs w:val="18"/>
        </w:rPr>
      </w:pP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17"/>
          <w:szCs w:val="17"/>
        </w:rPr>
      </w:pPr>
    </w:p>
    <w:p>
      <w:pPr>
        <w:spacing w:before="0"/>
        <w:ind w:left="15" w:right="0" w:firstLine="0"/>
        <w:jc w:val="left"/>
        <w:rPr>
          <w:rFonts w:ascii="Times New Roman" w:hAnsi="Times New Roman" w:cs="Times New Roman" w:eastAsia="Times New Roman" w:hint="default"/>
          <w:sz w:val="18"/>
          <w:szCs w:val="18"/>
        </w:rPr>
      </w:pPr>
      <w:r>
        <w:rPr>
          <w:rFonts w:ascii="Times New Roman"/>
          <w:sz w:val="18"/>
        </w:rPr>
        <w:t>2015-068</w:t>
      </w:r>
    </w:p>
    <w:p>
      <w:pPr>
        <w:spacing w:before="66"/>
        <w:ind w:left="15" w:right="0" w:firstLine="0"/>
        <w:jc w:val="left"/>
        <w:rPr>
          <w:rFonts w:ascii="宋体" w:hAnsi="宋体" w:cs="宋体" w:eastAsia="宋体" w:hint="default"/>
          <w:sz w:val="18"/>
          <w:szCs w:val="18"/>
        </w:rPr>
      </w:pPr>
      <w:r>
        <w:rPr>
          <w:rFonts w:ascii="宋体" w:hAnsi="宋体" w:cs="宋体" w:eastAsia="宋体" w:hint="default"/>
          <w:sz w:val="18"/>
          <w:szCs w:val="18"/>
        </w:rPr>
        <w:t>号公告</w:t>
      </w:r>
    </w:p>
    <w:p>
      <w:pPr>
        <w:spacing w:after="0"/>
        <w:jc w:val="left"/>
        <w:rPr>
          <w:rFonts w:ascii="宋体" w:hAnsi="宋体" w:cs="宋体" w:eastAsia="宋体" w:hint="default"/>
          <w:sz w:val="18"/>
          <w:szCs w:val="18"/>
        </w:rPr>
        <w:sectPr>
          <w:type w:val="continuous"/>
          <w:pgSz w:w="16840" w:h="11910" w:orient="landscape"/>
          <w:pgMar w:top="1060" w:bottom="1180" w:left="1300" w:right="1020"/>
          <w:cols w:num="9" w:equalWidth="0">
            <w:col w:w="1040" w:space="64"/>
            <w:col w:w="1195" w:space="212"/>
            <w:col w:w="1802" w:space="40"/>
            <w:col w:w="555" w:space="40"/>
            <w:col w:w="2201" w:space="1110"/>
            <w:col w:w="1907" w:space="736"/>
            <w:col w:w="1792" w:space="40"/>
            <w:col w:w="731" w:space="40"/>
            <w:col w:w="1015"/>
          </w:cols>
        </w:sectPr>
      </w:pPr>
    </w:p>
    <w:p>
      <w:pPr>
        <w:spacing w:line="240" w:lineRule="auto" w:before="0"/>
        <w:rPr>
          <w:rFonts w:ascii="宋体" w:hAnsi="宋体" w:cs="宋体" w:eastAsia="宋体" w:hint="default"/>
          <w:sz w:val="20"/>
          <w:szCs w:val="20"/>
        </w:rPr>
      </w:pPr>
    </w:p>
    <w:p>
      <w:pPr>
        <w:spacing w:line="196" w:lineRule="exact" w:before="0"/>
        <w:ind w:left="139" w:right="0" w:firstLine="0"/>
        <w:jc w:val="left"/>
        <w:rPr>
          <w:rFonts w:ascii="宋体" w:hAnsi="宋体" w:cs="宋体" w:eastAsia="宋体" w:hint="default"/>
          <w:sz w:val="18"/>
          <w:szCs w:val="18"/>
        </w:rPr>
      </w:pPr>
      <w:r>
        <w:rPr>
          <w:rFonts w:ascii="宋体" w:hAnsi="宋体" w:cs="宋体" w:eastAsia="宋体" w:hint="default"/>
          <w:sz w:val="18"/>
          <w:szCs w:val="18"/>
        </w:rPr>
        <w:t>浙江华媒投</w:t>
      </w:r>
    </w:p>
    <w:p>
      <w:pPr>
        <w:spacing w:line="157"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投资</w:t>
      </w:r>
    </w:p>
    <w:p>
      <w:pPr>
        <w:spacing w:line="196" w:lineRule="exact" w:before="0"/>
        <w:ind w:left="139" w:right="0" w:firstLine="0"/>
        <w:jc w:val="left"/>
        <w:rPr>
          <w:rFonts w:ascii="宋体" w:hAnsi="宋体" w:cs="宋体" w:eastAsia="宋体" w:hint="default"/>
          <w:sz w:val="18"/>
          <w:szCs w:val="18"/>
        </w:rPr>
      </w:pPr>
      <w:r>
        <w:rPr>
          <w:rFonts w:ascii="宋体" w:hAnsi="宋体" w:cs="宋体" w:eastAsia="宋体" w:hint="default"/>
          <w:sz w:val="18"/>
          <w:szCs w:val="18"/>
        </w:rPr>
        <w:t>资有限公司</w:t>
      </w:r>
    </w:p>
    <w:p>
      <w:pPr>
        <w:spacing w:line="240" w:lineRule="auto" w:before="0"/>
        <w:rPr>
          <w:rFonts w:ascii="宋体" w:hAnsi="宋体" w:cs="宋体" w:eastAsia="宋体" w:hint="default"/>
          <w:sz w:val="20"/>
          <w:szCs w:val="20"/>
        </w:rPr>
      </w:pPr>
      <w:r>
        <w:rPr/>
        <w:br w:type="column"/>
      </w:r>
      <w:r>
        <w:rPr>
          <w:rFonts w:ascii="宋体"/>
          <w:sz w:val="20"/>
        </w:rPr>
      </w:r>
    </w:p>
    <w:p>
      <w:pPr>
        <w:spacing w:line="216" w:lineRule="exact" w:before="0"/>
        <w:ind w:left="139" w:right="-16" w:firstLine="0"/>
        <w:jc w:val="left"/>
        <w:rPr>
          <w:rFonts w:ascii="宋体" w:hAnsi="宋体" w:cs="宋体" w:eastAsia="宋体" w:hint="default"/>
          <w:sz w:val="18"/>
          <w:szCs w:val="18"/>
        </w:rPr>
      </w:pPr>
      <w:r>
        <w:rPr>
          <w:rFonts w:ascii="宋体" w:hAnsi="宋体" w:cs="宋体" w:eastAsia="宋体" w:hint="default"/>
          <w:sz w:val="18"/>
          <w:szCs w:val="18"/>
        </w:rPr>
        <w:t>新</w:t>
      </w:r>
    </w:p>
    <w:p>
      <w:pPr>
        <w:spacing w:line="142" w:lineRule="exact" w:before="0"/>
        <w:ind w:left="492" w:right="-16" w:firstLine="0"/>
        <w:jc w:val="left"/>
        <w:rPr>
          <w:rFonts w:ascii="Times New Roman" w:hAnsi="Times New Roman" w:cs="Times New Roman" w:eastAsia="Times New Roman" w:hint="default"/>
          <w:sz w:val="18"/>
          <w:szCs w:val="18"/>
        </w:rPr>
      </w:pPr>
      <w:r>
        <w:rPr>
          <w:rFonts w:ascii="Times New Roman"/>
          <w:sz w:val="18"/>
        </w:rPr>
        <w:t>100,000,000.00</w:t>
      </w:r>
      <w:r>
        <w:rPr>
          <w:rFonts w:ascii="Times New Roman"/>
          <w:spacing w:val="23"/>
          <w:sz w:val="18"/>
        </w:rPr>
        <w:t> </w:t>
      </w:r>
      <w:r>
        <w:rPr>
          <w:rFonts w:ascii="Times New Roman"/>
          <w:sz w:val="18"/>
        </w:rPr>
        <w:t>100.00%</w:t>
      </w:r>
    </w:p>
    <w:p>
      <w:pPr>
        <w:spacing w:line="191" w:lineRule="exact" w:before="0"/>
        <w:ind w:left="139" w:right="-16" w:firstLine="0"/>
        <w:jc w:val="left"/>
        <w:rPr>
          <w:rFonts w:ascii="宋体" w:hAnsi="宋体" w:cs="宋体" w:eastAsia="宋体" w:hint="default"/>
          <w:sz w:val="18"/>
          <w:szCs w:val="18"/>
        </w:rPr>
      </w:pPr>
      <w:r>
        <w:rPr>
          <w:rFonts w:ascii="宋体" w:hAnsi="宋体" w:cs="宋体" w:eastAsia="宋体" w:hint="default"/>
          <w:sz w:val="18"/>
          <w:szCs w:val="18"/>
        </w:rPr>
        <w:t>设</w:t>
      </w:r>
    </w:p>
    <w:p>
      <w:pPr>
        <w:spacing w:line="240" w:lineRule="auto" w:before="0"/>
        <w:rPr>
          <w:rFonts w:ascii="宋体" w:hAnsi="宋体" w:cs="宋体" w:eastAsia="宋体" w:hint="default"/>
          <w:sz w:val="20"/>
          <w:szCs w:val="20"/>
        </w:rPr>
      </w:pPr>
      <w:r>
        <w:rPr/>
        <w:br w:type="column"/>
      </w:r>
      <w:r>
        <w:rPr>
          <w:rFonts w:ascii="宋体"/>
          <w:sz w:val="20"/>
        </w:rPr>
      </w:r>
    </w:p>
    <w:p>
      <w:pPr>
        <w:spacing w:line="196" w:lineRule="exact" w:before="0"/>
        <w:ind w:left="14" w:right="0" w:firstLine="0"/>
        <w:jc w:val="left"/>
        <w:rPr>
          <w:rFonts w:ascii="宋体" w:hAnsi="宋体" w:cs="宋体" w:eastAsia="宋体" w:hint="default"/>
          <w:sz w:val="18"/>
          <w:szCs w:val="18"/>
        </w:rPr>
      </w:pPr>
      <w:r>
        <w:rPr>
          <w:rFonts w:ascii="宋体" w:hAnsi="宋体" w:cs="宋体" w:eastAsia="宋体" w:hint="default"/>
          <w:sz w:val="18"/>
          <w:szCs w:val="18"/>
        </w:rPr>
        <w:t>自有资</w:t>
      </w:r>
    </w:p>
    <w:p>
      <w:pPr>
        <w:spacing w:line="157"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无</w:t>
      </w:r>
    </w:p>
    <w:p>
      <w:pPr>
        <w:spacing w:line="196" w:lineRule="exact" w:before="0"/>
        <w:ind w:left="14" w:right="0" w:firstLine="0"/>
        <w:jc w:val="left"/>
        <w:rPr>
          <w:rFonts w:ascii="宋体" w:hAnsi="宋体" w:cs="宋体" w:eastAsia="宋体" w:hint="default"/>
          <w:sz w:val="18"/>
          <w:szCs w:val="18"/>
        </w:rPr>
      </w:pPr>
      <w:r>
        <w:rPr>
          <w:rFonts w:ascii="宋体" w:hAnsi="宋体" w:cs="宋体" w:eastAsia="宋体" w:hint="default"/>
          <w:sz w:val="18"/>
          <w:szCs w:val="18"/>
        </w:rPr>
        <w:t>金</w:t>
      </w:r>
    </w:p>
    <w:p>
      <w:pPr>
        <w:spacing w:line="240" w:lineRule="auto" w:before="0"/>
        <w:rPr>
          <w:rFonts w:ascii="宋体" w:hAnsi="宋体" w:cs="宋体" w:eastAsia="宋体" w:hint="default"/>
          <w:sz w:val="20"/>
          <w:szCs w:val="20"/>
        </w:rPr>
      </w:pPr>
      <w:r>
        <w:rPr/>
        <w:br w:type="column"/>
      </w:r>
      <w:r>
        <w:rPr>
          <w:rFonts w:ascii="宋体"/>
          <w:sz w:val="20"/>
        </w:rPr>
      </w:r>
    </w:p>
    <w:p>
      <w:pPr>
        <w:tabs>
          <w:tab w:pos="1366" w:val="left" w:leader="none"/>
        </w:tabs>
        <w:spacing w:line="196" w:lineRule="exact" w:before="0"/>
        <w:ind w:left="139" w:right="-20" w:firstLine="0"/>
        <w:jc w:val="left"/>
        <w:rPr>
          <w:rFonts w:ascii="宋体" w:hAnsi="宋体" w:cs="宋体" w:eastAsia="宋体" w:hint="default"/>
          <w:sz w:val="18"/>
          <w:szCs w:val="18"/>
        </w:rPr>
      </w:pPr>
      <w:r>
        <w:rPr>
          <w:rFonts w:ascii="宋体" w:hAnsi="宋体" w:cs="宋体" w:eastAsia="宋体" w:hint="default"/>
          <w:sz w:val="18"/>
          <w:szCs w:val="18"/>
        </w:rPr>
        <w:t>长</w:t>
        <w:tab/>
        <w:t>公司成</w:t>
      </w:r>
    </w:p>
    <w:p>
      <w:pPr>
        <w:spacing w:line="157" w:lineRule="exact" w:before="0"/>
        <w:ind w:left="491" w:right="-20" w:firstLine="0"/>
        <w:jc w:val="left"/>
        <w:rPr>
          <w:rFonts w:ascii="宋体" w:hAnsi="宋体" w:cs="宋体" w:eastAsia="宋体" w:hint="default"/>
          <w:sz w:val="18"/>
          <w:szCs w:val="18"/>
        </w:rPr>
      </w:pPr>
      <w:r>
        <w:rPr>
          <w:rFonts w:ascii="宋体" w:hAnsi="宋体" w:cs="宋体" w:eastAsia="宋体" w:hint="default"/>
          <w:sz w:val="18"/>
          <w:szCs w:val="18"/>
        </w:rPr>
        <w:t>投资</w:t>
      </w:r>
    </w:p>
    <w:p>
      <w:pPr>
        <w:tabs>
          <w:tab w:pos="1366" w:val="left" w:leader="none"/>
        </w:tabs>
        <w:spacing w:line="196" w:lineRule="exact" w:before="0"/>
        <w:ind w:left="139" w:right="-20" w:firstLine="0"/>
        <w:jc w:val="left"/>
        <w:rPr>
          <w:rFonts w:ascii="宋体" w:hAnsi="宋体" w:cs="宋体" w:eastAsia="宋体" w:hint="default"/>
          <w:sz w:val="18"/>
          <w:szCs w:val="18"/>
        </w:rPr>
      </w:pPr>
      <w:r>
        <w:rPr>
          <w:rFonts w:ascii="宋体" w:hAnsi="宋体" w:cs="宋体" w:eastAsia="宋体" w:hint="default"/>
          <w:sz w:val="18"/>
          <w:szCs w:val="18"/>
        </w:rPr>
        <w:t>期</w:t>
        <w:tab/>
        <w:t>立</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3"/>
          <w:szCs w:val="13"/>
        </w:rPr>
      </w:pPr>
    </w:p>
    <w:p>
      <w:pPr>
        <w:tabs>
          <w:tab w:pos="1060" w:val="left" w:leader="none"/>
        </w:tabs>
        <w:spacing w:before="0"/>
        <w:ind w:left="139"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0.00</w:t>
        <w:tab/>
        <w:t>526.25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否</w:t>
      </w:r>
    </w:p>
    <w:p>
      <w:pPr>
        <w:spacing w:before="106"/>
        <w:ind w:left="130" w:right="-4"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before="63"/>
        <w:ind w:left="130" w:right="-2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10</w:t>
      </w:r>
    </w:p>
    <w:p>
      <w:pPr>
        <w:spacing w:before="64"/>
        <w:ind w:left="130" w:right="-20" w:firstLine="0"/>
        <w:jc w:val="left"/>
        <w:rPr>
          <w:rFonts w:ascii="宋体" w:hAnsi="宋体" w:cs="宋体" w:eastAsia="宋体" w:hint="default"/>
          <w:sz w:val="18"/>
          <w:szCs w:val="18"/>
        </w:rPr>
      </w:pPr>
      <w:r>
        <w:rPr>
          <w:rFonts w:ascii="宋体" w:hAnsi="宋体" w:cs="宋体" w:eastAsia="宋体" w:hint="default"/>
          <w:sz w:val="18"/>
          <w:szCs w:val="18"/>
        </w:rPr>
        <w:t>日</w:t>
      </w:r>
    </w:p>
    <w:p>
      <w:pPr>
        <w:spacing w:line="240" w:lineRule="auto" w:before="1"/>
        <w:rPr>
          <w:rFonts w:ascii="宋体" w:hAnsi="宋体" w:cs="宋体" w:eastAsia="宋体" w:hint="default"/>
          <w:sz w:val="23"/>
          <w:szCs w:val="23"/>
        </w:rPr>
      </w:pPr>
      <w:r>
        <w:rPr/>
        <w:br w:type="column"/>
      </w:r>
      <w:r>
        <w:rPr>
          <w:rFonts w:ascii="宋体"/>
          <w:sz w:val="23"/>
        </w:rPr>
      </w:r>
    </w:p>
    <w:p>
      <w:pPr>
        <w:spacing w:before="0"/>
        <w:ind w:left="15" w:right="0" w:firstLine="0"/>
        <w:jc w:val="left"/>
        <w:rPr>
          <w:rFonts w:ascii="Times New Roman" w:hAnsi="Times New Roman" w:cs="Times New Roman" w:eastAsia="Times New Roman" w:hint="default"/>
          <w:sz w:val="18"/>
          <w:szCs w:val="18"/>
        </w:rPr>
      </w:pPr>
      <w:r>
        <w:rPr>
          <w:rFonts w:ascii="Times New Roman"/>
          <w:sz w:val="18"/>
        </w:rPr>
        <w:t>2015-083</w:t>
      </w:r>
    </w:p>
    <w:p>
      <w:pPr>
        <w:spacing w:before="66"/>
        <w:ind w:left="15" w:right="0" w:firstLine="0"/>
        <w:jc w:val="left"/>
        <w:rPr>
          <w:rFonts w:ascii="宋体" w:hAnsi="宋体" w:cs="宋体" w:eastAsia="宋体" w:hint="default"/>
          <w:sz w:val="18"/>
          <w:szCs w:val="18"/>
        </w:rPr>
      </w:pPr>
      <w:r>
        <w:rPr>
          <w:rFonts w:ascii="宋体" w:hAnsi="宋体" w:cs="宋体" w:eastAsia="宋体" w:hint="default"/>
          <w:sz w:val="18"/>
          <w:szCs w:val="18"/>
        </w:rPr>
        <w:t>号公告</w:t>
      </w:r>
    </w:p>
    <w:p>
      <w:pPr>
        <w:spacing w:after="0"/>
        <w:jc w:val="left"/>
        <w:rPr>
          <w:rFonts w:ascii="宋体" w:hAnsi="宋体" w:cs="宋体" w:eastAsia="宋体" w:hint="default"/>
          <w:sz w:val="18"/>
          <w:szCs w:val="18"/>
        </w:rPr>
        <w:sectPr>
          <w:type w:val="continuous"/>
          <w:pgSz w:w="16840" w:h="11910" w:orient="landscape"/>
          <w:pgMar w:top="1060" w:bottom="1180" w:left="1300" w:right="1020"/>
          <w:cols w:num="7" w:equalWidth="0">
            <w:col w:w="1604" w:space="374"/>
            <w:col w:w="2335" w:space="40"/>
            <w:col w:w="815" w:space="3090"/>
            <w:col w:w="1907" w:space="736"/>
            <w:col w:w="1792" w:space="40"/>
            <w:col w:w="731" w:space="40"/>
            <w:col w:w="1016"/>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6840" w:h="11910" w:orient="landscape"/>
          <w:pgMar w:top="1060" w:bottom="1180" w:left="1300" w:right="1020"/>
        </w:sectPr>
      </w:pPr>
    </w:p>
    <w:p>
      <w:pPr>
        <w:tabs>
          <w:tab w:pos="1243" w:val="left" w:leader="none"/>
        </w:tabs>
        <w:spacing w:line="312" w:lineRule="exact" w:before="5"/>
        <w:ind w:left="139" w:right="0" w:firstLine="0"/>
        <w:jc w:val="left"/>
        <w:rPr>
          <w:rFonts w:ascii="宋体" w:hAnsi="宋体" w:cs="宋体" w:eastAsia="宋体" w:hint="default"/>
          <w:sz w:val="18"/>
          <w:szCs w:val="18"/>
        </w:rPr>
      </w:pPr>
      <w:r>
        <w:rPr>
          <w:rFonts w:ascii="宋体" w:hAnsi="宋体" w:cs="宋体" w:eastAsia="宋体" w:hint="default"/>
          <w:sz w:val="18"/>
          <w:szCs w:val="18"/>
        </w:rPr>
        <w:t>浙江华媒信 息传播有限</w:t>
        <w:tab/>
        <w:t>视频</w:t>
      </w:r>
    </w:p>
    <w:p>
      <w:pPr>
        <w:spacing w:line="240" w:lineRule="auto" w:before="4"/>
        <w:rPr>
          <w:rFonts w:ascii="宋体" w:hAnsi="宋体" w:cs="宋体" w:eastAsia="宋体" w:hint="default"/>
          <w:sz w:val="15"/>
          <w:szCs w:val="15"/>
        </w:rPr>
      </w:pPr>
      <w:r>
        <w:rPr/>
        <w:br w:type="column"/>
      </w:r>
      <w:r>
        <w:rPr>
          <w:rFonts w:ascii="宋体"/>
          <w:sz w:val="15"/>
        </w:rPr>
      </w:r>
    </w:p>
    <w:p>
      <w:pPr>
        <w:spacing w:line="216" w:lineRule="exact" w:before="0"/>
        <w:ind w:left="139" w:right="-17" w:firstLine="0"/>
        <w:jc w:val="left"/>
        <w:rPr>
          <w:rFonts w:ascii="宋体" w:hAnsi="宋体" w:cs="宋体" w:eastAsia="宋体" w:hint="default"/>
          <w:sz w:val="18"/>
          <w:szCs w:val="18"/>
        </w:rPr>
      </w:pPr>
      <w:r>
        <w:rPr>
          <w:rFonts w:ascii="宋体" w:hAnsi="宋体" w:cs="宋体" w:eastAsia="宋体" w:hint="default"/>
          <w:sz w:val="18"/>
          <w:szCs w:val="18"/>
        </w:rPr>
        <w:t>新</w:t>
      </w:r>
    </w:p>
    <w:p>
      <w:pPr>
        <w:spacing w:line="153" w:lineRule="exact" w:before="0"/>
        <w:ind w:left="582" w:right="-17" w:firstLine="0"/>
        <w:jc w:val="left"/>
        <w:rPr>
          <w:rFonts w:ascii="Times New Roman" w:hAnsi="Times New Roman" w:cs="Times New Roman" w:eastAsia="Times New Roman" w:hint="default"/>
          <w:sz w:val="18"/>
          <w:szCs w:val="18"/>
        </w:rPr>
      </w:pPr>
      <w:r>
        <w:rPr>
          <w:rFonts w:ascii="Times New Roman"/>
          <w:sz w:val="18"/>
        </w:rPr>
        <w:t>51,000,000.00  </w:t>
      </w:r>
      <w:r>
        <w:rPr>
          <w:rFonts w:ascii="Times New Roman"/>
          <w:spacing w:val="24"/>
          <w:sz w:val="18"/>
        </w:rPr>
        <w:t> </w:t>
      </w:r>
      <w:r>
        <w:rPr>
          <w:rFonts w:ascii="Times New Roman"/>
          <w:sz w:val="18"/>
        </w:rPr>
        <w:t>51.00%</w:t>
      </w:r>
    </w:p>
    <w:p>
      <w:pPr>
        <w:spacing w:line="240" w:lineRule="auto" w:before="5"/>
        <w:rPr>
          <w:rFonts w:ascii="Times New Roman" w:hAnsi="Times New Roman" w:cs="Times New Roman" w:eastAsia="Times New Roman" w:hint="default"/>
          <w:sz w:val="17"/>
          <w:szCs w:val="17"/>
        </w:rPr>
      </w:pPr>
      <w:r>
        <w:rPr/>
        <w:br w:type="column"/>
      </w:r>
      <w:r>
        <w:rPr>
          <w:rFonts w:ascii="Times New Roman"/>
          <w:sz w:val="17"/>
        </w:rPr>
      </w:r>
    </w:p>
    <w:p>
      <w:pPr>
        <w:spacing w:line="196" w:lineRule="exact" w:before="0"/>
        <w:ind w:left="14" w:right="0" w:firstLine="0"/>
        <w:jc w:val="left"/>
        <w:rPr>
          <w:rFonts w:ascii="宋体" w:hAnsi="宋体" w:cs="宋体" w:eastAsia="宋体" w:hint="default"/>
          <w:sz w:val="18"/>
          <w:szCs w:val="18"/>
        </w:rPr>
      </w:pPr>
      <w:r>
        <w:rPr>
          <w:rFonts w:ascii="宋体" w:hAnsi="宋体" w:cs="宋体" w:eastAsia="宋体" w:hint="default"/>
          <w:sz w:val="18"/>
          <w:szCs w:val="18"/>
        </w:rPr>
        <w:t>自有资</w:t>
      </w:r>
      <w:r>
        <w:rPr>
          <w:rFonts w:ascii="宋体" w:hAnsi="宋体" w:cs="宋体" w:eastAsia="宋体" w:hint="default"/>
          <w:spacing w:val="-10"/>
          <w:sz w:val="18"/>
          <w:szCs w:val="18"/>
        </w:rPr>
        <w:t> </w:t>
      </w:r>
      <w:r>
        <w:rPr>
          <w:rFonts w:ascii="宋体" w:hAnsi="宋体" w:cs="宋体" w:eastAsia="宋体" w:hint="default"/>
          <w:sz w:val="18"/>
          <w:szCs w:val="18"/>
        </w:rPr>
        <w:t>舟山泽创投资合伙企业（有限合伙</w:t>
      </w:r>
      <w:r>
        <w:rPr>
          <w:rFonts w:ascii="宋体" w:hAnsi="宋体" w:cs="宋体" w:eastAsia="宋体" w:hint="default"/>
          <w:spacing w:val="-90"/>
          <w:sz w:val="18"/>
          <w:szCs w:val="18"/>
        </w:rPr>
        <w:t>）</w:t>
      </w:r>
      <w:r>
        <w:rPr>
          <w:rFonts w:ascii="宋体" w:hAnsi="宋体" w:cs="宋体" w:eastAsia="宋体" w:hint="default"/>
          <w:sz w:val="18"/>
          <w:szCs w:val="18"/>
        </w:rPr>
        <w:t>、深圳</w:t>
      </w:r>
      <w:r>
        <w:rPr>
          <w:rFonts w:ascii="宋体" w:hAnsi="宋体" w:cs="宋体" w:eastAsia="宋体" w:hint="default"/>
          <w:spacing w:val="-10"/>
          <w:sz w:val="18"/>
          <w:szCs w:val="18"/>
        </w:rPr>
        <w:t> </w:t>
      </w:r>
      <w:r>
        <w:rPr>
          <w:rFonts w:ascii="宋体" w:hAnsi="宋体" w:cs="宋体" w:eastAsia="宋体" w:hint="default"/>
          <w:sz w:val="18"/>
          <w:szCs w:val="18"/>
        </w:rPr>
        <w:t>长</w:t>
      </w:r>
    </w:p>
    <w:p>
      <w:pPr>
        <w:spacing w:line="173"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视频</w:t>
      </w:r>
    </w:p>
    <w:p>
      <w:pPr>
        <w:spacing w:line="240" w:lineRule="auto" w:before="4"/>
        <w:rPr>
          <w:rFonts w:ascii="宋体" w:hAnsi="宋体" w:cs="宋体" w:eastAsia="宋体" w:hint="default"/>
          <w:sz w:val="15"/>
          <w:szCs w:val="15"/>
        </w:rPr>
      </w:pPr>
      <w:r>
        <w:rPr/>
        <w:br w:type="column"/>
      </w:r>
      <w:r>
        <w:rPr>
          <w:rFonts w:ascii="宋体"/>
          <w:sz w:val="15"/>
        </w:rPr>
      </w:r>
    </w:p>
    <w:p>
      <w:pPr>
        <w:spacing w:before="0"/>
        <w:ind w:left="139" w:right="-20" w:firstLine="0"/>
        <w:jc w:val="left"/>
        <w:rPr>
          <w:rFonts w:ascii="宋体" w:hAnsi="宋体" w:cs="宋体" w:eastAsia="宋体" w:hint="default"/>
          <w:sz w:val="18"/>
          <w:szCs w:val="18"/>
        </w:rPr>
      </w:pPr>
      <w:r>
        <w:rPr>
          <w:rFonts w:ascii="宋体" w:hAnsi="宋体" w:cs="宋体" w:eastAsia="宋体" w:hint="default"/>
          <w:sz w:val="18"/>
          <w:szCs w:val="18"/>
        </w:rPr>
        <w:t>公司成</w:t>
      </w:r>
    </w:p>
    <w:p>
      <w:pPr>
        <w:spacing w:line="240" w:lineRule="auto" w:before="0"/>
        <w:rPr>
          <w:rFonts w:ascii="宋体" w:hAnsi="宋体" w:cs="宋体" w:eastAsia="宋体" w:hint="default"/>
          <w:sz w:val="18"/>
          <w:szCs w:val="18"/>
        </w:rPr>
      </w:pPr>
      <w:r>
        <w:rPr/>
        <w:br w:type="column"/>
      </w:r>
      <w:r>
        <w:rPr>
          <w:rFonts w:ascii="宋体"/>
          <w:sz w:val="18"/>
        </w:rPr>
      </w:r>
    </w:p>
    <w:p>
      <w:pPr>
        <w:tabs>
          <w:tab w:pos="841" w:val="left" w:leader="none"/>
        </w:tabs>
        <w:spacing w:line="213" w:lineRule="exact" w:before="121"/>
        <w:ind w:left="139"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0.00</w:t>
        <w:tab/>
        <w:t>26,011.39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before="44"/>
        <w:ind w:left="130" w:right="-4"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line="213" w:lineRule="exact" w:before="63"/>
        <w:ind w:left="130" w:right="-2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15</w:t>
      </w:r>
    </w:p>
    <w:p>
      <w:pPr>
        <w:spacing w:line="240" w:lineRule="auto" w:before="10"/>
        <w:rPr>
          <w:rFonts w:ascii="Times New Roman" w:hAnsi="Times New Roman" w:cs="Times New Roman" w:eastAsia="Times New Roman" w:hint="default"/>
          <w:sz w:val="20"/>
          <w:szCs w:val="20"/>
        </w:rPr>
      </w:pPr>
      <w:r>
        <w:rPr/>
        <w:br w:type="column"/>
      </w:r>
      <w:r>
        <w:rPr>
          <w:rFonts w:ascii="Times New Roman"/>
          <w:sz w:val="20"/>
        </w:rPr>
      </w:r>
    </w:p>
    <w:p>
      <w:pPr>
        <w:spacing w:before="0"/>
        <w:ind w:left="15" w:right="0" w:firstLine="0"/>
        <w:jc w:val="left"/>
        <w:rPr>
          <w:rFonts w:ascii="Times New Roman" w:hAnsi="Times New Roman" w:cs="Times New Roman" w:eastAsia="Times New Roman" w:hint="default"/>
          <w:sz w:val="18"/>
          <w:szCs w:val="18"/>
        </w:rPr>
      </w:pPr>
      <w:r>
        <w:rPr>
          <w:rFonts w:ascii="Times New Roman"/>
          <w:sz w:val="18"/>
        </w:rPr>
        <w:t>2015-069</w:t>
      </w:r>
    </w:p>
    <w:p>
      <w:pPr>
        <w:spacing w:after="0"/>
        <w:jc w:val="left"/>
        <w:rPr>
          <w:rFonts w:ascii="Times New Roman" w:hAnsi="Times New Roman" w:cs="Times New Roman" w:eastAsia="Times New Roman" w:hint="default"/>
          <w:sz w:val="18"/>
          <w:szCs w:val="18"/>
        </w:rPr>
        <w:sectPr>
          <w:type w:val="continuous"/>
          <w:pgSz w:w="16840" w:h="11910" w:orient="landscape"/>
          <w:pgMar w:top="1060" w:bottom="1180" w:left="1300" w:right="1020"/>
          <w:cols w:num="7" w:equalWidth="0">
            <w:col w:w="1604" w:space="374"/>
            <w:col w:w="2335" w:space="40"/>
            <w:col w:w="4757" w:space="374"/>
            <w:col w:w="680" w:space="736"/>
            <w:col w:w="1792" w:space="40"/>
            <w:col w:w="731" w:space="40"/>
            <w:col w:w="1017"/>
          </w:cols>
        </w:sectPr>
      </w:pPr>
    </w:p>
    <w:p>
      <w:pPr>
        <w:tabs>
          <w:tab w:pos="4367" w:val="left" w:leader="none"/>
          <w:tab w:pos="4987" w:val="left" w:leader="none"/>
          <w:tab w:pos="8398" w:val="left" w:leader="none"/>
          <w:tab w:pos="9624" w:val="left" w:leader="none"/>
        </w:tabs>
        <w:spacing w:line="80" w:lineRule="exact" w:before="0"/>
        <w:ind w:left="2118" w:right="-20" w:firstLine="0"/>
        <w:jc w:val="left"/>
        <w:rPr>
          <w:rFonts w:ascii="宋体" w:hAnsi="宋体" w:cs="宋体" w:eastAsia="宋体" w:hint="default"/>
          <w:sz w:val="18"/>
          <w:szCs w:val="18"/>
        </w:rPr>
      </w:pPr>
      <w:r>
        <w:rPr>
          <w:rFonts w:ascii="宋体" w:hAnsi="宋体" w:cs="宋体" w:eastAsia="宋体" w:hint="default"/>
          <w:sz w:val="18"/>
          <w:szCs w:val="18"/>
        </w:rPr>
        <w:t>设</w:t>
        <w:tab/>
        <w:t>金</w:t>
        <w:tab/>
        <w:t>市投资发展有限公司</w:t>
        <w:tab/>
        <w:t>期</w:t>
        <w:tab/>
        <w:t>立</w:t>
      </w:r>
    </w:p>
    <w:p>
      <w:pPr>
        <w:spacing w:line="196" w:lineRule="exact" w:before="0"/>
        <w:ind w:left="139" w:right="-20" w:firstLine="0"/>
        <w:jc w:val="left"/>
        <w:rPr>
          <w:rFonts w:ascii="宋体" w:hAnsi="宋体" w:cs="宋体" w:eastAsia="宋体" w:hint="default"/>
          <w:sz w:val="18"/>
          <w:szCs w:val="18"/>
        </w:rPr>
      </w:pPr>
      <w:r>
        <w:rPr>
          <w:rFonts w:ascii="宋体" w:hAnsi="宋体" w:cs="宋体" w:eastAsia="宋体" w:hint="default"/>
          <w:sz w:val="18"/>
          <w:szCs w:val="18"/>
        </w:rPr>
        <w:t>公司</w:t>
      </w:r>
    </w:p>
    <w:p>
      <w:pPr>
        <w:spacing w:line="80" w:lineRule="exact" w:before="0"/>
        <w:ind w:left="79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号公告</w:t>
      </w:r>
    </w:p>
    <w:p>
      <w:pPr>
        <w:spacing w:line="196" w:lineRule="exact" w:before="0"/>
        <w:ind w:left="139" w:right="0" w:firstLine="0"/>
        <w:jc w:val="left"/>
        <w:rPr>
          <w:rFonts w:ascii="宋体" w:hAnsi="宋体" w:cs="宋体" w:eastAsia="宋体" w:hint="default"/>
          <w:sz w:val="18"/>
          <w:szCs w:val="18"/>
        </w:rPr>
      </w:pPr>
      <w:r>
        <w:rPr>
          <w:rFonts w:ascii="宋体" w:hAnsi="宋体" w:cs="宋体" w:eastAsia="宋体" w:hint="default"/>
          <w:sz w:val="18"/>
          <w:szCs w:val="18"/>
        </w:rPr>
        <w:t>日</w:t>
      </w:r>
    </w:p>
    <w:p>
      <w:pPr>
        <w:spacing w:after="0" w:line="196" w:lineRule="exact"/>
        <w:jc w:val="left"/>
        <w:rPr>
          <w:rFonts w:ascii="宋体" w:hAnsi="宋体" w:cs="宋体" w:eastAsia="宋体" w:hint="default"/>
          <w:sz w:val="18"/>
          <w:szCs w:val="18"/>
        </w:rPr>
        <w:sectPr>
          <w:type w:val="continuous"/>
          <w:pgSz w:w="16840" w:h="11910" w:orient="landscape"/>
          <w:pgMar w:top="1060" w:bottom="1180" w:left="1300" w:right="1020"/>
          <w:cols w:num="2" w:equalWidth="0">
            <w:col w:w="9805" w:space="2917"/>
            <w:col w:w="1798"/>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6840" w:h="11910" w:orient="landscape"/>
          <w:pgMar w:top="1060" w:bottom="1180" w:left="1300" w:right="1020"/>
        </w:sectPr>
      </w:pPr>
    </w:p>
    <w:p>
      <w:pPr>
        <w:spacing w:line="240" w:lineRule="auto" w:before="4"/>
        <w:rPr>
          <w:rFonts w:ascii="宋体" w:hAnsi="宋体" w:cs="宋体" w:eastAsia="宋体" w:hint="default"/>
          <w:sz w:val="15"/>
          <w:szCs w:val="15"/>
        </w:rPr>
      </w:pPr>
    </w:p>
    <w:p>
      <w:pPr>
        <w:spacing w:before="0"/>
        <w:ind w:left="139" w:right="-20" w:firstLine="0"/>
        <w:jc w:val="left"/>
        <w:rPr>
          <w:rFonts w:ascii="宋体" w:hAnsi="宋体" w:cs="宋体" w:eastAsia="宋体" w:hint="default"/>
          <w:sz w:val="18"/>
          <w:szCs w:val="18"/>
        </w:rPr>
      </w:pPr>
      <w:r>
        <w:rPr>
          <w:rFonts w:ascii="宋体" w:hAnsi="宋体" w:cs="宋体" w:eastAsia="宋体" w:hint="default"/>
          <w:sz w:val="18"/>
          <w:szCs w:val="18"/>
        </w:rPr>
        <w:t>浙江饭美科</w:t>
      </w:r>
    </w:p>
    <w:p>
      <w:pPr>
        <w:spacing w:line="240" w:lineRule="auto" w:before="4"/>
        <w:rPr>
          <w:rFonts w:ascii="宋体" w:hAnsi="宋体" w:cs="宋体" w:eastAsia="宋体" w:hint="default"/>
          <w:sz w:val="15"/>
          <w:szCs w:val="15"/>
        </w:rPr>
      </w:pPr>
      <w:r>
        <w:rPr/>
        <w:br w:type="column"/>
      </w:r>
      <w:r>
        <w:rPr>
          <w:rFonts w:ascii="宋体"/>
          <w:sz w:val="15"/>
        </w:rPr>
      </w:r>
    </w:p>
    <w:p>
      <w:pPr>
        <w:spacing w:before="0"/>
        <w:ind w:left="139" w:right="-19" w:firstLine="0"/>
        <w:jc w:val="left"/>
        <w:rPr>
          <w:rFonts w:ascii="宋体" w:hAnsi="宋体" w:cs="宋体" w:eastAsia="宋体" w:hint="default"/>
          <w:sz w:val="18"/>
          <w:szCs w:val="18"/>
        </w:rPr>
      </w:pPr>
      <w:r>
        <w:rPr>
          <w:rFonts w:ascii="宋体" w:hAnsi="宋体" w:cs="宋体" w:eastAsia="宋体" w:hint="default"/>
          <w:sz w:val="18"/>
          <w:szCs w:val="18"/>
        </w:rPr>
        <w:t>互联网信</w:t>
      </w:r>
      <w:r>
        <w:rPr>
          <w:rFonts w:ascii="宋体" w:hAnsi="宋体" w:cs="宋体" w:eastAsia="宋体" w:hint="default"/>
          <w:spacing w:val="64"/>
          <w:sz w:val="18"/>
          <w:szCs w:val="18"/>
        </w:rPr>
        <w:t> </w:t>
      </w:r>
      <w:r>
        <w:rPr>
          <w:rFonts w:ascii="宋体" w:hAnsi="宋体" w:cs="宋体" w:eastAsia="宋体" w:hint="default"/>
          <w:sz w:val="18"/>
          <w:szCs w:val="18"/>
        </w:rPr>
        <w:t>新</w:t>
      </w:r>
    </w:p>
    <w:p>
      <w:pPr>
        <w:spacing w:line="240" w:lineRule="auto" w:before="0"/>
        <w:rPr>
          <w:rFonts w:ascii="宋体" w:hAnsi="宋体" w:cs="宋体" w:eastAsia="宋体" w:hint="default"/>
          <w:sz w:val="18"/>
          <w:szCs w:val="18"/>
        </w:rPr>
      </w:pPr>
      <w:r>
        <w:rPr/>
        <w:br w:type="column"/>
      </w:r>
      <w:r>
        <w:rPr>
          <w:rFonts w:ascii="宋体"/>
          <w:sz w:val="18"/>
        </w:rPr>
      </w:r>
    </w:p>
    <w:p>
      <w:pPr>
        <w:spacing w:line="173" w:lineRule="exact" w:before="160"/>
        <w:ind w:left="139" w:right="-17" w:firstLine="0"/>
        <w:jc w:val="left"/>
        <w:rPr>
          <w:rFonts w:ascii="Times New Roman" w:hAnsi="Times New Roman" w:cs="Times New Roman" w:eastAsia="Times New Roman" w:hint="default"/>
          <w:sz w:val="18"/>
          <w:szCs w:val="18"/>
        </w:rPr>
      </w:pPr>
      <w:r>
        <w:rPr>
          <w:rFonts w:ascii="Times New Roman"/>
          <w:sz w:val="18"/>
        </w:rPr>
        <w:t>5,000,000.00  </w:t>
      </w:r>
      <w:r>
        <w:rPr>
          <w:rFonts w:ascii="Times New Roman"/>
          <w:spacing w:val="24"/>
          <w:sz w:val="18"/>
        </w:rPr>
        <w:t> </w:t>
      </w:r>
      <w:r>
        <w:rPr>
          <w:rFonts w:ascii="Times New Roman"/>
          <w:sz w:val="18"/>
        </w:rPr>
        <w:t>20.00%</w:t>
      </w:r>
    </w:p>
    <w:p>
      <w:pPr>
        <w:spacing w:line="240" w:lineRule="auto" w:before="5"/>
        <w:rPr>
          <w:rFonts w:ascii="Times New Roman" w:hAnsi="Times New Roman" w:cs="Times New Roman" w:eastAsia="Times New Roman" w:hint="default"/>
          <w:sz w:val="17"/>
          <w:szCs w:val="17"/>
        </w:rPr>
      </w:pPr>
      <w:r>
        <w:rPr/>
        <w:br w:type="column"/>
      </w:r>
      <w:r>
        <w:rPr>
          <w:rFonts w:ascii="Times New Roman"/>
          <w:sz w:val="17"/>
        </w:rPr>
      </w:r>
    </w:p>
    <w:p>
      <w:pPr>
        <w:spacing w:before="0"/>
        <w:ind w:left="14" w:right="-20" w:firstLine="0"/>
        <w:jc w:val="left"/>
        <w:rPr>
          <w:rFonts w:ascii="宋体" w:hAnsi="宋体" w:cs="宋体" w:eastAsia="宋体" w:hint="default"/>
          <w:sz w:val="18"/>
          <w:szCs w:val="18"/>
        </w:rPr>
      </w:pPr>
      <w:r>
        <w:rPr>
          <w:rFonts w:ascii="宋体" w:hAnsi="宋体" w:cs="宋体" w:eastAsia="宋体" w:hint="default"/>
          <w:sz w:val="18"/>
          <w:szCs w:val="18"/>
        </w:rPr>
        <w:t>自有资 </w:t>
      </w:r>
      <w:r>
        <w:rPr>
          <w:rFonts w:ascii="宋体" w:hAnsi="宋体" w:cs="宋体" w:eastAsia="宋体" w:hint="default"/>
          <w:spacing w:val="-4"/>
          <w:sz w:val="18"/>
          <w:szCs w:val="18"/>
        </w:rPr>
        <w:t>浙江隐食网络科技有限公司、杭州溪畔投资</w:t>
      </w:r>
      <w:r>
        <w:rPr>
          <w:rFonts w:ascii="宋体" w:hAnsi="宋体" w:cs="宋体" w:eastAsia="宋体" w:hint="default"/>
          <w:spacing w:val="-34"/>
          <w:sz w:val="18"/>
          <w:szCs w:val="18"/>
        </w:rPr>
        <w:t> </w:t>
      </w:r>
      <w:r>
        <w:rPr>
          <w:rFonts w:ascii="宋体" w:hAnsi="宋体" w:cs="宋体" w:eastAsia="宋体" w:hint="default"/>
          <w:sz w:val="18"/>
          <w:szCs w:val="18"/>
        </w:rPr>
        <w:t>长</w:t>
      </w:r>
    </w:p>
    <w:p>
      <w:pPr>
        <w:spacing w:line="240" w:lineRule="auto" w:before="4"/>
        <w:rPr>
          <w:rFonts w:ascii="宋体" w:hAnsi="宋体" w:cs="宋体" w:eastAsia="宋体" w:hint="default"/>
          <w:sz w:val="15"/>
          <w:szCs w:val="15"/>
        </w:rPr>
      </w:pPr>
      <w:r>
        <w:rPr/>
        <w:br w:type="column"/>
      </w:r>
      <w:r>
        <w:rPr>
          <w:rFonts w:ascii="宋体"/>
          <w:sz w:val="15"/>
        </w:rPr>
      </w:r>
    </w:p>
    <w:p>
      <w:pPr>
        <w:spacing w:before="0"/>
        <w:ind w:left="131" w:right="-20" w:firstLine="0"/>
        <w:jc w:val="left"/>
        <w:rPr>
          <w:rFonts w:ascii="宋体" w:hAnsi="宋体" w:cs="宋体" w:eastAsia="宋体" w:hint="default"/>
          <w:sz w:val="18"/>
          <w:szCs w:val="18"/>
        </w:rPr>
      </w:pPr>
      <w:r>
        <w:rPr>
          <w:rFonts w:ascii="宋体" w:hAnsi="宋体" w:cs="宋体" w:eastAsia="宋体" w:hint="default"/>
          <w:sz w:val="18"/>
          <w:szCs w:val="18"/>
        </w:rPr>
        <w:t>互联网信</w:t>
      </w:r>
    </w:p>
    <w:p>
      <w:pPr>
        <w:spacing w:line="240" w:lineRule="auto" w:before="4"/>
        <w:rPr>
          <w:rFonts w:ascii="宋体" w:hAnsi="宋体" w:cs="宋体" w:eastAsia="宋体" w:hint="default"/>
          <w:sz w:val="15"/>
          <w:szCs w:val="15"/>
        </w:rPr>
      </w:pPr>
      <w:r>
        <w:rPr/>
        <w:br w:type="column"/>
      </w:r>
      <w:r>
        <w:rPr>
          <w:rFonts w:ascii="宋体"/>
          <w:sz w:val="15"/>
        </w:rPr>
      </w:r>
    </w:p>
    <w:p>
      <w:pPr>
        <w:spacing w:before="0"/>
        <w:ind w:left="114" w:right="-20" w:firstLine="0"/>
        <w:jc w:val="left"/>
        <w:rPr>
          <w:rFonts w:ascii="宋体" w:hAnsi="宋体" w:cs="宋体" w:eastAsia="宋体" w:hint="default"/>
          <w:sz w:val="18"/>
          <w:szCs w:val="18"/>
        </w:rPr>
      </w:pPr>
      <w:r>
        <w:rPr>
          <w:rFonts w:ascii="宋体" w:hAnsi="宋体" w:cs="宋体" w:eastAsia="宋体" w:hint="default"/>
          <w:sz w:val="18"/>
          <w:szCs w:val="18"/>
        </w:rPr>
        <w:t>公司成</w:t>
      </w:r>
    </w:p>
    <w:p>
      <w:pPr>
        <w:spacing w:line="240" w:lineRule="auto" w:before="0"/>
        <w:rPr>
          <w:rFonts w:ascii="宋体" w:hAnsi="宋体" w:cs="宋体" w:eastAsia="宋体" w:hint="default"/>
          <w:sz w:val="18"/>
          <w:szCs w:val="18"/>
        </w:rPr>
      </w:pPr>
      <w:r>
        <w:rPr/>
        <w:br w:type="column"/>
      </w:r>
      <w:r>
        <w:rPr>
          <w:rFonts w:ascii="宋体"/>
          <w:sz w:val="18"/>
        </w:rPr>
      </w:r>
    </w:p>
    <w:p>
      <w:pPr>
        <w:tabs>
          <w:tab w:pos="1240" w:val="left" w:leader="none"/>
        </w:tabs>
        <w:spacing w:line="213" w:lineRule="exact" w:before="121"/>
        <w:ind w:left="139"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0.00</w:t>
        <w:tab/>
        <w:t>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否</w:t>
      </w:r>
    </w:p>
    <w:p>
      <w:pPr>
        <w:spacing w:before="44"/>
        <w:ind w:left="130" w:right="-4"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line="213" w:lineRule="exact" w:before="63"/>
        <w:ind w:left="130" w:right="-2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10</w:t>
      </w:r>
    </w:p>
    <w:p>
      <w:pPr>
        <w:spacing w:line="240" w:lineRule="auto" w:before="10"/>
        <w:rPr>
          <w:rFonts w:ascii="Times New Roman" w:hAnsi="Times New Roman" w:cs="Times New Roman" w:eastAsia="Times New Roman" w:hint="default"/>
          <w:sz w:val="20"/>
          <w:szCs w:val="20"/>
        </w:rPr>
      </w:pPr>
      <w:r>
        <w:rPr/>
        <w:br w:type="column"/>
      </w:r>
      <w:r>
        <w:rPr>
          <w:rFonts w:ascii="Times New Roman"/>
          <w:sz w:val="20"/>
        </w:rPr>
      </w:r>
    </w:p>
    <w:p>
      <w:pPr>
        <w:spacing w:before="0"/>
        <w:ind w:left="15" w:right="0" w:firstLine="0"/>
        <w:jc w:val="left"/>
        <w:rPr>
          <w:rFonts w:ascii="Times New Roman" w:hAnsi="Times New Roman" w:cs="Times New Roman" w:eastAsia="Times New Roman" w:hint="default"/>
          <w:sz w:val="18"/>
          <w:szCs w:val="18"/>
        </w:rPr>
      </w:pPr>
      <w:r>
        <w:rPr>
          <w:rFonts w:ascii="Times New Roman"/>
          <w:sz w:val="18"/>
        </w:rPr>
        <w:t>2015-082</w:t>
      </w:r>
    </w:p>
    <w:p>
      <w:pPr>
        <w:spacing w:after="0"/>
        <w:jc w:val="left"/>
        <w:rPr>
          <w:rFonts w:ascii="Times New Roman" w:hAnsi="Times New Roman" w:cs="Times New Roman" w:eastAsia="Times New Roman" w:hint="default"/>
          <w:sz w:val="18"/>
          <w:szCs w:val="18"/>
        </w:rPr>
        <w:sectPr>
          <w:type w:val="continuous"/>
          <w:pgSz w:w="16840" w:h="11910" w:orient="landscape"/>
          <w:pgMar w:top="1060" w:bottom="1180" w:left="1300" w:right="1020"/>
          <w:cols w:num="9" w:equalWidth="0">
            <w:col w:w="1040" w:space="64"/>
            <w:col w:w="1195" w:space="212"/>
            <w:col w:w="1802" w:space="40"/>
            <w:col w:w="4225" w:space="40"/>
            <w:col w:w="852" w:space="40"/>
            <w:col w:w="655" w:space="736"/>
            <w:col w:w="1792" w:space="40"/>
            <w:col w:w="731" w:space="40"/>
            <w:col w:w="1016"/>
          </w:cols>
        </w:sectPr>
      </w:pPr>
    </w:p>
    <w:p>
      <w:pPr>
        <w:spacing w:line="180" w:lineRule="exact" w:before="0"/>
        <w:ind w:left="139" w:right="-20" w:firstLine="0"/>
        <w:jc w:val="left"/>
        <w:rPr>
          <w:rFonts w:ascii="宋体" w:hAnsi="宋体" w:cs="宋体" w:eastAsia="宋体" w:hint="default"/>
          <w:sz w:val="18"/>
          <w:szCs w:val="18"/>
        </w:rPr>
      </w:pPr>
      <w:r>
        <w:rPr>
          <w:rFonts w:ascii="宋体" w:hAnsi="宋体" w:cs="宋体" w:eastAsia="宋体" w:hint="default"/>
          <w:sz w:val="18"/>
          <w:szCs w:val="18"/>
        </w:rPr>
        <w:t>技有限公司</w:t>
      </w:r>
    </w:p>
    <w:p>
      <w:pPr>
        <w:tabs>
          <w:tab w:pos="1014" w:val="left" w:leader="none"/>
        </w:tabs>
        <w:spacing w:line="180" w:lineRule="exact" w:before="0"/>
        <w:ind w:left="139"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息技术</w:t>
        <w:tab/>
        <w:t>设</w:t>
      </w:r>
    </w:p>
    <w:p>
      <w:pPr>
        <w:tabs>
          <w:tab w:pos="760" w:val="left" w:leader="none"/>
        </w:tabs>
        <w:spacing w:line="180" w:lineRule="exact" w:before="0"/>
        <w:ind w:left="139"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金</w:t>
        <w:tab/>
        <w:t>咨询有限公司</w:t>
      </w:r>
    </w:p>
    <w:p>
      <w:pPr>
        <w:tabs>
          <w:tab w:pos="1366" w:val="left" w:leader="none"/>
        </w:tabs>
        <w:spacing w:line="180" w:lineRule="exact" w:before="0"/>
        <w:ind w:left="139"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期</w:t>
      </w:r>
      <w:r>
        <w:rPr>
          <w:rFonts w:ascii="宋体" w:hAnsi="宋体" w:cs="宋体" w:eastAsia="宋体" w:hint="default"/>
          <w:spacing w:val="81"/>
          <w:sz w:val="18"/>
          <w:szCs w:val="18"/>
        </w:rPr>
        <w:t> </w:t>
      </w:r>
      <w:r>
        <w:rPr>
          <w:rFonts w:ascii="宋体" w:hAnsi="宋体" w:cs="宋体" w:eastAsia="宋体" w:hint="default"/>
          <w:sz w:val="18"/>
          <w:szCs w:val="18"/>
        </w:rPr>
        <w:t>息技术</w:t>
        <w:tab/>
        <w:t>立</w:t>
      </w:r>
    </w:p>
    <w:p>
      <w:pPr>
        <w:spacing w:line="140" w:lineRule="exact" w:before="0"/>
        <w:ind w:left="79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号公告</w:t>
      </w:r>
    </w:p>
    <w:p>
      <w:pPr>
        <w:spacing w:line="196" w:lineRule="exact" w:before="0"/>
        <w:ind w:left="139" w:right="0" w:firstLine="0"/>
        <w:jc w:val="left"/>
        <w:rPr>
          <w:rFonts w:ascii="宋体" w:hAnsi="宋体" w:cs="宋体" w:eastAsia="宋体" w:hint="default"/>
          <w:sz w:val="18"/>
          <w:szCs w:val="18"/>
        </w:rPr>
      </w:pPr>
      <w:r>
        <w:rPr>
          <w:rFonts w:ascii="宋体" w:hAnsi="宋体" w:cs="宋体" w:eastAsia="宋体" w:hint="default"/>
          <w:sz w:val="18"/>
          <w:szCs w:val="18"/>
        </w:rPr>
        <w:t>日</w:t>
      </w:r>
    </w:p>
    <w:p>
      <w:pPr>
        <w:spacing w:after="0" w:line="196" w:lineRule="exact"/>
        <w:jc w:val="left"/>
        <w:rPr>
          <w:rFonts w:ascii="宋体" w:hAnsi="宋体" w:cs="宋体" w:eastAsia="宋体" w:hint="default"/>
          <w:sz w:val="18"/>
          <w:szCs w:val="18"/>
        </w:rPr>
        <w:sectPr>
          <w:type w:val="continuous"/>
          <w:pgSz w:w="16840" w:h="11910" w:orient="landscape"/>
          <w:pgMar w:top="1060" w:bottom="1180" w:left="1300" w:right="1020"/>
          <w:cols w:num="5" w:equalWidth="0">
            <w:col w:w="1040" w:space="64"/>
            <w:col w:w="1195" w:space="1928"/>
            <w:col w:w="1841" w:space="2190"/>
            <w:col w:w="1547" w:space="2917"/>
            <w:col w:w="1798"/>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6840" w:h="11910" w:orient="landscape"/>
          <w:pgMar w:top="1060" w:bottom="1180" w:left="1300" w:right="1020"/>
        </w:sectPr>
      </w:pPr>
    </w:p>
    <w:p>
      <w:pPr>
        <w:spacing w:line="319" w:lineRule="auto" w:before="44"/>
        <w:ind w:left="139" w:right="0" w:firstLine="0"/>
        <w:jc w:val="both"/>
        <w:rPr>
          <w:rFonts w:ascii="宋体" w:hAnsi="宋体" w:cs="宋体" w:eastAsia="宋体" w:hint="default"/>
          <w:sz w:val="18"/>
          <w:szCs w:val="18"/>
        </w:rPr>
      </w:pPr>
      <w:r>
        <w:rPr>
          <w:rFonts w:ascii="宋体" w:hAnsi="宋体" w:cs="宋体" w:eastAsia="宋体" w:hint="default"/>
          <w:sz w:val="18"/>
          <w:szCs w:val="18"/>
        </w:rPr>
        <w:t>浙江华媒金 晟文化产业 投资管理有 限公司</w:t>
      </w:r>
    </w:p>
    <w:p>
      <w:pPr>
        <w:spacing w:line="240" w:lineRule="auto" w:before="4"/>
        <w:rPr>
          <w:rFonts w:ascii="宋体" w:hAnsi="宋体" w:cs="宋体" w:eastAsia="宋体" w:hint="default"/>
          <w:sz w:val="15"/>
          <w:szCs w:val="15"/>
        </w:rPr>
      </w:pPr>
      <w:r>
        <w:rPr/>
        <w:br w:type="column"/>
      </w:r>
      <w:r>
        <w:rPr>
          <w:rFonts w:ascii="宋体"/>
          <w:sz w:val="15"/>
        </w:rPr>
      </w:r>
    </w:p>
    <w:p>
      <w:pPr>
        <w:spacing w:line="196" w:lineRule="exact" w:before="0"/>
        <w:ind w:left="139" w:right="0" w:firstLine="0"/>
        <w:jc w:val="left"/>
        <w:rPr>
          <w:rFonts w:ascii="宋体" w:hAnsi="宋体" w:cs="宋体" w:eastAsia="宋体" w:hint="default"/>
          <w:sz w:val="18"/>
          <w:szCs w:val="18"/>
        </w:rPr>
      </w:pPr>
      <w:r>
        <w:rPr>
          <w:rFonts w:ascii="宋体" w:hAnsi="宋体" w:cs="宋体" w:eastAsia="宋体" w:hint="default"/>
          <w:sz w:val="18"/>
          <w:szCs w:val="18"/>
        </w:rPr>
        <w:t>投资管理、</w:t>
      </w:r>
    </w:p>
    <w:p>
      <w:pPr>
        <w:spacing w:line="158" w:lineRule="auto" w:before="31"/>
        <w:ind w:left="139" w:right="-19" w:firstLine="874"/>
        <w:jc w:val="left"/>
        <w:rPr>
          <w:rFonts w:ascii="宋体" w:hAnsi="宋体" w:cs="宋体" w:eastAsia="宋体" w:hint="default"/>
          <w:sz w:val="18"/>
          <w:szCs w:val="18"/>
        </w:rPr>
      </w:pPr>
      <w:r>
        <w:rPr>
          <w:rFonts w:ascii="宋体" w:hAnsi="宋体" w:cs="宋体" w:eastAsia="宋体" w:hint="default"/>
          <w:sz w:val="18"/>
          <w:szCs w:val="18"/>
        </w:rPr>
        <w:t>新 资产管理、</w:t>
      </w:r>
    </w:p>
    <w:p>
      <w:pPr>
        <w:spacing w:line="12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设</w:t>
      </w:r>
    </w:p>
    <w:p>
      <w:pPr>
        <w:spacing w:line="196" w:lineRule="exact" w:before="0"/>
        <w:ind w:left="139" w:right="0" w:firstLine="0"/>
        <w:jc w:val="left"/>
        <w:rPr>
          <w:rFonts w:ascii="宋体" w:hAnsi="宋体" w:cs="宋体" w:eastAsia="宋体" w:hint="default"/>
          <w:sz w:val="18"/>
          <w:szCs w:val="18"/>
        </w:rPr>
      </w:pPr>
      <w:r>
        <w:rPr>
          <w:rFonts w:ascii="宋体" w:hAnsi="宋体" w:cs="宋体" w:eastAsia="宋体" w:hint="default"/>
          <w:sz w:val="18"/>
          <w:szCs w:val="18"/>
        </w:rPr>
        <w:t>投资咨询</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24"/>
          <w:szCs w:val="24"/>
        </w:rPr>
      </w:pPr>
    </w:p>
    <w:p>
      <w:pPr>
        <w:spacing w:before="0"/>
        <w:ind w:left="139" w:right="-17" w:firstLine="0"/>
        <w:jc w:val="left"/>
        <w:rPr>
          <w:rFonts w:ascii="Times New Roman" w:hAnsi="Times New Roman" w:cs="Times New Roman" w:eastAsia="Times New Roman" w:hint="default"/>
          <w:sz w:val="18"/>
          <w:szCs w:val="18"/>
        </w:rPr>
      </w:pPr>
      <w:r>
        <w:rPr>
          <w:rFonts w:ascii="Times New Roman"/>
          <w:sz w:val="18"/>
        </w:rPr>
        <w:t>5,000,000.00  </w:t>
      </w:r>
      <w:r>
        <w:rPr>
          <w:rFonts w:ascii="Times New Roman"/>
          <w:spacing w:val="24"/>
          <w:sz w:val="18"/>
        </w:rPr>
        <w:t> </w:t>
      </w:r>
      <w:r>
        <w:rPr>
          <w:rFonts w:ascii="Times New Roman"/>
          <w:sz w:val="18"/>
        </w:rPr>
        <w:t>50.00%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319" w:lineRule="auto" w:before="149"/>
        <w:ind w:left="14" w:right="-20" w:firstLine="0"/>
        <w:jc w:val="left"/>
        <w:rPr>
          <w:rFonts w:ascii="宋体" w:hAnsi="宋体" w:cs="宋体" w:eastAsia="宋体" w:hint="default"/>
          <w:sz w:val="18"/>
          <w:szCs w:val="18"/>
        </w:rPr>
      </w:pPr>
      <w:r>
        <w:rPr>
          <w:rFonts w:ascii="宋体" w:hAnsi="宋体" w:cs="宋体" w:eastAsia="宋体" w:hint="default"/>
          <w:sz w:val="18"/>
          <w:szCs w:val="18"/>
        </w:rPr>
        <w:t>自有资 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spacing w:before="0"/>
        <w:ind w:left="40" w:right="-20" w:firstLine="0"/>
        <w:jc w:val="left"/>
        <w:rPr>
          <w:rFonts w:ascii="宋体" w:hAnsi="宋体" w:cs="宋体" w:eastAsia="宋体" w:hint="default"/>
          <w:sz w:val="18"/>
          <w:szCs w:val="18"/>
        </w:rPr>
      </w:pPr>
      <w:r>
        <w:rPr>
          <w:rFonts w:ascii="宋体" w:hAnsi="宋体" w:cs="宋体" w:eastAsia="宋体" w:hint="default"/>
          <w:sz w:val="18"/>
          <w:szCs w:val="18"/>
        </w:rPr>
        <w:t>无锡金晟影视投资管理有限公司</w:t>
      </w:r>
    </w:p>
    <w:p>
      <w:pPr>
        <w:spacing w:line="240" w:lineRule="auto" w:before="4"/>
        <w:rPr>
          <w:rFonts w:ascii="宋体" w:hAnsi="宋体" w:cs="宋体" w:eastAsia="宋体" w:hint="default"/>
          <w:sz w:val="15"/>
          <w:szCs w:val="15"/>
        </w:rPr>
      </w:pPr>
      <w:r>
        <w:rPr/>
        <w:br w:type="column"/>
      </w:r>
      <w:r>
        <w:rPr>
          <w:rFonts w:ascii="宋体"/>
          <w:sz w:val="15"/>
        </w:rPr>
      </w:r>
    </w:p>
    <w:p>
      <w:pPr>
        <w:spacing w:line="196" w:lineRule="exact" w:before="0"/>
        <w:ind w:left="139" w:right="160" w:firstLine="0"/>
        <w:jc w:val="center"/>
        <w:rPr>
          <w:rFonts w:ascii="宋体" w:hAnsi="宋体" w:cs="宋体" w:eastAsia="宋体" w:hint="default"/>
          <w:sz w:val="18"/>
          <w:szCs w:val="18"/>
        </w:rPr>
      </w:pPr>
      <w:r>
        <w:rPr>
          <w:rFonts w:ascii="宋体" w:hAnsi="宋体" w:cs="宋体" w:eastAsia="宋体" w:hint="default"/>
          <w:sz w:val="18"/>
          <w:szCs w:val="18"/>
        </w:rPr>
        <w:t>投资管理、</w:t>
      </w:r>
    </w:p>
    <w:p>
      <w:pPr>
        <w:tabs>
          <w:tab w:pos="1366" w:val="left" w:leader="none"/>
        </w:tabs>
        <w:spacing w:line="156" w:lineRule="exact" w:before="0"/>
        <w:ind w:left="139" w:right="0" w:firstLine="0"/>
        <w:jc w:val="center"/>
        <w:rPr>
          <w:rFonts w:ascii="宋体" w:hAnsi="宋体" w:cs="宋体" w:eastAsia="宋体" w:hint="default"/>
          <w:sz w:val="18"/>
          <w:szCs w:val="18"/>
        </w:rPr>
      </w:pPr>
      <w:r>
        <w:rPr>
          <w:rFonts w:ascii="宋体" w:hAnsi="宋体" w:cs="宋体" w:eastAsia="宋体" w:hint="default"/>
          <w:sz w:val="18"/>
          <w:szCs w:val="18"/>
        </w:rPr>
        <w:t>长</w:t>
        <w:tab/>
        <w:t>公司成</w:t>
      </w:r>
    </w:p>
    <w:p>
      <w:pPr>
        <w:spacing w:line="157" w:lineRule="exact" w:before="0"/>
        <w:ind w:left="139" w:right="160" w:firstLine="0"/>
        <w:jc w:val="center"/>
        <w:rPr>
          <w:rFonts w:ascii="宋体" w:hAnsi="宋体" w:cs="宋体" w:eastAsia="宋体" w:hint="default"/>
          <w:sz w:val="18"/>
          <w:szCs w:val="18"/>
        </w:rPr>
      </w:pPr>
      <w:r>
        <w:rPr>
          <w:rFonts w:ascii="宋体" w:hAnsi="宋体" w:cs="宋体" w:eastAsia="宋体" w:hint="default"/>
          <w:sz w:val="18"/>
          <w:szCs w:val="18"/>
        </w:rPr>
        <w:t>资产管理、</w:t>
      </w:r>
    </w:p>
    <w:p>
      <w:pPr>
        <w:tabs>
          <w:tab w:pos="1226" w:val="left" w:leader="none"/>
        </w:tabs>
        <w:spacing w:line="157" w:lineRule="exact" w:before="0"/>
        <w:ind w:left="0" w:right="218" w:firstLine="0"/>
        <w:jc w:val="center"/>
        <w:rPr>
          <w:rFonts w:ascii="宋体" w:hAnsi="宋体" w:cs="宋体" w:eastAsia="宋体" w:hint="default"/>
          <w:sz w:val="18"/>
          <w:szCs w:val="18"/>
        </w:rPr>
      </w:pPr>
      <w:r>
        <w:rPr>
          <w:rFonts w:ascii="宋体" w:hAnsi="宋体" w:cs="宋体" w:eastAsia="宋体" w:hint="default"/>
          <w:sz w:val="18"/>
          <w:szCs w:val="18"/>
        </w:rPr>
        <w:t>期</w:t>
        <w:tab/>
        <w:t>立</w:t>
      </w:r>
    </w:p>
    <w:p>
      <w:pPr>
        <w:spacing w:line="196" w:lineRule="exact" w:before="0"/>
        <w:ind w:left="17" w:right="218" w:firstLine="0"/>
        <w:jc w:val="center"/>
        <w:rPr>
          <w:rFonts w:ascii="宋体" w:hAnsi="宋体" w:cs="宋体" w:eastAsia="宋体" w:hint="default"/>
          <w:sz w:val="18"/>
          <w:szCs w:val="18"/>
        </w:rPr>
      </w:pPr>
      <w:r>
        <w:rPr>
          <w:rFonts w:ascii="宋体" w:hAnsi="宋体" w:cs="宋体" w:eastAsia="宋体" w:hint="default"/>
          <w:sz w:val="18"/>
          <w:szCs w:val="18"/>
        </w:rPr>
        <w:t>投资咨询</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tabs>
          <w:tab w:pos="1240" w:val="left" w:leader="none"/>
        </w:tabs>
        <w:spacing w:before="0"/>
        <w:ind w:left="139"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0.00</w:t>
        <w:tab/>
        <w:t>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否</w:t>
      </w:r>
    </w:p>
    <w:p>
      <w:pPr>
        <w:spacing w:line="240" w:lineRule="auto" w:before="4"/>
        <w:rPr>
          <w:rFonts w:ascii="宋体" w:hAnsi="宋体" w:cs="宋体" w:eastAsia="宋体" w:hint="default"/>
          <w:sz w:val="15"/>
          <w:szCs w:val="15"/>
        </w:rPr>
      </w:pPr>
      <w:r>
        <w:rPr/>
        <w:br w:type="column"/>
      </w:r>
      <w:r>
        <w:rPr>
          <w:rFonts w:ascii="宋体"/>
          <w:sz w:val="15"/>
        </w:rPr>
      </w:r>
    </w:p>
    <w:p>
      <w:pPr>
        <w:spacing w:before="0"/>
        <w:ind w:left="130" w:right="-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spacing w:before="63"/>
        <w:ind w:left="130" w:right="-2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29</w:t>
      </w:r>
    </w:p>
    <w:p>
      <w:pPr>
        <w:spacing w:before="64"/>
        <w:ind w:left="130" w:right="-20" w:firstLine="0"/>
        <w:jc w:val="left"/>
        <w:rPr>
          <w:rFonts w:ascii="宋体" w:hAnsi="宋体" w:cs="宋体" w:eastAsia="宋体" w:hint="default"/>
          <w:sz w:val="18"/>
          <w:szCs w:val="18"/>
        </w:rPr>
      </w:pP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15" w:right="0" w:firstLine="0"/>
        <w:jc w:val="left"/>
        <w:rPr>
          <w:rFonts w:ascii="Times New Roman" w:hAnsi="Times New Roman" w:cs="Times New Roman" w:eastAsia="Times New Roman" w:hint="default"/>
          <w:sz w:val="18"/>
          <w:szCs w:val="18"/>
        </w:rPr>
      </w:pPr>
      <w:r>
        <w:rPr>
          <w:rFonts w:ascii="Times New Roman"/>
          <w:sz w:val="18"/>
        </w:rPr>
        <w:t>2015-094</w:t>
      </w:r>
    </w:p>
    <w:p>
      <w:pPr>
        <w:spacing w:before="66"/>
        <w:ind w:left="15" w:right="0" w:firstLine="0"/>
        <w:jc w:val="left"/>
        <w:rPr>
          <w:rFonts w:ascii="宋体" w:hAnsi="宋体" w:cs="宋体" w:eastAsia="宋体" w:hint="default"/>
          <w:sz w:val="18"/>
          <w:szCs w:val="18"/>
        </w:rPr>
      </w:pPr>
      <w:r>
        <w:rPr>
          <w:rFonts w:ascii="宋体" w:hAnsi="宋体" w:cs="宋体" w:eastAsia="宋体" w:hint="default"/>
          <w:sz w:val="18"/>
          <w:szCs w:val="18"/>
        </w:rPr>
        <w:t>号公告</w:t>
      </w:r>
    </w:p>
    <w:p>
      <w:pPr>
        <w:spacing w:after="0"/>
        <w:jc w:val="left"/>
        <w:rPr>
          <w:rFonts w:ascii="宋体" w:hAnsi="宋体" w:cs="宋体" w:eastAsia="宋体" w:hint="default"/>
          <w:sz w:val="18"/>
          <w:szCs w:val="18"/>
        </w:rPr>
        <w:sectPr>
          <w:type w:val="continuous"/>
          <w:pgSz w:w="16840" w:h="11910" w:orient="landscape"/>
          <w:pgMar w:top="1060" w:bottom="1180" w:left="1300" w:right="1020"/>
          <w:cols w:num="9" w:equalWidth="0">
            <w:col w:w="1040" w:space="64"/>
            <w:col w:w="1195" w:space="212"/>
            <w:col w:w="1802" w:space="40"/>
            <w:col w:w="555" w:space="40"/>
            <w:col w:w="2561" w:space="750"/>
            <w:col w:w="1907" w:space="736"/>
            <w:col w:w="1792" w:space="40"/>
            <w:col w:w="731" w:space="40"/>
            <w:col w:w="1015"/>
          </w:cols>
        </w:sectPr>
      </w:pPr>
    </w:p>
    <w:p>
      <w:pPr>
        <w:tabs>
          <w:tab w:pos="1592" w:val="left" w:leader="none"/>
          <w:tab w:pos="2206" w:val="left" w:leader="none"/>
          <w:tab w:pos="3920" w:val="left" w:leader="none"/>
          <w:tab w:pos="4589" w:val="left" w:leader="none"/>
          <w:tab w:pos="6605" w:val="left" w:leader="none"/>
          <w:tab w:pos="8485" w:val="left" w:leader="none"/>
          <w:tab w:pos="9098" w:val="left" w:leader="none"/>
          <w:tab w:pos="9883" w:val="left" w:leader="none"/>
          <w:tab w:pos="10320" w:val="left" w:leader="none"/>
          <w:tab w:pos="13100" w:val="left" w:leader="none"/>
          <w:tab w:pos="13880" w:val="left" w:leader="none"/>
        </w:tabs>
        <w:spacing w:before="106"/>
        <w:ind w:left="139"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z w:val="18"/>
          <w:szCs w:val="18"/>
        </w:rPr>
        <w:t>--</w:t>
        <w:tab/>
        <w:t>--  </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577,902,015.00</w:t>
        <w:tab/>
        <w:t>--</w:t>
        <w:tab/>
        <w:t>--</w:t>
        <w:tab/>
        <w:t>--</w:t>
        <w:tab/>
        <w:t>--</w:t>
        <w:tab/>
        <w:t>--</w:t>
        <w:tab/>
        <w:t>--</w:t>
        <w:tab/>
        <w:t>32,999,400.00 28,043,839.35  </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z w:val="18"/>
          <w:szCs w:val="18"/>
        </w:rPr>
        <w:t>--</w:t>
        <w:tab/>
        <w:t>--</w:t>
        <w:tab/>
        <w:t>--</w:t>
      </w:r>
    </w:p>
    <w:p>
      <w:pPr>
        <w:spacing w:after="0"/>
        <w:jc w:val="left"/>
        <w:rPr>
          <w:rFonts w:ascii="Times New Roman" w:hAnsi="Times New Roman" w:cs="Times New Roman" w:eastAsia="Times New Roman" w:hint="default"/>
          <w:sz w:val="18"/>
          <w:szCs w:val="18"/>
        </w:rPr>
        <w:sectPr>
          <w:type w:val="continuous"/>
          <w:pgSz w:w="16840" w:h="11910" w:orient="landscape"/>
          <w:pgMar w:top="1060" w:bottom="1180" w:left="1300" w:right="1020"/>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spacing w:before="0"/>
        <w:ind w:left="139"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、报告期内正在进行的重大的非股权投资情况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39"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39"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、金融资产投资</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39"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）证券投资情况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39"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39" w:firstLine="0"/>
        <w:jc w:val="right"/>
        <w:rPr>
          <w:rFonts w:ascii="宋体" w:hAnsi="宋体" w:cs="宋体" w:eastAsia="宋体" w:hint="default"/>
          <w:sz w:val="18"/>
          <w:szCs w:val="18"/>
        </w:rPr>
      </w:pPr>
      <w:r>
        <w:rPr/>
        <w:pict>
          <v:group style="position:absolute;margin-left:217.970993pt;margin-top:22.621729pt;width:54.1pt;height:43.05pt;mso-position-horizontal-relative:page;mso-position-vertical-relative:paragraph;z-index:-1260592" coordorigin="4359,452" coordsize="1082,861">
            <v:group style="position:absolute;left:4359;top:452;width:1082;height:861" coordorigin="4359,452" coordsize="1082,861">
              <v:shape style="position:absolute;left:4359;top:452;width:1082;height:861" coordorigin="4359,452" coordsize="1082,861" path="m5441,608l5441,452,4359,452,4555,608,5441,608xe" filled="true" fillcolor="#d3d3d3" stroked="false">
                <v:path arrowok="t"/>
                <v:fill type="solid"/>
              </v:shape>
              <v:shape style="position:absolute;left:4359;top:452;width:1082;height:861" coordorigin="4359,452" coordsize="1082,861" path="m5418,1313l5418,1295,4555,608,4382,608,4382,1313,5418,1313xe" filled="true" fillcolor="#d3d3d3" stroked="false">
                <v:path arrowok="t"/>
                <v:fill type="solid"/>
              </v:shape>
              <v:shape style="position:absolute;left:4359;top:452;width:1082;height:861" coordorigin="4359,452" coordsize="1082,861" path="m5441,1313l5441,608,5418,608,5418,1295,5441,1313xe" filled="true" fillcolor="#d3d3d3" stroked="false">
                <v:path arrowok="t"/>
                <v:fill type="solid"/>
              </v:shape>
            </v:group>
            <v:group style="position:absolute;left:4382;top:608;width:1036;height:353" coordorigin="4382,608" coordsize="1036,353">
              <v:shape style="position:absolute;left:4382;top:608;width:1036;height:353" coordorigin="4382,608" coordsize="1036,353" path="m4382,608l4382,961,5418,961,5418,608,4382,608xe" filled="true" fillcolor="#d3d3d3" stroked="false">
                <v:path arrowok="t"/>
                <v:fill type="solid"/>
              </v:shape>
            </v:group>
            <v:group style="position:absolute;left:4382;top:961;width:1036;height:352" coordorigin="4382,961" coordsize="1036,352">
              <v:shape style="position:absolute;left:4382;top:961;width:1036;height:352" coordorigin="4382,961" coordsize="1036,352" path="m4382,961l4382,1313,5418,1313,5418,961,4382,961xe" filled="true" fillcolor="#d3d3d3" stroked="false">
                <v:path arrowok="t"/>
                <v:fill type="solid"/>
              </v:shape>
            </v:group>
            <w10:wrap type="none"/>
          </v:group>
        </w:pict>
      </w: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969"/>
        <w:gridCol w:w="969"/>
        <w:gridCol w:w="1004"/>
        <w:gridCol w:w="1091"/>
        <w:gridCol w:w="972"/>
        <w:gridCol w:w="1092"/>
        <w:gridCol w:w="966"/>
        <w:gridCol w:w="966"/>
        <w:gridCol w:w="966"/>
        <w:gridCol w:w="1092"/>
        <w:gridCol w:w="1001"/>
        <w:gridCol w:w="967"/>
        <w:gridCol w:w="995"/>
        <w:gridCol w:w="964"/>
      </w:tblGrid>
      <w:tr>
        <w:trPr>
          <w:trHeight w:val="317" w:hRule="exact"/>
        </w:trPr>
        <w:tc>
          <w:tcPr>
            <w:tcW w:w="969" w:type="dxa"/>
            <w:tcBorders>
              <w:top w:val="single" w:sz="4" w:space="0" w:color="000000"/>
              <w:left w:val="single" w:sz="4" w:space="0" w:color="000000"/>
              <w:bottom w:val="nil" w:sz="6" w:space="0" w:color="auto"/>
              <w:right w:val="single" w:sz="4" w:space="0" w:color="000000"/>
            </w:tcBorders>
            <w:shd w:val="clear" w:color="auto" w:fill="D3D3D3"/>
          </w:tcPr>
          <w:p>
            <w:pPr/>
          </w:p>
        </w:tc>
        <w:tc>
          <w:tcPr>
            <w:tcW w:w="969" w:type="dxa"/>
            <w:tcBorders>
              <w:top w:val="single" w:sz="4" w:space="0" w:color="000000"/>
              <w:left w:val="single" w:sz="4" w:space="0" w:color="000000"/>
              <w:bottom w:val="nil" w:sz="6" w:space="0" w:color="auto"/>
              <w:right w:val="single" w:sz="4" w:space="0" w:color="000000"/>
            </w:tcBorders>
            <w:shd w:val="clear" w:color="auto" w:fill="D3D3D3"/>
          </w:tcPr>
          <w:p>
            <w:pPr/>
          </w:p>
        </w:tc>
        <w:tc>
          <w:tcPr>
            <w:tcW w:w="1004" w:type="dxa"/>
            <w:tcBorders>
              <w:top w:val="single" w:sz="4" w:space="0" w:color="000000"/>
              <w:left w:val="single" w:sz="4" w:space="0" w:color="000000"/>
              <w:bottom w:val="nil" w:sz="6" w:space="0" w:color="auto"/>
              <w:right w:val="single" w:sz="4" w:space="0" w:color="000000"/>
            </w:tcBorders>
            <w:shd w:val="clear" w:color="auto" w:fill="D3D3D3"/>
          </w:tcPr>
          <w:p>
            <w:pPr/>
          </w:p>
        </w:tc>
        <w:tc>
          <w:tcPr>
            <w:tcW w:w="10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49" w:right="89" w:hanging="360"/>
              <w:jc w:val="left"/>
              <w:rPr>
                <w:rFonts w:ascii="宋体" w:hAnsi="宋体" w:cs="宋体" w:eastAsia="宋体" w:hint="default"/>
                <w:sz w:val="18"/>
                <w:szCs w:val="18"/>
              </w:rPr>
            </w:pPr>
            <w:r>
              <w:rPr>
                <w:rFonts w:ascii="宋体" w:hAnsi="宋体" w:cs="宋体" w:eastAsia="宋体" w:hint="default"/>
                <w:sz w:val="18"/>
                <w:szCs w:val="18"/>
              </w:rPr>
              <w:t>最初投资成 本</w:t>
            </w:r>
          </w:p>
        </w:tc>
        <w:tc>
          <w:tcPr>
            <w:tcW w:w="9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91" w:right="29" w:hanging="360"/>
              <w:jc w:val="left"/>
              <w:rPr>
                <w:rFonts w:ascii="宋体" w:hAnsi="宋体" w:cs="宋体" w:eastAsia="宋体" w:hint="default"/>
                <w:sz w:val="18"/>
                <w:szCs w:val="18"/>
              </w:rPr>
            </w:pPr>
            <w:r>
              <w:rPr>
                <w:rFonts w:ascii="宋体" w:hAnsi="宋体" w:cs="宋体" w:eastAsia="宋体" w:hint="default"/>
                <w:sz w:val="18"/>
                <w:szCs w:val="18"/>
              </w:rPr>
              <w:t>会计计量模 式</w:t>
            </w:r>
          </w:p>
        </w:tc>
        <w:tc>
          <w:tcPr>
            <w:tcW w:w="10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51" w:right="89" w:hanging="360"/>
              <w:jc w:val="left"/>
              <w:rPr>
                <w:rFonts w:ascii="宋体" w:hAnsi="宋体" w:cs="宋体" w:eastAsia="宋体" w:hint="default"/>
                <w:sz w:val="18"/>
                <w:szCs w:val="18"/>
              </w:rPr>
            </w:pPr>
            <w:r>
              <w:rPr>
                <w:rFonts w:ascii="宋体" w:hAnsi="宋体" w:cs="宋体" w:eastAsia="宋体" w:hint="default"/>
                <w:sz w:val="18"/>
                <w:szCs w:val="18"/>
              </w:rPr>
              <w:t>期初账面价 值</w:t>
            </w:r>
          </w:p>
        </w:tc>
        <w:tc>
          <w:tcPr>
            <w:tcW w:w="9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7" w:right="26"/>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96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7" w:right="26"/>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9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87" w:right="26" w:hanging="360"/>
              <w:jc w:val="left"/>
              <w:rPr>
                <w:rFonts w:ascii="宋体" w:hAnsi="宋体" w:cs="宋体" w:eastAsia="宋体" w:hint="default"/>
                <w:sz w:val="18"/>
                <w:szCs w:val="18"/>
              </w:rPr>
            </w:pPr>
            <w:r>
              <w:rPr>
                <w:rFonts w:ascii="宋体" w:hAnsi="宋体" w:cs="宋体" w:eastAsia="宋体" w:hint="default"/>
                <w:sz w:val="18"/>
                <w:szCs w:val="18"/>
              </w:rPr>
              <w:t>本期购买金 额</w:t>
            </w:r>
          </w:p>
        </w:tc>
        <w:tc>
          <w:tcPr>
            <w:tcW w:w="10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51" w:right="89"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100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5" w:right="0"/>
              <w:jc w:val="left"/>
              <w:rPr>
                <w:rFonts w:ascii="宋体" w:hAnsi="宋体" w:cs="宋体" w:eastAsia="宋体" w:hint="default"/>
                <w:sz w:val="18"/>
                <w:szCs w:val="18"/>
              </w:rPr>
            </w:pPr>
            <w:r>
              <w:rPr>
                <w:rFonts w:ascii="宋体" w:hAnsi="宋体" w:cs="宋体" w:eastAsia="宋体" w:hint="default"/>
                <w:sz w:val="18"/>
                <w:szCs w:val="18"/>
              </w:rPr>
              <w:t>报告期损益</w:t>
            </w:r>
          </w:p>
        </w:tc>
        <w:tc>
          <w:tcPr>
            <w:tcW w:w="9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87" w:right="29" w:hanging="360"/>
              <w:jc w:val="left"/>
              <w:rPr>
                <w:rFonts w:ascii="宋体" w:hAnsi="宋体" w:cs="宋体" w:eastAsia="宋体" w:hint="default"/>
                <w:sz w:val="18"/>
                <w:szCs w:val="18"/>
              </w:rPr>
            </w:pPr>
            <w:r>
              <w:rPr>
                <w:rFonts w:ascii="宋体" w:hAnsi="宋体" w:cs="宋体" w:eastAsia="宋体" w:hint="default"/>
                <w:sz w:val="18"/>
                <w:szCs w:val="18"/>
              </w:rPr>
              <w:t>期末账面价 值</w:t>
            </w:r>
          </w:p>
        </w:tc>
        <w:tc>
          <w:tcPr>
            <w:tcW w:w="9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87" w:right="55" w:hanging="360"/>
              <w:jc w:val="left"/>
              <w:rPr>
                <w:rFonts w:ascii="宋体" w:hAnsi="宋体" w:cs="宋体" w:eastAsia="宋体" w:hint="default"/>
                <w:sz w:val="18"/>
                <w:szCs w:val="18"/>
              </w:rPr>
            </w:pPr>
            <w:r>
              <w:rPr>
                <w:rFonts w:ascii="宋体" w:hAnsi="宋体" w:cs="宋体" w:eastAsia="宋体" w:hint="default"/>
                <w:sz w:val="18"/>
                <w:szCs w:val="18"/>
              </w:rPr>
              <w:t>会计核算科 目</w:t>
            </w:r>
          </w:p>
        </w:tc>
        <w:tc>
          <w:tcPr>
            <w:tcW w:w="9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392" w:hRule="exact"/>
        </w:trPr>
        <w:tc>
          <w:tcPr>
            <w:tcW w:w="9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8" w:right="0"/>
              <w:jc w:val="left"/>
              <w:rPr>
                <w:rFonts w:ascii="宋体" w:hAnsi="宋体" w:cs="宋体" w:eastAsia="宋体" w:hint="default"/>
                <w:sz w:val="18"/>
                <w:szCs w:val="18"/>
              </w:rPr>
            </w:pPr>
            <w:r>
              <w:rPr>
                <w:rFonts w:ascii="宋体" w:hAnsi="宋体" w:cs="宋体" w:eastAsia="宋体" w:hint="default"/>
                <w:sz w:val="18"/>
                <w:szCs w:val="18"/>
              </w:rPr>
              <w:t>证券品种</w:t>
            </w:r>
          </w:p>
        </w:tc>
        <w:tc>
          <w:tcPr>
            <w:tcW w:w="9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8" w:right="0"/>
              <w:jc w:val="left"/>
              <w:rPr>
                <w:rFonts w:ascii="宋体" w:hAnsi="宋体" w:cs="宋体" w:eastAsia="宋体" w:hint="default"/>
                <w:sz w:val="18"/>
                <w:szCs w:val="18"/>
              </w:rPr>
            </w:pPr>
            <w:r>
              <w:rPr>
                <w:rFonts w:ascii="宋体" w:hAnsi="宋体" w:cs="宋体" w:eastAsia="宋体" w:hint="default"/>
                <w:sz w:val="18"/>
                <w:szCs w:val="18"/>
              </w:rPr>
              <w:t>证券代码</w:t>
            </w:r>
          </w:p>
        </w:tc>
        <w:tc>
          <w:tcPr>
            <w:tcW w:w="100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1091" w:type="dxa"/>
            <w:vMerge/>
            <w:tcBorders>
              <w:left w:val="single" w:sz="4" w:space="0" w:color="000000"/>
              <w:right w:val="single" w:sz="4" w:space="0" w:color="000000"/>
            </w:tcBorders>
            <w:shd w:val="clear" w:color="auto" w:fill="D3D3D3"/>
          </w:tcPr>
          <w:p>
            <w:pPr/>
          </w:p>
        </w:tc>
        <w:tc>
          <w:tcPr>
            <w:tcW w:w="972" w:type="dxa"/>
            <w:vMerge/>
            <w:tcBorders>
              <w:left w:val="single" w:sz="4" w:space="0" w:color="000000"/>
              <w:right w:val="single" w:sz="4" w:space="0" w:color="000000"/>
            </w:tcBorders>
            <w:shd w:val="clear" w:color="auto" w:fill="D3D3D3"/>
          </w:tcPr>
          <w:p>
            <w:pPr/>
          </w:p>
        </w:tc>
        <w:tc>
          <w:tcPr>
            <w:tcW w:w="1092" w:type="dxa"/>
            <w:vMerge/>
            <w:tcBorders>
              <w:left w:val="single" w:sz="4" w:space="0" w:color="000000"/>
              <w:right w:val="single" w:sz="4" w:space="0" w:color="000000"/>
            </w:tcBorders>
            <w:shd w:val="clear" w:color="auto" w:fill="D3D3D3"/>
          </w:tcPr>
          <w:p>
            <w:pPr/>
          </w:p>
        </w:tc>
        <w:tc>
          <w:tcPr>
            <w:tcW w:w="966" w:type="dxa"/>
            <w:vMerge/>
            <w:tcBorders>
              <w:left w:val="single" w:sz="4" w:space="0" w:color="000000"/>
              <w:right w:val="single" w:sz="4" w:space="0" w:color="000000"/>
            </w:tcBorders>
            <w:shd w:val="clear" w:color="auto" w:fill="D3D3D3"/>
          </w:tcPr>
          <w:p>
            <w:pPr/>
          </w:p>
        </w:tc>
        <w:tc>
          <w:tcPr>
            <w:tcW w:w="966" w:type="dxa"/>
            <w:vMerge/>
            <w:tcBorders>
              <w:left w:val="single" w:sz="4" w:space="0" w:color="000000"/>
              <w:right w:val="single" w:sz="4" w:space="0" w:color="000000"/>
            </w:tcBorders>
            <w:shd w:val="clear" w:color="auto" w:fill="D3D3D3"/>
          </w:tcPr>
          <w:p>
            <w:pPr/>
          </w:p>
        </w:tc>
        <w:tc>
          <w:tcPr>
            <w:tcW w:w="966" w:type="dxa"/>
            <w:vMerge/>
            <w:tcBorders>
              <w:left w:val="single" w:sz="4" w:space="0" w:color="000000"/>
              <w:right w:val="single" w:sz="4" w:space="0" w:color="000000"/>
            </w:tcBorders>
            <w:shd w:val="clear" w:color="auto" w:fill="D3D3D3"/>
          </w:tcPr>
          <w:p>
            <w:pPr/>
          </w:p>
        </w:tc>
        <w:tc>
          <w:tcPr>
            <w:tcW w:w="1092"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967" w:type="dxa"/>
            <w:vMerge/>
            <w:tcBorders>
              <w:left w:val="single" w:sz="4" w:space="0" w:color="000000"/>
              <w:right w:val="single" w:sz="4" w:space="0" w:color="000000"/>
            </w:tcBorders>
            <w:shd w:val="clear" w:color="auto" w:fill="D3D3D3"/>
          </w:tcPr>
          <w:p>
            <w:pPr/>
          </w:p>
        </w:tc>
        <w:tc>
          <w:tcPr>
            <w:tcW w:w="995" w:type="dxa"/>
            <w:vMerge/>
            <w:tcBorders>
              <w:left w:val="single" w:sz="4" w:space="0" w:color="000000"/>
              <w:right w:val="single" w:sz="4" w:space="0" w:color="000000"/>
            </w:tcBorders>
            <w:shd w:val="clear" w:color="auto" w:fill="D3D3D3"/>
          </w:tcPr>
          <w:p>
            <w:pPr/>
          </w:p>
        </w:tc>
        <w:tc>
          <w:tcPr>
            <w:tcW w:w="964" w:type="dxa"/>
            <w:vMerge/>
            <w:tcBorders>
              <w:left w:val="single" w:sz="4" w:space="0" w:color="000000"/>
              <w:right w:val="single" w:sz="4" w:space="0" w:color="000000"/>
            </w:tcBorders>
            <w:shd w:val="clear" w:color="auto" w:fill="D3D3D3"/>
          </w:tcPr>
          <w:p>
            <w:pPr/>
          </w:p>
        </w:tc>
      </w:tr>
      <w:tr>
        <w:trPr>
          <w:trHeight w:val="317" w:hRule="exact"/>
        </w:trPr>
        <w:tc>
          <w:tcPr>
            <w:tcW w:w="969" w:type="dxa"/>
            <w:tcBorders>
              <w:top w:val="nil" w:sz="6" w:space="0" w:color="auto"/>
              <w:left w:val="single" w:sz="4" w:space="0" w:color="000000"/>
              <w:bottom w:val="single" w:sz="4" w:space="0" w:color="000000"/>
              <w:right w:val="single" w:sz="4" w:space="0" w:color="000000"/>
            </w:tcBorders>
            <w:shd w:val="clear" w:color="auto" w:fill="D3D3D3"/>
          </w:tcPr>
          <w:p>
            <w:pPr/>
          </w:p>
        </w:tc>
        <w:tc>
          <w:tcPr>
            <w:tcW w:w="969" w:type="dxa"/>
            <w:tcBorders>
              <w:top w:val="nil" w:sz="6" w:space="0" w:color="auto"/>
              <w:left w:val="single" w:sz="4" w:space="0" w:color="000000"/>
              <w:bottom w:val="single" w:sz="4" w:space="0" w:color="000000"/>
              <w:right w:val="single" w:sz="4" w:space="0" w:color="000000"/>
            </w:tcBorders>
            <w:shd w:val="clear" w:color="auto" w:fill="D3D3D3"/>
          </w:tcPr>
          <w:p>
            <w:pPr/>
          </w:p>
        </w:tc>
        <w:tc>
          <w:tcPr>
            <w:tcW w:w="1004" w:type="dxa"/>
            <w:tcBorders>
              <w:top w:val="nil" w:sz="6" w:space="0" w:color="auto"/>
              <w:left w:val="single" w:sz="4" w:space="0" w:color="000000"/>
              <w:bottom w:val="single" w:sz="4" w:space="0" w:color="000000"/>
              <w:right w:val="single" w:sz="4" w:space="0" w:color="000000"/>
            </w:tcBorders>
            <w:shd w:val="clear" w:color="auto" w:fill="D3D3D3"/>
          </w:tcPr>
          <w:p>
            <w:pPr/>
          </w:p>
        </w:tc>
        <w:tc>
          <w:tcPr>
            <w:tcW w:w="1091" w:type="dxa"/>
            <w:vMerge/>
            <w:tcBorders>
              <w:left w:val="single" w:sz="4" w:space="0" w:color="000000"/>
              <w:bottom w:val="single" w:sz="4" w:space="0" w:color="000000"/>
              <w:right w:val="single" w:sz="4" w:space="0" w:color="000000"/>
            </w:tcBorders>
            <w:shd w:val="clear" w:color="auto" w:fill="D3D3D3"/>
          </w:tcPr>
          <w:p>
            <w:pPr/>
          </w:p>
        </w:tc>
        <w:tc>
          <w:tcPr>
            <w:tcW w:w="972" w:type="dxa"/>
            <w:vMerge/>
            <w:tcBorders>
              <w:left w:val="single" w:sz="4" w:space="0" w:color="000000"/>
              <w:bottom w:val="single" w:sz="4" w:space="0" w:color="000000"/>
              <w:right w:val="single" w:sz="4" w:space="0" w:color="000000"/>
            </w:tcBorders>
            <w:shd w:val="clear" w:color="auto" w:fill="D3D3D3"/>
          </w:tcPr>
          <w:p>
            <w:pPr/>
          </w:p>
        </w:tc>
        <w:tc>
          <w:tcPr>
            <w:tcW w:w="1092" w:type="dxa"/>
            <w:vMerge/>
            <w:tcBorders>
              <w:left w:val="single" w:sz="4" w:space="0" w:color="000000"/>
              <w:bottom w:val="single" w:sz="4" w:space="0" w:color="000000"/>
              <w:right w:val="single" w:sz="4" w:space="0" w:color="000000"/>
            </w:tcBorders>
            <w:shd w:val="clear" w:color="auto" w:fill="D3D3D3"/>
          </w:tcPr>
          <w:p>
            <w:pPr/>
          </w:p>
        </w:tc>
        <w:tc>
          <w:tcPr>
            <w:tcW w:w="966" w:type="dxa"/>
            <w:vMerge/>
            <w:tcBorders>
              <w:left w:val="single" w:sz="4" w:space="0" w:color="000000"/>
              <w:bottom w:val="single" w:sz="4" w:space="0" w:color="000000"/>
              <w:right w:val="single" w:sz="4" w:space="0" w:color="000000"/>
            </w:tcBorders>
            <w:shd w:val="clear" w:color="auto" w:fill="D3D3D3"/>
          </w:tcPr>
          <w:p>
            <w:pPr/>
          </w:p>
        </w:tc>
        <w:tc>
          <w:tcPr>
            <w:tcW w:w="966" w:type="dxa"/>
            <w:vMerge/>
            <w:tcBorders>
              <w:left w:val="single" w:sz="4" w:space="0" w:color="000000"/>
              <w:bottom w:val="single" w:sz="4" w:space="0" w:color="000000"/>
              <w:right w:val="single" w:sz="4" w:space="0" w:color="000000"/>
            </w:tcBorders>
            <w:shd w:val="clear" w:color="auto" w:fill="D3D3D3"/>
          </w:tcPr>
          <w:p>
            <w:pPr/>
          </w:p>
        </w:tc>
        <w:tc>
          <w:tcPr>
            <w:tcW w:w="966" w:type="dxa"/>
            <w:vMerge/>
            <w:tcBorders>
              <w:left w:val="single" w:sz="4" w:space="0" w:color="000000"/>
              <w:bottom w:val="single" w:sz="4" w:space="0" w:color="000000"/>
              <w:right w:val="single" w:sz="4" w:space="0" w:color="000000"/>
            </w:tcBorders>
            <w:shd w:val="clear" w:color="auto" w:fill="D3D3D3"/>
          </w:tcPr>
          <w:p>
            <w:pPr/>
          </w:p>
        </w:tc>
        <w:tc>
          <w:tcPr>
            <w:tcW w:w="1092" w:type="dxa"/>
            <w:vMerge/>
            <w:tcBorders>
              <w:left w:val="single" w:sz="4" w:space="0" w:color="000000"/>
              <w:bottom w:val="single" w:sz="4" w:space="0" w:color="000000"/>
              <w:right w:val="single" w:sz="4" w:space="0" w:color="000000"/>
            </w:tcBorders>
            <w:shd w:val="clear" w:color="auto" w:fill="D3D3D3"/>
          </w:tcPr>
          <w:p>
            <w:pPr/>
          </w:p>
        </w:tc>
        <w:tc>
          <w:tcPr>
            <w:tcW w:w="1001" w:type="dxa"/>
            <w:vMerge/>
            <w:tcBorders>
              <w:left w:val="single" w:sz="4" w:space="0" w:color="000000"/>
              <w:bottom w:val="single" w:sz="4" w:space="0" w:color="000000"/>
              <w:right w:val="single" w:sz="4" w:space="0" w:color="000000"/>
            </w:tcBorders>
            <w:shd w:val="clear" w:color="auto" w:fill="D3D3D3"/>
          </w:tcPr>
          <w:p>
            <w:pPr/>
          </w:p>
        </w:tc>
        <w:tc>
          <w:tcPr>
            <w:tcW w:w="967" w:type="dxa"/>
            <w:vMerge/>
            <w:tcBorders>
              <w:left w:val="single" w:sz="4" w:space="0" w:color="000000"/>
              <w:bottom w:val="single" w:sz="4" w:space="0" w:color="000000"/>
              <w:right w:val="single" w:sz="4" w:space="0" w:color="000000"/>
            </w:tcBorders>
            <w:shd w:val="clear" w:color="auto" w:fill="D3D3D3"/>
          </w:tcPr>
          <w:p>
            <w:pPr/>
          </w:p>
        </w:tc>
        <w:tc>
          <w:tcPr>
            <w:tcW w:w="995" w:type="dxa"/>
            <w:vMerge/>
            <w:tcBorders>
              <w:left w:val="single" w:sz="4" w:space="0" w:color="000000"/>
              <w:bottom w:val="single" w:sz="4" w:space="0" w:color="000000"/>
              <w:right w:val="single" w:sz="4" w:space="0" w:color="000000"/>
            </w:tcBorders>
            <w:shd w:val="clear" w:color="auto" w:fill="D3D3D3"/>
          </w:tcPr>
          <w:p>
            <w:pPr/>
          </w:p>
        </w:tc>
        <w:tc>
          <w:tcPr>
            <w:tcW w:w="964"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9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851890</w:t>
            </w:r>
          </w:p>
        </w:tc>
        <w:tc>
          <w:tcPr>
            <w:tcW w:w="10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年年鑫</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4,800,000.00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36"/>
              <w:jc w:val="left"/>
              <w:rPr>
                <w:rFonts w:ascii="宋体" w:hAnsi="宋体" w:cs="宋体" w:eastAsia="宋体" w:hint="default"/>
                <w:sz w:val="18"/>
                <w:szCs w:val="18"/>
              </w:rPr>
            </w:pPr>
            <w:r>
              <w:rPr>
                <w:rFonts w:ascii="宋体" w:hAnsi="宋体" w:cs="宋体" w:eastAsia="宋体" w:hint="default"/>
                <w:sz w:val="18"/>
                <w:szCs w:val="18"/>
              </w:rPr>
              <w:t>公允价值计 量</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5,001,500.00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5,128,753.47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127,253.47</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95" w:type="dxa"/>
            <w:tcBorders>
              <w:top w:val="single" w:sz="4" w:space="0" w:color="000000"/>
              <w:left w:val="single" w:sz="4" w:space="0" w:color="000000"/>
              <w:bottom w:val="single" w:sz="4" w:space="0" w:color="000000"/>
              <w:right w:val="single" w:sz="10" w:space="0" w:color="C7EDCC"/>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交易性金融 资产</w:t>
            </w:r>
          </w:p>
        </w:tc>
        <w:tc>
          <w:tcPr>
            <w:tcW w:w="9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4" w:hRule="exact"/>
        </w:trPr>
        <w:tc>
          <w:tcPr>
            <w:tcW w:w="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9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851830</w:t>
            </w:r>
          </w:p>
        </w:tc>
        <w:tc>
          <w:tcPr>
            <w:tcW w:w="10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季季鑫</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4,300,000.00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36"/>
              <w:jc w:val="left"/>
              <w:rPr>
                <w:rFonts w:ascii="宋体" w:hAnsi="宋体" w:cs="宋体" w:eastAsia="宋体" w:hint="default"/>
                <w:sz w:val="18"/>
                <w:szCs w:val="18"/>
              </w:rPr>
            </w:pPr>
            <w:r>
              <w:rPr>
                <w:rFonts w:ascii="宋体" w:hAnsi="宋体" w:cs="宋体" w:eastAsia="宋体" w:hint="default"/>
                <w:sz w:val="18"/>
                <w:szCs w:val="18"/>
              </w:rPr>
              <w:t>公允价值计 量</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4,401,320.00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4,499,963.28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98,643.28</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95" w:type="dxa"/>
            <w:tcBorders>
              <w:top w:val="single" w:sz="4" w:space="0" w:color="000000"/>
              <w:left w:val="single" w:sz="4" w:space="0" w:color="000000"/>
              <w:bottom w:val="single" w:sz="4" w:space="0" w:color="000000"/>
              <w:right w:val="single" w:sz="10" w:space="0" w:color="C7EDCC"/>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交易性金融 资产</w:t>
            </w:r>
          </w:p>
        </w:tc>
        <w:tc>
          <w:tcPr>
            <w:tcW w:w="9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4" w:hRule="exact"/>
        </w:trPr>
        <w:tc>
          <w:tcPr>
            <w:tcW w:w="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9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851860</w:t>
            </w:r>
          </w:p>
        </w:tc>
        <w:tc>
          <w:tcPr>
            <w:tcW w:w="10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半年鑫</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4,150,000.00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36"/>
              <w:jc w:val="left"/>
              <w:rPr>
                <w:rFonts w:ascii="宋体" w:hAnsi="宋体" w:cs="宋体" w:eastAsia="宋体" w:hint="default"/>
                <w:sz w:val="18"/>
                <w:szCs w:val="18"/>
              </w:rPr>
            </w:pPr>
            <w:r>
              <w:rPr>
                <w:rFonts w:ascii="宋体" w:hAnsi="宋体" w:cs="宋体" w:eastAsia="宋体" w:hint="default"/>
                <w:sz w:val="18"/>
                <w:szCs w:val="18"/>
              </w:rPr>
              <w:t>公允价值计 量</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4,201,260.00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4,330,604.65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129,344.65</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95" w:type="dxa"/>
            <w:tcBorders>
              <w:top w:val="single" w:sz="4" w:space="0" w:color="000000"/>
              <w:left w:val="single" w:sz="4" w:space="0" w:color="000000"/>
              <w:bottom w:val="single" w:sz="4" w:space="0" w:color="000000"/>
              <w:right w:val="single" w:sz="10" w:space="0" w:color="C7EDCC"/>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交易性金融 资产</w:t>
            </w:r>
          </w:p>
        </w:tc>
        <w:tc>
          <w:tcPr>
            <w:tcW w:w="9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4" w:hRule="exact"/>
        </w:trPr>
        <w:tc>
          <w:tcPr>
            <w:tcW w:w="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债券</w:t>
            </w:r>
          </w:p>
        </w:tc>
        <w:tc>
          <w:tcPr>
            <w:tcW w:w="9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w:t>
            </w:r>
          </w:p>
        </w:tc>
        <w:tc>
          <w:tcPr>
            <w:tcW w:w="10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国债回购</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2,800,500.00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36"/>
              <w:jc w:val="left"/>
              <w:rPr>
                <w:rFonts w:ascii="宋体" w:hAnsi="宋体" w:cs="宋体" w:eastAsia="宋体" w:hint="default"/>
                <w:sz w:val="18"/>
                <w:szCs w:val="18"/>
              </w:rPr>
            </w:pPr>
            <w:r>
              <w:rPr>
                <w:rFonts w:ascii="宋体" w:hAnsi="宋体" w:cs="宋体" w:eastAsia="宋体" w:hint="default"/>
                <w:sz w:val="18"/>
                <w:szCs w:val="18"/>
              </w:rPr>
              <w:t>公允价值计 量</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2,800,500.00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2,814,125.31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13,625.31</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95" w:type="dxa"/>
            <w:tcBorders>
              <w:top w:val="single" w:sz="4" w:space="0" w:color="000000"/>
              <w:left w:val="single" w:sz="4" w:space="0" w:color="000000"/>
              <w:bottom w:val="single" w:sz="4" w:space="0" w:color="000000"/>
              <w:right w:val="single" w:sz="10" w:space="0" w:color="C7EDCC"/>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交易性金融 资产</w:t>
            </w:r>
          </w:p>
        </w:tc>
        <w:tc>
          <w:tcPr>
            <w:tcW w:w="9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4" w:hRule="exact"/>
        </w:trPr>
        <w:tc>
          <w:tcPr>
            <w:tcW w:w="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债券</w:t>
            </w:r>
          </w:p>
        </w:tc>
        <w:tc>
          <w:tcPr>
            <w:tcW w:w="9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851994</w:t>
            </w:r>
          </w:p>
        </w:tc>
        <w:tc>
          <w:tcPr>
            <w:tcW w:w="10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海通月月盈</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36"/>
              <w:jc w:val="left"/>
              <w:rPr>
                <w:rFonts w:ascii="宋体" w:hAnsi="宋体" w:cs="宋体" w:eastAsia="宋体" w:hint="default"/>
                <w:sz w:val="18"/>
                <w:szCs w:val="18"/>
              </w:rPr>
            </w:pPr>
            <w:r>
              <w:rPr>
                <w:rFonts w:ascii="宋体" w:hAnsi="宋体" w:cs="宋体" w:eastAsia="宋体" w:hint="default"/>
                <w:sz w:val="18"/>
                <w:szCs w:val="18"/>
              </w:rPr>
              <w:t>公允价值计 量</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2,554,884.67</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2,601,450.99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46,566.32</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95" w:type="dxa"/>
            <w:tcBorders>
              <w:top w:val="single" w:sz="4" w:space="0" w:color="000000"/>
              <w:left w:val="single" w:sz="4" w:space="0" w:color="000000"/>
              <w:bottom w:val="single" w:sz="4" w:space="0" w:color="000000"/>
              <w:right w:val="single" w:sz="10" w:space="0" w:color="C7EDCC"/>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交易性金融 资产</w:t>
            </w:r>
          </w:p>
        </w:tc>
        <w:tc>
          <w:tcPr>
            <w:tcW w:w="9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4" w:hRule="exact"/>
        </w:trPr>
        <w:tc>
          <w:tcPr>
            <w:tcW w:w="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9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pacing w:val="-3"/>
                <w:sz w:val="18"/>
              </w:rPr>
              <w:t>s11419</w:t>
            </w:r>
            <w:r>
              <w:rPr>
                <w:rFonts w:ascii="Times New Roman"/>
                <w:sz w:val="18"/>
              </w:rPr>
            </w:r>
          </w:p>
        </w:tc>
        <w:tc>
          <w:tcPr>
            <w:tcW w:w="10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海通海富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份额</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36"/>
              <w:jc w:val="left"/>
              <w:rPr>
                <w:rFonts w:ascii="宋体" w:hAnsi="宋体" w:cs="宋体" w:eastAsia="宋体" w:hint="default"/>
                <w:sz w:val="18"/>
                <w:szCs w:val="18"/>
              </w:rPr>
            </w:pPr>
            <w:r>
              <w:rPr>
                <w:rFonts w:ascii="宋体" w:hAnsi="宋体" w:cs="宋体" w:eastAsia="宋体" w:hint="default"/>
                <w:sz w:val="18"/>
                <w:szCs w:val="18"/>
              </w:rPr>
              <w:t>公允价值计 量</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2,148,440.00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2,162,880.00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14,440.00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95" w:type="dxa"/>
            <w:tcBorders>
              <w:top w:val="single" w:sz="4" w:space="0" w:color="000000"/>
              <w:left w:val="single" w:sz="4" w:space="0" w:color="000000"/>
              <w:bottom w:val="single" w:sz="4" w:space="0" w:color="000000"/>
              <w:right w:val="single" w:sz="10" w:space="0" w:color="C7EDCC"/>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交易性金融 资产</w:t>
            </w:r>
          </w:p>
        </w:tc>
        <w:tc>
          <w:tcPr>
            <w:tcW w:w="9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1026" w:hRule="exact"/>
        </w:trPr>
        <w:tc>
          <w:tcPr>
            <w:tcW w:w="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9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s40257</w:t>
            </w:r>
          </w:p>
        </w:tc>
        <w:tc>
          <w:tcPr>
            <w:tcW w:w="10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9" w:lineRule="auto" w:before="51"/>
              <w:ind w:left="22" w:right="25"/>
              <w:jc w:val="both"/>
              <w:rPr>
                <w:rFonts w:ascii="宋体" w:hAnsi="宋体" w:cs="宋体" w:eastAsia="宋体" w:hint="default"/>
                <w:sz w:val="18"/>
                <w:szCs w:val="18"/>
              </w:rPr>
            </w:pPr>
            <w:r>
              <w:rPr>
                <w:rFonts w:ascii="宋体" w:hAnsi="宋体" w:cs="宋体" w:eastAsia="宋体" w:hint="default"/>
                <w:sz w:val="18"/>
                <w:szCs w:val="18"/>
              </w:rPr>
              <w:t>海通海富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号优先级第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36"/>
              <w:jc w:val="left"/>
              <w:rPr>
                <w:rFonts w:ascii="宋体" w:hAnsi="宋体" w:cs="宋体" w:eastAsia="宋体" w:hint="default"/>
                <w:sz w:val="18"/>
                <w:szCs w:val="18"/>
              </w:rPr>
            </w:pPr>
            <w:r>
              <w:rPr>
                <w:rFonts w:ascii="宋体" w:hAnsi="宋体" w:cs="宋体" w:eastAsia="宋体" w:hint="default"/>
                <w:sz w:val="18"/>
                <w:szCs w:val="18"/>
              </w:rPr>
              <w:t>公允价值计 量</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1,021,860.00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1,071,160.00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49,300.00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95" w:type="dxa"/>
            <w:tcBorders>
              <w:top w:val="single" w:sz="4" w:space="0" w:color="000000"/>
              <w:left w:val="single" w:sz="4" w:space="0" w:color="000000"/>
              <w:bottom w:val="single" w:sz="4" w:space="0" w:color="000000"/>
              <w:right w:val="single" w:sz="10" w:space="0" w:color="C7EDCC"/>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交易性金融 资产</w:t>
            </w:r>
          </w:p>
        </w:tc>
        <w:tc>
          <w:tcPr>
            <w:tcW w:w="9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 w:right="0"/>
              <w:jc w:val="left"/>
              <w:rPr>
                <w:rFonts w:ascii="宋体" w:hAnsi="宋体" w:cs="宋体" w:eastAsia="宋体" w:hint="default"/>
                <w:sz w:val="18"/>
                <w:szCs w:val="18"/>
              </w:rPr>
            </w:pPr>
            <w:r>
              <w:rPr>
                <w:rFonts w:ascii="宋体" w:hAnsi="宋体" w:cs="宋体" w:eastAsia="宋体" w:hint="default"/>
                <w:sz w:val="18"/>
                <w:szCs w:val="18"/>
              </w:rPr>
              <w:t>自有资金</w:t>
            </w:r>
          </w:p>
        </w:tc>
      </w:tr>
    </w:tbl>
    <w:p>
      <w:pPr>
        <w:spacing w:after="0" w:line="240" w:lineRule="auto"/>
        <w:jc w:val="left"/>
        <w:rPr>
          <w:rFonts w:ascii="宋体" w:hAnsi="宋体" w:cs="宋体" w:eastAsia="宋体" w:hint="default"/>
          <w:sz w:val="18"/>
          <w:szCs w:val="18"/>
        </w:rPr>
        <w:sectPr>
          <w:pgSz w:w="16840" w:h="11910" w:orient="landscape"/>
          <w:pgMar w:header="867" w:footer="978" w:top="1060" w:bottom="1160" w:left="1300" w:right="130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tbl>
      <w:tblPr>
        <w:tblW w:w="0" w:type="auto"/>
        <w:jc w:val="left"/>
        <w:tblInd w:w="107" w:type="dxa"/>
        <w:tblLayout w:type="fixed"/>
        <w:tblCellMar>
          <w:top w:w="0" w:type="dxa"/>
          <w:left w:w="0" w:type="dxa"/>
          <w:bottom w:w="0" w:type="dxa"/>
          <w:right w:w="0" w:type="dxa"/>
        </w:tblCellMar>
        <w:tblLook w:val="01E0"/>
      </w:tblPr>
      <w:tblGrid>
        <w:gridCol w:w="969"/>
        <w:gridCol w:w="969"/>
        <w:gridCol w:w="1004"/>
        <w:gridCol w:w="1091"/>
        <w:gridCol w:w="972"/>
        <w:gridCol w:w="1092"/>
        <w:gridCol w:w="966"/>
        <w:gridCol w:w="966"/>
        <w:gridCol w:w="966"/>
        <w:gridCol w:w="1092"/>
        <w:gridCol w:w="1001"/>
        <w:gridCol w:w="967"/>
        <w:gridCol w:w="978"/>
        <w:gridCol w:w="981"/>
      </w:tblGrid>
      <w:tr>
        <w:trPr>
          <w:trHeight w:val="709" w:hRule="exact"/>
        </w:trPr>
        <w:tc>
          <w:tcPr>
            <w:tcW w:w="9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969"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202009</w:t>
            </w:r>
          </w:p>
        </w:tc>
        <w:tc>
          <w:tcPr>
            <w:tcW w:w="100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南方盛元</w:t>
            </w:r>
          </w:p>
        </w:tc>
        <w:tc>
          <w:tcPr>
            <w:tcW w:w="10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500,000.00</w:t>
            </w:r>
          </w:p>
        </w:tc>
        <w:tc>
          <w:tcPr>
            <w:tcW w:w="972" w:type="dxa"/>
            <w:tcBorders>
              <w:top w:val="nil" w:sz="6" w:space="0" w:color="auto"/>
              <w:left w:val="single" w:sz="4" w:space="0" w:color="000000"/>
              <w:bottom w:val="single" w:sz="4" w:space="0" w:color="000000"/>
              <w:right w:val="single" w:sz="4" w:space="0" w:color="000000"/>
            </w:tcBorders>
          </w:tcPr>
          <w:p>
            <w:pPr>
              <w:pStyle w:val="TableParagraph"/>
              <w:spacing w:line="319" w:lineRule="auto" w:before="51"/>
              <w:ind w:left="23" w:right="36"/>
              <w:jc w:val="left"/>
              <w:rPr>
                <w:rFonts w:ascii="宋体" w:hAnsi="宋体" w:cs="宋体" w:eastAsia="宋体" w:hint="default"/>
                <w:sz w:val="18"/>
                <w:szCs w:val="18"/>
              </w:rPr>
            </w:pPr>
            <w:r>
              <w:rPr>
                <w:rFonts w:ascii="宋体" w:hAnsi="宋体" w:cs="宋体" w:eastAsia="宋体" w:hint="default"/>
                <w:sz w:val="18"/>
                <w:szCs w:val="18"/>
              </w:rPr>
              <w:t>公允价值计 量</w:t>
            </w:r>
          </w:p>
        </w:tc>
        <w:tc>
          <w:tcPr>
            <w:tcW w:w="10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490,006.05</w:t>
            </w:r>
          </w:p>
        </w:tc>
        <w:tc>
          <w:tcPr>
            <w:tcW w:w="9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717,950.34</w:t>
            </w:r>
          </w:p>
        </w:tc>
        <w:tc>
          <w:tcPr>
            <w:tcW w:w="10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227,944.29</w:t>
            </w:r>
          </w:p>
        </w:tc>
        <w:tc>
          <w:tcPr>
            <w:tcW w:w="9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78" w:type="dxa"/>
            <w:tcBorders>
              <w:top w:val="nil" w:sz="6" w:space="0" w:color="auto"/>
              <w:left w:val="single" w:sz="4" w:space="0" w:color="000000"/>
              <w:bottom w:val="single" w:sz="4" w:space="0" w:color="000000"/>
              <w:right w:val="single" w:sz="10" w:space="0" w:color="C7EDCC"/>
            </w:tcBorders>
          </w:tcPr>
          <w:p>
            <w:pPr>
              <w:pStyle w:val="TableParagraph"/>
              <w:spacing w:line="319" w:lineRule="auto" w:before="51"/>
              <w:ind w:left="22" w:right="36"/>
              <w:jc w:val="left"/>
              <w:rPr>
                <w:rFonts w:ascii="宋体" w:hAnsi="宋体" w:cs="宋体" w:eastAsia="宋体" w:hint="default"/>
                <w:sz w:val="18"/>
                <w:szCs w:val="18"/>
              </w:rPr>
            </w:pPr>
            <w:r>
              <w:rPr>
                <w:rFonts w:ascii="宋体" w:hAnsi="宋体" w:cs="宋体" w:eastAsia="宋体" w:hint="default"/>
                <w:sz w:val="18"/>
                <w:szCs w:val="18"/>
              </w:rPr>
              <w:t>交易性金融 资产</w:t>
            </w:r>
          </w:p>
        </w:tc>
        <w:tc>
          <w:tcPr>
            <w:tcW w:w="981"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4" w:hRule="exact"/>
        </w:trPr>
        <w:tc>
          <w:tcPr>
            <w:tcW w:w="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9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16105</w:t>
            </w:r>
          </w:p>
        </w:tc>
        <w:tc>
          <w:tcPr>
            <w:tcW w:w="10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富国基金</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492,610.84</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36"/>
              <w:jc w:val="left"/>
              <w:rPr>
                <w:rFonts w:ascii="宋体" w:hAnsi="宋体" w:cs="宋体" w:eastAsia="宋体" w:hint="default"/>
                <w:sz w:val="18"/>
                <w:szCs w:val="18"/>
              </w:rPr>
            </w:pPr>
            <w:r>
              <w:rPr>
                <w:rFonts w:ascii="宋体" w:hAnsi="宋体" w:cs="宋体" w:eastAsia="宋体" w:hint="default"/>
                <w:sz w:val="18"/>
                <w:szCs w:val="18"/>
              </w:rPr>
              <w:t>公允价值计 量</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706,805.22</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1,192,981.53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486,176.31</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78" w:type="dxa"/>
            <w:tcBorders>
              <w:top w:val="single" w:sz="4" w:space="0" w:color="000000"/>
              <w:left w:val="single" w:sz="4" w:space="0" w:color="000000"/>
              <w:bottom w:val="single" w:sz="4" w:space="0" w:color="000000"/>
              <w:right w:val="single" w:sz="10" w:space="0" w:color="C7EDCC"/>
            </w:tcBorders>
          </w:tcPr>
          <w:p>
            <w:pPr>
              <w:pStyle w:val="TableParagraph"/>
              <w:spacing w:line="319" w:lineRule="auto" w:before="51"/>
              <w:ind w:left="22" w:right="36"/>
              <w:jc w:val="left"/>
              <w:rPr>
                <w:rFonts w:ascii="宋体" w:hAnsi="宋体" w:cs="宋体" w:eastAsia="宋体" w:hint="default"/>
                <w:sz w:val="18"/>
                <w:szCs w:val="18"/>
              </w:rPr>
            </w:pPr>
            <w:r>
              <w:rPr>
                <w:rFonts w:ascii="宋体" w:hAnsi="宋体" w:cs="宋体" w:eastAsia="宋体" w:hint="default"/>
                <w:sz w:val="18"/>
                <w:szCs w:val="18"/>
              </w:rPr>
              <w:t>交易性金融 资产</w:t>
            </w:r>
          </w:p>
        </w:tc>
        <w:tc>
          <w:tcPr>
            <w:tcW w:w="9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4" w:hRule="exact"/>
        </w:trPr>
        <w:tc>
          <w:tcPr>
            <w:tcW w:w="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基金</w:t>
            </w:r>
          </w:p>
        </w:tc>
        <w:tc>
          <w:tcPr>
            <w:tcW w:w="9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830318</w:t>
            </w:r>
          </w:p>
        </w:tc>
        <w:tc>
          <w:tcPr>
            <w:tcW w:w="10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中银</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QD03</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296,442.69</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36"/>
              <w:jc w:val="left"/>
              <w:rPr>
                <w:rFonts w:ascii="宋体" w:hAnsi="宋体" w:cs="宋体" w:eastAsia="宋体" w:hint="default"/>
                <w:sz w:val="18"/>
                <w:szCs w:val="18"/>
              </w:rPr>
            </w:pPr>
            <w:r>
              <w:rPr>
                <w:rFonts w:ascii="宋体" w:hAnsi="宋体" w:cs="宋体" w:eastAsia="宋体" w:hint="default"/>
                <w:sz w:val="18"/>
                <w:szCs w:val="18"/>
              </w:rPr>
              <w:t>公允价值计 量</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321,581.19</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365,284.51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43,703.32</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978" w:type="dxa"/>
            <w:tcBorders>
              <w:top w:val="single" w:sz="4" w:space="0" w:color="000000"/>
              <w:left w:val="single" w:sz="4" w:space="0" w:color="000000"/>
              <w:bottom w:val="single" w:sz="4" w:space="0" w:color="000000"/>
              <w:right w:val="single" w:sz="10" w:space="0" w:color="C7EDCC"/>
            </w:tcBorders>
          </w:tcPr>
          <w:p>
            <w:pPr>
              <w:pStyle w:val="TableParagraph"/>
              <w:spacing w:line="319" w:lineRule="auto" w:before="51"/>
              <w:ind w:left="22" w:right="36"/>
              <w:jc w:val="left"/>
              <w:rPr>
                <w:rFonts w:ascii="宋体" w:hAnsi="宋体" w:cs="宋体" w:eastAsia="宋体" w:hint="default"/>
                <w:sz w:val="18"/>
                <w:szCs w:val="18"/>
              </w:rPr>
            </w:pPr>
            <w:r>
              <w:rPr>
                <w:rFonts w:ascii="宋体" w:hAnsi="宋体" w:cs="宋体" w:eastAsia="宋体" w:hint="default"/>
                <w:sz w:val="18"/>
                <w:szCs w:val="18"/>
              </w:rPr>
              <w:t>交易性金融 资产</w:t>
            </w:r>
          </w:p>
        </w:tc>
        <w:tc>
          <w:tcPr>
            <w:tcW w:w="98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2" w:hRule="exact"/>
        </w:trPr>
        <w:tc>
          <w:tcPr>
            <w:tcW w:w="294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期末持有的其他证券投资</w:t>
            </w:r>
          </w:p>
        </w:tc>
        <w:tc>
          <w:tcPr>
            <w:tcW w:w="1091"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1,547,420.76</w:t>
            </w:r>
          </w:p>
        </w:tc>
        <w:tc>
          <w:tcPr>
            <w:tcW w:w="9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954,306.30</w:t>
            </w:r>
          </w:p>
        </w:tc>
        <w:tc>
          <w:tcPr>
            <w:tcW w:w="96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1,164,907.23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210,600.93</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8"/>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4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1"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24,386,974.29</w:t>
            </w:r>
          </w:p>
        </w:tc>
        <w:tc>
          <w:tcPr>
            <w:tcW w:w="9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24,602,463.43</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26,050,061.31</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1,447,597.88</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9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8"/>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4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证券投资审批董事会公告披露日期</w:t>
            </w:r>
          </w:p>
        </w:tc>
        <w:tc>
          <w:tcPr>
            <w:tcW w:w="11071" w:type="dxa"/>
            <w:gridSpan w:val="11"/>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证券投资审批股东会公告披露日期</w:t>
            </w:r>
          </w:p>
          <w:p>
            <w:pPr>
              <w:pStyle w:val="TableParagraph"/>
              <w:spacing w:line="240" w:lineRule="auto" w:before="77"/>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（如有</w:t>
            </w:r>
            <w:r>
              <w:rPr>
                <w:rFonts w:ascii="Times New Roman" w:hAnsi="Times New Roman" w:cs="Times New Roman" w:eastAsia="Times New Roman" w:hint="default"/>
                <w:sz w:val="18"/>
                <w:szCs w:val="18"/>
              </w:rPr>
              <w:t>)</w:t>
            </w:r>
          </w:p>
        </w:tc>
        <w:tc>
          <w:tcPr>
            <w:tcW w:w="11071" w:type="dxa"/>
            <w:gridSpan w:val="11"/>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20"/>
          <w:szCs w:val="20"/>
        </w:rPr>
      </w:pPr>
    </w:p>
    <w:p>
      <w:pPr>
        <w:spacing w:before="35"/>
        <w:ind w:left="139"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）衍生品投资情况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40" w:lineRule="auto" w:before="0"/>
        <w:ind w:left="139" w:right="115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公司报告期不存在衍生品投资。</w:t>
      </w:r>
    </w:p>
    <w:p>
      <w:pPr>
        <w:spacing w:line="240" w:lineRule="auto" w:before="12"/>
        <w:rPr>
          <w:rFonts w:ascii="宋体" w:hAnsi="宋体" w:cs="宋体" w:eastAsia="宋体" w:hint="default"/>
          <w:sz w:val="20"/>
          <w:szCs w:val="20"/>
        </w:rPr>
      </w:pPr>
    </w:p>
    <w:p>
      <w:pPr>
        <w:spacing w:before="0"/>
        <w:ind w:left="139"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、募集资金使用情况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39" w:right="1138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公司报告期无募集资金使用情况。</w:t>
      </w:r>
    </w:p>
    <w:p>
      <w:pPr>
        <w:spacing w:line="240" w:lineRule="auto" w:before="4"/>
        <w:rPr>
          <w:rFonts w:ascii="宋体" w:hAnsi="宋体" w:cs="宋体" w:eastAsia="宋体" w:hint="default"/>
          <w:sz w:val="19"/>
          <w:szCs w:val="19"/>
        </w:rPr>
      </w:pPr>
    </w:p>
    <w:p>
      <w:pPr>
        <w:pStyle w:val="Heading3"/>
        <w:spacing w:line="240" w:lineRule="auto"/>
        <w:ind w:left="139" w:right="0"/>
        <w:jc w:val="left"/>
        <w:rPr>
          <w:b w:val="0"/>
          <w:bCs w:val="0"/>
        </w:rPr>
      </w:pPr>
      <w:r>
        <w:rPr/>
        <w:t>六、重大资产和股权出售</w:t>
      </w:r>
      <w:r>
        <w:rPr>
          <w:b w:val="0"/>
          <w:bCs w:val="0"/>
        </w:rPr>
      </w:r>
    </w:p>
    <w:p>
      <w:pPr>
        <w:spacing w:line="240" w:lineRule="auto" w:before="9"/>
        <w:rPr>
          <w:rFonts w:ascii="宋体" w:hAnsi="宋体" w:cs="宋体" w:eastAsia="宋体" w:hint="default"/>
          <w:b/>
          <w:bCs/>
          <w:sz w:val="24"/>
          <w:szCs w:val="24"/>
        </w:rPr>
      </w:pPr>
    </w:p>
    <w:p>
      <w:pPr>
        <w:spacing w:before="0"/>
        <w:ind w:left="139"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、出售重大资产情况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40" w:lineRule="auto" w:before="0"/>
        <w:ind w:left="139" w:right="1174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after="0" w:line="340" w:lineRule="auto"/>
        <w:jc w:val="left"/>
        <w:rPr>
          <w:rFonts w:ascii="宋体" w:hAnsi="宋体" w:cs="宋体" w:eastAsia="宋体" w:hint="default"/>
          <w:sz w:val="18"/>
          <w:szCs w:val="18"/>
        </w:rPr>
        <w:sectPr>
          <w:pgSz w:w="16840" w:h="11910" w:orient="landscape"/>
          <w:pgMar w:header="867" w:footer="978" w:top="1060" w:bottom="1160" w:left="1300" w:right="130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before="0"/>
        <w:ind w:left="139"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、出售重大股权情况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39" w:right="0" w:firstLine="0"/>
        <w:jc w:val="left"/>
        <w:rPr>
          <w:rFonts w:ascii="宋体" w:hAnsi="宋体" w:cs="宋体" w:eastAsia="宋体" w:hint="default"/>
          <w:sz w:val="18"/>
          <w:szCs w:val="18"/>
        </w:rPr>
      </w:pPr>
      <w:r>
        <w:rPr/>
        <w:pict>
          <v:group style="position:absolute;margin-left:271.071014pt;margin-top:17.531727pt;width:199.7pt;height:97.6pt;mso-position-horizontal-relative:page;mso-position-vertical-relative:paragraph;z-index:-1260520" coordorigin="5421,351" coordsize="3994,1952">
            <v:group style="position:absolute;left:5421;top:351;width:990;height:1952" coordorigin="5421,351" coordsize="990,1952">
              <v:shape style="position:absolute;left:5421;top:351;width:990;height:1952" coordorigin="5421,351" coordsize="990,1952" path="m6411,663l6411,351,5421,351,5580,663,6411,663xe" filled="true" fillcolor="#d3d3d3" stroked="false">
                <v:path arrowok="t"/>
                <v:fill type="solid"/>
              </v:shape>
              <v:shape style="position:absolute;left:5421;top:351;width:990;height:1952" coordorigin="5421,351" coordsize="990,1952" path="m6389,2302l6389,2257,5580,663,5444,663,5444,2302,6389,2302xe" filled="true" fillcolor="#d3d3d3" stroked="false">
                <v:path arrowok="t"/>
                <v:fill type="solid"/>
              </v:shape>
              <v:shape style="position:absolute;left:5421;top:351;width:990;height:1952" coordorigin="5421,351" coordsize="990,1952" path="m6411,2302l6411,663,6389,663,6389,2257,6411,2302xe" filled="true" fillcolor="#d3d3d3" stroked="false">
                <v:path arrowok="t"/>
                <v:fill type="solid"/>
              </v:shape>
            </v:group>
            <v:group style="position:absolute;left:5444;top:663;width:945;height:352" coordorigin="5444,663" coordsize="945,352">
              <v:shape style="position:absolute;left:5444;top:663;width:945;height:352" coordorigin="5444,663" coordsize="945,352" path="m5444,663l5444,1014,6389,1014,6389,663,5444,663xe" filled="true" fillcolor="#d3d3d3" stroked="false">
                <v:path arrowok="t"/>
                <v:fill type="solid"/>
              </v:shape>
            </v:group>
            <v:group style="position:absolute;left:5444;top:1014;width:945;height:312" coordorigin="5444,1014" coordsize="945,312">
              <v:shape style="position:absolute;left:5444;top:1014;width:945;height:312" coordorigin="5444,1014" coordsize="945,312" path="m5444,1014l5444,1326,6389,1326,6389,1014,5444,1014xe" filled="true" fillcolor="#d3d3d3" stroked="false">
                <v:path arrowok="t"/>
                <v:fill type="solid"/>
              </v:shape>
            </v:group>
            <v:group style="position:absolute;left:5444;top:1326;width:945;height:312" coordorigin="5444,1326" coordsize="945,312">
              <v:shape style="position:absolute;left:5444;top:1326;width:945;height:312" coordorigin="5444,1326" coordsize="945,312" path="m5444,1326l5444,1638,6389,1638,6389,1326,5444,1326xe" filled="true" fillcolor="#d3d3d3" stroked="false">
                <v:path arrowok="t"/>
                <v:fill type="solid"/>
              </v:shape>
            </v:group>
            <v:group style="position:absolute;left:5444;top:1638;width:945;height:312" coordorigin="5444,1638" coordsize="945,312">
              <v:shape style="position:absolute;left:5444;top:1638;width:945;height:312" coordorigin="5444,1638" coordsize="945,312" path="m5444,1638l5444,1950,6389,1950,6389,1638,5444,1638xe" filled="true" fillcolor="#d3d3d3" stroked="false">
                <v:path arrowok="t"/>
                <v:fill type="solid"/>
              </v:shape>
            </v:group>
            <v:group style="position:absolute;left:5444;top:1950;width:945;height:352" coordorigin="5444,1950" coordsize="945,352">
              <v:shape style="position:absolute;left:5444;top:1950;width:945;height:352" coordorigin="5444,1950" coordsize="945,352" path="m5444,1950l5444,2302,6389,2302,6389,1950,5444,1950xe" filled="true" fillcolor="#d3d3d3" stroked="false">
                <v:path arrowok="t"/>
                <v:fill type="solid"/>
              </v:shape>
            </v:group>
            <v:group style="position:absolute;left:6422;top:351;width:992;height:1484" coordorigin="6422,351" coordsize="992,1484">
              <v:shape style="position:absolute;left:6422;top:351;width:992;height:1484" coordorigin="6422,351" coordsize="992,1484" path="m7413,1131l7413,351,6422,351,6943,1131,7413,1131xe" filled="true" fillcolor="#d3d3d3" stroked="false">
                <v:path arrowok="t"/>
                <v:fill type="solid"/>
              </v:shape>
              <v:shape style="position:absolute;left:6422;top:351;width:992;height:1484" coordorigin="6422,351" coordsize="992,1484" path="m7389,1834l7389,1798,6943,1131,6445,1131,6445,1834,7389,1834xe" filled="true" fillcolor="#d3d3d3" stroked="false">
                <v:path arrowok="t"/>
                <v:fill type="solid"/>
              </v:shape>
              <v:shape style="position:absolute;left:6422;top:351;width:992;height:1484" coordorigin="6422,351" coordsize="992,1484" path="m7413,1834l7413,1131,7389,1131,7389,1798,7413,1834xe" filled="true" fillcolor="#d3d3d3" stroked="false">
                <v:path arrowok="t"/>
                <v:fill type="solid"/>
              </v:shape>
            </v:group>
            <v:group style="position:absolute;left:6445;top:1131;width:945;height:352" coordorigin="6445,1131" coordsize="945,352">
              <v:shape style="position:absolute;left:6445;top:1131;width:945;height:352" coordorigin="6445,1131" coordsize="945,352" path="m6445,1131l6445,1482,7389,1482,7389,1131,6445,1131xe" filled="true" fillcolor="#d3d3d3" stroked="false">
                <v:path arrowok="t"/>
                <v:fill type="solid"/>
              </v:shape>
            </v:group>
            <v:group style="position:absolute;left:6445;top:1482;width:945;height:352" coordorigin="6445,1482" coordsize="945,352">
              <v:shape style="position:absolute;left:6445;top:1482;width:945;height:352" coordorigin="6445,1482" coordsize="945,352" path="m6445,1482l6445,1834,7389,1834,7389,1482,6445,1482xe" filled="true" fillcolor="#d3d3d3" stroked="false">
                <v:path arrowok="t"/>
                <v:fill type="solid"/>
              </v:shape>
            </v:group>
            <v:group style="position:absolute;left:7423;top:351;width:992;height:1952" coordorigin="7423,351" coordsize="992,1952">
              <v:shape style="position:absolute;left:7423;top:351;width:992;height:1952" coordorigin="7423,351" coordsize="992,1952" path="m8414,663l8414,351,7423,351,7582,663,8414,663xe" filled="true" fillcolor="#d3d3d3" stroked="false">
                <v:path arrowok="t"/>
                <v:fill type="solid"/>
              </v:shape>
              <v:shape style="position:absolute;left:7423;top:351;width:992;height:1952" coordorigin="7423,351" coordsize="992,1952" path="m8390,2302l8390,2255,7582,663,7446,663,7446,2302,8390,2302xe" filled="true" fillcolor="#d3d3d3" stroked="false">
                <v:path arrowok="t"/>
                <v:fill type="solid"/>
              </v:shape>
              <v:shape style="position:absolute;left:7423;top:351;width:992;height:1952" coordorigin="7423,351" coordsize="992,1952" path="m8414,2302l8414,663,8390,663,8390,2255,8414,2302xe" filled="true" fillcolor="#d3d3d3" stroked="false">
                <v:path arrowok="t"/>
                <v:fill type="solid"/>
              </v:shape>
            </v:group>
            <v:group style="position:absolute;left:7446;top:663;width:945;height:352" coordorigin="7446,663" coordsize="945,352">
              <v:shape style="position:absolute;left:7446;top:663;width:945;height:352" coordorigin="7446,663" coordsize="945,352" path="m7446,663l7446,1014,8390,1014,8390,663,7446,663xe" filled="true" fillcolor="#d3d3d3" stroked="false">
                <v:path arrowok="t"/>
                <v:fill type="solid"/>
              </v:shape>
            </v:group>
            <v:group style="position:absolute;left:7446;top:1014;width:945;height:312" coordorigin="7446,1014" coordsize="945,312">
              <v:shape style="position:absolute;left:7446;top:1014;width:945;height:312" coordorigin="7446,1014" coordsize="945,312" path="m7446,1014l7446,1326,8390,1326,8390,1014,7446,1014xe" filled="true" fillcolor="#d3d3d3" stroked="false">
                <v:path arrowok="t"/>
                <v:fill type="solid"/>
              </v:shape>
            </v:group>
            <v:group style="position:absolute;left:7446;top:1326;width:945;height:312" coordorigin="7446,1326" coordsize="945,312">
              <v:shape style="position:absolute;left:7446;top:1326;width:945;height:312" coordorigin="7446,1326" coordsize="945,312" path="m7446,1326l7446,1638,8390,1638,8390,1326,7446,1326xe" filled="true" fillcolor="#d3d3d3" stroked="false">
                <v:path arrowok="t"/>
                <v:fill type="solid"/>
              </v:shape>
            </v:group>
            <v:group style="position:absolute;left:7446;top:1638;width:945;height:312" coordorigin="7446,1638" coordsize="945,312">
              <v:shape style="position:absolute;left:7446;top:1638;width:945;height:312" coordorigin="7446,1638" coordsize="945,312" path="m7446,1638l7446,1950,8390,1950,8390,1638,7446,1638xe" filled="true" fillcolor="#d3d3d3" stroked="false">
                <v:path arrowok="t"/>
                <v:fill type="solid"/>
              </v:shape>
            </v:group>
            <v:group style="position:absolute;left:7446;top:1950;width:945;height:352" coordorigin="7446,1950" coordsize="945,352">
              <v:shape style="position:absolute;left:7446;top:1950;width:945;height:352" coordorigin="7446,1950" coordsize="945,352" path="m7446,1950l7446,2302,8390,2302,8390,1950,7446,1950xe" filled="true" fillcolor="#d3d3d3" stroked="false">
                <v:path arrowok="t"/>
                <v:fill type="solid"/>
              </v:shape>
            </v:group>
            <v:group style="position:absolute;left:8424;top:351;width:992;height:1484" coordorigin="8424,351" coordsize="992,1484">
              <v:shape style="position:absolute;left:8424;top:351;width:992;height:1484" coordorigin="8424,351" coordsize="992,1484" path="m9415,1131l9415,351,8424,351,8945,1131,9415,1131xe" filled="true" fillcolor="#d3d3d3" stroked="false">
                <v:path arrowok="t"/>
                <v:fill type="solid"/>
              </v:shape>
              <v:shape style="position:absolute;left:8424;top:351;width:992;height:1484" coordorigin="8424,351" coordsize="992,1484" path="m9392,1834l9392,1800,8945,1131,8447,1131,8447,1834,9392,1834xe" filled="true" fillcolor="#d3d3d3" stroked="false">
                <v:path arrowok="t"/>
                <v:fill type="solid"/>
              </v:shape>
              <v:shape style="position:absolute;left:8424;top:351;width:992;height:1484" coordorigin="8424,351" coordsize="992,1484" path="m9415,1834l9415,1131,9392,1131,9392,1800,9415,1834xe" filled="true" fillcolor="#d3d3d3" stroked="false">
                <v:path arrowok="t"/>
                <v:fill type="solid"/>
              </v:shape>
            </v:group>
            <v:group style="position:absolute;left:8447;top:1131;width:946;height:352" coordorigin="8447,1131" coordsize="946,352">
              <v:shape style="position:absolute;left:8447;top:1131;width:946;height:352" coordorigin="8447,1131" coordsize="946,352" path="m8447,1131l8447,1482,9392,1482,9392,1131,8447,1131xe" filled="true" fillcolor="#d3d3d3" stroked="false">
                <v:path arrowok="t"/>
                <v:fill type="solid"/>
              </v:shape>
            </v:group>
            <v:group style="position:absolute;left:8447;top:1482;width:946;height:352" coordorigin="8447,1482" coordsize="946,352">
              <v:shape style="position:absolute;left:8447;top:1482;width:946;height:352" coordorigin="8447,1482" coordsize="946,352" path="m8447,1482l8447,1834,9392,1834,9392,1482,8447,1482xe" filled="true" fillcolor="#d3d3d3" stroked="false">
                <v:path arrowok="t"/>
                <v:fill type="solid"/>
              </v:shape>
            </v:group>
            <w10:wrap type="none"/>
          </v:group>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1002"/>
        <w:gridCol w:w="1000"/>
        <w:gridCol w:w="1001"/>
        <w:gridCol w:w="1001"/>
        <w:gridCol w:w="1002"/>
        <w:gridCol w:w="1001"/>
        <w:gridCol w:w="1001"/>
        <w:gridCol w:w="1001"/>
        <w:gridCol w:w="1001"/>
        <w:gridCol w:w="1013"/>
        <w:gridCol w:w="990"/>
        <w:gridCol w:w="1000"/>
        <w:gridCol w:w="1012"/>
        <w:gridCol w:w="990"/>
      </w:tblGrid>
      <w:tr>
        <w:trPr>
          <w:trHeight w:val="358" w:hRule="exact"/>
        </w:trPr>
        <w:tc>
          <w:tcPr>
            <w:tcW w:w="1002" w:type="dxa"/>
            <w:vMerge w:val="restart"/>
            <w:tcBorders>
              <w:top w:val="single" w:sz="4" w:space="0" w:color="000000"/>
              <w:left w:val="single" w:sz="4" w:space="0" w:color="000000"/>
              <w:right w:val="single" w:sz="4" w:space="0" w:color="000000"/>
            </w:tcBorders>
            <w:shd w:val="clear" w:color="auto" w:fill="D3D3D3"/>
          </w:tcPr>
          <w:p>
            <w:pPr/>
          </w:p>
        </w:tc>
        <w:tc>
          <w:tcPr>
            <w:tcW w:w="1000" w:type="dxa"/>
            <w:vMerge w:val="restart"/>
            <w:tcBorders>
              <w:top w:val="single" w:sz="4" w:space="0" w:color="000000"/>
              <w:left w:val="single" w:sz="4" w:space="0" w:color="000000"/>
              <w:right w:val="single" w:sz="4" w:space="0" w:color="000000"/>
            </w:tcBorders>
            <w:shd w:val="clear" w:color="auto" w:fill="D3D3D3"/>
          </w:tcPr>
          <w:p>
            <w:pPr/>
          </w:p>
        </w:tc>
        <w:tc>
          <w:tcPr>
            <w:tcW w:w="1001" w:type="dxa"/>
            <w:vMerge w:val="restart"/>
            <w:tcBorders>
              <w:top w:val="single" w:sz="4" w:space="0" w:color="000000"/>
              <w:left w:val="single" w:sz="4" w:space="0" w:color="000000"/>
              <w:right w:val="single" w:sz="4" w:space="0" w:color="000000"/>
            </w:tcBorders>
            <w:shd w:val="clear" w:color="auto" w:fill="D3D3D3"/>
          </w:tcPr>
          <w:p>
            <w:pPr/>
          </w:p>
        </w:tc>
        <w:tc>
          <w:tcPr>
            <w:tcW w:w="1001" w:type="dxa"/>
            <w:vMerge w:val="restart"/>
            <w:tcBorders>
              <w:top w:val="single" w:sz="4" w:space="0" w:color="000000"/>
              <w:left w:val="single" w:sz="4" w:space="0" w:color="000000"/>
              <w:right w:val="single" w:sz="4" w:space="0" w:color="000000"/>
            </w:tcBorders>
            <w:shd w:val="clear" w:color="auto" w:fill="D3D3D3"/>
          </w:tcPr>
          <w:p>
            <w:pPr/>
          </w:p>
        </w:tc>
        <w:tc>
          <w:tcPr>
            <w:tcW w:w="1002" w:type="dxa"/>
            <w:tcBorders>
              <w:top w:val="single" w:sz="4" w:space="0" w:color="000000"/>
              <w:left w:val="single" w:sz="4" w:space="0" w:color="000000"/>
              <w:bottom w:val="nil" w:sz="6" w:space="0" w:color="auto"/>
              <w:right w:val="single" w:sz="4" w:space="0" w:color="000000"/>
            </w:tcBorders>
            <w:shd w:val="clear" w:color="auto" w:fill="D3D3D3"/>
          </w:tcPr>
          <w:p>
            <w:pPr/>
          </w:p>
        </w:tc>
        <w:tc>
          <w:tcPr>
            <w:tcW w:w="1001" w:type="dxa"/>
            <w:tcBorders>
              <w:top w:val="single" w:sz="4" w:space="0" w:color="000000"/>
              <w:left w:val="single" w:sz="4" w:space="0" w:color="000000"/>
              <w:bottom w:val="nil" w:sz="6" w:space="0" w:color="auto"/>
              <w:right w:val="single" w:sz="4" w:space="0" w:color="000000"/>
            </w:tcBorders>
          </w:tcPr>
          <w:p>
            <w:pPr/>
          </w:p>
        </w:tc>
        <w:tc>
          <w:tcPr>
            <w:tcW w:w="1001" w:type="dxa"/>
            <w:tcBorders>
              <w:top w:val="single" w:sz="4" w:space="0" w:color="000000"/>
              <w:left w:val="single" w:sz="4" w:space="0" w:color="000000"/>
              <w:bottom w:val="nil" w:sz="6" w:space="0" w:color="auto"/>
              <w:right w:val="single" w:sz="4" w:space="0" w:color="000000"/>
            </w:tcBorders>
            <w:shd w:val="clear" w:color="auto" w:fill="D3D3D3"/>
          </w:tcPr>
          <w:p>
            <w:pPr/>
          </w:p>
        </w:tc>
        <w:tc>
          <w:tcPr>
            <w:tcW w:w="1001" w:type="dxa"/>
            <w:tcBorders>
              <w:top w:val="single" w:sz="4" w:space="0" w:color="000000"/>
              <w:left w:val="single" w:sz="4" w:space="0" w:color="000000"/>
              <w:bottom w:val="nil" w:sz="6" w:space="0" w:color="auto"/>
              <w:right w:val="single" w:sz="10" w:space="0" w:color="D3D3D3"/>
            </w:tcBorders>
          </w:tcPr>
          <w:p>
            <w:pPr/>
          </w:p>
        </w:tc>
        <w:tc>
          <w:tcPr>
            <w:tcW w:w="1001" w:type="dxa"/>
            <w:vMerge w:val="restart"/>
            <w:tcBorders>
              <w:top w:val="single" w:sz="4" w:space="0" w:color="000000"/>
              <w:left w:val="single" w:sz="4" w:space="0" w:color="000000"/>
              <w:right w:val="single" w:sz="4" w:space="0" w:color="000000"/>
            </w:tcBorders>
            <w:shd w:val="clear" w:color="auto" w:fill="D3D3D3"/>
          </w:tcPr>
          <w:p>
            <w:pPr/>
          </w:p>
        </w:tc>
        <w:tc>
          <w:tcPr>
            <w:tcW w:w="1013" w:type="dxa"/>
            <w:vMerge w:val="restart"/>
            <w:tcBorders>
              <w:top w:val="single" w:sz="4" w:space="0" w:color="000000"/>
              <w:left w:val="single" w:sz="4" w:space="0" w:color="000000"/>
              <w:right w:val="single" w:sz="4" w:space="0" w:color="000000"/>
            </w:tcBorders>
            <w:shd w:val="clear" w:color="auto" w:fill="D3D3D3"/>
          </w:tcPr>
          <w:p>
            <w:pPr/>
          </w:p>
        </w:tc>
        <w:tc>
          <w:tcPr>
            <w:tcW w:w="990" w:type="dxa"/>
            <w:vMerge w:val="restart"/>
            <w:tcBorders>
              <w:top w:val="single" w:sz="4" w:space="0" w:color="000000"/>
              <w:left w:val="single" w:sz="4" w:space="0" w:color="000000"/>
              <w:right w:val="single" w:sz="4" w:space="0" w:color="000000"/>
            </w:tcBorders>
            <w:shd w:val="clear" w:color="auto" w:fill="D3D3D3"/>
          </w:tcPr>
          <w:p>
            <w:pPr/>
          </w:p>
        </w:tc>
        <w:tc>
          <w:tcPr>
            <w:tcW w:w="100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是否按计划</w:t>
            </w:r>
          </w:p>
        </w:tc>
        <w:tc>
          <w:tcPr>
            <w:tcW w:w="1012" w:type="dxa"/>
            <w:vMerge w:val="restart"/>
            <w:tcBorders>
              <w:top w:val="single" w:sz="4" w:space="0" w:color="000000"/>
              <w:left w:val="single" w:sz="4" w:space="0" w:color="000000"/>
              <w:right w:val="single" w:sz="4" w:space="0" w:color="000000"/>
            </w:tcBorders>
            <w:shd w:val="clear" w:color="auto" w:fill="D3D3D3"/>
          </w:tcPr>
          <w:p>
            <w:pPr/>
          </w:p>
        </w:tc>
        <w:tc>
          <w:tcPr>
            <w:tcW w:w="990" w:type="dxa"/>
            <w:vMerge w:val="restart"/>
            <w:tcBorders>
              <w:top w:val="single" w:sz="4" w:space="0" w:color="000000"/>
              <w:left w:val="single" w:sz="4" w:space="0" w:color="000000"/>
              <w:right w:val="single" w:sz="4" w:space="0" w:color="000000"/>
            </w:tcBorders>
            <w:shd w:val="clear" w:color="auto" w:fill="D3D3D3"/>
          </w:tcPr>
          <w:p>
            <w:pPr/>
          </w:p>
        </w:tc>
      </w:tr>
      <w:tr>
        <w:trPr>
          <w:trHeight w:val="272" w:hRule="exact"/>
        </w:trPr>
        <w:tc>
          <w:tcPr>
            <w:tcW w:w="1002" w:type="dxa"/>
            <w:vMerge/>
            <w:tcBorders>
              <w:left w:val="single" w:sz="4" w:space="0" w:color="000000"/>
              <w:right w:val="single" w:sz="4" w:space="0" w:color="000000"/>
            </w:tcBorders>
            <w:shd w:val="clear" w:color="auto" w:fill="D3D3D3"/>
          </w:tcPr>
          <w:p>
            <w:pPr/>
          </w:p>
        </w:tc>
        <w:tc>
          <w:tcPr>
            <w:tcW w:w="1000"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10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46" w:right="0"/>
              <w:jc w:val="left"/>
              <w:rPr>
                <w:rFonts w:ascii="宋体" w:hAnsi="宋体" w:cs="宋体" w:eastAsia="宋体" w:hint="default"/>
                <w:sz w:val="18"/>
                <w:szCs w:val="18"/>
              </w:rPr>
            </w:pPr>
            <w:r>
              <w:rPr>
                <w:rFonts w:ascii="宋体" w:hAnsi="宋体" w:cs="宋体" w:eastAsia="宋体" w:hint="default"/>
                <w:sz w:val="18"/>
                <w:szCs w:val="18"/>
              </w:rPr>
              <w:t>本期初起至</w:t>
            </w:r>
          </w:p>
        </w:tc>
        <w:tc>
          <w:tcPr>
            <w:tcW w:w="1001"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43"/>
              <w:jc w:val="right"/>
              <w:rPr>
                <w:rFonts w:ascii="宋体" w:hAnsi="宋体" w:cs="宋体" w:eastAsia="宋体" w:hint="default"/>
                <w:sz w:val="18"/>
                <w:szCs w:val="18"/>
              </w:rPr>
            </w:pPr>
            <w:r>
              <w:rPr>
                <w:rFonts w:ascii="宋体" w:hAnsi="宋体" w:cs="宋体" w:eastAsia="宋体" w:hint="default"/>
                <w:sz w:val="18"/>
                <w:szCs w:val="18"/>
              </w:rPr>
              <w:t>股权出售为</w:t>
            </w:r>
          </w:p>
        </w:tc>
        <w:tc>
          <w:tcPr>
            <w:tcW w:w="1001" w:type="dxa"/>
            <w:tcBorders>
              <w:top w:val="nil" w:sz="6" w:space="0" w:color="auto"/>
              <w:left w:val="single" w:sz="4" w:space="0" w:color="000000"/>
              <w:bottom w:val="nil" w:sz="6" w:space="0" w:color="auto"/>
              <w:right w:val="single" w:sz="10" w:space="0" w:color="D3D3D3"/>
            </w:tcBorders>
          </w:tcPr>
          <w:p>
            <w:pPr/>
          </w:p>
        </w:tc>
        <w:tc>
          <w:tcPr>
            <w:tcW w:w="1001" w:type="dxa"/>
            <w:vMerge/>
            <w:tcBorders>
              <w:left w:val="single" w:sz="4" w:space="0" w:color="000000"/>
              <w:right w:val="single" w:sz="4" w:space="0" w:color="000000"/>
            </w:tcBorders>
            <w:shd w:val="clear" w:color="auto" w:fill="D3D3D3"/>
          </w:tcPr>
          <w:p>
            <w:pPr/>
          </w:p>
        </w:tc>
        <w:tc>
          <w:tcPr>
            <w:tcW w:w="1013" w:type="dxa"/>
            <w:vMerge/>
            <w:tcBorders>
              <w:left w:val="single" w:sz="4" w:space="0" w:color="000000"/>
              <w:right w:val="single" w:sz="4" w:space="0" w:color="000000"/>
            </w:tcBorders>
            <w:shd w:val="clear" w:color="auto" w:fill="D3D3D3"/>
          </w:tcPr>
          <w:p>
            <w:pPr/>
          </w:p>
        </w:tc>
        <w:tc>
          <w:tcPr>
            <w:tcW w:w="990" w:type="dxa"/>
            <w:vMerge/>
            <w:tcBorders>
              <w:left w:val="single" w:sz="4" w:space="0" w:color="000000"/>
              <w:bottom w:val="nil" w:sz="6" w:space="0" w:color="auto"/>
              <w:right w:val="single" w:sz="4" w:space="0" w:color="000000"/>
            </w:tcBorders>
            <w:shd w:val="clear" w:color="auto" w:fill="D3D3D3"/>
          </w:tcPr>
          <w:p>
            <w:pPr/>
          </w:p>
        </w:tc>
        <w:tc>
          <w:tcPr>
            <w:tcW w:w="10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如期实施，</w:t>
            </w:r>
          </w:p>
        </w:tc>
        <w:tc>
          <w:tcPr>
            <w:tcW w:w="1012" w:type="dxa"/>
            <w:vMerge/>
            <w:tcBorders>
              <w:left w:val="single" w:sz="4" w:space="0" w:color="000000"/>
              <w:right w:val="single" w:sz="4" w:space="0" w:color="000000"/>
            </w:tcBorders>
            <w:shd w:val="clear" w:color="auto" w:fill="D3D3D3"/>
          </w:tcPr>
          <w:p>
            <w:pPr/>
          </w:p>
        </w:tc>
        <w:tc>
          <w:tcPr>
            <w:tcW w:w="990" w:type="dxa"/>
            <w:vMerge/>
            <w:tcBorders>
              <w:left w:val="single" w:sz="4" w:space="0" w:color="000000"/>
              <w:right w:val="single" w:sz="4" w:space="0" w:color="000000"/>
            </w:tcBorders>
            <w:shd w:val="clear" w:color="auto" w:fill="D3D3D3"/>
          </w:tcPr>
          <w:p>
            <w:pPr/>
          </w:p>
        </w:tc>
      </w:tr>
      <w:tr>
        <w:trPr>
          <w:trHeight w:val="156" w:hRule="exact"/>
        </w:trPr>
        <w:tc>
          <w:tcPr>
            <w:tcW w:w="1002" w:type="dxa"/>
            <w:vMerge/>
            <w:tcBorders>
              <w:left w:val="single" w:sz="4" w:space="0" w:color="000000"/>
              <w:right w:val="single" w:sz="4" w:space="0" w:color="000000"/>
            </w:tcBorders>
            <w:shd w:val="clear" w:color="auto" w:fill="D3D3D3"/>
          </w:tcPr>
          <w:p>
            <w:pPr/>
          </w:p>
        </w:tc>
        <w:tc>
          <w:tcPr>
            <w:tcW w:w="1000"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bottom w:val="nil" w:sz="6" w:space="0" w:color="auto"/>
              <w:right w:val="single" w:sz="4" w:space="0" w:color="000000"/>
            </w:tcBorders>
            <w:shd w:val="clear" w:color="auto" w:fill="D3D3D3"/>
          </w:tcPr>
          <w:p>
            <w:pPr/>
          </w:p>
        </w:tc>
        <w:tc>
          <w:tcPr>
            <w:tcW w:w="1002"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46" w:right="43"/>
              <w:jc w:val="both"/>
              <w:rPr>
                <w:rFonts w:ascii="宋体" w:hAnsi="宋体" w:cs="宋体" w:eastAsia="宋体" w:hint="default"/>
                <w:sz w:val="18"/>
                <w:szCs w:val="18"/>
              </w:rPr>
            </w:pPr>
            <w:r>
              <w:rPr>
                <w:rFonts w:ascii="宋体" w:hAnsi="宋体" w:cs="宋体" w:eastAsia="宋体" w:hint="default"/>
                <w:sz w:val="18"/>
                <w:szCs w:val="18"/>
              </w:rPr>
              <w:t>出售日该股 权为上市公 司贡献的净</w:t>
            </w:r>
          </w:p>
        </w:tc>
        <w:tc>
          <w:tcPr>
            <w:tcW w:w="1001" w:type="dxa"/>
            <w:vMerge w:val="restart"/>
            <w:tcBorders>
              <w:top w:val="nil" w:sz="6" w:space="0" w:color="auto"/>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5" w:right="43" w:hanging="180"/>
              <w:jc w:val="left"/>
              <w:rPr>
                <w:rFonts w:ascii="宋体" w:hAnsi="宋体" w:cs="宋体" w:eastAsia="宋体" w:hint="default"/>
                <w:sz w:val="18"/>
                <w:szCs w:val="18"/>
              </w:rPr>
            </w:pPr>
            <w:r>
              <w:rPr>
                <w:rFonts w:ascii="宋体" w:hAnsi="宋体" w:cs="宋体" w:eastAsia="宋体" w:hint="default"/>
                <w:sz w:val="18"/>
                <w:szCs w:val="18"/>
              </w:rPr>
              <w:t>出售对公司 的影响</w:t>
            </w:r>
          </w:p>
        </w:tc>
        <w:tc>
          <w:tcPr>
            <w:tcW w:w="1001"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45" w:right="43"/>
              <w:jc w:val="both"/>
              <w:rPr>
                <w:rFonts w:ascii="宋体" w:hAnsi="宋体" w:cs="宋体" w:eastAsia="宋体" w:hint="default"/>
                <w:sz w:val="18"/>
                <w:szCs w:val="18"/>
              </w:rPr>
            </w:pPr>
            <w:r>
              <w:rPr>
                <w:rFonts w:ascii="宋体" w:hAnsi="宋体" w:cs="宋体" w:eastAsia="宋体" w:hint="default"/>
                <w:sz w:val="18"/>
                <w:szCs w:val="18"/>
              </w:rPr>
              <w:t>上市公司贡 献的净利润 占净利润总</w:t>
            </w:r>
          </w:p>
        </w:tc>
        <w:tc>
          <w:tcPr>
            <w:tcW w:w="1001" w:type="dxa"/>
            <w:vMerge w:val="restart"/>
            <w:tcBorders>
              <w:top w:val="nil" w:sz="6" w:space="0" w:color="auto"/>
              <w:left w:val="single" w:sz="4" w:space="0" w:color="000000"/>
              <w:right w:val="single" w:sz="10" w:space="0" w:color="D3D3D3"/>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5" w:right="36" w:hanging="180"/>
              <w:jc w:val="left"/>
              <w:rPr>
                <w:rFonts w:ascii="宋体" w:hAnsi="宋体" w:cs="宋体" w:eastAsia="宋体" w:hint="default"/>
                <w:sz w:val="18"/>
                <w:szCs w:val="18"/>
              </w:rPr>
            </w:pPr>
            <w:r>
              <w:rPr>
                <w:rFonts w:ascii="宋体" w:hAnsi="宋体" w:cs="宋体" w:eastAsia="宋体" w:hint="default"/>
                <w:sz w:val="18"/>
                <w:szCs w:val="18"/>
              </w:rPr>
              <w:t>股权出售定 价原则</w:t>
            </w:r>
          </w:p>
        </w:tc>
        <w:tc>
          <w:tcPr>
            <w:tcW w:w="1001" w:type="dxa"/>
            <w:vMerge/>
            <w:tcBorders>
              <w:left w:val="single" w:sz="4" w:space="0" w:color="000000"/>
              <w:bottom w:val="nil" w:sz="6" w:space="0" w:color="auto"/>
              <w:right w:val="single" w:sz="4" w:space="0" w:color="000000"/>
            </w:tcBorders>
            <w:shd w:val="clear" w:color="auto" w:fill="D3D3D3"/>
          </w:tcPr>
          <w:p>
            <w:pPr/>
          </w:p>
        </w:tc>
        <w:tc>
          <w:tcPr>
            <w:tcW w:w="1013" w:type="dxa"/>
            <w:vMerge/>
            <w:tcBorders>
              <w:left w:val="single" w:sz="4" w:space="0" w:color="000000"/>
              <w:bottom w:val="nil" w:sz="6" w:space="0" w:color="auto"/>
              <w:right w:val="single" w:sz="4" w:space="0" w:color="000000"/>
            </w:tcBorders>
            <w:shd w:val="clear" w:color="auto" w:fill="D3D3D3"/>
          </w:tcPr>
          <w:p>
            <w:pPr/>
          </w:p>
        </w:tc>
        <w:tc>
          <w:tcPr>
            <w:tcW w:w="990"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34" w:right="43"/>
              <w:jc w:val="center"/>
              <w:rPr>
                <w:rFonts w:ascii="宋体" w:hAnsi="宋体" w:cs="宋体" w:eastAsia="宋体" w:hint="default"/>
                <w:sz w:val="18"/>
                <w:szCs w:val="18"/>
              </w:rPr>
            </w:pPr>
            <w:r>
              <w:rPr>
                <w:rFonts w:ascii="宋体" w:hAnsi="宋体" w:cs="宋体" w:eastAsia="宋体" w:hint="default"/>
                <w:sz w:val="18"/>
                <w:szCs w:val="18"/>
              </w:rPr>
              <w:t>所涉及的股 权是否已全 部过户</w:t>
            </w:r>
          </w:p>
        </w:tc>
        <w:tc>
          <w:tcPr>
            <w:tcW w:w="1000"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45" w:right="43"/>
              <w:jc w:val="both"/>
              <w:rPr>
                <w:rFonts w:ascii="宋体" w:hAnsi="宋体" w:cs="宋体" w:eastAsia="宋体" w:hint="default"/>
                <w:sz w:val="18"/>
                <w:szCs w:val="18"/>
              </w:rPr>
            </w:pPr>
            <w:r>
              <w:rPr>
                <w:rFonts w:ascii="宋体" w:hAnsi="宋体" w:cs="宋体" w:eastAsia="宋体" w:hint="default"/>
                <w:sz w:val="18"/>
                <w:szCs w:val="18"/>
              </w:rPr>
              <w:t>如未按计划 实施，应当 说明原因及</w:t>
            </w:r>
          </w:p>
        </w:tc>
        <w:tc>
          <w:tcPr>
            <w:tcW w:w="1012" w:type="dxa"/>
            <w:vMerge/>
            <w:tcBorders>
              <w:left w:val="single" w:sz="4" w:space="0" w:color="000000"/>
              <w:right w:val="single" w:sz="4" w:space="0" w:color="000000"/>
            </w:tcBorders>
            <w:shd w:val="clear" w:color="auto" w:fill="D3D3D3"/>
          </w:tcPr>
          <w:p>
            <w:pPr/>
          </w:p>
        </w:tc>
        <w:tc>
          <w:tcPr>
            <w:tcW w:w="990" w:type="dxa"/>
            <w:vMerge/>
            <w:tcBorders>
              <w:left w:val="single" w:sz="4" w:space="0" w:color="000000"/>
              <w:right w:val="single" w:sz="4" w:space="0" w:color="000000"/>
            </w:tcBorders>
            <w:shd w:val="clear" w:color="auto" w:fill="D3D3D3"/>
          </w:tcPr>
          <w:p>
            <w:pPr/>
          </w:p>
        </w:tc>
      </w:tr>
      <w:tr>
        <w:trPr>
          <w:trHeight w:val="156" w:hRule="exact"/>
        </w:trPr>
        <w:tc>
          <w:tcPr>
            <w:tcW w:w="1002" w:type="dxa"/>
            <w:vMerge/>
            <w:tcBorders>
              <w:left w:val="single" w:sz="4" w:space="0" w:color="000000"/>
              <w:bottom w:val="nil" w:sz="6" w:space="0" w:color="auto"/>
              <w:right w:val="single" w:sz="4" w:space="0" w:color="000000"/>
            </w:tcBorders>
            <w:shd w:val="clear" w:color="auto" w:fill="D3D3D3"/>
          </w:tcPr>
          <w:p>
            <w:pPr/>
          </w:p>
        </w:tc>
        <w:tc>
          <w:tcPr>
            <w:tcW w:w="1000" w:type="dxa"/>
            <w:vMerge/>
            <w:tcBorders>
              <w:left w:val="single" w:sz="4" w:space="0" w:color="000000"/>
              <w:bottom w:val="nil" w:sz="6" w:space="0" w:color="auto"/>
              <w:right w:val="single" w:sz="4" w:space="0" w:color="000000"/>
            </w:tcBorders>
            <w:shd w:val="clear" w:color="auto" w:fill="D3D3D3"/>
          </w:tcPr>
          <w:p>
            <w:pPr/>
          </w:p>
        </w:tc>
        <w:tc>
          <w:tcPr>
            <w:tcW w:w="1001" w:type="dxa"/>
            <w:vMerge/>
            <w:tcBorders>
              <w:left w:val="single" w:sz="4" w:space="0" w:color="000000"/>
              <w:bottom w:val="nil" w:sz="6" w:space="0" w:color="auto"/>
              <w:right w:val="single" w:sz="4" w:space="0" w:color="000000"/>
            </w:tcBorders>
            <w:shd w:val="clear" w:color="auto" w:fill="D3D3D3"/>
          </w:tcPr>
          <w:p>
            <w:pPr/>
          </w:p>
        </w:tc>
        <w:tc>
          <w:tcPr>
            <w:tcW w:w="100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13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02"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10" w:space="0" w:color="D3D3D3"/>
            </w:tcBorders>
          </w:tcPr>
          <w:p>
            <w:pPr/>
          </w:p>
        </w:tc>
        <w:tc>
          <w:tcPr>
            <w:tcW w:w="1001"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315" w:right="43" w:hanging="270"/>
              <w:jc w:val="left"/>
              <w:rPr>
                <w:rFonts w:ascii="宋体" w:hAnsi="宋体" w:cs="宋体" w:eastAsia="宋体" w:hint="default"/>
                <w:sz w:val="18"/>
                <w:szCs w:val="18"/>
              </w:rPr>
            </w:pPr>
            <w:r>
              <w:rPr>
                <w:rFonts w:ascii="宋体" w:hAnsi="宋体" w:cs="宋体" w:eastAsia="宋体" w:hint="default"/>
                <w:sz w:val="18"/>
                <w:szCs w:val="18"/>
              </w:rPr>
              <w:t>是否为关联 交易</w:t>
            </w:r>
          </w:p>
        </w:tc>
        <w:tc>
          <w:tcPr>
            <w:tcW w:w="1013"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45" w:right="55"/>
              <w:jc w:val="left"/>
              <w:rPr>
                <w:rFonts w:ascii="宋体" w:hAnsi="宋体" w:cs="宋体" w:eastAsia="宋体" w:hint="default"/>
                <w:sz w:val="18"/>
                <w:szCs w:val="18"/>
              </w:rPr>
            </w:pPr>
            <w:r>
              <w:rPr>
                <w:rFonts w:ascii="宋体" w:hAnsi="宋体" w:cs="宋体" w:eastAsia="宋体" w:hint="default"/>
                <w:sz w:val="18"/>
                <w:szCs w:val="18"/>
              </w:rPr>
              <w:t>与交易对方 的关联关系</w:t>
            </w:r>
          </w:p>
        </w:tc>
        <w:tc>
          <w:tcPr>
            <w:tcW w:w="990" w:type="dxa"/>
            <w:vMerge/>
            <w:tcBorders>
              <w:left w:val="single" w:sz="4" w:space="0" w:color="000000"/>
              <w:right w:val="single" w:sz="4" w:space="0" w:color="000000"/>
            </w:tcBorders>
            <w:shd w:val="clear" w:color="auto" w:fill="D3D3D3"/>
          </w:tcPr>
          <w:p>
            <w:pPr/>
          </w:p>
        </w:tc>
        <w:tc>
          <w:tcPr>
            <w:tcW w:w="1000" w:type="dxa"/>
            <w:vMerge/>
            <w:tcBorders>
              <w:left w:val="single" w:sz="4" w:space="0" w:color="000000"/>
              <w:right w:val="single" w:sz="4" w:space="0" w:color="000000"/>
            </w:tcBorders>
            <w:shd w:val="clear" w:color="auto" w:fill="D3D3D3"/>
          </w:tcPr>
          <w:p>
            <w:pPr/>
          </w:p>
        </w:tc>
        <w:tc>
          <w:tcPr>
            <w:tcW w:w="1012" w:type="dxa"/>
            <w:vMerge/>
            <w:tcBorders>
              <w:left w:val="single" w:sz="4" w:space="0" w:color="000000"/>
              <w:bottom w:val="nil" w:sz="6" w:space="0" w:color="auto"/>
              <w:right w:val="single" w:sz="4" w:space="0" w:color="000000"/>
            </w:tcBorders>
            <w:shd w:val="clear" w:color="auto" w:fill="D3D3D3"/>
          </w:tcPr>
          <w:p>
            <w:pPr/>
          </w:p>
        </w:tc>
        <w:tc>
          <w:tcPr>
            <w:tcW w:w="990" w:type="dxa"/>
            <w:vMerge/>
            <w:tcBorders>
              <w:left w:val="single" w:sz="4" w:space="0" w:color="000000"/>
              <w:bottom w:val="nil" w:sz="6" w:space="0" w:color="auto"/>
              <w:right w:val="single" w:sz="4" w:space="0" w:color="000000"/>
            </w:tcBorders>
            <w:shd w:val="clear" w:color="auto" w:fill="D3D3D3"/>
          </w:tcPr>
          <w:p>
            <w:pPr/>
          </w:p>
        </w:tc>
      </w:tr>
      <w:tr>
        <w:trPr>
          <w:trHeight w:val="391" w:hRule="exact"/>
        </w:trPr>
        <w:tc>
          <w:tcPr>
            <w:tcW w:w="10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交易对方</w:t>
            </w:r>
          </w:p>
        </w:tc>
        <w:tc>
          <w:tcPr>
            <w:tcW w:w="10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sz w:val="18"/>
                <w:szCs w:val="18"/>
              </w:rPr>
              <w:t>被出售股权</w:t>
            </w: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1001" w:type="dxa"/>
            <w:vMerge/>
            <w:tcBorders>
              <w:left w:val="single" w:sz="4" w:space="0" w:color="000000"/>
              <w:right w:val="single" w:sz="4" w:space="0" w:color="000000"/>
            </w:tcBorders>
            <w:shd w:val="clear" w:color="auto" w:fill="D3D3D3"/>
          </w:tcPr>
          <w:p>
            <w:pPr/>
          </w:p>
        </w:tc>
        <w:tc>
          <w:tcPr>
            <w:tcW w:w="1002"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10" w:space="0" w:color="D3D3D3"/>
            </w:tcBorders>
          </w:tcPr>
          <w:p>
            <w:pPr/>
          </w:p>
        </w:tc>
        <w:tc>
          <w:tcPr>
            <w:tcW w:w="1001" w:type="dxa"/>
            <w:vMerge/>
            <w:tcBorders>
              <w:left w:val="single" w:sz="4" w:space="0" w:color="000000"/>
              <w:right w:val="single" w:sz="4" w:space="0" w:color="000000"/>
            </w:tcBorders>
            <w:shd w:val="clear" w:color="auto" w:fill="D3D3D3"/>
          </w:tcPr>
          <w:p>
            <w:pPr/>
          </w:p>
        </w:tc>
        <w:tc>
          <w:tcPr>
            <w:tcW w:w="1013" w:type="dxa"/>
            <w:vMerge/>
            <w:tcBorders>
              <w:left w:val="single" w:sz="4" w:space="0" w:color="000000"/>
              <w:right w:val="single" w:sz="4" w:space="0" w:color="000000"/>
            </w:tcBorders>
            <w:shd w:val="clear" w:color="auto" w:fill="D3D3D3"/>
          </w:tcPr>
          <w:p>
            <w:pPr/>
          </w:p>
        </w:tc>
        <w:tc>
          <w:tcPr>
            <w:tcW w:w="990" w:type="dxa"/>
            <w:vMerge/>
            <w:tcBorders>
              <w:left w:val="single" w:sz="4" w:space="0" w:color="000000"/>
              <w:right w:val="single" w:sz="4" w:space="0" w:color="000000"/>
            </w:tcBorders>
            <w:shd w:val="clear" w:color="auto" w:fill="D3D3D3"/>
          </w:tcPr>
          <w:p>
            <w:pPr/>
          </w:p>
        </w:tc>
        <w:tc>
          <w:tcPr>
            <w:tcW w:w="1000" w:type="dxa"/>
            <w:vMerge/>
            <w:tcBorders>
              <w:left w:val="single" w:sz="4" w:space="0" w:color="000000"/>
              <w:right w:val="single" w:sz="4" w:space="0" w:color="000000"/>
            </w:tcBorders>
            <w:shd w:val="clear" w:color="auto" w:fill="D3D3D3"/>
          </w:tcPr>
          <w:p>
            <w:pPr/>
          </w:p>
        </w:tc>
        <w:tc>
          <w:tcPr>
            <w:tcW w:w="101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56" w:hRule="exact"/>
        </w:trPr>
        <w:tc>
          <w:tcPr>
            <w:tcW w:w="1002" w:type="dxa"/>
            <w:vMerge w:val="restart"/>
            <w:tcBorders>
              <w:top w:val="nil" w:sz="6" w:space="0" w:color="auto"/>
              <w:left w:val="single" w:sz="4" w:space="0" w:color="000000"/>
              <w:right w:val="single" w:sz="4" w:space="0" w:color="000000"/>
            </w:tcBorders>
            <w:shd w:val="clear" w:color="auto" w:fill="D3D3D3"/>
          </w:tcPr>
          <w:p>
            <w:pPr/>
          </w:p>
        </w:tc>
        <w:tc>
          <w:tcPr>
            <w:tcW w:w="1000" w:type="dxa"/>
            <w:vMerge w:val="restart"/>
            <w:tcBorders>
              <w:top w:val="nil" w:sz="6" w:space="0" w:color="auto"/>
              <w:left w:val="single" w:sz="4" w:space="0" w:color="000000"/>
              <w:right w:val="single" w:sz="4" w:space="0" w:color="000000"/>
            </w:tcBorders>
            <w:shd w:val="clear" w:color="auto" w:fill="D3D3D3"/>
          </w:tcPr>
          <w:p>
            <w:pPr/>
          </w:p>
        </w:tc>
        <w:tc>
          <w:tcPr>
            <w:tcW w:w="1001" w:type="dxa"/>
            <w:vMerge w:val="restart"/>
            <w:tcBorders>
              <w:top w:val="nil" w:sz="6" w:space="0" w:color="auto"/>
              <w:left w:val="single" w:sz="4" w:space="0" w:color="000000"/>
              <w:right w:val="single" w:sz="4" w:space="0" w:color="000000"/>
            </w:tcBorders>
            <w:shd w:val="clear" w:color="auto" w:fill="D3D3D3"/>
          </w:tcPr>
          <w:p>
            <w:pPr/>
          </w:p>
        </w:tc>
        <w:tc>
          <w:tcPr>
            <w:tcW w:w="1001" w:type="dxa"/>
            <w:vMerge/>
            <w:tcBorders>
              <w:left w:val="single" w:sz="4" w:space="0" w:color="000000"/>
              <w:bottom w:val="nil" w:sz="6" w:space="0" w:color="auto"/>
              <w:right w:val="single" w:sz="4" w:space="0" w:color="000000"/>
            </w:tcBorders>
            <w:shd w:val="clear" w:color="auto" w:fill="D3D3D3"/>
          </w:tcPr>
          <w:p>
            <w:pPr/>
          </w:p>
        </w:tc>
        <w:tc>
          <w:tcPr>
            <w:tcW w:w="1002"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10" w:space="0" w:color="D3D3D3"/>
            </w:tcBorders>
          </w:tcPr>
          <w:p>
            <w:pPr/>
          </w:p>
        </w:tc>
        <w:tc>
          <w:tcPr>
            <w:tcW w:w="1001" w:type="dxa"/>
            <w:vMerge/>
            <w:tcBorders>
              <w:left w:val="single" w:sz="4" w:space="0" w:color="000000"/>
              <w:bottom w:val="nil" w:sz="6" w:space="0" w:color="auto"/>
              <w:right w:val="single" w:sz="4" w:space="0" w:color="000000"/>
            </w:tcBorders>
            <w:shd w:val="clear" w:color="auto" w:fill="D3D3D3"/>
          </w:tcPr>
          <w:p>
            <w:pPr/>
          </w:p>
        </w:tc>
        <w:tc>
          <w:tcPr>
            <w:tcW w:w="1013" w:type="dxa"/>
            <w:vMerge/>
            <w:tcBorders>
              <w:left w:val="single" w:sz="4" w:space="0" w:color="000000"/>
              <w:bottom w:val="nil" w:sz="6" w:space="0" w:color="auto"/>
              <w:right w:val="single" w:sz="4" w:space="0" w:color="000000"/>
            </w:tcBorders>
            <w:shd w:val="clear" w:color="auto" w:fill="D3D3D3"/>
          </w:tcPr>
          <w:p>
            <w:pPr/>
          </w:p>
        </w:tc>
        <w:tc>
          <w:tcPr>
            <w:tcW w:w="990" w:type="dxa"/>
            <w:vMerge/>
            <w:tcBorders>
              <w:left w:val="single" w:sz="4" w:space="0" w:color="000000"/>
              <w:right w:val="single" w:sz="4" w:space="0" w:color="000000"/>
            </w:tcBorders>
            <w:shd w:val="clear" w:color="auto" w:fill="D3D3D3"/>
          </w:tcPr>
          <w:p>
            <w:pPr/>
          </w:p>
        </w:tc>
        <w:tc>
          <w:tcPr>
            <w:tcW w:w="1000" w:type="dxa"/>
            <w:vMerge/>
            <w:tcBorders>
              <w:left w:val="single" w:sz="4" w:space="0" w:color="000000"/>
              <w:right w:val="single" w:sz="4" w:space="0" w:color="000000"/>
            </w:tcBorders>
            <w:shd w:val="clear" w:color="auto" w:fill="D3D3D3"/>
          </w:tcPr>
          <w:p>
            <w:pPr/>
          </w:p>
        </w:tc>
        <w:tc>
          <w:tcPr>
            <w:tcW w:w="1012" w:type="dxa"/>
            <w:vMerge w:val="restart"/>
            <w:tcBorders>
              <w:top w:val="nil" w:sz="6" w:space="0" w:color="auto"/>
              <w:left w:val="single" w:sz="4" w:space="0" w:color="000000"/>
              <w:right w:val="single" w:sz="4" w:space="0" w:color="000000"/>
            </w:tcBorders>
            <w:shd w:val="clear" w:color="auto" w:fill="D3D3D3"/>
          </w:tcPr>
          <w:p>
            <w:pPr/>
          </w:p>
        </w:tc>
        <w:tc>
          <w:tcPr>
            <w:tcW w:w="990" w:type="dxa"/>
            <w:vMerge w:val="restart"/>
            <w:tcBorders>
              <w:top w:val="nil" w:sz="6" w:space="0" w:color="auto"/>
              <w:left w:val="single" w:sz="4" w:space="0" w:color="000000"/>
              <w:right w:val="single" w:sz="4" w:space="0" w:color="000000"/>
            </w:tcBorders>
            <w:shd w:val="clear" w:color="auto" w:fill="D3D3D3"/>
          </w:tcPr>
          <w:p>
            <w:pPr/>
          </w:p>
        </w:tc>
      </w:tr>
      <w:tr>
        <w:trPr>
          <w:trHeight w:val="156" w:hRule="exact"/>
        </w:trPr>
        <w:tc>
          <w:tcPr>
            <w:tcW w:w="1002" w:type="dxa"/>
            <w:vMerge/>
            <w:tcBorders>
              <w:left w:val="single" w:sz="4" w:space="0" w:color="000000"/>
              <w:right w:val="single" w:sz="4" w:space="0" w:color="000000"/>
            </w:tcBorders>
            <w:shd w:val="clear" w:color="auto" w:fill="D3D3D3"/>
          </w:tcPr>
          <w:p>
            <w:pPr/>
          </w:p>
        </w:tc>
        <w:tc>
          <w:tcPr>
            <w:tcW w:w="1000"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1001" w:type="dxa"/>
            <w:vMerge w:val="restart"/>
            <w:tcBorders>
              <w:top w:val="nil" w:sz="6" w:space="0" w:color="auto"/>
              <w:left w:val="single" w:sz="4" w:space="0" w:color="000000"/>
              <w:right w:val="single" w:sz="4" w:space="0" w:color="000000"/>
            </w:tcBorders>
            <w:shd w:val="clear" w:color="auto" w:fill="D3D3D3"/>
          </w:tcPr>
          <w:p>
            <w:pPr/>
          </w:p>
        </w:tc>
        <w:tc>
          <w:tcPr>
            <w:tcW w:w="1002" w:type="dxa"/>
            <w:vMerge/>
            <w:tcBorders>
              <w:left w:val="single" w:sz="4" w:space="0" w:color="000000"/>
              <w:bottom w:val="nil" w:sz="6" w:space="0" w:color="auto"/>
              <w:right w:val="single" w:sz="4" w:space="0" w:color="000000"/>
            </w:tcBorders>
            <w:shd w:val="clear" w:color="auto" w:fill="D3D3D3"/>
          </w:tcPr>
          <w:p>
            <w:pPr/>
          </w:p>
        </w:tc>
        <w:tc>
          <w:tcPr>
            <w:tcW w:w="1001" w:type="dxa"/>
            <w:vMerge/>
            <w:tcBorders>
              <w:left w:val="single" w:sz="4" w:space="0" w:color="000000"/>
              <w:bottom w:val="nil" w:sz="6" w:space="0" w:color="auto"/>
              <w:right w:val="single" w:sz="4" w:space="0" w:color="000000"/>
            </w:tcBorders>
          </w:tcPr>
          <w:p>
            <w:pPr/>
          </w:p>
        </w:tc>
        <w:tc>
          <w:tcPr>
            <w:tcW w:w="1001" w:type="dxa"/>
            <w:vMerge/>
            <w:tcBorders>
              <w:left w:val="single" w:sz="4" w:space="0" w:color="000000"/>
              <w:bottom w:val="nil" w:sz="6" w:space="0" w:color="auto"/>
              <w:right w:val="single" w:sz="4" w:space="0" w:color="000000"/>
            </w:tcBorders>
            <w:shd w:val="clear" w:color="auto" w:fill="D3D3D3"/>
          </w:tcPr>
          <w:p>
            <w:pPr/>
          </w:p>
        </w:tc>
        <w:tc>
          <w:tcPr>
            <w:tcW w:w="1001" w:type="dxa"/>
            <w:vMerge/>
            <w:tcBorders>
              <w:left w:val="single" w:sz="4" w:space="0" w:color="000000"/>
              <w:bottom w:val="nil" w:sz="6" w:space="0" w:color="auto"/>
              <w:right w:val="single" w:sz="10" w:space="0" w:color="D3D3D3"/>
            </w:tcBorders>
          </w:tcPr>
          <w:p>
            <w:pPr/>
          </w:p>
        </w:tc>
        <w:tc>
          <w:tcPr>
            <w:tcW w:w="1001" w:type="dxa"/>
            <w:vMerge w:val="restart"/>
            <w:tcBorders>
              <w:top w:val="nil" w:sz="6" w:space="0" w:color="auto"/>
              <w:left w:val="single" w:sz="4" w:space="0" w:color="000000"/>
              <w:right w:val="single" w:sz="4" w:space="0" w:color="000000"/>
            </w:tcBorders>
            <w:shd w:val="clear" w:color="auto" w:fill="D3D3D3"/>
          </w:tcPr>
          <w:p>
            <w:pPr/>
          </w:p>
        </w:tc>
        <w:tc>
          <w:tcPr>
            <w:tcW w:w="1013" w:type="dxa"/>
            <w:vMerge w:val="restart"/>
            <w:tcBorders>
              <w:top w:val="nil" w:sz="6" w:space="0" w:color="auto"/>
              <w:left w:val="single" w:sz="4" w:space="0" w:color="000000"/>
              <w:right w:val="single" w:sz="4" w:space="0" w:color="000000"/>
            </w:tcBorders>
            <w:shd w:val="clear" w:color="auto" w:fill="D3D3D3"/>
          </w:tcPr>
          <w:p>
            <w:pPr/>
          </w:p>
        </w:tc>
        <w:tc>
          <w:tcPr>
            <w:tcW w:w="990" w:type="dxa"/>
            <w:vMerge/>
            <w:tcBorders>
              <w:left w:val="single" w:sz="4" w:space="0" w:color="000000"/>
              <w:bottom w:val="nil" w:sz="6" w:space="0" w:color="auto"/>
              <w:right w:val="single" w:sz="4" w:space="0" w:color="000000"/>
            </w:tcBorders>
            <w:shd w:val="clear" w:color="auto" w:fill="D3D3D3"/>
          </w:tcPr>
          <w:p>
            <w:pPr/>
          </w:p>
        </w:tc>
        <w:tc>
          <w:tcPr>
            <w:tcW w:w="1000" w:type="dxa"/>
            <w:vMerge/>
            <w:tcBorders>
              <w:left w:val="single" w:sz="4" w:space="0" w:color="000000"/>
              <w:bottom w:val="nil" w:sz="6" w:space="0" w:color="auto"/>
              <w:right w:val="single" w:sz="4" w:space="0" w:color="000000"/>
            </w:tcBorders>
            <w:shd w:val="clear" w:color="auto" w:fill="D3D3D3"/>
          </w:tcPr>
          <w:p>
            <w:pPr/>
          </w:p>
        </w:tc>
        <w:tc>
          <w:tcPr>
            <w:tcW w:w="1012" w:type="dxa"/>
            <w:vMerge/>
            <w:tcBorders>
              <w:left w:val="single" w:sz="4" w:space="0" w:color="000000"/>
              <w:right w:val="single" w:sz="4" w:space="0" w:color="000000"/>
            </w:tcBorders>
            <w:shd w:val="clear" w:color="auto" w:fill="D3D3D3"/>
          </w:tcPr>
          <w:p>
            <w:pPr/>
          </w:p>
        </w:tc>
        <w:tc>
          <w:tcPr>
            <w:tcW w:w="990" w:type="dxa"/>
            <w:vMerge/>
            <w:tcBorders>
              <w:left w:val="single" w:sz="4" w:space="0" w:color="000000"/>
              <w:right w:val="single" w:sz="4" w:space="0" w:color="000000"/>
            </w:tcBorders>
            <w:shd w:val="clear" w:color="auto" w:fill="D3D3D3"/>
          </w:tcPr>
          <w:p>
            <w:pPr/>
          </w:p>
        </w:tc>
      </w:tr>
      <w:tr>
        <w:trPr>
          <w:trHeight w:val="274" w:hRule="exact"/>
        </w:trPr>
        <w:tc>
          <w:tcPr>
            <w:tcW w:w="1002" w:type="dxa"/>
            <w:vMerge/>
            <w:tcBorders>
              <w:left w:val="single" w:sz="4" w:space="0" w:color="000000"/>
              <w:right w:val="single" w:sz="4" w:space="0" w:color="000000"/>
            </w:tcBorders>
            <w:shd w:val="clear" w:color="auto" w:fill="D3D3D3"/>
          </w:tcPr>
          <w:p>
            <w:pPr/>
          </w:p>
        </w:tc>
        <w:tc>
          <w:tcPr>
            <w:tcW w:w="1000"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1001" w:type="dxa"/>
            <w:vMerge/>
            <w:tcBorders>
              <w:left w:val="single" w:sz="4" w:space="0" w:color="000000"/>
              <w:right w:val="single" w:sz="4" w:space="0" w:color="000000"/>
            </w:tcBorders>
            <w:shd w:val="clear" w:color="auto" w:fill="D3D3D3"/>
          </w:tcPr>
          <w:p>
            <w:pPr/>
          </w:p>
        </w:tc>
        <w:tc>
          <w:tcPr>
            <w:tcW w:w="10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08" w:lineRule="exact"/>
              <w:ind w:left="23" w:right="0"/>
              <w:jc w:val="left"/>
              <w:rPr>
                <w:rFonts w:ascii="宋体" w:hAnsi="宋体" w:cs="宋体" w:eastAsia="宋体" w:hint="default"/>
                <w:sz w:val="18"/>
                <w:szCs w:val="18"/>
              </w:rPr>
            </w:pPr>
            <w:r>
              <w:rPr>
                <w:rFonts w:ascii="宋体" w:hAnsi="宋体" w:cs="宋体" w:eastAsia="宋体" w:hint="default"/>
                <w:spacing w:val="-9"/>
                <w:sz w:val="18"/>
                <w:szCs w:val="18"/>
              </w:rPr>
              <w:t>利润（万元</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0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08" w:lineRule="exact"/>
              <w:ind w:left="135" w:right="0"/>
              <w:jc w:val="left"/>
              <w:rPr>
                <w:rFonts w:ascii="宋体" w:hAnsi="宋体" w:cs="宋体" w:eastAsia="宋体" w:hint="default"/>
                <w:sz w:val="18"/>
                <w:szCs w:val="18"/>
              </w:rPr>
            </w:pPr>
            <w:r>
              <w:rPr>
                <w:rFonts w:ascii="宋体" w:hAnsi="宋体" w:cs="宋体" w:eastAsia="宋体" w:hint="default"/>
                <w:sz w:val="18"/>
                <w:szCs w:val="18"/>
              </w:rPr>
              <w:t>额的比例</w:t>
            </w:r>
          </w:p>
        </w:tc>
        <w:tc>
          <w:tcPr>
            <w:tcW w:w="1001" w:type="dxa"/>
            <w:tcBorders>
              <w:top w:val="nil" w:sz="6" w:space="0" w:color="auto"/>
              <w:left w:val="single" w:sz="4" w:space="0" w:color="000000"/>
              <w:bottom w:val="nil" w:sz="6" w:space="0" w:color="auto"/>
              <w:right w:val="single" w:sz="10" w:space="0" w:color="D3D3D3"/>
            </w:tcBorders>
          </w:tcPr>
          <w:p>
            <w:pPr/>
          </w:p>
        </w:tc>
        <w:tc>
          <w:tcPr>
            <w:tcW w:w="1001" w:type="dxa"/>
            <w:vMerge/>
            <w:tcBorders>
              <w:left w:val="single" w:sz="4" w:space="0" w:color="000000"/>
              <w:right w:val="single" w:sz="4" w:space="0" w:color="000000"/>
            </w:tcBorders>
            <w:shd w:val="clear" w:color="auto" w:fill="D3D3D3"/>
          </w:tcPr>
          <w:p>
            <w:pPr/>
          </w:p>
        </w:tc>
        <w:tc>
          <w:tcPr>
            <w:tcW w:w="1013" w:type="dxa"/>
            <w:vMerge/>
            <w:tcBorders>
              <w:left w:val="single" w:sz="4" w:space="0" w:color="000000"/>
              <w:right w:val="single" w:sz="4" w:space="0" w:color="000000"/>
            </w:tcBorders>
            <w:shd w:val="clear" w:color="auto" w:fill="D3D3D3"/>
          </w:tcPr>
          <w:p>
            <w:pPr/>
          </w:p>
        </w:tc>
        <w:tc>
          <w:tcPr>
            <w:tcW w:w="990" w:type="dxa"/>
            <w:vMerge w:val="restart"/>
            <w:tcBorders>
              <w:top w:val="nil" w:sz="6" w:space="0" w:color="auto"/>
              <w:left w:val="single" w:sz="4" w:space="0" w:color="000000"/>
              <w:right w:val="single" w:sz="4" w:space="0" w:color="000000"/>
            </w:tcBorders>
            <w:shd w:val="clear" w:color="auto" w:fill="D3D3D3"/>
          </w:tcPr>
          <w:p>
            <w:pPr/>
          </w:p>
        </w:tc>
        <w:tc>
          <w:tcPr>
            <w:tcW w:w="10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公司已采取</w:t>
            </w:r>
          </w:p>
        </w:tc>
        <w:tc>
          <w:tcPr>
            <w:tcW w:w="1012" w:type="dxa"/>
            <w:vMerge/>
            <w:tcBorders>
              <w:left w:val="single" w:sz="4" w:space="0" w:color="000000"/>
              <w:right w:val="single" w:sz="4" w:space="0" w:color="000000"/>
            </w:tcBorders>
            <w:shd w:val="clear" w:color="auto" w:fill="D3D3D3"/>
          </w:tcPr>
          <w:p>
            <w:pPr/>
          </w:p>
        </w:tc>
        <w:tc>
          <w:tcPr>
            <w:tcW w:w="990" w:type="dxa"/>
            <w:vMerge/>
            <w:tcBorders>
              <w:left w:val="single" w:sz="4" w:space="0" w:color="000000"/>
              <w:right w:val="single" w:sz="4" w:space="0" w:color="000000"/>
            </w:tcBorders>
            <w:shd w:val="clear" w:color="auto" w:fill="D3D3D3"/>
          </w:tcPr>
          <w:p>
            <w:pPr/>
          </w:p>
        </w:tc>
      </w:tr>
      <w:tr>
        <w:trPr>
          <w:trHeight w:val="355" w:hRule="exact"/>
        </w:trPr>
        <w:tc>
          <w:tcPr>
            <w:tcW w:w="1002" w:type="dxa"/>
            <w:vMerge/>
            <w:tcBorders>
              <w:left w:val="single" w:sz="4" w:space="0" w:color="000000"/>
              <w:bottom w:val="single" w:sz="4" w:space="0" w:color="000000"/>
              <w:right w:val="single" w:sz="4" w:space="0" w:color="000000"/>
            </w:tcBorders>
            <w:shd w:val="clear" w:color="auto" w:fill="D3D3D3"/>
          </w:tcPr>
          <w:p>
            <w:pPr/>
          </w:p>
        </w:tc>
        <w:tc>
          <w:tcPr>
            <w:tcW w:w="1000" w:type="dxa"/>
            <w:vMerge/>
            <w:tcBorders>
              <w:left w:val="single" w:sz="4" w:space="0" w:color="000000"/>
              <w:bottom w:val="single" w:sz="4" w:space="0" w:color="000000"/>
              <w:right w:val="single" w:sz="4" w:space="0" w:color="000000"/>
            </w:tcBorders>
            <w:shd w:val="clear" w:color="auto" w:fill="D3D3D3"/>
          </w:tcPr>
          <w:p>
            <w:pPr/>
          </w:p>
        </w:tc>
        <w:tc>
          <w:tcPr>
            <w:tcW w:w="1001" w:type="dxa"/>
            <w:vMerge/>
            <w:tcBorders>
              <w:left w:val="single" w:sz="4" w:space="0" w:color="000000"/>
              <w:bottom w:val="single" w:sz="4" w:space="0" w:color="000000"/>
              <w:right w:val="single" w:sz="4" w:space="0" w:color="000000"/>
            </w:tcBorders>
            <w:shd w:val="clear" w:color="auto" w:fill="D3D3D3"/>
          </w:tcPr>
          <w:p>
            <w:pPr/>
          </w:p>
        </w:tc>
        <w:tc>
          <w:tcPr>
            <w:tcW w:w="1001" w:type="dxa"/>
            <w:vMerge/>
            <w:tcBorders>
              <w:left w:val="single" w:sz="4" w:space="0" w:color="000000"/>
              <w:bottom w:val="single" w:sz="4" w:space="0" w:color="000000"/>
              <w:right w:val="single" w:sz="4" w:space="0" w:color="000000"/>
            </w:tcBorders>
            <w:shd w:val="clear" w:color="auto" w:fill="D3D3D3"/>
          </w:tcPr>
          <w:p>
            <w:pPr/>
          </w:p>
        </w:tc>
        <w:tc>
          <w:tcPr>
            <w:tcW w:w="1002" w:type="dxa"/>
            <w:tcBorders>
              <w:top w:val="nil" w:sz="6" w:space="0" w:color="auto"/>
              <w:left w:val="single" w:sz="4" w:space="0" w:color="000000"/>
              <w:bottom w:val="single" w:sz="4" w:space="0" w:color="000000"/>
              <w:right w:val="single" w:sz="4" w:space="0" w:color="000000"/>
            </w:tcBorders>
            <w:shd w:val="clear" w:color="auto" w:fill="D3D3D3"/>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shd w:val="clear" w:color="auto" w:fill="D3D3D3"/>
          </w:tcPr>
          <w:p>
            <w:pPr/>
          </w:p>
        </w:tc>
        <w:tc>
          <w:tcPr>
            <w:tcW w:w="1001" w:type="dxa"/>
            <w:tcBorders>
              <w:top w:val="nil" w:sz="6" w:space="0" w:color="auto"/>
              <w:left w:val="single" w:sz="4" w:space="0" w:color="000000"/>
              <w:bottom w:val="single" w:sz="4" w:space="0" w:color="000000"/>
              <w:right w:val="single" w:sz="10" w:space="0" w:color="D3D3D3"/>
            </w:tcBorders>
          </w:tcPr>
          <w:p>
            <w:pPr/>
          </w:p>
        </w:tc>
        <w:tc>
          <w:tcPr>
            <w:tcW w:w="1001" w:type="dxa"/>
            <w:vMerge/>
            <w:tcBorders>
              <w:left w:val="single" w:sz="4" w:space="0" w:color="000000"/>
              <w:bottom w:val="single" w:sz="4" w:space="0" w:color="000000"/>
              <w:right w:val="single" w:sz="4" w:space="0" w:color="000000"/>
            </w:tcBorders>
            <w:shd w:val="clear" w:color="auto" w:fill="D3D3D3"/>
          </w:tcPr>
          <w:p>
            <w:pPr/>
          </w:p>
        </w:tc>
        <w:tc>
          <w:tcPr>
            <w:tcW w:w="1013" w:type="dxa"/>
            <w:vMerge/>
            <w:tcBorders>
              <w:left w:val="single" w:sz="4" w:space="0" w:color="000000"/>
              <w:bottom w:val="single" w:sz="4" w:space="0" w:color="000000"/>
              <w:right w:val="single" w:sz="4" w:space="0" w:color="000000"/>
            </w:tcBorders>
            <w:shd w:val="clear" w:color="auto" w:fill="D3D3D3"/>
          </w:tcPr>
          <w:p>
            <w:pPr/>
          </w:p>
        </w:tc>
        <w:tc>
          <w:tcPr>
            <w:tcW w:w="990" w:type="dxa"/>
            <w:vMerge/>
            <w:tcBorders>
              <w:left w:val="single" w:sz="4" w:space="0" w:color="000000"/>
              <w:bottom w:val="single" w:sz="4" w:space="0" w:color="000000"/>
              <w:right w:val="single" w:sz="4" w:space="0" w:color="000000"/>
            </w:tcBorders>
            <w:shd w:val="clear" w:color="auto" w:fill="D3D3D3"/>
          </w:tcPr>
          <w:p>
            <w:pPr/>
          </w:p>
        </w:tc>
        <w:tc>
          <w:tcPr>
            <w:tcW w:w="100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的措施</w:t>
            </w:r>
          </w:p>
        </w:tc>
        <w:tc>
          <w:tcPr>
            <w:tcW w:w="1012" w:type="dxa"/>
            <w:vMerge/>
            <w:tcBorders>
              <w:left w:val="single" w:sz="4" w:space="0" w:color="000000"/>
              <w:bottom w:val="single" w:sz="4" w:space="0" w:color="000000"/>
              <w:right w:val="single" w:sz="4" w:space="0" w:color="000000"/>
            </w:tcBorders>
            <w:shd w:val="clear" w:color="auto" w:fill="D3D3D3"/>
          </w:tcPr>
          <w:p>
            <w:pPr/>
          </w:p>
        </w:tc>
        <w:tc>
          <w:tcPr>
            <w:tcW w:w="990" w:type="dxa"/>
            <w:vMerge/>
            <w:tcBorders>
              <w:left w:val="single" w:sz="4" w:space="0" w:color="000000"/>
              <w:bottom w:val="single" w:sz="4" w:space="0" w:color="000000"/>
              <w:right w:val="single" w:sz="4" w:space="0" w:color="000000"/>
            </w:tcBorders>
            <w:shd w:val="clear" w:color="auto" w:fill="D3D3D3"/>
          </w:tcPr>
          <w:p>
            <w:pPr/>
          </w:p>
        </w:tc>
      </w:tr>
      <w:tr>
        <w:trPr>
          <w:trHeight w:val="358" w:hRule="exact"/>
        </w:trPr>
        <w:tc>
          <w:tcPr>
            <w:tcW w:w="1002" w:type="dxa"/>
            <w:tcBorders>
              <w:top w:val="single" w:sz="4" w:space="0" w:color="000000"/>
              <w:left w:val="single" w:sz="4" w:space="0" w:color="000000"/>
              <w:bottom w:val="nil" w:sz="6" w:space="0" w:color="auto"/>
              <w:right w:val="single" w:sz="4" w:space="0" w:color="000000"/>
            </w:tcBorders>
            <w:shd w:val="clear" w:color="auto" w:fill="C7EDCC"/>
          </w:tcPr>
          <w:p>
            <w:pPr/>
          </w:p>
        </w:tc>
        <w:tc>
          <w:tcPr>
            <w:tcW w:w="1000" w:type="dxa"/>
            <w:tcBorders>
              <w:top w:val="single" w:sz="4" w:space="0" w:color="000000"/>
              <w:left w:val="single" w:sz="4" w:space="0" w:color="000000"/>
              <w:bottom w:val="nil" w:sz="6" w:space="0" w:color="auto"/>
              <w:right w:val="single" w:sz="4" w:space="0" w:color="000000"/>
            </w:tcBorders>
            <w:shd w:val="clear" w:color="auto" w:fill="C7EDCC"/>
          </w:tcPr>
          <w:p>
            <w:pPr/>
          </w:p>
        </w:tc>
        <w:tc>
          <w:tcPr>
            <w:tcW w:w="1001" w:type="dxa"/>
            <w:tcBorders>
              <w:top w:val="single" w:sz="4" w:space="0" w:color="000000"/>
              <w:left w:val="single" w:sz="4" w:space="0" w:color="000000"/>
              <w:bottom w:val="nil" w:sz="6" w:space="0" w:color="auto"/>
              <w:right w:val="single" w:sz="4" w:space="0" w:color="000000"/>
            </w:tcBorders>
          </w:tcPr>
          <w:p>
            <w:pPr/>
          </w:p>
        </w:tc>
        <w:tc>
          <w:tcPr>
            <w:tcW w:w="1001" w:type="dxa"/>
            <w:tcBorders>
              <w:top w:val="single" w:sz="4" w:space="0" w:color="000000"/>
              <w:left w:val="single" w:sz="4" w:space="0" w:color="000000"/>
              <w:bottom w:val="nil" w:sz="6" w:space="0" w:color="auto"/>
              <w:right w:val="single" w:sz="4" w:space="0" w:color="000000"/>
            </w:tcBorders>
          </w:tcPr>
          <w:p>
            <w:pPr/>
          </w:p>
        </w:tc>
        <w:tc>
          <w:tcPr>
            <w:tcW w:w="1002" w:type="dxa"/>
            <w:tcBorders>
              <w:top w:val="single" w:sz="4" w:space="0" w:color="000000"/>
              <w:left w:val="single" w:sz="4" w:space="0" w:color="000000"/>
              <w:bottom w:val="nil" w:sz="6" w:space="0" w:color="auto"/>
              <w:right w:val="single" w:sz="4" w:space="0" w:color="000000"/>
            </w:tcBorders>
          </w:tcPr>
          <w:p>
            <w:pPr/>
          </w:p>
        </w:tc>
        <w:tc>
          <w:tcPr>
            <w:tcW w:w="1001" w:type="dxa"/>
            <w:tcBorders>
              <w:top w:val="single" w:sz="4" w:space="0" w:color="000000"/>
              <w:left w:val="single" w:sz="4" w:space="0" w:color="000000"/>
              <w:bottom w:val="nil" w:sz="6" w:space="0" w:color="auto"/>
              <w:right w:val="single" w:sz="4" w:space="0" w:color="000000"/>
            </w:tcBorders>
            <w:shd w:val="clear" w:color="auto" w:fill="C7EDCC"/>
          </w:tcPr>
          <w:p>
            <w:pPr/>
          </w:p>
        </w:tc>
        <w:tc>
          <w:tcPr>
            <w:tcW w:w="1001" w:type="dxa"/>
            <w:tcBorders>
              <w:top w:val="single" w:sz="4" w:space="0" w:color="000000"/>
              <w:left w:val="single" w:sz="4" w:space="0" w:color="000000"/>
              <w:bottom w:val="nil" w:sz="6" w:space="0" w:color="auto"/>
              <w:right w:val="single" w:sz="4" w:space="0" w:color="000000"/>
            </w:tcBorders>
          </w:tcPr>
          <w:p>
            <w:pPr/>
          </w:p>
        </w:tc>
        <w:tc>
          <w:tcPr>
            <w:tcW w:w="1001" w:type="dxa"/>
            <w:tcBorders>
              <w:top w:val="single" w:sz="4" w:space="0" w:color="000000"/>
              <w:left w:val="single" w:sz="4" w:space="0" w:color="000000"/>
              <w:bottom w:val="nil" w:sz="6" w:space="0" w:color="auto"/>
              <w:right w:val="single" w:sz="4" w:space="0" w:color="000000"/>
            </w:tcBorders>
            <w:shd w:val="clear" w:color="auto" w:fill="C7EDCC"/>
          </w:tcPr>
          <w:p>
            <w:pPr/>
          </w:p>
        </w:tc>
        <w:tc>
          <w:tcPr>
            <w:tcW w:w="1001" w:type="dxa"/>
            <w:tcBorders>
              <w:top w:val="single" w:sz="4" w:space="0" w:color="000000"/>
              <w:left w:val="single" w:sz="4" w:space="0" w:color="000000"/>
              <w:bottom w:val="nil" w:sz="6" w:space="0" w:color="auto"/>
              <w:right w:val="single" w:sz="4" w:space="0" w:color="000000"/>
            </w:tcBorders>
          </w:tcPr>
          <w:p>
            <w:pPr/>
          </w:p>
        </w:tc>
        <w:tc>
          <w:tcPr>
            <w:tcW w:w="1013" w:type="dxa"/>
            <w:tcBorders>
              <w:top w:val="single" w:sz="4" w:space="0" w:color="000000"/>
              <w:left w:val="single" w:sz="4" w:space="0" w:color="000000"/>
              <w:bottom w:val="nil" w:sz="6" w:space="0" w:color="auto"/>
              <w:right w:val="single" w:sz="13" w:space="0" w:color="FFFFFF"/>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持有本公司</w:t>
            </w:r>
          </w:p>
        </w:tc>
        <w:tc>
          <w:tcPr>
            <w:tcW w:w="990" w:type="dxa"/>
            <w:tcBorders>
              <w:top w:val="single" w:sz="4" w:space="0" w:color="000000"/>
              <w:left w:val="single" w:sz="13" w:space="0" w:color="FFFFFF"/>
              <w:bottom w:val="nil" w:sz="6" w:space="0" w:color="auto"/>
              <w:right w:val="single" w:sz="4" w:space="0" w:color="000000"/>
            </w:tcBorders>
          </w:tcPr>
          <w:p>
            <w:pPr/>
          </w:p>
        </w:tc>
        <w:tc>
          <w:tcPr>
            <w:tcW w:w="1000" w:type="dxa"/>
            <w:tcBorders>
              <w:top w:val="single" w:sz="4" w:space="0" w:color="000000"/>
              <w:left w:val="single" w:sz="4" w:space="0" w:color="000000"/>
              <w:bottom w:val="nil" w:sz="6" w:space="0" w:color="auto"/>
              <w:right w:val="single" w:sz="4" w:space="0" w:color="000000"/>
            </w:tcBorders>
            <w:shd w:val="clear" w:color="auto" w:fill="C7EDCC"/>
          </w:tcPr>
          <w:p>
            <w:pPr/>
          </w:p>
        </w:tc>
        <w:tc>
          <w:tcPr>
            <w:tcW w:w="1012" w:type="dxa"/>
            <w:tcBorders>
              <w:top w:val="single" w:sz="4" w:space="0" w:color="000000"/>
              <w:left w:val="single" w:sz="4" w:space="0" w:color="000000"/>
              <w:bottom w:val="nil" w:sz="6" w:space="0" w:color="auto"/>
              <w:right w:val="single" w:sz="13" w:space="0" w:color="C7EDCC"/>
            </w:tcBorders>
          </w:tcPr>
          <w:p>
            <w:pPr/>
          </w:p>
        </w:tc>
        <w:tc>
          <w:tcPr>
            <w:tcW w:w="990"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6" w:hRule="exact"/>
        </w:trPr>
        <w:tc>
          <w:tcPr>
            <w:tcW w:w="1002" w:type="dxa"/>
            <w:tcBorders>
              <w:top w:val="nil" w:sz="6" w:space="0" w:color="auto"/>
              <w:left w:val="single" w:sz="4" w:space="0" w:color="000000"/>
              <w:bottom w:val="nil" w:sz="6" w:space="0" w:color="auto"/>
              <w:right w:val="single" w:sz="4" w:space="0" w:color="000000"/>
            </w:tcBorders>
            <w:shd w:val="clear" w:color="auto" w:fill="C7EDCC"/>
          </w:tcPr>
          <w:p>
            <w:pPr/>
          </w:p>
        </w:tc>
        <w:tc>
          <w:tcPr>
            <w:tcW w:w="1000" w:type="dxa"/>
            <w:tcBorders>
              <w:top w:val="nil" w:sz="6" w:space="0" w:color="auto"/>
              <w:left w:val="single" w:sz="4" w:space="0" w:color="000000"/>
              <w:bottom w:val="nil" w:sz="6" w:space="0" w:color="auto"/>
              <w:right w:val="single" w:sz="4" w:space="0" w:color="000000"/>
            </w:tcBorders>
            <w:shd w:val="clear" w:color="auto" w:fill="C7EDCC"/>
          </w:tcPr>
          <w:p>
            <w:pPr/>
          </w:p>
        </w:tc>
        <w:tc>
          <w:tcPr>
            <w:tcW w:w="1001"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002"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shd w:val="clear" w:color="auto" w:fill="C7EDCC"/>
          </w:tcPr>
          <w:p>
            <w:pPr/>
          </w:p>
        </w:tc>
        <w:tc>
          <w:tcPr>
            <w:tcW w:w="1001"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shd w:val="clear" w:color="auto" w:fill="C7EDCC"/>
          </w:tcPr>
          <w:p>
            <w:pPr/>
          </w:p>
        </w:tc>
        <w:tc>
          <w:tcPr>
            <w:tcW w:w="1001" w:type="dxa"/>
            <w:tcBorders>
              <w:top w:val="nil" w:sz="6" w:space="0" w:color="auto"/>
              <w:left w:val="single" w:sz="4" w:space="0" w:color="000000"/>
              <w:bottom w:val="nil" w:sz="6" w:space="0" w:color="auto"/>
              <w:right w:val="single" w:sz="4" w:space="0" w:color="000000"/>
            </w:tcBorders>
          </w:tcPr>
          <w:p>
            <w:pPr/>
          </w:p>
        </w:tc>
        <w:tc>
          <w:tcPr>
            <w:tcW w:w="1013" w:type="dxa"/>
            <w:tcBorders>
              <w:top w:val="nil" w:sz="6" w:space="0" w:color="auto"/>
              <w:left w:val="single" w:sz="4" w:space="0" w:color="000000"/>
              <w:bottom w:val="nil" w:sz="6" w:space="0" w:color="auto"/>
              <w:right w:val="single" w:sz="13" w:space="0" w:color="FFFFFF"/>
            </w:tcBorders>
            <w:shd w:val="clear" w:color="auto" w:fill="C7EDCC"/>
          </w:tcPr>
          <w:p>
            <w:pPr>
              <w:pStyle w:val="TableParagraph"/>
              <w:spacing w:line="240" w:lineRule="auto" w:before="10"/>
              <w:ind w:left="22"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7.02%</w:t>
            </w:r>
            <w:r>
              <w:rPr>
                <w:rFonts w:ascii="宋体" w:hAnsi="宋体" w:cs="宋体" w:eastAsia="宋体" w:hint="default"/>
                <w:sz w:val="18"/>
                <w:szCs w:val="18"/>
              </w:rPr>
              <w:t>股份，</w:t>
            </w:r>
          </w:p>
        </w:tc>
        <w:tc>
          <w:tcPr>
            <w:tcW w:w="990" w:type="dxa"/>
            <w:tcBorders>
              <w:top w:val="nil" w:sz="6" w:space="0" w:color="auto"/>
              <w:left w:val="single" w:sz="13" w:space="0" w:color="FFFFFF"/>
              <w:bottom w:val="nil" w:sz="6" w:space="0" w:color="auto"/>
              <w:right w:val="single" w:sz="4" w:space="0" w:color="000000"/>
            </w:tcBorders>
          </w:tcPr>
          <w:p>
            <w:pPr/>
          </w:p>
        </w:tc>
        <w:tc>
          <w:tcPr>
            <w:tcW w:w="1000" w:type="dxa"/>
            <w:tcBorders>
              <w:top w:val="nil" w:sz="6" w:space="0" w:color="auto"/>
              <w:left w:val="single" w:sz="4" w:space="0" w:color="000000"/>
              <w:bottom w:val="nil" w:sz="6" w:space="0" w:color="auto"/>
              <w:right w:val="single" w:sz="4" w:space="0" w:color="000000"/>
            </w:tcBorders>
            <w:shd w:val="clear" w:color="auto" w:fill="C7EDCC"/>
          </w:tcPr>
          <w:p>
            <w:pPr/>
          </w:p>
        </w:tc>
        <w:tc>
          <w:tcPr>
            <w:tcW w:w="1012" w:type="dxa"/>
            <w:tcBorders>
              <w:top w:val="nil" w:sz="6" w:space="0" w:color="auto"/>
              <w:left w:val="single" w:sz="4" w:space="0" w:color="000000"/>
              <w:bottom w:val="nil" w:sz="6" w:space="0" w:color="auto"/>
              <w:right w:val="single" w:sz="13" w:space="0" w:color="C7EDCC"/>
            </w:tcBorders>
          </w:tcPr>
          <w:p>
            <w:pPr/>
          </w:p>
        </w:tc>
        <w:tc>
          <w:tcPr>
            <w:tcW w:w="990"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07" w:hRule="exact"/>
        </w:trPr>
        <w:tc>
          <w:tcPr>
            <w:tcW w:w="1002" w:type="dxa"/>
            <w:tcBorders>
              <w:top w:val="nil" w:sz="6" w:space="0" w:color="auto"/>
              <w:left w:val="single" w:sz="4" w:space="0" w:color="000000"/>
              <w:bottom w:val="nil" w:sz="6" w:space="0" w:color="auto"/>
              <w:right w:val="single" w:sz="4" w:space="0" w:color="000000"/>
            </w:tcBorders>
            <w:shd w:val="clear" w:color="auto" w:fill="C7EDCC"/>
          </w:tcPr>
          <w:p>
            <w:pPr/>
          </w:p>
        </w:tc>
        <w:tc>
          <w:tcPr>
            <w:tcW w:w="1000" w:type="dxa"/>
            <w:tcBorders>
              <w:top w:val="nil" w:sz="6" w:space="0" w:color="auto"/>
              <w:left w:val="single" w:sz="4" w:space="0" w:color="000000"/>
              <w:bottom w:val="nil" w:sz="6" w:space="0" w:color="auto"/>
              <w:right w:val="single" w:sz="4" w:space="0" w:color="000000"/>
            </w:tcBorders>
            <w:shd w:val="clear" w:color="auto" w:fill="C7EDCC"/>
          </w:tcPr>
          <w:p>
            <w:pPr/>
          </w:p>
        </w:tc>
        <w:tc>
          <w:tcPr>
            <w:tcW w:w="1001"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002"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shd w:val="clear" w:color="auto" w:fill="C7EDCC"/>
          </w:tcPr>
          <w:p>
            <w:pPr/>
          </w:p>
        </w:tc>
        <w:tc>
          <w:tcPr>
            <w:tcW w:w="1001"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shd w:val="clear" w:color="auto" w:fill="C7EDCC"/>
          </w:tcPr>
          <w:p>
            <w:pPr/>
          </w:p>
        </w:tc>
        <w:tc>
          <w:tcPr>
            <w:tcW w:w="1001" w:type="dxa"/>
            <w:tcBorders>
              <w:top w:val="nil" w:sz="6" w:space="0" w:color="auto"/>
              <w:left w:val="single" w:sz="4" w:space="0" w:color="000000"/>
              <w:bottom w:val="nil" w:sz="6" w:space="0" w:color="auto"/>
              <w:right w:val="single" w:sz="4" w:space="0" w:color="000000"/>
            </w:tcBorders>
          </w:tcPr>
          <w:p>
            <w:pPr/>
          </w:p>
        </w:tc>
        <w:tc>
          <w:tcPr>
            <w:tcW w:w="1013" w:type="dxa"/>
            <w:tcBorders>
              <w:top w:val="nil" w:sz="6" w:space="0" w:color="auto"/>
              <w:left w:val="single" w:sz="4" w:space="0" w:color="000000"/>
              <w:bottom w:val="nil" w:sz="6" w:space="0" w:color="auto"/>
              <w:right w:val="single" w:sz="13" w:space="0" w:color="FFFFFF"/>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公司董事汪</w:t>
            </w:r>
          </w:p>
        </w:tc>
        <w:tc>
          <w:tcPr>
            <w:tcW w:w="990" w:type="dxa"/>
            <w:tcBorders>
              <w:top w:val="nil" w:sz="6" w:space="0" w:color="auto"/>
              <w:left w:val="single" w:sz="13" w:space="0" w:color="FFFFFF"/>
              <w:bottom w:val="nil" w:sz="6" w:space="0" w:color="auto"/>
              <w:right w:val="single" w:sz="4" w:space="0" w:color="000000"/>
            </w:tcBorders>
          </w:tcPr>
          <w:p>
            <w:pPr/>
          </w:p>
        </w:tc>
        <w:tc>
          <w:tcPr>
            <w:tcW w:w="1000" w:type="dxa"/>
            <w:tcBorders>
              <w:top w:val="nil" w:sz="6" w:space="0" w:color="auto"/>
              <w:left w:val="single" w:sz="4" w:space="0" w:color="000000"/>
              <w:bottom w:val="nil" w:sz="6" w:space="0" w:color="auto"/>
              <w:right w:val="single" w:sz="4" w:space="0" w:color="000000"/>
            </w:tcBorders>
            <w:shd w:val="clear" w:color="auto" w:fill="C7EDCC"/>
          </w:tcPr>
          <w:p>
            <w:pPr/>
          </w:p>
        </w:tc>
        <w:tc>
          <w:tcPr>
            <w:tcW w:w="1012" w:type="dxa"/>
            <w:tcBorders>
              <w:top w:val="nil" w:sz="6" w:space="0" w:color="auto"/>
              <w:left w:val="single" w:sz="4" w:space="0" w:color="000000"/>
              <w:bottom w:val="nil" w:sz="6" w:space="0" w:color="auto"/>
              <w:right w:val="single" w:sz="13" w:space="0" w:color="C7EDCC"/>
            </w:tcBorders>
          </w:tcPr>
          <w:p>
            <w:pPr/>
          </w:p>
        </w:tc>
        <w:tc>
          <w:tcPr>
            <w:tcW w:w="990"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937" w:hRule="exact"/>
        </w:trPr>
        <w:tc>
          <w:tcPr>
            <w:tcW w:w="100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67"/>
              <w:jc w:val="left"/>
              <w:rPr>
                <w:rFonts w:ascii="宋体" w:hAnsi="宋体" w:cs="宋体" w:eastAsia="宋体" w:hint="default"/>
                <w:sz w:val="18"/>
                <w:szCs w:val="18"/>
              </w:rPr>
            </w:pPr>
            <w:r>
              <w:rPr>
                <w:rFonts w:ascii="宋体" w:hAnsi="宋体" w:cs="宋体" w:eastAsia="宋体" w:hint="default"/>
                <w:sz w:val="18"/>
                <w:szCs w:val="18"/>
              </w:rPr>
              <w:t>华立集团股 份有限公司</w:t>
            </w:r>
          </w:p>
        </w:tc>
        <w:tc>
          <w:tcPr>
            <w:tcW w:w="10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11.3289%</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5,678.13</w:t>
            </w:r>
          </w:p>
        </w:tc>
        <w:tc>
          <w:tcPr>
            <w:tcW w:w="100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3,451.16</w:t>
            </w:r>
          </w:p>
        </w:tc>
        <w:tc>
          <w:tcPr>
            <w:tcW w:w="100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1"/>
              <w:ind w:left="22" w:right="66"/>
              <w:jc w:val="left"/>
              <w:rPr>
                <w:rFonts w:ascii="Times New Roman" w:hAnsi="Times New Roman" w:cs="Times New Roman" w:eastAsia="Times New Roman" w:hint="default"/>
                <w:sz w:val="18"/>
                <w:szCs w:val="18"/>
              </w:rPr>
            </w:pPr>
            <w:r>
              <w:rPr>
                <w:rFonts w:ascii="宋体" w:hAnsi="宋体" w:cs="宋体" w:eastAsia="宋体" w:hint="default"/>
                <w:sz w:val="18"/>
                <w:szCs w:val="18"/>
              </w:rPr>
              <w:t>增加投资收 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3451.16</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Times New Roman" w:hAnsi="Times New Roman" w:cs="Times New Roman" w:eastAsia="Times New Roman" w:hint="default"/>
                <w:sz w:val="18"/>
                <w:szCs w:val="18"/>
              </w:rPr>
            </w:pPr>
            <w:r>
              <w:rPr>
                <w:rFonts w:ascii="Times New Roman"/>
                <w:sz w:val="18"/>
              </w:rPr>
              <w:t>12.17%</w:t>
            </w:r>
          </w:p>
        </w:tc>
        <w:tc>
          <w:tcPr>
            <w:tcW w:w="100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公开挂牌</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13" w:type="dxa"/>
            <w:tcBorders>
              <w:top w:val="nil" w:sz="6" w:space="0" w:color="auto"/>
              <w:left w:val="single" w:sz="4" w:space="0" w:color="000000"/>
              <w:bottom w:val="nil" w:sz="6" w:space="0" w:color="auto"/>
              <w:right w:val="single" w:sz="13" w:space="0" w:color="FFFFFF"/>
            </w:tcBorders>
            <w:shd w:val="clear" w:color="auto" w:fill="C7EDCC"/>
          </w:tcPr>
          <w:p>
            <w:pPr>
              <w:pStyle w:val="TableParagraph"/>
              <w:spacing w:line="316" w:lineRule="auto" w:before="10"/>
              <w:ind w:left="22" w:right="66"/>
              <w:jc w:val="both"/>
              <w:rPr>
                <w:rFonts w:ascii="宋体" w:hAnsi="宋体" w:cs="宋体" w:eastAsia="宋体" w:hint="default"/>
                <w:sz w:val="18"/>
                <w:szCs w:val="18"/>
              </w:rPr>
            </w:pPr>
            <w:r>
              <w:rPr>
                <w:rFonts w:ascii="宋体" w:hAnsi="宋体" w:cs="宋体" w:eastAsia="宋体" w:hint="default"/>
                <w:sz w:val="18"/>
                <w:szCs w:val="18"/>
              </w:rPr>
              <w:t>思洋先生在 华立集团下 属企业担任</w:t>
            </w:r>
          </w:p>
        </w:tc>
        <w:tc>
          <w:tcPr>
            <w:tcW w:w="990" w:type="dxa"/>
            <w:tcBorders>
              <w:top w:val="nil" w:sz="6" w:space="0" w:color="auto"/>
              <w:left w:val="single" w:sz="13" w:space="0" w:color="FFFFFF"/>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按计划实施</w:t>
            </w:r>
          </w:p>
        </w:tc>
        <w:tc>
          <w:tcPr>
            <w:tcW w:w="1012" w:type="dxa"/>
            <w:tcBorders>
              <w:top w:val="nil" w:sz="6" w:space="0" w:color="auto"/>
              <w:left w:val="single" w:sz="4" w:space="0" w:color="000000"/>
              <w:bottom w:val="nil" w:sz="6" w:space="0" w:color="auto"/>
              <w:right w:val="single" w:sz="13" w:space="0" w:color="C7EDCC"/>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311" w:hRule="exact"/>
        </w:trPr>
        <w:tc>
          <w:tcPr>
            <w:tcW w:w="1002" w:type="dxa"/>
            <w:tcBorders>
              <w:top w:val="nil" w:sz="6" w:space="0" w:color="auto"/>
              <w:left w:val="single" w:sz="4" w:space="0" w:color="000000"/>
              <w:bottom w:val="nil" w:sz="6" w:space="0" w:color="auto"/>
              <w:right w:val="single" w:sz="4" w:space="0" w:color="000000"/>
            </w:tcBorders>
            <w:shd w:val="clear" w:color="auto" w:fill="C7EDCC"/>
          </w:tcPr>
          <w:p>
            <w:pPr/>
          </w:p>
        </w:tc>
        <w:tc>
          <w:tcPr>
            <w:tcW w:w="1000" w:type="dxa"/>
            <w:tcBorders>
              <w:top w:val="nil" w:sz="6" w:space="0" w:color="auto"/>
              <w:left w:val="single" w:sz="4" w:space="0" w:color="000000"/>
              <w:bottom w:val="nil" w:sz="6" w:space="0" w:color="auto"/>
              <w:right w:val="single" w:sz="4" w:space="0" w:color="000000"/>
            </w:tcBorders>
            <w:shd w:val="clear" w:color="auto" w:fill="C7EDCC"/>
          </w:tcPr>
          <w:p>
            <w:pPr/>
          </w:p>
        </w:tc>
        <w:tc>
          <w:tcPr>
            <w:tcW w:w="1001"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002"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shd w:val="clear" w:color="auto" w:fill="C7EDCC"/>
          </w:tcPr>
          <w:p>
            <w:pPr/>
          </w:p>
        </w:tc>
        <w:tc>
          <w:tcPr>
            <w:tcW w:w="1001"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shd w:val="clear" w:color="auto" w:fill="C7EDCC"/>
          </w:tcPr>
          <w:p>
            <w:pPr/>
          </w:p>
        </w:tc>
        <w:tc>
          <w:tcPr>
            <w:tcW w:w="1001" w:type="dxa"/>
            <w:tcBorders>
              <w:top w:val="nil" w:sz="6" w:space="0" w:color="auto"/>
              <w:left w:val="single" w:sz="4" w:space="0" w:color="000000"/>
              <w:bottom w:val="nil" w:sz="6" w:space="0" w:color="auto"/>
              <w:right w:val="single" w:sz="4" w:space="0" w:color="000000"/>
            </w:tcBorders>
          </w:tcPr>
          <w:p>
            <w:pPr/>
          </w:p>
        </w:tc>
        <w:tc>
          <w:tcPr>
            <w:tcW w:w="1013" w:type="dxa"/>
            <w:tcBorders>
              <w:top w:val="nil" w:sz="6" w:space="0" w:color="auto"/>
              <w:left w:val="single" w:sz="4" w:space="0" w:color="000000"/>
              <w:bottom w:val="nil" w:sz="6" w:space="0" w:color="auto"/>
              <w:right w:val="single" w:sz="13" w:space="0" w:color="FFFFFF"/>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董事、高级</w:t>
            </w:r>
          </w:p>
        </w:tc>
        <w:tc>
          <w:tcPr>
            <w:tcW w:w="990" w:type="dxa"/>
            <w:tcBorders>
              <w:top w:val="nil" w:sz="6" w:space="0" w:color="auto"/>
              <w:left w:val="single" w:sz="13" w:space="0" w:color="FFFFFF"/>
              <w:bottom w:val="nil" w:sz="6" w:space="0" w:color="auto"/>
              <w:right w:val="single" w:sz="4" w:space="0" w:color="000000"/>
            </w:tcBorders>
          </w:tcPr>
          <w:p>
            <w:pPr/>
          </w:p>
        </w:tc>
        <w:tc>
          <w:tcPr>
            <w:tcW w:w="1000" w:type="dxa"/>
            <w:tcBorders>
              <w:top w:val="nil" w:sz="6" w:space="0" w:color="auto"/>
              <w:left w:val="single" w:sz="4" w:space="0" w:color="000000"/>
              <w:bottom w:val="nil" w:sz="6" w:space="0" w:color="auto"/>
              <w:right w:val="single" w:sz="4" w:space="0" w:color="000000"/>
            </w:tcBorders>
            <w:shd w:val="clear" w:color="auto" w:fill="C7EDCC"/>
          </w:tcPr>
          <w:p>
            <w:pPr/>
          </w:p>
        </w:tc>
        <w:tc>
          <w:tcPr>
            <w:tcW w:w="1012" w:type="dxa"/>
            <w:tcBorders>
              <w:top w:val="nil" w:sz="6" w:space="0" w:color="auto"/>
              <w:left w:val="single" w:sz="4" w:space="0" w:color="000000"/>
              <w:bottom w:val="nil" w:sz="6" w:space="0" w:color="auto"/>
              <w:right w:val="single" w:sz="13" w:space="0" w:color="C7EDCC"/>
            </w:tcBorders>
          </w:tcPr>
          <w:p>
            <w:pPr/>
          </w:p>
        </w:tc>
        <w:tc>
          <w:tcPr>
            <w:tcW w:w="990"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3" w:hRule="exact"/>
        </w:trPr>
        <w:tc>
          <w:tcPr>
            <w:tcW w:w="1002" w:type="dxa"/>
            <w:tcBorders>
              <w:top w:val="nil" w:sz="6" w:space="0" w:color="auto"/>
              <w:left w:val="single" w:sz="4" w:space="0" w:color="000000"/>
              <w:bottom w:val="nil" w:sz="6" w:space="0" w:color="auto"/>
              <w:right w:val="single" w:sz="4" w:space="0" w:color="000000"/>
            </w:tcBorders>
            <w:shd w:val="clear" w:color="auto" w:fill="C7EDCC"/>
          </w:tcPr>
          <w:p>
            <w:pPr/>
          </w:p>
        </w:tc>
        <w:tc>
          <w:tcPr>
            <w:tcW w:w="1000" w:type="dxa"/>
            <w:tcBorders>
              <w:top w:val="nil" w:sz="6" w:space="0" w:color="auto"/>
              <w:left w:val="single" w:sz="4" w:space="0" w:color="000000"/>
              <w:bottom w:val="nil" w:sz="6" w:space="0" w:color="auto"/>
              <w:right w:val="single" w:sz="4" w:space="0" w:color="000000"/>
            </w:tcBorders>
            <w:shd w:val="clear" w:color="auto" w:fill="C7EDCC"/>
          </w:tcPr>
          <w:p>
            <w:pPr/>
          </w:p>
        </w:tc>
        <w:tc>
          <w:tcPr>
            <w:tcW w:w="1001"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1002"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shd w:val="clear" w:color="auto" w:fill="C7EDCC"/>
          </w:tcPr>
          <w:p>
            <w:pPr/>
          </w:p>
        </w:tc>
        <w:tc>
          <w:tcPr>
            <w:tcW w:w="1001" w:type="dxa"/>
            <w:tcBorders>
              <w:top w:val="nil" w:sz="6" w:space="0" w:color="auto"/>
              <w:left w:val="single" w:sz="4" w:space="0" w:color="000000"/>
              <w:bottom w:val="nil" w:sz="6" w:space="0" w:color="auto"/>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shd w:val="clear" w:color="auto" w:fill="C7EDCC"/>
          </w:tcPr>
          <w:p>
            <w:pPr/>
          </w:p>
        </w:tc>
        <w:tc>
          <w:tcPr>
            <w:tcW w:w="1001" w:type="dxa"/>
            <w:tcBorders>
              <w:top w:val="nil" w:sz="6" w:space="0" w:color="auto"/>
              <w:left w:val="single" w:sz="4" w:space="0" w:color="000000"/>
              <w:bottom w:val="nil" w:sz="6" w:space="0" w:color="auto"/>
              <w:right w:val="single" w:sz="4" w:space="0" w:color="000000"/>
            </w:tcBorders>
          </w:tcPr>
          <w:p>
            <w:pPr/>
          </w:p>
        </w:tc>
        <w:tc>
          <w:tcPr>
            <w:tcW w:w="1013" w:type="dxa"/>
            <w:tcBorders>
              <w:top w:val="nil" w:sz="6" w:space="0" w:color="auto"/>
              <w:left w:val="single" w:sz="4" w:space="0" w:color="000000"/>
              <w:bottom w:val="nil" w:sz="6" w:space="0" w:color="auto"/>
              <w:right w:val="single" w:sz="13" w:space="0" w:color="FFFFFF"/>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管理人员职</w:t>
            </w:r>
          </w:p>
        </w:tc>
        <w:tc>
          <w:tcPr>
            <w:tcW w:w="990" w:type="dxa"/>
            <w:tcBorders>
              <w:top w:val="nil" w:sz="6" w:space="0" w:color="auto"/>
              <w:left w:val="single" w:sz="13" w:space="0" w:color="FFFFFF"/>
              <w:bottom w:val="nil" w:sz="6" w:space="0" w:color="auto"/>
              <w:right w:val="single" w:sz="4" w:space="0" w:color="000000"/>
            </w:tcBorders>
          </w:tcPr>
          <w:p>
            <w:pPr/>
          </w:p>
        </w:tc>
        <w:tc>
          <w:tcPr>
            <w:tcW w:w="1000" w:type="dxa"/>
            <w:tcBorders>
              <w:top w:val="nil" w:sz="6" w:space="0" w:color="auto"/>
              <w:left w:val="single" w:sz="4" w:space="0" w:color="000000"/>
              <w:bottom w:val="nil" w:sz="6" w:space="0" w:color="auto"/>
              <w:right w:val="single" w:sz="4" w:space="0" w:color="000000"/>
            </w:tcBorders>
            <w:shd w:val="clear" w:color="auto" w:fill="C7EDCC"/>
          </w:tcPr>
          <w:p>
            <w:pPr/>
          </w:p>
        </w:tc>
        <w:tc>
          <w:tcPr>
            <w:tcW w:w="1012" w:type="dxa"/>
            <w:tcBorders>
              <w:top w:val="nil" w:sz="6" w:space="0" w:color="auto"/>
              <w:left w:val="single" w:sz="4" w:space="0" w:color="000000"/>
              <w:bottom w:val="nil" w:sz="6" w:space="0" w:color="auto"/>
              <w:right w:val="single" w:sz="13" w:space="0" w:color="C7EDCC"/>
            </w:tcBorders>
          </w:tcPr>
          <w:p>
            <w:pPr/>
          </w:p>
        </w:tc>
        <w:tc>
          <w:tcPr>
            <w:tcW w:w="990"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56" w:hRule="exact"/>
        </w:trPr>
        <w:tc>
          <w:tcPr>
            <w:tcW w:w="1002" w:type="dxa"/>
            <w:tcBorders>
              <w:top w:val="nil" w:sz="6" w:space="0" w:color="auto"/>
              <w:left w:val="single" w:sz="4" w:space="0" w:color="000000"/>
              <w:bottom w:val="single" w:sz="4" w:space="0" w:color="000000"/>
              <w:right w:val="single" w:sz="4" w:space="0" w:color="000000"/>
            </w:tcBorders>
            <w:shd w:val="clear" w:color="auto" w:fill="C7EDCC"/>
          </w:tcPr>
          <w:p>
            <w:pPr/>
          </w:p>
        </w:tc>
        <w:tc>
          <w:tcPr>
            <w:tcW w:w="1000" w:type="dxa"/>
            <w:tcBorders>
              <w:top w:val="nil" w:sz="6" w:space="0" w:color="auto"/>
              <w:left w:val="single" w:sz="4" w:space="0" w:color="000000"/>
              <w:bottom w:val="single" w:sz="4" w:space="0" w:color="000000"/>
              <w:right w:val="single" w:sz="4" w:space="0" w:color="000000"/>
            </w:tcBorders>
            <w:shd w:val="clear" w:color="auto" w:fill="C7EDCC"/>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1002" w:type="dxa"/>
            <w:tcBorders>
              <w:top w:val="nil" w:sz="6" w:space="0" w:color="auto"/>
              <w:left w:val="single" w:sz="4" w:space="0" w:color="000000"/>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shd w:val="clear" w:color="auto" w:fill="C7EDCC"/>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shd w:val="clear" w:color="auto" w:fill="C7EDCC"/>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1013" w:type="dxa"/>
            <w:tcBorders>
              <w:top w:val="nil" w:sz="6" w:space="0" w:color="auto"/>
              <w:left w:val="single" w:sz="4" w:space="0" w:color="000000"/>
              <w:bottom w:val="single" w:sz="4" w:space="0" w:color="000000"/>
              <w:right w:val="single" w:sz="13" w:space="0" w:color="FFFFFF"/>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务</w:t>
            </w:r>
          </w:p>
        </w:tc>
        <w:tc>
          <w:tcPr>
            <w:tcW w:w="990" w:type="dxa"/>
            <w:tcBorders>
              <w:top w:val="nil" w:sz="6" w:space="0" w:color="auto"/>
              <w:left w:val="single" w:sz="13" w:space="0" w:color="FFFFFF"/>
              <w:bottom w:val="single" w:sz="4" w:space="0" w:color="000000"/>
              <w:right w:val="single" w:sz="4" w:space="0" w:color="000000"/>
            </w:tcBorders>
          </w:tcPr>
          <w:p>
            <w:pPr/>
          </w:p>
        </w:tc>
        <w:tc>
          <w:tcPr>
            <w:tcW w:w="1000" w:type="dxa"/>
            <w:tcBorders>
              <w:top w:val="nil" w:sz="6" w:space="0" w:color="auto"/>
              <w:left w:val="single" w:sz="4" w:space="0" w:color="000000"/>
              <w:bottom w:val="single" w:sz="4" w:space="0" w:color="000000"/>
              <w:right w:val="single" w:sz="4" w:space="0" w:color="000000"/>
            </w:tcBorders>
            <w:shd w:val="clear" w:color="auto" w:fill="C7EDCC"/>
          </w:tcPr>
          <w:p>
            <w:pPr/>
          </w:p>
        </w:tc>
        <w:tc>
          <w:tcPr>
            <w:tcW w:w="1012" w:type="dxa"/>
            <w:tcBorders>
              <w:top w:val="nil" w:sz="6" w:space="0" w:color="auto"/>
              <w:left w:val="single" w:sz="4" w:space="0" w:color="000000"/>
              <w:bottom w:val="single" w:sz="4" w:space="0" w:color="000000"/>
              <w:right w:val="single" w:sz="13" w:space="0" w:color="C7EDCC"/>
            </w:tcBorders>
          </w:tcPr>
          <w:p>
            <w:pPr/>
          </w:p>
        </w:tc>
        <w:tc>
          <w:tcPr>
            <w:tcW w:w="990"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358" w:hRule="exact"/>
        </w:trPr>
        <w:tc>
          <w:tcPr>
            <w:tcW w:w="1002"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杭州昊润云</w:t>
            </w:r>
          </w:p>
        </w:tc>
        <w:tc>
          <w:tcPr>
            <w:tcW w:w="1000" w:type="dxa"/>
            <w:tcBorders>
              <w:top w:val="single" w:sz="4" w:space="0" w:color="000000"/>
              <w:left w:val="single" w:sz="4" w:space="0" w:color="000000"/>
              <w:bottom w:val="nil" w:sz="6" w:space="0" w:color="auto"/>
              <w:right w:val="single" w:sz="4" w:space="0" w:color="000000"/>
            </w:tcBorders>
            <w:shd w:val="clear" w:color="auto" w:fill="C7EDCC"/>
          </w:tcPr>
          <w:p>
            <w:pPr/>
          </w:p>
        </w:tc>
        <w:tc>
          <w:tcPr>
            <w:tcW w:w="1001" w:type="dxa"/>
            <w:tcBorders>
              <w:top w:val="single" w:sz="4" w:space="0" w:color="000000"/>
              <w:left w:val="single" w:sz="4" w:space="0" w:color="000000"/>
              <w:bottom w:val="nil" w:sz="6" w:space="0" w:color="auto"/>
              <w:right w:val="single" w:sz="4" w:space="0" w:color="000000"/>
            </w:tcBorders>
          </w:tcPr>
          <w:p>
            <w:pPr/>
          </w:p>
        </w:tc>
        <w:tc>
          <w:tcPr>
            <w:tcW w:w="1001" w:type="dxa"/>
            <w:tcBorders>
              <w:top w:val="single" w:sz="4" w:space="0" w:color="000000"/>
              <w:left w:val="single" w:sz="4" w:space="0" w:color="000000"/>
              <w:bottom w:val="nil" w:sz="6" w:space="0" w:color="auto"/>
              <w:right w:val="single" w:sz="4" w:space="0" w:color="000000"/>
            </w:tcBorders>
          </w:tcPr>
          <w:p>
            <w:pPr/>
          </w:p>
        </w:tc>
        <w:tc>
          <w:tcPr>
            <w:tcW w:w="1002" w:type="dxa"/>
            <w:tcBorders>
              <w:top w:val="single" w:sz="4" w:space="0" w:color="000000"/>
              <w:left w:val="single" w:sz="4" w:space="0" w:color="000000"/>
              <w:bottom w:val="nil" w:sz="6" w:space="0" w:color="auto"/>
              <w:right w:val="single" w:sz="4" w:space="0" w:color="000000"/>
            </w:tcBorders>
          </w:tcPr>
          <w:p>
            <w:pPr/>
          </w:p>
        </w:tc>
        <w:tc>
          <w:tcPr>
            <w:tcW w:w="1001" w:type="dxa"/>
            <w:tcBorders>
              <w:top w:val="single" w:sz="4" w:space="0" w:color="000000"/>
              <w:left w:val="single" w:sz="4" w:space="0" w:color="000000"/>
              <w:bottom w:val="nil" w:sz="6" w:space="0" w:color="auto"/>
              <w:right w:val="single" w:sz="4" w:space="0" w:color="000000"/>
            </w:tcBorders>
            <w:shd w:val="clear" w:color="auto" w:fill="C7EDCC"/>
          </w:tcPr>
          <w:p>
            <w:pPr/>
          </w:p>
        </w:tc>
        <w:tc>
          <w:tcPr>
            <w:tcW w:w="1001" w:type="dxa"/>
            <w:tcBorders>
              <w:top w:val="single" w:sz="4" w:space="0" w:color="000000"/>
              <w:left w:val="single" w:sz="4" w:space="0" w:color="000000"/>
              <w:bottom w:val="nil" w:sz="6" w:space="0" w:color="auto"/>
              <w:right w:val="single" w:sz="4" w:space="0" w:color="000000"/>
            </w:tcBorders>
          </w:tcPr>
          <w:p>
            <w:pPr/>
          </w:p>
        </w:tc>
        <w:tc>
          <w:tcPr>
            <w:tcW w:w="1001" w:type="dxa"/>
            <w:tcBorders>
              <w:top w:val="single" w:sz="4" w:space="0" w:color="000000"/>
              <w:left w:val="single" w:sz="4" w:space="0" w:color="000000"/>
              <w:bottom w:val="nil" w:sz="6" w:space="0" w:color="auto"/>
              <w:right w:val="single" w:sz="4" w:space="0" w:color="000000"/>
            </w:tcBorders>
            <w:shd w:val="clear" w:color="auto" w:fill="C7EDCC"/>
          </w:tcPr>
          <w:p>
            <w:pPr/>
          </w:p>
        </w:tc>
        <w:tc>
          <w:tcPr>
            <w:tcW w:w="1001" w:type="dxa"/>
            <w:tcBorders>
              <w:top w:val="single" w:sz="4" w:space="0" w:color="000000"/>
              <w:left w:val="single" w:sz="4" w:space="0" w:color="000000"/>
              <w:bottom w:val="nil" w:sz="6" w:space="0" w:color="auto"/>
              <w:right w:val="single" w:sz="4" w:space="0" w:color="000000"/>
            </w:tcBorders>
          </w:tcPr>
          <w:p>
            <w:pPr/>
          </w:p>
        </w:tc>
        <w:tc>
          <w:tcPr>
            <w:tcW w:w="1013" w:type="dxa"/>
            <w:tcBorders>
              <w:top w:val="single" w:sz="4" w:space="0" w:color="000000"/>
              <w:left w:val="single" w:sz="4" w:space="0" w:color="000000"/>
              <w:bottom w:val="nil" w:sz="6" w:space="0" w:color="auto"/>
              <w:right w:val="single" w:sz="4" w:space="0" w:color="000000"/>
            </w:tcBorders>
            <w:shd w:val="clear" w:color="auto" w:fill="C7EDCC"/>
          </w:tcPr>
          <w:p>
            <w:pPr/>
          </w:p>
        </w:tc>
        <w:tc>
          <w:tcPr>
            <w:tcW w:w="990" w:type="dxa"/>
            <w:tcBorders>
              <w:top w:val="single" w:sz="4" w:space="0" w:color="000000"/>
              <w:left w:val="single" w:sz="4" w:space="0" w:color="000000"/>
              <w:bottom w:val="nil" w:sz="6" w:space="0" w:color="auto"/>
              <w:right w:val="single" w:sz="4" w:space="0" w:color="000000"/>
            </w:tcBorders>
          </w:tcPr>
          <w:p>
            <w:pPr/>
          </w:p>
        </w:tc>
        <w:tc>
          <w:tcPr>
            <w:tcW w:w="1000" w:type="dxa"/>
            <w:tcBorders>
              <w:top w:val="single" w:sz="4" w:space="0" w:color="000000"/>
              <w:left w:val="single" w:sz="4" w:space="0" w:color="000000"/>
              <w:bottom w:val="nil" w:sz="6" w:space="0" w:color="auto"/>
              <w:right w:val="single" w:sz="4" w:space="0" w:color="000000"/>
            </w:tcBorders>
            <w:shd w:val="clear" w:color="auto" w:fill="C7EDCC"/>
          </w:tcPr>
          <w:p>
            <w:pPr/>
          </w:p>
        </w:tc>
        <w:tc>
          <w:tcPr>
            <w:tcW w:w="1012" w:type="dxa"/>
            <w:tcBorders>
              <w:top w:val="single" w:sz="4" w:space="0" w:color="000000"/>
              <w:left w:val="single" w:sz="4" w:space="0" w:color="000000"/>
              <w:bottom w:val="nil" w:sz="6" w:space="0" w:color="auto"/>
              <w:right w:val="single" w:sz="13" w:space="0" w:color="C7EDCC"/>
            </w:tcBorders>
          </w:tcPr>
          <w:p>
            <w:pPr/>
          </w:p>
        </w:tc>
        <w:tc>
          <w:tcPr>
            <w:tcW w:w="990"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937" w:hRule="exact"/>
        </w:trPr>
        <w:tc>
          <w:tcPr>
            <w:tcW w:w="100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67"/>
              <w:jc w:val="left"/>
              <w:rPr>
                <w:rFonts w:ascii="宋体" w:hAnsi="宋体" w:cs="宋体" w:eastAsia="宋体" w:hint="default"/>
                <w:sz w:val="18"/>
                <w:szCs w:val="18"/>
              </w:rPr>
            </w:pPr>
            <w:r>
              <w:rPr>
                <w:rFonts w:ascii="宋体" w:hAnsi="宋体" w:cs="宋体" w:eastAsia="宋体" w:hint="default"/>
                <w:sz w:val="18"/>
                <w:szCs w:val="18"/>
              </w:rPr>
              <w:t>景投资管理 合伙企业</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（有限合</w:t>
            </w:r>
          </w:p>
        </w:tc>
        <w:tc>
          <w:tcPr>
            <w:tcW w:w="10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Times New Roman" w:hAnsi="Times New Roman" w:cs="Times New Roman" w:eastAsia="Times New Roman" w:hint="default"/>
                <w:sz w:val="18"/>
                <w:szCs w:val="18"/>
              </w:rPr>
            </w:pPr>
            <w:r>
              <w:rPr>
                <w:rFonts w:ascii="Times New Roman"/>
                <w:sz w:val="18"/>
              </w:rPr>
              <w:t>3.7763%</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1,866.04</w:t>
            </w:r>
          </w:p>
        </w:tc>
        <w:tc>
          <w:tcPr>
            <w:tcW w:w="100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1,150.39</w:t>
            </w:r>
          </w:p>
        </w:tc>
        <w:tc>
          <w:tcPr>
            <w:tcW w:w="100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1"/>
              <w:ind w:left="22" w:right="66"/>
              <w:jc w:val="left"/>
              <w:rPr>
                <w:rFonts w:ascii="Times New Roman" w:hAnsi="Times New Roman" w:cs="Times New Roman" w:eastAsia="Times New Roman" w:hint="default"/>
                <w:sz w:val="18"/>
                <w:szCs w:val="18"/>
              </w:rPr>
            </w:pPr>
            <w:r>
              <w:rPr>
                <w:rFonts w:ascii="宋体" w:hAnsi="宋体" w:cs="宋体" w:eastAsia="宋体" w:hint="default"/>
                <w:sz w:val="18"/>
                <w:szCs w:val="18"/>
              </w:rPr>
              <w:t>增加投资收 益</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1150.39</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4.06%</w:t>
            </w:r>
          </w:p>
        </w:tc>
        <w:tc>
          <w:tcPr>
            <w:tcW w:w="100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公开挂牌</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1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9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按计划实施</w:t>
            </w:r>
          </w:p>
        </w:tc>
        <w:tc>
          <w:tcPr>
            <w:tcW w:w="1012" w:type="dxa"/>
            <w:tcBorders>
              <w:top w:val="nil" w:sz="6" w:space="0" w:color="auto"/>
              <w:left w:val="single" w:sz="4" w:space="0" w:color="000000"/>
              <w:bottom w:val="nil" w:sz="6" w:space="0" w:color="auto"/>
              <w:right w:val="single" w:sz="13" w:space="0" w:color="C7EDCC"/>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公告</w:t>
            </w:r>
          </w:p>
        </w:tc>
      </w:tr>
      <w:tr>
        <w:trPr>
          <w:trHeight w:val="355" w:hRule="exact"/>
        </w:trPr>
        <w:tc>
          <w:tcPr>
            <w:tcW w:w="1002"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伙）</w:t>
            </w:r>
          </w:p>
        </w:tc>
        <w:tc>
          <w:tcPr>
            <w:tcW w:w="1000" w:type="dxa"/>
            <w:tcBorders>
              <w:top w:val="nil" w:sz="6" w:space="0" w:color="auto"/>
              <w:left w:val="single" w:sz="4" w:space="0" w:color="000000"/>
              <w:bottom w:val="single" w:sz="4" w:space="0" w:color="000000"/>
              <w:right w:val="single" w:sz="4" w:space="0" w:color="000000"/>
            </w:tcBorders>
            <w:shd w:val="clear" w:color="auto" w:fill="C7EDCC"/>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1002" w:type="dxa"/>
            <w:tcBorders>
              <w:top w:val="nil" w:sz="6" w:space="0" w:color="auto"/>
              <w:left w:val="single" w:sz="4" w:space="0" w:color="000000"/>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shd w:val="clear" w:color="auto" w:fill="C7EDCC"/>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shd w:val="clear" w:color="auto" w:fill="C7EDCC"/>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1013" w:type="dxa"/>
            <w:tcBorders>
              <w:top w:val="nil" w:sz="6" w:space="0" w:color="auto"/>
              <w:left w:val="single" w:sz="4" w:space="0" w:color="000000"/>
              <w:bottom w:val="single" w:sz="4" w:space="0" w:color="000000"/>
              <w:right w:val="single" w:sz="4" w:space="0" w:color="000000"/>
            </w:tcBorders>
            <w:shd w:val="clear" w:color="auto" w:fill="C7EDCC"/>
          </w:tcPr>
          <w:p>
            <w:pPr/>
          </w:p>
        </w:tc>
        <w:tc>
          <w:tcPr>
            <w:tcW w:w="990" w:type="dxa"/>
            <w:tcBorders>
              <w:top w:val="nil" w:sz="6" w:space="0" w:color="auto"/>
              <w:left w:val="single" w:sz="4" w:space="0" w:color="000000"/>
              <w:bottom w:val="single" w:sz="4" w:space="0" w:color="000000"/>
              <w:right w:val="single" w:sz="4" w:space="0" w:color="000000"/>
            </w:tcBorders>
          </w:tcPr>
          <w:p>
            <w:pPr/>
          </w:p>
        </w:tc>
        <w:tc>
          <w:tcPr>
            <w:tcW w:w="1000" w:type="dxa"/>
            <w:tcBorders>
              <w:top w:val="nil" w:sz="6" w:space="0" w:color="auto"/>
              <w:left w:val="single" w:sz="4" w:space="0" w:color="000000"/>
              <w:bottom w:val="single" w:sz="4" w:space="0" w:color="000000"/>
              <w:right w:val="single" w:sz="4" w:space="0" w:color="000000"/>
            </w:tcBorders>
            <w:shd w:val="clear" w:color="auto" w:fill="C7EDCC"/>
          </w:tcPr>
          <w:p>
            <w:pPr/>
          </w:p>
        </w:tc>
        <w:tc>
          <w:tcPr>
            <w:tcW w:w="1012" w:type="dxa"/>
            <w:tcBorders>
              <w:top w:val="nil" w:sz="6" w:space="0" w:color="auto"/>
              <w:left w:val="single" w:sz="4" w:space="0" w:color="000000"/>
              <w:bottom w:val="single" w:sz="4" w:space="0" w:color="000000"/>
              <w:right w:val="single" w:sz="13" w:space="0" w:color="C7EDCC"/>
            </w:tcBorders>
          </w:tcPr>
          <w:p>
            <w:pPr/>
          </w:p>
        </w:tc>
        <w:tc>
          <w:tcPr>
            <w:tcW w:w="990"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1027" w:hRule="exact"/>
        </w:trPr>
        <w:tc>
          <w:tcPr>
            <w:tcW w:w="100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67"/>
              <w:jc w:val="both"/>
              <w:rPr>
                <w:rFonts w:ascii="宋体" w:hAnsi="宋体" w:cs="宋体" w:eastAsia="宋体" w:hint="default"/>
                <w:sz w:val="18"/>
                <w:szCs w:val="18"/>
              </w:rPr>
            </w:pPr>
            <w:r>
              <w:rPr>
                <w:rFonts w:ascii="宋体" w:hAnsi="宋体" w:cs="宋体" w:eastAsia="宋体" w:hint="default"/>
                <w:sz w:val="18"/>
                <w:szCs w:val="18"/>
              </w:rPr>
              <w:t>浙江出版联 合集团有限 公司</w:t>
            </w:r>
          </w:p>
        </w:tc>
        <w:tc>
          <w:tcPr>
            <w:tcW w:w="10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3.7763%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1,826.04</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1,150.39</w:t>
            </w:r>
          </w:p>
        </w:tc>
        <w:tc>
          <w:tcPr>
            <w:tcW w:w="10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66"/>
              <w:jc w:val="left"/>
              <w:rPr>
                <w:rFonts w:ascii="Times New Roman" w:hAnsi="Times New Roman" w:cs="Times New Roman" w:eastAsia="Times New Roman" w:hint="default"/>
                <w:sz w:val="18"/>
                <w:szCs w:val="18"/>
              </w:rPr>
            </w:pPr>
            <w:r>
              <w:rPr>
                <w:rFonts w:ascii="宋体" w:hAnsi="宋体" w:cs="宋体" w:eastAsia="宋体" w:hint="default"/>
                <w:sz w:val="18"/>
                <w:szCs w:val="18"/>
              </w:rPr>
              <w:t>增加投资收 益</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1150.39</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4.06%</w:t>
            </w:r>
          </w:p>
        </w:tc>
        <w:tc>
          <w:tcPr>
            <w:tcW w:w="10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公开挂牌</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1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43"/>
              <w:jc w:val="center"/>
              <w:rPr>
                <w:rFonts w:ascii="宋体" w:hAnsi="宋体" w:cs="宋体" w:eastAsia="宋体" w:hint="default"/>
                <w:sz w:val="18"/>
                <w:szCs w:val="18"/>
              </w:rPr>
            </w:pPr>
            <w:r>
              <w:rPr>
                <w:rFonts w:ascii="宋体" w:hAnsi="宋体" w:cs="宋体" w:eastAsia="宋体" w:hint="default"/>
                <w:sz w:val="18"/>
                <w:szCs w:val="18"/>
              </w:rPr>
              <w:t>按计划实施</w:t>
            </w:r>
          </w:p>
        </w:tc>
        <w:tc>
          <w:tcPr>
            <w:tcW w:w="1012" w:type="dxa"/>
            <w:tcBorders>
              <w:top w:val="single" w:sz="4" w:space="0" w:color="000000"/>
              <w:left w:val="single" w:sz="4" w:space="0" w:color="000000"/>
              <w:bottom w:val="single" w:sz="4" w:space="0" w:color="000000"/>
              <w:right w:val="single" w:sz="13" w:space="0" w:color="C7EDCC"/>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公告</w:t>
            </w:r>
          </w:p>
        </w:tc>
      </w:tr>
    </w:tbl>
    <w:p>
      <w:pPr>
        <w:spacing w:after="0" w:line="240" w:lineRule="auto"/>
        <w:jc w:val="left"/>
        <w:rPr>
          <w:rFonts w:ascii="宋体" w:hAnsi="宋体" w:cs="宋体" w:eastAsia="宋体" w:hint="default"/>
          <w:sz w:val="18"/>
          <w:szCs w:val="18"/>
        </w:rPr>
        <w:sectPr>
          <w:pgSz w:w="16840" w:h="11910" w:orient="landscape"/>
          <w:pgMar w:header="867" w:footer="978" w:top="1060" w:bottom="1160" w:left="1300" w:right="1300"/>
        </w:sectPr>
      </w:pPr>
    </w:p>
    <w:p>
      <w:pPr>
        <w:spacing w:line="240" w:lineRule="auto" w:before="9"/>
        <w:rPr>
          <w:rFonts w:ascii="宋体" w:hAnsi="宋体" w:cs="宋体" w:eastAsia="宋体" w:hint="default"/>
          <w:sz w:val="19"/>
          <w:szCs w:val="19"/>
        </w:rPr>
      </w:pPr>
    </w:p>
    <w:p>
      <w:pPr>
        <w:pStyle w:val="Heading3"/>
        <w:spacing w:line="240" w:lineRule="auto" w:before="26"/>
        <w:ind w:right="0"/>
        <w:jc w:val="left"/>
        <w:rPr>
          <w:b w:val="0"/>
          <w:bCs w:val="0"/>
        </w:rPr>
      </w:pP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headerReference w:type="default" r:id="rId14"/>
          <w:footerReference w:type="default" r:id="rId15"/>
          <w:pgSz w:w="11910" w:h="16840"/>
          <w:pgMar w:header="877" w:footer="982" w:top="1100" w:bottom="1180" w:left="980" w:right="980"/>
          <w:pgNumType w:start="27"/>
        </w:sectPr>
      </w:pPr>
    </w:p>
    <w:p>
      <w:pPr>
        <w:spacing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4" w:right="-20"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849" w:space="4070"/>
            <w:col w:w="103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50"/>
        <w:gridCol w:w="452"/>
        <w:gridCol w:w="824"/>
        <w:gridCol w:w="1214"/>
        <w:gridCol w:w="1181"/>
        <w:gridCol w:w="1182"/>
        <w:gridCol w:w="1181"/>
        <w:gridCol w:w="1091"/>
        <w:gridCol w:w="1091"/>
      </w:tblGrid>
      <w:tr>
        <w:trPr>
          <w:trHeight w:val="714" w:hRule="exact"/>
        </w:trPr>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7" w:right="32"/>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8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2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14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浙江都市快报控 股有限公司</w:t>
            </w:r>
          </w:p>
        </w:tc>
        <w:tc>
          <w:tcPr>
            <w:tcW w:w="452" w:type="dxa"/>
            <w:tcBorders>
              <w:top w:val="single" w:sz="4" w:space="0" w:color="000000"/>
              <w:left w:val="single" w:sz="13" w:space="0" w:color="C7EDCC"/>
              <w:bottom w:val="single" w:sz="4" w:space="0" w:color="000000"/>
              <w:right w:val="single" w:sz="4" w:space="0" w:color="000000"/>
            </w:tcBorders>
          </w:tcPr>
          <w:p>
            <w:pPr>
              <w:pStyle w:val="TableParagraph"/>
              <w:spacing w:line="319" w:lineRule="auto" w:before="51"/>
              <w:ind w:left="23" w:right="44"/>
              <w:jc w:val="left"/>
              <w:rPr>
                <w:rFonts w:ascii="宋体" w:hAnsi="宋体" w:cs="宋体" w:eastAsia="宋体" w:hint="default"/>
                <w:sz w:val="18"/>
                <w:szCs w:val="18"/>
              </w:rPr>
            </w:pPr>
            <w:r>
              <w:rPr>
                <w:rFonts w:ascii="宋体" w:hAnsi="宋体" w:cs="宋体" w:eastAsia="宋体" w:hint="default"/>
                <w:sz w:val="18"/>
                <w:szCs w:val="18"/>
              </w:rPr>
              <w:t>子公 司</w:t>
            </w:r>
          </w:p>
        </w:tc>
        <w:tc>
          <w:tcPr>
            <w:tcW w:w="8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广告、报 刊、发行</w:t>
            </w:r>
          </w:p>
        </w:tc>
        <w:tc>
          <w:tcPr>
            <w:tcW w:w="12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4"/>
              <w:jc w:val="right"/>
              <w:rPr>
                <w:rFonts w:ascii="Times New Roman" w:hAnsi="Times New Roman" w:cs="Times New Roman" w:eastAsia="Times New Roman" w:hint="default"/>
                <w:sz w:val="18"/>
                <w:szCs w:val="18"/>
              </w:rPr>
            </w:pPr>
            <w:r>
              <w:rPr>
                <w:rFonts w:ascii="Times New Roman"/>
                <w:spacing w:val="-1"/>
                <w:sz w:val="18"/>
              </w:rPr>
              <w:t>50,000,000.00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438,341,916.08</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271,238,691.08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491,088,330.80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75,973,657.11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79,402,947.24</w:t>
            </w:r>
          </w:p>
        </w:tc>
      </w:tr>
      <w:tr>
        <w:trPr>
          <w:trHeight w:val="714" w:hRule="exact"/>
        </w:trPr>
        <w:tc>
          <w:tcPr>
            <w:tcW w:w="14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杭州日报传媒有 限公司</w:t>
            </w:r>
          </w:p>
        </w:tc>
        <w:tc>
          <w:tcPr>
            <w:tcW w:w="452" w:type="dxa"/>
            <w:tcBorders>
              <w:top w:val="single" w:sz="4" w:space="0" w:color="000000"/>
              <w:left w:val="single" w:sz="13" w:space="0" w:color="C7EDCC"/>
              <w:bottom w:val="single" w:sz="4" w:space="0" w:color="000000"/>
              <w:right w:val="single" w:sz="4" w:space="0" w:color="000000"/>
            </w:tcBorders>
          </w:tcPr>
          <w:p>
            <w:pPr>
              <w:pStyle w:val="TableParagraph"/>
              <w:spacing w:line="319" w:lineRule="auto" w:before="51"/>
              <w:ind w:left="23" w:right="44"/>
              <w:jc w:val="left"/>
              <w:rPr>
                <w:rFonts w:ascii="宋体" w:hAnsi="宋体" w:cs="宋体" w:eastAsia="宋体" w:hint="default"/>
                <w:sz w:val="18"/>
                <w:szCs w:val="18"/>
              </w:rPr>
            </w:pPr>
            <w:r>
              <w:rPr>
                <w:rFonts w:ascii="宋体" w:hAnsi="宋体" w:cs="宋体" w:eastAsia="宋体" w:hint="default"/>
                <w:sz w:val="18"/>
                <w:szCs w:val="18"/>
              </w:rPr>
              <w:t>子公 司</w:t>
            </w:r>
          </w:p>
        </w:tc>
        <w:tc>
          <w:tcPr>
            <w:tcW w:w="8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广告、报 刊、发行</w:t>
            </w:r>
          </w:p>
        </w:tc>
        <w:tc>
          <w:tcPr>
            <w:tcW w:w="12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23,630,000.00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260,866,753.57</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144,944,738.59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254,192,195.87</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58,318,701.04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58,840,447.65</w:t>
            </w:r>
          </w:p>
        </w:tc>
      </w:tr>
      <w:tr>
        <w:trPr>
          <w:trHeight w:val="714" w:hRule="exact"/>
        </w:trPr>
        <w:tc>
          <w:tcPr>
            <w:tcW w:w="14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杭州每日传媒有 限公司</w:t>
            </w:r>
          </w:p>
        </w:tc>
        <w:tc>
          <w:tcPr>
            <w:tcW w:w="452" w:type="dxa"/>
            <w:tcBorders>
              <w:top w:val="single" w:sz="4" w:space="0" w:color="000000"/>
              <w:left w:val="single" w:sz="13" w:space="0" w:color="C7EDCC"/>
              <w:bottom w:val="single" w:sz="4" w:space="0" w:color="000000"/>
              <w:right w:val="single" w:sz="4" w:space="0" w:color="000000"/>
            </w:tcBorders>
          </w:tcPr>
          <w:p>
            <w:pPr>
              <w:pStyle w:val="TableParagraph"/>
              <w:spacing w:line="319" w:lineRule="auto" w:before="51"/>
              <w:ind w:left="23" w:right="44"/>
              <w:jc w:val="left"/>
              <w:rPr>
                <w:rFonts w:ascii="宋体" w:hAnsi="宋体" w:cs="宋体" w:eastAsia="宋体" w:hint="default"/>
                <w:sz w:val="18"/>
                <w:szCs w:val="18"/>
              </w:rPr>
            </w:pPr>
            <w:r>
              <w:rPr>
                <w:rFonts w:ascii="宋体" w:hAnsi="宋体" w:cs="宋体" w:eastAsia="宋体" w:hint="default"/>
                <w:sz w:val="18"/>
                <w:szCs w:val="18"/>
              </w:rPr>
              <w:t>子公 司</w:t>
            </w:r>
          </w:p>
        </w:tc>
        <w:tc>
          <w:tcPr>
            <w:tcW w:w="8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广告、报 刊、发行</w:t>
            </w:r>
          </w:p>
        </w:tc>
        <w:tc>
          <w:tcPr>
            <w:tcW w:w="12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8,000,000.00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41,644,105.89</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24,639,481.66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57,976,628.26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11,742,391.13</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11,680,635.24</w:t>
            </w:r>
          </w:p>
        </w:tc>
      </w:tr>
      <w:tr>
        <w:trPr>
          <w:trHeight w:val="714" w:hRule="exact"/>
        </w:trPr>
        <w:tc>
          <w:tcPr>
            <w:tcW w:w="14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杭州萧山日报传 媒有限公司</w:t>
            </w:r>
          </w:p>
        </w:tc>
        <w:tc>
          <w:tcPr>
            <w:tcW w:w="452" w:type="dxa"/>
            <w:tcBorders>
              <w:top w:val="single" w:sz="4" w:space="0" w:color="000000"/>
              <w:left w:val="single" w:sz="13" w:space="0" w:color="C7EDCC"/>
              <w:bottom w:val="single" w:sz="4" w:space="0" w:color="000000"/>
              <w:right w:val="single" w:sz="4" w:space="0" w:color="000000"/>
            </w:tcBorders>
          </w:tcPr>
          <w:p>
            <w:pPr>
              <w:pStyle w:val="TableParagraph"/>
              <w:spacing w:line="319" w:lineRule="auto" w:before="51"/>
              <w:ind w:left="23" w:right="44"/>
              <w:jc w:val="left"/>
              <w:rPr>
                <w:rFonts w:ascii="宋体" w:hAnsi="宋体" w:cs="宋体" w:eastAsia="宋体" w:hint="default"/>
                <w:sz w:val="18"/>
                <w:szCs w:val="18"/>
              </w:rPr>
            </w:pPr>
            <w:r>
              <w:rPr>
                <w:rFonts w:ascii="宋体" w:hAnsi="宋体" w:cs="宋体" w:eastAsia="宋体" w:hint="default"/>
                <w:sz w:val="18"/>
                <w:szCs w:val="18"/>
              </w:rPr>
              <w:t>子公 司</w:t>
            </w:r>
          </w:p>
        </w:tc>
        <w:tc>
          <w:tcPr>
            <w:tcW w:w="8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广告、报 刊、发行</w:t>
            </w:r>
          </w:p>
        </w:tc>
        <w:tc>
          <w:tcPr>
            <w:tcW w:w="12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4"/>
              <w:jc w:val="right"/>
              <w:rPr>
                <w:rFonts w:ascii="Times New Roman" w:hAnsi="Times New Roman" w:cs="Times New Roman" w:eastAsia="Times New Roman" w:hint="default"/>
                <w:sz w:val="18"/>
                <w:szCs w:val="18"/>
              </w:rPr>
            </w:pPr>
            <w:r>
              <w:rPr>
                <w:rFonts w:ascii="Times New Roman"/>
                <w:spacing w:val="-1"/>
                <w:sz w:val="18"/>
              </w:rPr>
              <w:t>10,000,000.00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163,721,706.13</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82,088,114.93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182,089,250.55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37,062,919.77</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37,414,891.07</w:t>
            </w:r>
          </w:p>
        </w:tc>
      </w:tr>
      <w:tr>
        <w:trPr>
          <w:trHeight w:val="714" w:hRule="exact"/>
        </w:trPr>
        <w:tc>
          <w:tcPr>
            <w:tcW w:w="14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杭州余杭晨报传 媒有限公司</w:t>
            </w:r>
          </w:p>
        </w:tc>
        <w:tc>
          <w:tcPr>
            <w:tcW w:w="452" w:type="dxa"/>
            <w:tcBorders>
              <w:top w:val="single" w:sz="4" w:space="0" w:color="000000"/>
              <w:left w:val="single" w:sz="13" w:space="0" w:color="C7EDCC"/>
              <w:bottom w:val="single" w:sz="4" w:space="0" w:color="000000"/>
              <w:right w:val="single" w:sz="4" w:space="0" w:color="000000"/>
            </w:tcBorders>
          </w:tcPr>
          <w:p>
            <w:pPr>
              <w:pStyle w:val="TableParagraph"/>
              <w:spacing w:line="319" w:lineRule="auto" w:before="51"/>
              <w:ind w:left="23" w:right="44"/>
              <w:jc w:val="left"/>
              <w:rPr>
                <w:rFonts w:ascii="宋体" w:hAnsi="宋体" w:cs="宋体" w:eastAsia="宋体" w:hint="default"/>
                <w:sz w:val="18"/>
                <w:szCs w:val="18"/>
              </w:rPr>
            </w:pPr>
            <w:r>
              <w:rPr>
                <w:rFonts w:ascii="宋体" w:hAnsi="宋体" w:cs="宋体" w:eastAsia="宋体" w:hint="default"/>
                <w:sz w:val="18"/>
                <w:szCs w:val="18"/>
              </w:rPr>
              <w:t>子公 司</w:t>
            </w:r>
          </w:p>
        </w:tc>
        <w:tc>
          <w:tcPr>
            <w:tcW w:w="8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广告、报 刊、发行</w:t>
            </w:r>
          </w:p>
        </w:tc>
        <w:tc>
          <w:tcPr>
            <w:tcW w:w="12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5,000,000.00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102,541,954.26</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89,070,971.31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41,429,909.55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15,382,410.12</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15,352,071.68</w:t>
            </w:r>
          </w:p>
        </w:tc>
      </w:tr>
      <w:tr>
        <w:trPr>
          <w:trHeight w:val="714" w:hRule="exact"/>
        </w:trPr>
        <w:tc>
          <w:tcPr>
            <w:tcW w:w="14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杭州富阳日报传 媒有限公司</w:t>
            </w:r>
          </w:p>
        </w:tc>
        <w:tc>
          <w:tcPr>
            <w:tcW w:w="452" w:type="dxa"/>
            <w:tcBorders>
              <w:top w:val="single" w:sz="4" w:space="0" w:color="000000"/>
              <w:left w:val="single" w:sz="13" w:space="0" w:color="C7EDCC"/>
              <w:bottom w:val="single" w:sz="4" w:space="0" w:color="000000"/>
              <w:right w:val="single" w:sz="4" w:space="0" w:color="000000"/>
            </w:tcBorders>
          </w:tcPr>
          <w:p>
            <w:pPr>
              <w:pStyle w:val="TableParagraph"/>
              <w:spacing w:line="319" w:lineRule="auto" w:before="51"/>
              <w:ind w:left="23" w:right="44"/>
              <w:jc w:val="left"/>
              <w:rPr>
                <w:rFonts w:ascii="宋体" w:hAnsi="宋体" w:cs="宋体" w:eastAsia="宋体" w:hint="default"/>
                <w:sz w:val="18"/>
                <w:szCs w:val="18"/>
              </w:rPr>
            </w:pPr>
            <w:r>
              <w:rPr>
                <w:rFonts w:ascii="宋体" w:hAnsi="宋体" w:cs="宋体" w:eastAsia="宋体" w:hint="default"/>
                <w:sz w:val="18"/>
                <w:szCs w:val="18"/>
              </w:rPr>
              <w:t>子公 司</w:t>
            </w:r>
          </w:p>
        </w:tc>
        <w:tc>
          <w:tcPr>
            <w:tcW w:w="8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广告、报 刊、发行</w:t>
            </w:r>
          </w:p>
        </w:tc>
        <w:tc>
          <w:tcPr>
            <w:tcW w:w="12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5,000,000.00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51,117,516.15</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32,737,282.28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43,192,289.93</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10,703,262.57</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10,818,751.51</w:t>
            </w:r>
          </w:p>
        </w:tc>
      </w:tr>
      <w:tr>
        <w:trPr>
          <w:trHeight w:val="1026" w:hRule="exact"/>
        </w:trPr>
        <w:tc>
          <w:tcPr>
            <w:tcW w:w="14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55"/>
              <w:jc w:val="both"/>
              <w:rPr>
                <w:rFonts w:ascii="宋体" w:hAnsi="宋体" w:cs="宋体" w:eastAsia="宋体" w:hint="default"/>
                <w:sz w:val="18"/>
                <w:szCs w:val="18"/>
              </w:rPr>
            </w:pPr>
            <w:r>
              <w:rPr>
                <w:rFonts w:ascii="宋体" w:hAnsi="宋体" w:cs="宋体" w:eastAsia="宋体" w:hint="default"/>
                <w:sz w:val="18"/>
                <w:szCs w:val="18"/>
              </w:rPr>
              <w:t>杭州日报报业集 团盛元印务有限 公司</w:t>
            </w:r>
          </w:p>
        </w:tc>
        <w:tc>
          <w:tcPr>
            <w:tcW w:w="45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44"/>
              <w:jc w:val="left"/>
              <w:rPr>
                <w:rFonts w:ascii="宋体" w:hAnsi="宋体" w:cs="宋体" w:eastAsia="宋体" w:hint="default"/>
                <w:sz w:val="18"/>
                <w:szCs w:val="18"/>
              </w:rPr>
            </w:pPr>
            <w:r>
              <w:rPr>
                <w:rFonts w:ascii="宋体" w:hAnsi="宋体" w:cs="宋体" w:eastAsia="宋体" w:hint="default"/>
                <w:sz w:val="18"/>
                <w:szCs w:val="18"/>
              </w:rPr>
              <w:t>子公 司</w:t>
            </w:r>
          </w:p>
        </w:tc>
        <w:tc>
          <w:tcPr>
            <w:tcW w:w="8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数字印刷</w:t>
            </w:r>
          </w:p>
        </w:tc>
        <w:tc>
          <w:tcPr>
            <w:tcW w:w="12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4"/>
              <w:jc w:val="right"/>
              <w:rPr>
                <w:rFonts w:ascii="Times New Roman" w:hAnsi="Times New Roman" w:cs="Times New Roman" w:eastAsia="Times New Roman" w:hint="default"/>
                <w:sz w:val="18"/>
                <w:szCs w:val="18"/>
              </w:rPr>
            </w:pPr>
            <w:r>
              <w:rPr>
                <w:rFonts w:ascii="Times New Roman"/>
                <w:spacing w:val="-1"/>
                <w:sz w:val="18"/>
              </w:rPr>
              <w:t>285,580,600.00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706,353,430.50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500,822,510.32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501,515,984.35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20,342,208.66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21,839,674.48</w:t>
            </w:r>
          </w:p>
        </w:tc>
      </w:tr>
      <w:tr>
        <w:trPr>
          <w:trHeight w:val="1026" w:hRule="exact"/>
        </w:trPr>
        <w:tc>
          <w:tcPr>
            <w:tcW w:w="14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55"/>
              <w:jc w:val="both"/>
              <w:rPr>
                <w:rFonts w:ascii="宋体" w:hAnsi="宋体" w:cs="宋体" w:eastAsia="宋体" w:hint="default"/>
                <w:sz w:val="18"/>
                <w:szCs w:val="18"/>
              </w:rPr>
            </w:pPr>
            <w:r>
              <w:rPr>
                <w:rFonts w:ascii="宋体" w:hAnsi="宋体" w:cs="宋体" w:eastAsia="宋体" w:hint="default"/>
                <w:sz w:val="18"/>
                <w:szCs w:val="18"/>
              </w:rPr>
              <w:t>杭州日报报业集 团每日送电子商 务有限公司</w:t>
            </w:r>
          </w:p>
        </w:tc>
        <w:tc>
          <w:tcPr>
            <w:tcW w:w="452"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44"/>
              <w:jc w:val="left"/>
              <w:rPr>
                <w:rFonts w:ascii="宋体" w:hAnsi="宋体" w:cs="宋体" w:eastAsia="宋体" w:hint="default"/>
                <w:sz w:val="18"/>
                <w:szCs w:val="18"/>
              </w:rPr>
            </w:pPr>
            <w:r>
              <w:rPr>
                <w:rFonts w:ascii="宋体" w:hAnsi="宋体" w:cs="宋体" w:eastAsia="宋体" w:hint="default"/>
                <w:sz w:val="18"/>
                <w:szCs w:val="18"/>
              </w:rPr>
              <w:t>子公 司</w:t>
            </w:r>
          </w:p>
        </w:tc>
        <w:tc>
          <w:tcPr>
            <w:tcW w:w="8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投递、物 流</w:t>
            </w:r>
          </w:p>
        </w:tc>
        <w:tc>
          <w:tcPr>
            <w:tcW w:w="12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4"/>
              <w:jc w:val="right"/>
              <w:rPr>
                <w:rFonts w:ascii="Times New Roman" w:hAnsi="Times New Roman" w:cs="Times New Roman" w:eastAsia="Times New Roman" w:hint="default"/>
                <w:sz w:val="18"/>
                <w:szCs w:val="18"/>
              </w:rPr>
            </w:pPr>
            <w:r>
              <w:rPr>
                <w:rFonts w:ascii="Times New Roman"/>
                <w:spacing w:val="-1"/>
                <w:sz w:val="18"/>
              </w:rPr>
              <w:t>20,000,000.00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43,640,150.84</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5,446,987.83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94,081,623.76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1,908,671.79</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1,904,711.03</w:t>
            </w:r>
          </w:p>
        </w:tc>
      </w:tr>
      <w:tr>
        <w:trPr>
          <w:trHeight w:val="714" w:hRule="exact"/>
        </w:trPr>
        <w:tc>
          <w:tcPr>
            <w:tcW w:w="14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杭州网络传媒有 限公司</w:t>
            </w:r>
          </w:p>
        </w:tc>
        <w:tc>
          <w:tcPr>
            <w:tcW w:w="452" w:type="dxa"/>
            <w:tcBorders>
              <w:top w:val="single" w:sz="4" w:space="0" w:color="000000"/>
              <w:left w:val="single" w:sz="13" w:space="0" w:color="C7EDCC"/>
              <w:bottom w:val="single" w:sz="4" w:space="0" w:color="000000"/>
              <w:right w:val="single" w:sz="4" w:space="0" w:color="000000"/>
            </w:tcBorders>
          </w:tcPr>
          <w:p>
            <w:pPr>
              <w:pStyle w:val="TableParagraph"/>
              <w:spacing w:line="319" w:lineRule="auto" w:before="51"/>
              <w:ind w:left="23" w:right="44"/>
              <w:jc w:val="left"/>
              <w:rPr>
                <w:rFonts w:ascii="宋体" w:hAnsi="宋体" w:cs="宋体" w:eastAsia="宋体" w:hint="default"/>
                <w:sz w:val="18"/>
                <w:szCs w:val="18"/>
              </w:rPr>
            </w:pPr>
            <w:r>
              <w:rPr>
                <w:rFonts w:ascii="宋体" w:hAnsi="宋体" w:cs="宋体" w:eastAsia="宋体" w:hint="default"/>
                <w:sz w:val="18"/>
                <w:szCs w:val="18"/>
              </w:rPr>
              <w:t>子公 司</w:t>
            </w:r>
          </w:p>
        </w:tc>
        <w:tc>
          <w:tcPr>
            <w:tcW w:w="8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网络传媒</w:t>
            </w:r>
          </w:p>
        </w:tc>
        <w:tc>
          <w:tcPr>
            <w:tcW w:w="12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4"/>
              <w:jc w:val="right"/>
              <w:rPr>
                <w:rFonts w:ascii="Times New Roman" w:hAnsi="Times New Roman" w:cs="Times New Roman" w:eastAsia="Times New Roman" w:hint="default"/>
                <w:sz w:val="18"/>
                <w:szCs w:val="18"/>
              </w:rPr>
            </w:pPr>
            <w:r>
              <w:rPr>
                <w:rFonts w:ascii="Times New Roman"/>
                <w:spacing w:val="-1"/>
                <w:sz w:val="18"/>
              </w:rPr>
              <w:t>12,000,000.00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368,856,507.49</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86,468,703.31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152,157,680.11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38,089,803.58</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35,645,904.57</w:t>
            </w:r>
          </w:p>
        </w:tc>
      </w:tr>
      <w:tr>
        <w:trPr>
          <w:trHeight w:val="714" w:hRule="exact"/>
        </w:trPr>
        <w:tc>
          <w:tcPr>
            <w:tcW w:w="14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杭州都市周报传 媒有限公司</w:t>
            </w:r>
          </w:p>
        </w:tc>
        <w:tc>
          <w:tcPr>
            <w:tcW w:w="452" w:type="dxa"/>
            <w:tcBorders>
              <w:top w:val="single" w:sz="4" w:space="0" w:color="000000"/>
              <w:left w:val="single" w:sz="13" w:space="0" w:color="C7EDCC"/>
              <w:bottom w:val="single" w:sz="4" w:space="0" w:color="000000"/>
              <w:right w:val="single" w:sz="4" w:space="0" w:color="000000"/>
            </w:tcBorders>
          </w:tcPr>
          <w:p>
            <w:pPr>
              <w:pStyle w:val="TableParagraph"/>
              <w:spacing w:line="319" w:lineRule="auto" w:before="51"/>
              <w:ind w:left="23" w:right="44"/>
              <w:jc w:val="left"/>
              <w:rPr>
                <w:rFonts w:ascii="宋体" w:hAnsi="宋体" w:cs="宋体" w:eastAsia="宋体" w:hint="default"/>
                <w:sz w:val="18"/>
                <w:szCs w:val="18"/>
              </w:rPr>
            </w:pPr>
            <w:r>
              <w:rPr>
                <w:rFonts w:ascii="宋体" w:hAnsi="宋体" w:cs="宋体" w:eastAsia="宋体" w:hint="default"/>
                <w:sz w:val="18"/>
                <w:szCs w:val="18"/>
              </w:rPr>
              <w:t>子公 司</w:t>
            </w:r>
          </w:p>
        </w:tc>
        <w:tc>
          <w:tcPr>
            <w:tcW w:w="8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广告、杂 志</w:t>
            </w:r>
          </w:p>
        </w:tc>
        <w:tc>
          <w:tcPr>
            <w:tcW w:w="12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8,000,000.00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4,677,272.47</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1,261,527.71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9,597,275.72</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-1,279,554.92</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-1,077,665.79</w:t>
            </w:r>
          </w:p>
        </w:tc>
      </w:tr>
      <w:tr>
        <w:trPr>
          <w:trHeight w:val="714" w:hRule="exact"/>
        </w:trPr>
        <w:tc>
          <w:tcPr>
            <w:tcW w:w="14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杭州华泰一媒文 化传媒有限公司</w:t>
            </w:r>
          </w:p>
        </w:tc>
        <w:tc>
          <w:tcPr>
            <w:tcW w:w="452" w:type="dxa"/>
            <w:tcBorders>
              <w:top w:val="single" w:sz="4" w:space="0" w:color="000000"/>
              <w:left w:val="single" w:sz="13" w:space="0" w:color="C7EDCC"/>
              <w:bottom w:val="single" w:sz="4" w:space="0" w:color="000000"/>
              <w:right w:val="single" w:sz="4" w:space="0" w:color="000000"/>
            </w:tcBorders>
          </w:tcPr>
          <w:p>
            <w:pPr>
              <w:pStyle w:val="TableParagraph"/>
              <w:spacing w:line="319" w:lineRule="auto" w:before="51"/>
              <w:ind w:left="23" w:right="44"/>
              <w:jc w:val="left"/>
              <w:rPr>
                <w:rFonts w:ascii="宋体" w:hAnsi="宋体" w:cs="宋体" w:eastAsia="宋体" w:hint="default"/>
                <w:sz w:val="18"/>
                <w:szCs w:val="18"/>
              </w:rPr>
            </w:pPr>
            <w:r>
              <w:rPr>
                <w:rFonts w:ascii="宋体" w:hAnsi="宋体" w:cs="宋体" w:eastAsia="宋体" w:hint="default"/>
                <w:sz w:val="18"/>
                <w:szCs w:val="18"/>
              </w:rPr>
              <w:t>子公 司</w:t>
            </w:r>
          </w:p>
        </w:tc>
        <w:tc>
          <w:tcPr>
            <w:tcW w:w="8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信息服务</w:t>
            </w:r>
          </w:p>
        </w:tc>
        <w:tc>
          <w:tcPr>
            <w:tcW w:w="12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4"/>
              <w:jc w:val="right"/>
              <w:rPr>
                <w:rFonts w:ascii="Times New Roman" w:hAnsi="Times New Roman" w:cs="Times New Roman" w:eastAsia="Times New Roman" w:hint="default"/>
                <w:sz w:val="18"/>
                <w:szCs w:val="18"/>
              </w:rPr>
            </w:pPr>
            <w:r>
              <w:rPr>
                <w:rFonts w:ascii="Times New Roman"/>
                <w:spacing w:val="-1"/>
                <w:sz w:val="18"/>
              </w:rPr>
              <w:t>10,000,000.00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9,714,997.30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9,643,768.87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1,391,509.43</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-470,029.74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-356,231.13</w:t>
            </w:r>
          </w:p>
        </w:tc>
      </w:tr>
      <w:tr>
        <w:trPr>
          <w:trHeight w:val="714" w:hRule="exact"/>
        </w:trPr>
        <w:tc>
          <w:tcPr>
            <w:tcW w:w="14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浙江华媒传播信 息有限公司</w:t>
            </w:r>
          </w:p>
        </w:tc>
        <w:tc>
          <w:tcPr>
            <w:tcW w:w="452" w:type="dxa"/>
            <w:tcBorders>
              <w:top w:val="single" w:sz="4" w:space="0" w:color="000000"/>
              <w:left w:val="single" w:sz="13" w:space="0" w:color="C7EDCC"/>
              <w:bottom w:val="single" w:sz="4" w:space="0" w:color="000000"/>
              <w:right w:val="single" w:sz="4" w:space="0" w:color="000000"/>
            </w:tcBorders>
          </w:tcPr>
          <w:p>
            <w:pPr>
              <w:pStyle w:val="TableParagraph"/>
              <w:spacing w:line="319" w:lineRule="auto" w:before="51"/>
              <w:ind w:left="23" w:right="44"/>
              <w:jc w:val="left"/>
              <w:rPr>
                <w:rFonts w:ascii="宋体" w:hAnsi="宋体" w:cs="宋体" w:eastAsia="宋体" w:hint="default"/>
                <w:sz w:val="18"/>
                <w:szCs w:val="18"/>
              </w:rPr>
            </w:pPr>
            <w:r>
              <w:rPr>
                <w:rFonts w:ascii="宋体" w:hAnsi="宋体" w:cs="宋体" w:eastAsia="宋体" w:hint="default"/>
                <w:sz w:val="18"/>
                <w:szCs w:val="18"/>
              </w:rPr>
              <w:t>子公 司</w:t>
            </w:r>
          </w:p>
        </w:tc>
        <w:tc>
          <w:tcPr>
            <w:tcW w:w="8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视频</w:t>
            </w:r>
          </w:p>
        </w:tc>
        <w:tc>
          <w:tcPr>
            <w:tcW w:w="12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4"/>
              <w:jc w:val="right"/>
              <w:rPr>
                <w:rFonts w:ascii="Times New Roman" w:hAnsi="Times New Roman" w:cs="Times New Roman" w:eastAsia="Times New Roman" w:hint="default"/>
                <w:sz w:val="18"/>
                <w:szCs w:val="18"/>
              </w:rPr>
            </w:pPr>
            <w:r>
              <w:rPr>
                <w:rFonts w:ascii="Times New Roman"/>
                <w:spacing w:val="-1"/>
                <w:sz w:val="18"/>
              </w:rPr>
              <w:t>70,000,000.00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70,095,262.46</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70,051,002.72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157,083.33</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57,757.37</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51,002.72</w:t>
            </w:r>
          </w:p>
        </w:tc>
      </w:tr>
      <w:tr>
        <w:trPr>
          <w:trHeight w:val="714" w:hRule="exact"/>
        </w:trPr>
        <w:tc>
          <w:tcPr>
            <w:tcW w:w="145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55"/>
              <w:jc w:val="left"/>
              <w:rPr>
                <w:rFonts w:ascii="宋体" w:hAnsi="宋体" w:cs="宋体" w:eastAsia="宋体" w:hint="default"/>
                <w:sz w:val="18"/>
                <w:szCs w:val="18"/>
              </w:rPr>
            </w:pPr>
            <w:r>
              <w:rPr>
                <w:rFonts w:ascii="宋体" w:hAnsi="宋体" w:cs="宋体" w:eastAsia="宋体" w:hint="default"/>
                <w:sz w:val="18"/>
                <w:szCs w:val="18"/>
              </w:rPr>
              <w:t>浙江华媒投资有 限公司</w:t>
            </w:r>
          </w:p>
        </w:tc>
        <w:tc>
          <w:tcPr>
            <w:tcW w:w="452" w:type="dxa"/>
            <w:tcBorders>
              <w:top w:val="single" w:sz="4" w:space="0" w:color="000000"/>
              <w:left w:val="single" w:sz="13" w:space="0" w:color="C7EDCC"/>
              <w:bottom w:val="single" w:sz="4" w:space="0" w:color="000000"/>
              <w:right w:val="single" w:sz="4" w:space="0" w:color="000000"/>
            </w:tcBorders>
          </w:tcPr>
          <w:p>
            <w:pPr>
              <w:pStyle w:val="TableParagraph"/>
              <w:spacing w:line="319" w:lineRule="auto" w:before="51"/>
              <w:ind w:left="23" w:right="44"/>
              <w:jc w:val="left"/>
              <w:rPr>
                <w:rFonts w:ascii="宋体" w:hAnsi="宋体" w:cs="宋体" w:eastAsia="宋体" w:hint="default"/>
                <w:sz w:val="18"/>
                <w:szCs w:val="18"/>
              </w:rPr>
            </w:pPr>
            <w:r>
              <w:rPr>
                <w:rFonts w:ascii="宋体" w:hAnsi="宋体" w:cs="宋体" w:eastAsia="宋体" w:hint="default"/>
                <w:sz w:val="18"/>
                <w:szCs w:val="18"/>
              </w:rPr>
              <w:t>子公 司</w:t>
            </w:r>
          </w:p>
        </w:tc>
        <w:tc>
          <w:tcPr>
            <w:tcW w:w="8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2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4"/>
              <w:jc w:val="right"/>
              <w:rPr>
                <w:rFonts w:ascii="Times New Roman" w:hAnsi="Times New Roman" w:cs="Times New Roman" w:eastAsia="Times New Roman" w:hint="default"/>
                <w:sz w:val="18"/>
                <w:szCs w:val="18"/>
              </w:rPr>
            </w:pPr>
            <w:r>
              <w:rPr>
                <w:rFonts w:ascii="Times New Roman"/>
                <w:spacing w:val="-1"/>
                <w:sz w:val="18"/>
              </w:rPr>
              <w:t>10,000,000.00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10,000,701.67</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10,000,526.25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701.67</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526.25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line="338" w:lineRule="auto" w:before="117"/>
        <w:ind w:left="154" w:right="76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主要控股参股公司情况说明</w:t>
      </w:r>
    </w:p>
    <w:p>
      <w:pPr>
        <w:spacing w:after="0" w:line="338"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8"/>
        <w:rPr>
          <w:rFonts w:ascii="宋体" w:hAnsi="宋体" w:cs="宋体" w:eastAsia="宋体" w:hint="default"/>
          <w:sz w:val="19"/>
          <w:szCs w:val="19"/>
        </w:rPr>
      </w:pPr>
    </w:p>
    <w:p>
      <w:pPr>
        <w:pStyle w:val="Heading3"/>
        <w:spacing w:line="240" w:lineRule="auto" w:before="26"/>
        <w:ind w:right="101"/>
        <w:jc w:val="left"/>
        <w:rPr>
          <w:b w:val="0"/>
          <w:bCs w:val="0"/>
        </w:rPr>
      </w:pPr>
      <w:r>
        <w:rPr/>
        <w:t>八、公司控制的结构化主体情况</w:t>
      </w:r>
      <w:r>
        <w:rPr>
          <w:b w:val="0"/>
          <w:bCs w:val="0"/>
        </w:rPr>
      </w:r>
    </w:p>
    <w:p>
      <w:pPr>
        <w:spacing w:line="240" w:lineRule="auto" w:before="9"/>
        <w:rPr>
          <w:rFonts w:ascii="宋体" w:hAnsi="宋体" w:cs="宋体" w:eastAsia="宋体" w:hint="default"/>
          <w:b/>
          <w:bCs/>
          <w:sz w:val="26"/>
          <w:szCs w:val="26"/>
        </w:rPr>
      </w:pPr>
    </w:p>
    <w:p>
      <w:pPr>
        <w:spacing w:before="0"/>
        <w:ind w:left="154" w:right="1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101"/>
        <w:jc w:val="left"/>
        <w:rPr>
          <w:b w:val="0"/>
          <w:bCs w:val="0"/>
        </w:rPr>
      </w:pPr>
      <w:r>
        <w:rPr/>
        <w:t>九、公司未来发展的展望</w:t>
      </w:r>
      <w:r>
        <w:rPr>
          <w:b w:val="0"/>
          <w:bCs w:val="0"/>
        </w:rPr>
      </w:r>
    </w:p>
    <w:p>
      <w:pPr>
        <w:spacing w:line="240" w:lineRule="auto" w:before="8"/>
        <w:rPr>
          <w:rFonts w:ascii="宋体" w:hAnsi="宋体" w:cs="宋体" w:eastAsia="宋体" w:hint="default"/>
          <w:b/>
          <w:bCs/>
          <w:sz w:val="30"/>
          <w:szCs w:val="30"/>
        </w:rPr>
      </w:pPr>
    </w:p>
    <w:p>
      <w:pPr>
        <w:spacing w:line="408" w:lineRule="auto" w:before="0"/>
        <w:ind w:left="153" w:right="104" w:firstLine="420"/>
        <w:jc w:val="both"/>
        <w:rPr>
          <w:rFonts w:ascii="宋体" w:hAnsi="宋体" w:cs="宋体" w:eastAsia="宋体" w:hint="default"/>
          <w:sz w:val="21"/>
          <w:szCs w:val="21"/>
        </w:rPr>
      </w:pPr>
      <w:r>
        <w:rPr>
          <w:rFonts w:ascii="宋体" w:hAnsi="宋体" w:cs="宋体" w:eastAsia="宋体" w:hint="default"/>
          <w:spacing w:val="-3"/>
          <w:sz w:val="21"/>
          <w:szCs w:val="21"/>
        </w:rPr>
        <w:t>2016年是“十三五”开局之年，也是公司完成三年利润承诺的最后一年。公司将以十三五规划为纲领，</w:t>
      </w:r>
      <w:r>
        <w:rPr>
          <w:rFonts w:ascii="宋体" w:hAnsi="宋体" w:cs="宋体" w:eastAsia="宋体" w:hint="default"/>
          <w:sz w:val="21"/>
          <w:szCs w:val="21"/>
        </w:rPr>
        <w:t> </w:t>
      </w:r>
      <w:r>
        <w:rPr>
          <w:rFonts w:ascii="宋体" w:hAnsi="宋体" w:cs="宋体" w:eastAsia="宋体" w:hint="default"/>
          <w:spacing w:val="-3"/>
          <w:sz w:val="21"/>
          <w:szCs w:val="21"/>
        </w:rPr>
        <w:t>保存量，拓增量，在全力完成公司年度目标利润任务的基础上，积极布局未来三至五年企业发展战略规划，</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集中优质资源推进重点产业项目落地，同时持续推进制度建设，加快探索管理创新。</w:t>
      </w:r>
    </w:p>
    <w:p>
      <w:pPr>
        <w:spacing w:line="408" w:lineRule="auto" w:before="46"/>
        <w:ind w:left="153" w:right="102" w:firstLine="41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sz w:val="21"/>
          <w:szCs w:val="21"/>
        </w:rPr>
        <w:t>、以转型升级为动力，完成利润承诺。存量部分，进一步梳理、整合集团内部各板块资源，打造以 </w:t>
      </w:r>
      <w:r>
        <w:rPr>
          <w:rFonts w:ascii="宋体" w:hAnsi="宋体" w:cs="宋体" w:eastAsia="宋体" w:hint="default"/>
          <w:spacing w:val="-3"/>
          <w:sz w:val="21"/>
          <w:szCs w:val="21"/>
        </w:rPr>
        <w:t>微信矩阵、公众号为主要载体的新媒体业务工具，大力发展会展业、户外广告业、商务印刷、物流配送等，</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真正实现“媒体+”、“移动互联+”生态链。增量部分，围绕“以现代传媒集群为核心平台的城市生活服</w:t>
      </w:r>
      <w:r>
        <w:rPr>
          <w:rFonts w:ascii="宋体" w:hAnsi="宋体" w:cs="宋体" w:eastAsia="宋体" w:hint="default"/>
          <w:sz w:val="21"/>
          <w:szCs w:val="21"/>
        </w:rPr>
        <w:t> 务商”的定位，借助资本市场力量，继续推进投资并购，增厚经营利润。</w:t>
      </w:r>
    </w:p>
    <w:p>
      <w:pPr>
        <w:spacing w:line="408" w:lineRule="auto" w:before="46"/>
        <w:ind w:left="153" w:right="101" w:firstLine="412"/>
        <w:jc w:val="left"/>
        <w:rPr>
          <w:rFonts w:ascii="宋体" w:hAnsi="宋体" w:cs="宋体" w:eastAsia="宋体" w:hint="default"/>
          <w:sz w:val="21"/>
          <w:szCs w:val="21"/>
        </w:rPr>
      </w:pPr>
      <w:r>
        <w:rPr>
          <w:rFonts w:ascii="宋体" w:hAnsi="宋体" w:cs="宋体" w:eastAsia="宋体" w:hint="default"/>
          <w:b/>
          <w:bCs/>
          <w:spacing w:val="-1"/>
          <w:sz w:val="21"/>
          <w:szCs w:val="21"/>
        </w:rPr>
        <w:t>2</w:t>
      </w:r>
      <w:r>
        <w:rPr>
          <w:rFonts w:ascii="宋体" w:hAnsi="宋体" w:cs="宋体" w:eastAsia="宋体" w:hint="default"/>
          <w:spacing w:val="-1"/>
          <w:sz w:val="21"/>
          <w:szCs w:val="21"/>
        </w:rPr>
        <w:t>、推进重大项目落地。以项目制为抓手加快推进公司各重大事项进程，明确时间节点，明确执行人、</w:t>
      </w:r>
      <w:r>
        <w:rPr>
          <w:rFonts w:ascii="宋体" w:hAnsi="宋体" w:cs="宋体" w:eastAsia="宋体" w:hint="default"/>
          <w:sz w:val="21"/>
          <w:szCs w:val="21"/>
        </w:rPr>
        <w:t> 责任人，全速推进。已实施的项目加强投后管理，进行中的项目尽快完成，争取早日实现效益。</w:t>
      </w:r>
    </w:p>
    <w:p>
      <w:pPr>
        <w:spacing w:line="408" w:lineRule="auto" w:before="46"/>
        <w:ind w:left="153" w:right="101" w:firstLine="41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sz w:val="21"/>
          <w:szCs w:val="21"/>
        </w:rPr>
        <w:t>、以“创业创新”为突破口，深化机制体制改革。继续在公司内大力营造“大众创业、万众创新” </w:t>
      </w:r>
      <w:r>
        <w:rPr>
          <w:rFonts w:ascii="宋体" w:hAnsi="宋体" w:cs="宋体" w:eastAsia="宋体" w:hint="default"/>
          <w:spacing w:val="-1"/>
          <w:sz w:val="21"/>
          <w:szCs w:val="21"/>
        </w:rPr>
        <w:t>氛围，以创业创新大赛、孵化器平台、文创基金平台为抓手，激发创业创新积极性，培育并发现人才和项</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目。在公司整体战略指导下，鼓励二三级子公司经营团队持股，进一步推动公司机制体制改革。</w:t>
      </w:r>
    </w:p>
    <w:p>
      <w:pPr>
        <w:spacing w:line="408" w:lineRule="auto" w:before="46"/>
        <w:ind w:left="153" w:right="101" w:firstLine="41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sz w:val="21"/>
          <w:szCs w:val="21"/>
        </w:rPr>
        <w:t>、以未来布局为目标，加强投融资体系项目库建设。在落实好重点项目的基础上，继续重大项目的 </w:t>
      </w:r>
      <w:r>
        <w:rPr>
          <w:rFonts w:ascii="宋体" w:hAnsi="宋体" w:cs="宋体" w:eastAsia="宋体" w:hint="default"/>
          <w:spacing w:val="-1"/>
          <w:sz w:val="21"/>
          <w:szCs w:val="21"/>
        </w:rPr>
        <w:t>搜集、沟通和谈判，建立投资项目库。联合“天使汇”，形成基于孵化期业务的前期投资业务流程和项目</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库建设，为公司下一步并购重组积累项目资源。同时进一步加强投前、投后管理。</w:t>
      </w:r>
    </w:p>
    <w:p>
      <w:pPr>
        <w:spacing w:line="408" w:lineRule="auto" w:before="46"/>
        <w:ind w:left="153" w:right="101" w:firstLine="420"/>
        <w:jc w:val="left"/>
        <w:rPr>
          <w:rFonts w:ascii="宋体" w:hAnsi="宋体" w:cs="宋体" w:eastAsia="宋体" w:hint="default"/>
          <w:sz w:val="21"/>
          <w:szCs w:val="21"/>
        </w:rPr>
      </w:pPr>
      <w:r>
        <w:rPr>
          <w:rFonts w:ascii="宋体" w:hAnsi="宋体" w:cs="宋体" w:eastAsia="宋体" w:hint="default"/>
          <w:sz w:val="21"/>
          <w:szCs w:val="21"/>
        </w:rPr>
        <w:t>截止本报告公告日，公司投资完成了对北京中教未来公司的60%股权的收购，项目总投资5.22亿元， </w:t>
      </w:r>
      <w:r>
        <w:rPr>
          <w:rFonts w:ascii="宋体" w:hAnsi="宋体" w:cs="宋体" w:eastAsia="宋体" w:hint="default"/>
          <w:spacing w:val="-1"/>
          <w:sz w:val="21"/>
          <w:szCs w:val="21"/>
        </w:rPr>
        <w:t>使公司全面布局教育产业，将业务延伸至职业教育服务领域，进一步完善城市生活服务商定位。中教未来</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致力于优化整合高校闲置教学资源，输出生源服务、教学、实训、就业等教育服务，与全国高等院校联合</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举办职业教育、国际教育等合作办学项目。中教未来深耕高校职业教育运营服务十年以上，在全国职业教</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育市场占有率及品牌知名度不断提升，盈利能力将进一步增强，对于公司的利润贡献将逐步体现。</w:t>
      </w:r>
    </w:p>
    <w:p>
      <w:pPr>
        <w:spacing w:after="0" w:line="408" w:lineRule="auto"/>
        <w:jc w:val="left"/>
        <w:rPr>
          <w:rFonts w:ascii="宋体" w:hAnsi="宋体" w:cs="宋体" w:eastAsia="宋体" w:hint="default"/>
          <w:sz w:val="21"/>
          <w:szCs w:val="21"/>
        </w:rPr>
        <w:sectPr>
          <w:pgSz w:w="11910" w:h="16840"/>
          <w:pgMar w:header="877" w:footer="982" w:top="1100" w:bottom="1180" w:left="980" w:right="920"/>
        </w:sectPr>
      </w:pPr>
    </w:p>
    <w:p>
      <w:pPr>
        <w:spacing w:line="240" w:lineRule="auto" w:before="9"/>
        <w:rPr>
          <w:rFonts w:ascii="宋体" w:hAnsi="宋体" w:cs="宋体" w:eastAsia="宋体" w:hint="default"/>
          <w:sz w:val="19"/>
          <w:szCs w:val="19"/>
        </w:rPr>
      </w:pPr>
    </w:p>
    <w:p>
      <w:pPr>
        <w:pStyle w:val="Heading3"/>
        <w:spacing w:line="240" w:lineRule="auto" w:before="26"/>
        <w:ind w:right="0"/>
        <w:jc w:val="left"/>
        <w:rPr>
          <w:b w:val="0"/>
          <w:bCs w:val="0"/>
        </w:rPr>
      </w:pPr>
      <w:r>
        <w:rPr/>
        <w:t>十、接待调研、沟通、采访等活动情况</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、报告期内接待调研、沟通、采访等活动登记表</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1510"/>
        <w:gridCol w:w="667"/>
        <w:gridCol w:w="2177"/>
        <w:gridCol w:w="3037"/>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日投资者关系活动记录表</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402" w:hRule="exact"/>
        </w:trPr>
        <w:tc>
          <w:tcPr>
            <w:tcW w:w="36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5881"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36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5881"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w:t>
            </w:r>
          </w:p>
        </w:tc>
      </w:tr>
      <w:tr>
        <w:trPr>
          <w:trHeight w:val="402" w:hRule="exact"/>
        </w:trPr>
        <w:tc>
          <w:tcPr>
            <w:tcW w:w="36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5881"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6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5881"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5881" w:type="dxa"/>
            <w:gridSpan w:val="3"/>
            <w:tcBorders>
              <w:top w:val="single" w:sz="4" w:space="0" w:color="000000"/>
              <w:left w:val="single" w:sz="10" w:space="0" w:color="D3D3D3"/>
              <w:bottom w:val="single" w:sz="4" w:space="0" w:color="000000"/>
              <w:right w:val="single" w:sz="4" w:space="0" w:color="000000"/>
            </w:tcBorders>
            <w:shd w:val="clear" w:color="auto" w:fill="C7EDCC"/>
          </w:tcPr>
          <w:p>
            <w:pPr>
              <w:pStyle w:val="TableParagraph"/>
              <w:spacing w:line="240" w:lineRule="auto" w:before="52"/>
              <w:ind w:left="4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2783"/>
        <w:jc w:val="center"/>
        <w:rPr>
          <w:b w:val="0"/>
          <w:bCs w:val="0"/>
        </w:rPr>
      </w:pPr>
      <w:bookmarkStart w:name="_TOC_250006" w:id="5"/>
      <w:r>
        <w:rPr/>
        <w:t>第五节</w:t>
      </w:r>
      <w:r>
        <w:rPr>
          <w:spacing w:val="-5"/>
        </w:rPr>
        <w:t> </w:t>
      </w:r>
      <w:r>
        <w:rPr/>
        <w:t>重要事项</w:t>
      </w:r>
      <w:bookmarkEnd w:id="5"/>
      <w:r>
        <w:rPr>
          <w:b w:val="0"/>
          <w:bCs w:val="0"/>
        </w:rPr>
      </w:r>
    </w:p>
    <w:p>
      <w:pPr>
        <w:spacing w:line="240" w:lineRule="auto" w:before="11"/>
        <w:rPr>
          <w:rFonts w:ascii="宋体" w:hAnsi="宋体" w:cs="宋体" w:eastAsia="宋体" w:hint="default"/>
          <w:b/>
          <w:bCs/>
          <w:sz w:val="38"/>
          <w:szCs w:val="38"/>
        </w:rPr>
      </w:pPr>
    </w:p>
    <w:p>
      <w:pPr>
        <w:pStyle w:val="Heading3"/>
        <w:spacing w:line="240" w:lineRule="auto"/>
        <w:ind w:right="0"/>
        <w:jc w:val="left"/>
        <w:rPr>
          <w:b w:val="0"/>
          <w:bCs w:val="0"/>
        </w:rPr>
      </w:pP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28" w:lineRule="auto" w:before="102"/>
        <w:ind w:left="514" w:right="230" w:hanging="36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年（包括本报告期）的普通股股利分配方案（预案）、资本公积金转增股本方案（预案）情况</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公司报告期利润分配预案及资本公积金转增股本预案符合公司章程等的相关规定。 由于母公司可供分配的利润为负，故公司近三年（含本报告期）均未进行利润分配，也未利用资本公积金转增股本。</w:t>
      </w:r>
    </w:p>
    <w:p>
      <w:pPr>
        <w:spacing w:before="50"/>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4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5"/>
        <w:gridCol w:w="1606"/>
        <w:gridCol w:w="1582"/>
        <w:gridCol w:w="1583"/>
        <w:gridCol w:w="1605"/>
        <w:gridCol w:w="1595"/>
      </w:tblGrid>
      <w:tr>
        <w:trPr>
          <w:trHeight w:val="319" w:hRule="exact"/>
        </w:trPr>
        <w:tc>
          <w:tcPr>
            <w:tcW w:w="1585" w:type="dxa"/>
            <w:vMerge w:val="restart"/>
            <w:tcBorders>
              <w:top w:val="single" w:sz="4" w:space="0" w:color="000000"/>
              <w:left w:val="single" w:sz="4" w:space="0" w:color="000000"/>
              <w:right w:val="single" w:sz="4" w:space="0" w:color="000000"/>
            </w:tcBorders>
            <w:shd w:val="clear" w:color="auto" w:fill="D3D3D3"/>
          </w:tcPr>
          <w:p>
            <w:pPr/>
          </w:p>
        </w:tc>
        <w:tc>
          <w:tcPr>
            <w:tcW w:w="160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8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right="69"/>
              <w:jc w:val="right"/>
              <w:rPr>
                <w:rFonts w:ascii="宋体" w:hAnsi="宋体" w:cs="宋体" w:eastAsia="宋体" w:hint="default"/>
                <w:sz w:val="18"/>
                <w:szCs w:val="18"/>
              </w:rPr>
            </w:pPr>
            <w:r>
              <w:rPr>
                <w:rFonts w:ascii="宋体" w:hAnsi="宋体" w:cs="宋体" w:eastAsia="宋体" w:hint="default"/>
                <w:sz w:val="18"/>
                <w:szCs w:val="18"/>
              </w:rPr>
              <w:t>分红年度合并报表</w:t>
            </w:r>
          </w:p>
        </w:tc>
        <w:tc>
          <w:tcPr>
            <w:tcW w:w="15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left="72" w:right="0"/>
              <w:jc w:val="left"/>
              <w:rPr>
                <w:rFonts w:ascii="宋体" w:hAnsi="宋体" w:cs="宋体" w:eastAsia="宋体" w:hint="default"/>
                <w:sz w:val="18"/>
                <w:szCs w:val="18"/>
              </w:rPr>
            </w:pPr>
            <w:r>
              <w:rPr>
                <w:rFonts w:ascii="宋体" w:hAnsi="宋体" w:cs="宋体" w:eastAsia="宋体" w:hint="default"/>
                <w:sz w:val="18"/>
                <w:szCs w:val="18"/>
              </w:rPr>
              <w:t>占合并报表中归属</w:t>
            </w:r>
          </w:p>
        </w:tc>
        <w:tc>
          <w:tcPr>
            <w:tcW w:w="1605"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6" w:hRule="exact"/>
        </w:trPr>
        <w:tc>
          <w:tcPr>
            <w:tcW w:w="1585" w:type="dxa"/>
            <w:vMerge/>
            <w:tcBorders>
              <w:left w:val="single" w:sz="4" w:space="0" w:color="000000"/>
              <w:bottom w:val="nil" w:sz="6" w:space="0" w:color="auto"/>
              <w:right w:val="single" w:sz="4" w:space="0" w:color="000000"/>
            </w:tcBorders>
            <w:shd w:val="clear" w:color="auto" w:fill="D3D3D3"/>
          </w:tcPr>
          <w:p>
            <w:pPr/>
          </w:p>
        </w:tc>
        <w:tc>
          <w:tcPr>
            <w:tcW w:w="160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71" w:right="0"/>
              <w:jc w:val="left"/>
              <w:rPr>
                <w:rFonts w:ascii="宋体" w:hAnsi="宋体" w:cs="宋体" w:eastAsia="宋体" w:hint="default"/>
                <w:sz w:val="18"/>
                <w:szCs w:val="18"/>
              </w:rPr>
            </w:pPr>
            <w:r>
              <w:rPr>
                <w:rFonts w:ascii="宋体" w:hAnsi="宋体" w:cs="宋体" w:eastAsia="宋体" w:hint="default"/>
                <w:sz w:val="18"/>
                <w:szCs w:val="18"/>
              </w:rPr>
              <w:t>现金分红金额（含</w:t>
            </w:r>
          </w:p>
        </w:tc>
        <w:tc>
          <w:tcPr>
            <w:tcW w:w="158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61" w:right="0"/>
              <w:jc w:val="left"/>
              <w:rPr>
                <w:rFonts w:ascii="宋体" w:hAnsi="宋体" w:cs="宋体" w:eastAsia="宋体" w:hint="default"/>
                <w:sz w:val="18"/>
                <w:szCs w:val="18"/>
              </w:rPr>
            </w:pPr>
            <w:r>
              <w:rPr>
                <w:rFonts w:ascii="宋体" w:hAnsi="宋体" w:cs="宋体" w:eastAsia="宋体" w:hint="default"/>
                <w:sz w:val="18"/>
                <w:szCs w:val="18"/>
              </w:rPr>
              <w:t>中归属于上市公司</w:t>
            </w:r>
          </w:p>
        </w:tc>
        <w:tc>
          <w:tcPr>
            <w:tcW w:w="158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72" w:right="0"/>
              <w:jc w:val="left"/>
              <w:rPr>
                <w:rFonts w:ascii="宋体" w:hAnsi="宋体" w:cs="宋体" w:eastAsia="宋体" w:hint="default"/>
                <w:sz w:val="18"/>
                <w:szCs w:val="18"/>
              </w:rPr>
            </w:pPr>
            <w:r>
              <w:rPr>
                <w:rFonts w:ascii="宋体" w:hAnsi="宋体" w:cs="宋体" w:eastAsia="宋体" w:hint="default"/>
                <w:sz w:val="18"/>
                <w:szCs w:val="18"/>
              </w:rPr>
              <w:t>于上市公司普通股</w:t>
            </w:r>
          </w:p>
        </w:tc>
        <w:tc>
          <w:tcPr>
            <w:tcW w:w="160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83" w:right="0"/>
              <w:jc w:val="left"/>
              <w:rPr>
                <w:rFonts w:ascii="宋体" w:hAnsi="宋体" w:cs="宋体" w:eastAsia="宋体" w:hint="default"/>
                <w:sz w:val="18"/>
                <w:szCs w:val="18"/>
              </w:rPr>
            </w:pPr>
            <w:r>
              <w:rPr>
                <w:rFonts w:ascii="宋体" w:hAnsi="宋体" w:cs="宋体" w:eastAsia="宋体" w:hint="default"/>
                <w:sz w:val="18"/>
                <w:szCs w:val="18"/>
              </w:rPr>
              <w:t>以其他方式现金分</w:t>
            </w:r>
          </w:p>
        </w:tc>
        <w:tc>
          <w:tcPr>
            <w:tcW w:w="159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73" w:right="0"/>
              <w:jc w:val="left"/>
              <w:rPr>
                <w:rFonts w:ascii="宋体" w:hAnsi="宋体" w:cs="宋体" w:eastAsia="宋体" w:hint="default"/>
                <w:sz w:val="18"/>
                <w:szCs w:val="18"/>
              </w:rPr>
            </w:pPr>
            <w:r>
              <w:rPr>
                <w:rFonts w:ascii="宋体" w:hAnsi="宋体" w:cs="宋体" w:eastAsia="宋体" w:hint="default"/>
                <w:sz w:val="18"/>
                <w:szCs w:val="18"/>
              </w:rPr>
              <w:t>以其他方式现金分</w:t>
            </w:r>
          </w:p>
        </w:tc>
      </w:tr>
      <w:tr>
        <w:trPr>
          <w:trHeight w:val="196" w:hRule="exact"/>
        </w:trPr>
        <w:tc>
          <w:tcPr>
            <w:tcW w:w="158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606" w:type="dxa"/>
            <w:vMerge/>
            <w:tcBorders>
              <w:left w:val="single" w:sz="4" w:space="0" w:color="000000"/>
              <w:bottom w:val="nil" w:sz="6" w:space="0" w:color="auto"/>
              <w:right w:val="single" w:sz="4" w:space="0" w:color="000000"/>
            </w:tcBorders>
            <w:shd w:val="clear" w:color="auto" w:fill="D3D3D3"/>
          </w:tcPr>
          <w:p>
            <w:pPr/>
          </w:p>
        </w:tc>
        <w:tc>
          <w:tcPr>
            <w:tcW w:w="1582" w:type="dxa"/>
            <w:vMerge/>
            <w:tcBorders>
              <w:left w:val="single" w:sz="4" w:space="0" w:color="000000"/>
              <w:bottom w:val="nil" w:sz="6" w:space="0" w:color="auto"/>
              <w:right w:val="single" w:sz="4" w:space="0" w:color="000000"/>
            </w:tcBorders>
            <w:shd w:val="clear" w:color="auto" w:fill="D3D3D3"/>
          </w:tcPr>
          <w:p>
            <w:pPr/>
          </w:p>
        </w:tc>
        <w:tc>
          <w:tcPr>
            <w:tcW w:w="1583" w:type="dxa"/>
            <w:vMerge/>
            <w:tcBorders>
              <w:left w:val="single" w:sz="4" w:space="0" w:color="000000"/>
              <w:bottom w:val="nil" w:sz="6" w:space="0" w:color="auto"/>
              <w:right w:val="single" w:sz="4" w:space="0" w:color="000000"/>
            </w:tcBorders>
            <w:shd w:val="clear" w:color="auto" w:fill="D3D3D3"/>
          </w:tcPr>
          <w:p>
            <w:pPr/>
          </w:p>
        </w:tc>
        <w:tc>
          <w:tcPr>
            <w:tcW w:w="1605" w:type="dxa"/>
            <w:vMerge/>
            <w:tcBorders>
              <w:left w:val="single" w:sz="4" w:space="0" w:color="000000"/>
              <w:bottom w:val="nil" w:sz="6" w:space="0" w:color="auto"/>
              <w:right w:val="single" w:sz="4" w:space="0" w:color="000000"/>
            </w:tcBorders>
            <w:shd w:val="clear" w:color="auto" w:fill="D3D3D3"/>
          </w:tcPr>
          <w:p>
            <w:pPr/>
          </w:p>
        </w:tc>
        <w:tc>
          <w:tcPr>
            <w:tcW w:w="1595" w:type="dxa"/>
            <w:vMerge/>
            <w:tcBorders>
              <w:left w:val="single" w:sz="4" w:space="0" w:color="000000"/>
              <w:bottom w:val="nil" w:sz="6" w:space="0" w:color="auto"/>
              <w:right w:val="single" w:sz="4" w:space="0" w:color="000000"/>
            </w:tcBorders>
            <w:shd w:val="clear" w:color="auto" w:fill="D3D3D3"/>
          </w:tcPr>
          <w:p>
            <w:pPr/>
          </w:p>
        </w:tc>
      </w:tr>
      <w:tr>
        <w:trPr>
          <w:trHeight w:val="195" w:hRule="exact"/>
        </w:trPr>
        <w:tc>
          <w:tcPr>
            <w:tcW w:w="1585" w:type="dxa"/>
            <w:vMerge/>
            <w:tcBorders>
              <w:left w:val="single" w:sz="4" w:space="0" w:color="000000"/>
              <w:bottom w:val="nil" w:sz="6" w:space="0" w:color="auto"/>
              <w:right w:val="single" w:sz="4" w:space="0" w:color="000000"/>
            </w:tcBorders>
            <w:shd w:val="clear" w:color="auto" w:fill="D3D3D3"/>
          </w:tcPr>
          <w:p>
            <w:pPr/>
          </w:p>
        </w:tc>
        <w:tc>
          <w:tcPr>
            <w:tcW w:w="160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税）</w:t>
            </w:r>
          </w:p>
        </w:tc>
        <w:tc>
          <w:tcPr>
            <w:tcW w:w="158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0"/>
              <w:ind w:left="61" w:right="0"/>
              <w:jc w:val="left"/>
              <w:rPr>
                <w:rFonts w:ascii="宋体" w:hAnsi="宋体" w:cs="宋体" w:eastAsia="宋体" w:hint="default"/>
                <w:sz w:val="18"/>
                <w:szCs w:val="18"/>
              </w:rPr>
            </w:pPr>
            <w:r>
              <w:rPr>
                <w:rFonts w:ascii="宋体" w:hAnsi="宋体" w:cs="宋体" w:eastAsia="宋体" w:hint="default"/>
                <w:sz w:val="18"/>
                <w:szCs w:val="18"/>
              </w:rPr>
              <w:t>普通股股东的净利</w:t>
            </w:r>
          </w:p>
        </w:tc>
        <w:tc>
          <w:tcPr>
            <w:tcW w:w="158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0"/>
              <w:ind w:left="72" w:right="0"/>
              <w:jc w:val="left"/>
              <w:rPr>
                <w:rFonts w:ascii="宋体" w:hAnsi="宋体" w:cs="宋体" w:eastAsia="宋体" w:hint="default"/>
                <w:sz w:val="18"/>
                <w:szCs w:val="18"/>
              </w:rPr>
            </w:pPr>
            <w:r>
              <w:rPr>
                <w:rFonts w:ascii="宋体" w:hAnsi="宋体" w:cs="宋体" w:eastAsia="宋体" w:hint="default"/>
                <w:sz w:val="18"/>
                <w:szCs w:val="18"/>
              </w:rPr>
              <w:t>股东的净利润的比</w:t>
            </w:r>
          </w:p>
        </w:tc>
        <w:tc>
          <w:tcPr>
            <w:tcW w:w="160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443" w:right="0"/>
              <w:jc w:val="left"/>
              <w:rPr>
                <w:rFonts w:ascii="宋体" w:hAnsi="宋体" w:cs="宋体" w:eastAsia="宋体" w:hint="default"/>
                <w:sz w:val="18"/>
                <w:szCs w:val="18"/>
              </w:rPr>
            </w:pPr>
            <w:r>
              <w:rPr>
                <w:rFonts w:ascii="宋体" w:hAnsi="宋体" w:cs="宋体" w:eastAsia="宋体" w:hint="default"/>
                <w:sz w:val="18"/>
                <w:szCs w:val="18"/>
              </w:rPr>
              <w:t>红的金额</w:t>
            </w:r>
          </w:p>
        </w:tc>
        <w:tc>
          <w:tcPr>
            <w:tcW w:w="159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433" w:right="0"/>
              <w:jc w:val="left"/>
              <w:rPr>
                <w:rFonts w:ascii="宋体" w:hAnsi="宋体" w:cs="宋体" w:eastAsia="宋体" w:hint="default"/>
                <w:sz w:val="18"/>
                <w:szCs w:val="18"/>
              </w:rPr>
            </w:pPr>
            <w:r>
              <w:rPr>
                <w:rFonts w:ascii="宋体" w:hAnsi="宋体" w:cs="宋体" w:eastAsia="宋体" w:hint="default"/>
                <w:sz w:val="18"/>
                <w:szCs w:val="18"/>
              </w:rPr>
              <w:t>红的比例</w:t>
            </w:r>
          </w:p>
        </w:tc>
      </w:tr>
      <w:tr>
        <w:trPr>
          <w:trHeight w:val="156" w:hRule="exact"/>
        </w:trPr>
        <w:tc>
          <w:tcPr>
            <w:tcW w:w="1585" w:type="dxa"/>
            <w:vMerge w:val="restart"/>
            <w:tcBorders>
              <w:top w:val="nil" w:sz="6" w:space="0" w:color="auto"/>
              <w:left w:val="single" w:sz="4" w:space="0" w:color="000000"/>
              <w:right w:val="single" w:sz="4" w:space="0" w:color="000000"/>
            </w:tcBorders>
            <w:shd w:val="clear" w:color="auto" w:fill="D3D3D3"/>
          </w:tcPr>
          <w:p>
            <w:pPr/>
          </w:p>
        </w:tc>
        <w:tc>
          <w:tcPr>
            <w:tcW w:w="1606" w:type="dxa"/>
            <w:vMerge/>
            <w:tcBorders>
              <w:left w:val="single" w:sz="4" w:space="0" w:color="000000"/>
              <w:bottom w:val="nil" w:sz="6" w:space="0" w:color="auto"/>
              <w:right w:val="single" w:sz="4" w:space="0" w:color="000000"/>
            </w:tcBorders>
            <w:shd w:val="clear" w:color="auto" w:fill="D3D3D3"/>
          </w:tcPr>
          <w:p>
            <w:pPr/>
          </w:p>
        </w:tc>
        <w:tc>
          <w:tcPr>
            <w:tcW w:w="1582" w:type="dxa"/>
            <w:vMerge/>
            <w:tcBorders>
              <w:left w:val="single" w:sz="4" w:space="0" w:color="000000"/>
              <w:bottom w:val="nil" w:sz="6" w:space="0" w:color="auto"/>
              <w:right w:val="single" w:sz="4" w:space="0" w:color="000000"/>
            </w:tcBorders>
            <w:shd w:val="clear" w:color="auto" w:fill="D3D3D3"/>
          </w:tcPr>
          <w:p>
            <w:pPr/>
          </w:p>
        </w:tc>
        <w:tc>
          <w:tcPr>
            <w:tcW w:w="1583" w:type="dxa"/>
            <w:vMerge/>
            <w:tcBorders>
              <w:left w:val="single" w:sz="4" w:space="0" w:color="000000"/>
              <w:bottom w:val="nil" w:sz="6" w:space="0" w:color="auto"/>
              <w:right w:val="single" w:sz="4" w:space="0" w:color="000000"/>
            </w:tcBorders>
            <w:shd w:val="clear" w:color="auto" w:fill="D3D3D3"/>
          </w:tcPr>
          <w:p>
            <w:pPr/>
          </w:p>
        </w:tc>
        <w:tc>
          <w:tcPr>
            <w:tcW w:w="1605" w:type="dxa"/>
            <w:vMerge/>
            <w:tcBorders>
              <w:left w:val="single" w:sz="4" w:space="0" w:color="000000"/>
              <w:bottom w:val="nil" w:sz="6" w:space="0" w:color="auto"/>
              <w:right w:val="single" w:sz="4" w:space="0" w:color="000000"/>
            </w:tcBorders>
            <w:shd w:val="clear" w:color="auto" w:fill="D3D3D3"/>
          </w:tcPr>
          <w:p>
            <w:pPr/>
          </w:p>
        </w:tc>
        <w:tc>
          <w:tcPr>
            <w:tcW w:w="1595" w:type="dxa"/>
            <w:vMerge/>
            <w:tcBorders>
              <w:left w:val="single" w:sz="4" w:space="0" w:color="000000"/>
              <w:bottom w:val="nil" w:sz="6" w:space="0" w:color="auto"/>
              <w:right w:val="single" w:sz="4" w:space="0" w:color="000000"/>
            </w:tcBorders>
            <w:shd w:val="clear" w:color="auto" w:fill="D3D3D3"/>
          </w:tcPr>
          <w:p>
            <w:pPr/>
          </w:p>
        </w:tc>
      </w:tr>
      <w:tr>
        <w:trPr>
          <w:trHeight w:val="317" w:hRule="exact"/>
        </w:trPr>
        <w:tc>
          <w:tcPr>
            <w:tcW w:w="1585" w:type="dxa"/>
            <w:vMerge/>
            <w:tcBorders>
              <w:left w:val="single" w:sz="4" w:space="0" w:color="000000"/>
              <w:bottom w:val="single" w:sz="4" w:space="0" w:color="000000"/>
              <w:right w:val="single" w:sz="4" w:space="0" w:color="000000"/>
            </w:tcBorders>
            <w:shd w:val="clear" w:color="auto" w:fill="D3D3D3"/>
          </w:tcPr>
          <w:p>
            <w:pPr/>
          </w:p>
        </w:tc>
        <w:tc>
          <w:tcPr>
            <w:tcW w:w="160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8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08" w:lineRule="exact"/>
              <w:ind w:right="8"/>
              <w:jc w:val="center"/>
              <w:rPr>
                <w:rFonts w:ascii="宋体" w:hAnsi="宋体" w:cs="宋体" w:eastAsia="宋体" w:hint="default"/>
                <w:sz w:val="18"/>
                <w:szCs w:val="18"/>
              </w:rPr>
            </w:pPr>
            <w:r>
              <w:rPr>
                <w:rFonts w:ascii="宋体" w:hAnsi="宋体" w:cs="宋体" w:eastAsia="宋体" w:hint="default"/>
                <w:sz w:val="18"/>
                <w:szCs w:val="18"/>
              </w:rPr>
              <w:t>润</w:t>
            </w:r>
          </w:p>
        </w:tc>
        <w:tc>
          <w:tcPr>
            <w:tcW w:w="15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08" w:lineRule="exact"/>
              <w:ind w:left="11" w:right="0"/>
              <w:jc w:val="center"/>
              <w:rPr>
                <w:rFonts w:ascii="宋体" w:hAnsi="宋体" w:cs="宋体" w:eastAsia="宋体" w:hint="default"/>
                <w:sz w:val="18"/>
                <w:szCs w:val="18"/>
              </w:rPr>
            </w:pPr>
            <w:r>
              <w:rPr>
                <w:rFonts w:ascii="宋体" w:hAnsi="宋体" w:cs="宋体" w:eastAsia="宋体" w:hint="default"/>
                <w:sz w:val="18"/>
                <w:szCs w:val="18"/>
              </w:rPr>
              <w:t>率</w:t>
            </w:r>
          </w:p>
        </w:tc>
        <w:tc>
          <w:tcPr>
            <w:tcW w:w="1605"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31"/>
              <w:jc w:val="right"/>
              <w:rPr>
                <w:rFonts w:ascii="Times New Roman" w:hAnsi="Times New Roman" w:cs="Times New Roman" w:eastAsia="Times New Roman" w:hint="default"/>
                <w:sz w:val="18"/>
                <w:szCs w:val="18"/>
              </w:rPr>
            </w:pPr>
            <w:r>
              <w:rPr>
                <w:rFonts w:ascii="Times New Roman"/>
                <w:sz w:val="18"/>
              </w:rPr>
              <w:t>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283,509,623.51</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0.00%</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31"/>
              <w:jc w:val="right"/>
              <w:rPr>
                <w:rFonts w:ascii="Times New Roman" w:hAnsi="Times New Roman" w:cs="Times New Roman" w:eastAsia="Times New Roman" w:hint="default"/>
                <w:sz w:val="18"/>
                <w:szCs w:val="18"/>
              </w:rPr>
            </w:pPr>
            <w:r>
              <w:rPr>
                <w:rFonts w:ascii="Times New Roman"/>
                <w:sz w:val="18"/>
              </w:rPr>
              <w:t>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188,665,289.66</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0.00%</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31"/>
              <w:jc w:val="right"/>
              <w:rPr>
                <w:rFonts w:ascii="Times New Roman" w:hAnsi="Times New Roman" w:cs="Times New Roman" w:eastAsia="Times New Roman" w:hint="default"/>
                <w:sz w:val="18"/>
                <w:szCs w:val="18"/>
              </w:rPr>
            </w:pPr>
            <w:r>
              <w:rPr>
                <w:rFonts w:ascii="Times New Roman"/>
                <w:sz w:val="18"/>
              </w:rPr>
              <w:t>0.00</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161,286,500.76</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0.00%</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t>二、本报告期利润分配及资本公积金转增股本预案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spacing w:line="340" w:lineRule="auto" w:before="0"/>
        <w:ind w:left="154" w:right="45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公司计划年度不派发现金红利，不送红股，不以公积金转增股本。</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r>
        <w:rPr/>
        <w:t>三、承诺事项履行情况</w:t>
      </w:r>
      <w:r>
        <w:rPr>
          <w:b w:val="0"/>
          <w:bCs w:val="0"/>
        </w:rPr>
      </w:r>
    </w:p>
    <w:p>
      <w:pPr>
        <w:spacing w:line="240" w:lineRule="auto" w:before="9"/>
        <w:rPr>
          <w:rFonts w:ascii="宋体" w:hAnsi="宋体" w:cs="宋体" w:eastAsia="宋体" w:hint="default"/>
          <w:b/>
          <w:bCs/>
          <w:sz w:val="24"/>
          <w:szCs w:val="24"/>
        </w:rPr>
      </w:pPr>
    </w:p>
    <w:p>
      <w:pPr>
        <w:spacing w:line="259" w:lineRule="auto"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、公司、股东、实际控制人、收购人、董事、监事、高级管理人员或其他关联方在报告期内履行完毕及</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截至报告期末尚未履行完毕的承诺事项</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491"/>
        <w:gridCol w:w="974"/>
        <w:gridCol w:w="728"/>
        <w:gridCol w:w="3591"/>
        <w:gridCol w:w="518"/>
        <w:gridCol w:w="896"/>
        <w:gridCol w:w="2483"/>
      </w:tblGrid>
      <w:tr>
        <w:trPr>
          <w:trHeight w:val="162" w:hRule="exact"/>
        </w:trPr>
        <w:tc>
          <w:tcPr>
            <w:tcW w:w="49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60" w:right="59"/>
              <w:jc w:val="left"/>
              <w:rPr>
                <w:rFonts w:ascii="宋体" w:hAnsi="宋体" w:cs="宋体" w:eastAsia="宋体" w:hint="default"/>
                <w:sz w:val="18"/>
                <w:szCs w:val="18"/>
              </w:rPr>
            </w:pPr>
            <w:r>
              <w:rPr>
                <w:rFonts w:ascii="宋体" w:hAnsi="宋体" w:cs="宋体" w:eastAsia="宋体" w:hint="default"/>
                <w:sz w:val="18"/>
                <w:szCs w:val="18"/>
              </w:rPr>
              <w:t>承诺 事由</w:t>
            </w:r>
          </w:p>
        </w:tc>
        <w:tc>
          <w:tcPr>
            <w:tcW w:w="974" w:type="dxa"/>
            <w:tcBorders>
              <w:top w:val="single" w:sz="4" w:space="0" w:color="000000"/>
              <w:left w:val="single" w:sz="4" w:space="0" w:color="000000"/>
              <w:bottom w:val="nil" w:sz="6" w:space="0" w:color="auto"/>
              <w:right w:val="single" w:sz="4" w:space="0" w:color="000000"/>
            </w:tcBorders>
            <w:shd w:val="clear" w:color="auto" w:fill="D3D3D3"/>
          </w:tcPr>
          <w:p>
            <w:pPr/>
          </w:p>
        </w:tc>
        <w:tc>
          <w:tcPr>
            <w:tcW w:w="72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69" w:right="86" w:hanging="180"/>
              <w:jc w:val="left"/>
              <w:rPr>
                <w:rFonts w:ascii="宋体" w:hAnsi="宋体" w:cs="宋体" w:eastAsia="宋体" w:hint="default"/>
                <w:sz w:val="18"/>
                <w:szCs w:val="18"/>
              </w:rPr>
            </w:pPr>
            <w:r>
              <w:rPr>
                <w:rFonts w:ascii="宋体" w:hAnsi="宋体" w:cs="宋体" w:eastAsia="宋体" w:hint="default"/>
                <w:sz w:val="18"/>
                <w:szCs w:val="18"/>
              </w:rPr>
              <w:t>承诺类 型</w:t>
            </w:r>
          </w:p>
        </w:tc>
        <w:tc>
          <w:tcPr>
            <w:tcW w:w="3591" w:type="dxa"/>
            <w:tcBorders>
              <w:top w:val="single" w:sz="4" w:space="0" w:color="000000"/>
              <w:left w:val="single" w:sz="4" w:space="0" w:color="000000"/>
              <w:bottom w:val="nil" w:sz="6" w:space="0" w:color="auto"/>
              <w:right w:val="single" w:sz="4" w:space="0" w:color="000000"/>
            </w:tcBorders>
            <w:shd w:val="clear" w:color="auto" w:fill="D3D3D3"/>
          </w:tcPr>
          <w:p>
            <w:pPr/>
          </w:p>
        </w:tc>
        <w:tc>
          <w:tcPr>
            <w:tcW w:w="51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73" w:right="72"/>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896" w:type="dxa"/>
            <w:tcBorders>
              <w:top w:val="single" w:sz="4" w:space="0" w:color="000000"/>
              <w:left w:val="single" w:sz="4" w:space="0" w:color="000000"/>
              <w:bottom w:val="nil" w:sz="6" w:space="0" w:color="auto"/>
              <w:right w:val="single" w:sz="4" w:space="0" w:color="000000"/>
            </w:tcBorders>
            <w:shd w:val="clear" w:color="auto" w:fill="D3D3D3"/>
          </w:tcPr>
          <w:p>
            <w:pPr/>
          </w:p>
        </w:tc>
        <w:tc>
          <w:tcPr>
            <w:tcW w:w="2483"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491" w:type="dxa"/>
            <w:vMerge/>
            <w:tcBorders>
              <w:left w:val="single" w:sz="4" w:space="0" w:color="000000"/>
              <w:right w:val="single" w:sz="4" w:space="0" w:color="000000"/>
            </w:tcBorders>
            <w:shd w:val="clear" w:color="auto" w:fill="D3D3D3"/>
          </w:tcPr>
          <w:p>
            <w:pPr/>
          </w:p>
        </w:tc>
        <w:tc>
          <w:tcPr>
            <w:tcW w:w="97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728" w:type="dxa"/>
            <w:vMerge/>
            <w:tcBorders>
              <w:left w:val="single" w:sz="4" w:space="0" w:color="000000"/>
              <w:right w:val="single" w:sz="4" w:space="0" w:color="000000"/>
            </w:tcBorders>
            <w:shd w:val="clear" w:color="auto" w:fill="D3D3D3"/>
          </w:tcPr>
          <w:p>
            <w:pPr/>
          </w:p>
        </w:tc>
        <w:tc>
          <w:tcPr>
            <w:tcW w:w="359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18" w:type="dxa"/>
            <w:vMerge/>
            <w:tcBorders>
              <w:left w:val="single" w:sz="4" w:space="0" w:color="000000"/>
              <w:right w:val="single" w:sz="4" w:space="0" w:color="000000"/>
            </w:tcBorders>
            <w:shd w:val="clear" w:color="auto" w:fill="D3D3D3"/>
          </w:tcPr>
          <w:p>
            <w:pPr/>
          </w:p>
        </w:tc>
        <w:tc>
          <w:tcPr>
            <w:tcW w:w="8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8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24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161" w:hRule="exact"/>
        </w:trPr>
        <w:tc>
          <w:tcPr>
            <w:tcW w:w="491" w:type="dxa"/>
            <w:vMerge/>
            <w:tcBorders>
              <w:left w:val="single" w:sz="4" w:space="0" w:color="000000"/>
              <w:bottom w:val="single" w:sz="4" w:space="0" w:color="000000"/>
              <w:right w:val="single" w:sz="4" w:space="0" w:color="000000"/>
            </w:tcBorders>
            <w:shd w:val="clear" w:color="auto" w:fill="D3D3D3"/>
          </w:tcPr>
          <w:p>
            <w:pPr/>
          </w:p>
        </w:tc>
        <w:tc>
          <w:tcPr>
            <w:tcW w:w="974" w:type="dxa"/>
            <w:tcBorders>
              <w:top w:val="nil" w:sz="6" w:space="0" w:color="auto"/>
              <w:left w:val="single" w:sz="4" w:space="0" w:color="000000"/>
              <w:bottom w:val="single" w:sz="4" w:space="0" w:color="000000"/>
              <w:right w:val="single" w:sz="4" w:space="0" w:color="000000"/>
            </w:tcBorders>
            <w:shd w:val="clear" w:color="auto" w:fill="D3D3D3"/>
          </w:tcPr>
          <w:p>
            <w:pPr/>
          </w:p>
        </w:tc>
        <w:tc>
          <w:tcPr>
            <w:tcW w:w="728" w:type="dxa"/>
            <w:vMerge/>
            <w:tcBorders>
              <w:left w:val="single" w:sz="4" w:space="0" w:color="000000"/>
              <w:bottom w:val="single" w:sz="4" w:space="0" w:color="000000"/>
              <w:right w:val="single" w:sz="4" w:space="0" w:color="000000"/>
            </w:tcBorders>
            <w:shd w:val="clear" w:color="auto" w:fill="D3D3D3"/>
          </w:tcPr>
          <w:p>
            <w:pPr/>
          </w:p>
        </w:tc>
        <w:tc>
          <w:tcPr>
            <w:tcW w:w="3591" w:type="dxa"/>
            <w:tcBorders>
              <w:top w:val="nil" w:sz="6" w:space="0" w:color="auto"/>
              <w:left w:val="single" w:sz="4" w:space="0" w:color="000000"/>
              <w:bottom w:val="single" w:sz="4" w:space="0" w:color="000000"/>
              <w:right w:val="single" w:sz="4" w:space="0" w:color="000000"/>
            </w:tcBorders>
            <w:shd w:val="clear" w:color="auto" w:fill="D3D3D3"/>
          </w:tcPr>
          <w:p>
            <w:pPr/>
          </w:p>
        </w:tc>
        <w:tc>
          <w:tcPr>
            <w:tcW w:w="518" w:type="dxa"/>
            <w:vMerge/>
            <w:tcBorders>
              <w:left w:val="single" w:sz="4" w:space="0" w:color="000000"/>
              <w:bottom w:val="single" w:sz="4" w:space="0" w:color="000000"/>
              <w:right w:val="single" w:sz="4" w:space="0" w:color="000000"/>
            </w:tcBorders>
            <w:shd w:val="clear" w:color="auto" w:fill="D3D3D3"/>
          </w:tcPr>
          <w:p>
            <w:pPr/>
          </w:p>
        </w:tc>
        <w:tc>
          <w:tcPr>
            <w:tcW w:w="896" w:type="dxa"/>
            <w:tcBorders>
              <w:top w:val="nil" w:sz="6" w:space="0" w:color="auto"/>
              <w:left w:val="single" w:sz="4" w:space="0" w:color="000000"/>
              <w:bottom w:val="single" w:sz="4" w:space="0" w:color="000000"/>
              <w:right w:val="single" w:sz="4" w:space="0" w:color="000000"/>
            </w:tcBorders>
            <w:shd w:val="clear" w:color="auto" w:fill="D3D3D3"/>
          </w:tcPr>
          <w:p>
            <w:pPr/>
          </w:p>
        </w:tc>
        <w:tc>
          <w:tcPr>
            <w:tcW w:w="2483"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714" w:hRule="exact"/>
        </w:trPr>
        <w:tc>
          <w:tcPr>
            <w:tcW w:w="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108"/>
              <w:jc w:val="left"/>
              <w:rPr>
                <w:rFonts w:ascii="宋体" w:hAnsi="宋体" w:cs="宋体" w:eastAsia="宋体" w:hint="default"/>
                <w:sz w:val="18"/>
                <w:szCs w:val="18"/>
              </w:rPr>
            </w:pPr>
            <w:r>
              <w:rPr>
                <w:rFonts w:ascii="宋体" w:hAnsi="宋体" w:cs="宋体" w:eastAsia="宋体" w:hint="default"/>
                <w:sz w:val="18"/>
                <w:szCs w:val="18"/>
              </w:rPr>
              <w:t>股改 承诺</w:t>
            </w:r>
          </w:p>
        </w:tc>
        <w:tc>
          <w:tcPr>
            <w:tcW w:w="974" w:type="dxa"/>
            <w:tcBorders>
              <w:top w:val="single" w:sz="4" w:space="0" w:color="000000"/>
              <w:left w:val="single" w:sz="13" w:space="0" w:color="D3D3D3"/>
              <w:bottom w:val="single" w:sz="4" w:space="0" w:color="000000"/>
              <w:right w:val="single" w:sz="4" w:space="0" w:color="000000"/>
            </w:tcBorders>
            <w:shd w:val="clear" w:color="auto" w:fill="C7EDCC"/>
          </w:tcPr>
          <w:p>
            <w:pPr/>
          </w:p>
        </w:tc>
        <w:tc>
          <w:tcPr>
            <w:tcW w:w="72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59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483"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986" w:hRule="exact"/>
        </w:trPr>
        <w:tc>
          <w:tcPr>
            <w:tcW w:w="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108"/>
              <w:jc w:val="both"/>
              <w:rPr>
                <w:rFonts w:ascii="宋体" w:hAnsi="宋体" w:cs="宋体" w:eastAsia="宋体" w:hint="default"/>
                <w:sz w:val="18"/>
                <w:szCs w:val="18"/>
              </w:rPr>
            </w:pPr>
            <w:r>
              <w:rPr>
                <w:rFonts w:ascii="宋体" w:hAnsi="宋体" w:cs="宋体" w:eastAsia="宋体" w:hint="default"/>
                <w:sz w:val="18"/>
                <w:szCs w:val="18"/>
              </w:rPr>
              <w:t>收购 报告 书或</w:t>
            </w:r>
          </w:p>
        </w:tc>
        <w:tc>
          <w:tcPr>
            <w:tcW w:w="974" w:type="dxa"/>
            <w:tcBorders>
              <w:top w:val="single" w:sz="4" w:space="0" w:color="000000"/>
              <w:left w:val="single" w:sz="13" w:space="0" w:color="D3D3D3"/>
              <w:bottom w:val="single" w:sz="4" w:space="0" w:color="000000"/>
              <w:right w:val="single" w:sz="4" w:space="0" w:color="000000"/>
            </w:tcBorders>
            <w:shd w:val="clear" w:color="auto" w:fill="C7EDCC"/>
          </w:tcPr>
          <w:p>
            <w:pPr/>
          </w:p>
        </w:tc>
        <w:tc>
          <w:tcPr>
            <w:tcW w:w="72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59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483" w:type="dxa"/>
            <w:tcBorders>
              <w:top w:val="single" w:sz="4" w:space="0" w:color="000000"/>
              <w:left w:val="single" w:sz="4" w:space="0" w:color="000000"/>
              <w:bottom w:val="single" w:sz="4" w:space="0" w:color="000000"/>
              <w:right w:val="single" w:sz="4" w:space="0" w:color="000000"/>
            </w:tcBorders>
            <w:shd w:val="clear" w:color="auto" w:fill="C7EDCC"/>
          </w:tcPr>
          <w:p>
            <w:pPr/>
          </w:p>
        </w:tc>
      </w:tr>
    </w:tbl>
    <w:p>
      <w:pPr>
        <w:spacing w:after="0"/>
        <w:sectPr>
          <w:pgSz w:w="11910" w:h="16840"/>
          <w:pgMar w:header="877" w:footer="982" w:top="1100" w:bottom="1180" w:left="980" w:right="980"/>
        </w:sectPr>
      </w:pPr>
    </w:p>
    <w:p>
      <w:pPr>
        <w:spacing w:line="240" w:lineRule="auto" w:before="0"/>
        <w:rPr>
          <w:rFonts w:ascii="宋体" w:hAnsi="宋体" w:cs="宋体" w:eastAsia="宋体" w:hint="default"/>
          <w:sz w:val="20"/>
          <w:szCs w:val="20"/>
        </w:rPr>
      </w:pPr>
      <w:r>
        <w:rPr/>
        <w:pict>
          <v:shape style="position:absolute;margin-left:55.080002pt;margin-top:71.999962pt;width:485.4pt;height:685.35pt;mso-position-horizontal-relative:page;mso-position-vertical-relative:page;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15"/>
                    <w:gridCol w:w="962"/>
                    <w:gridCol w:w="728"/>
                    <w:gridCol w:w="3591"/>
                    <w:gridCol w:w="518"/>
                    <w:gridCol w:w="896"/>
                    <w:gridCol w:w="2483"/>
                  </w:tblGrid>
                  <w:tr>
                    <w:trPr>
                      <w:trHeight w:val="1922" w:hRule="exact"/>
                    </w:trPr>
                    <w:tc>
                      <w:tcPr>
                        <w:tcW w:w="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22" w:right="120"/>
                          <w:jc w:val="both"/>
                          <w:rPr>
                            <w:rFonts w:ascii="宋体" w:hAnsi="宋体" w:cs="宋体" w:eastAsia="宋体" w:hint="default"/>
                            <w:sz w:val="18"/>
                            <w:szCs w:val="18"/>
                          </w:rPr>
                        </w:pPr>
                        <w:r>
                          <w:rPr>
                            <w:rFonts w:ascii="宋体" w:hAnsi="宋体" w:cs="宋体" w:eastAsia="宋体" w:hint="default"/>
                            <w:sz w:val="18"/>
                            <w:szCs w:val="18"/>
                          </w:rPr>
                          <w:t>权益 变动 报告 书中 所作 承诺</w:t>
                        </w:r>
                      </w:p>
                    </w:tc>
                    <w:tc>
                      <w:tcPr>
                        <w:tcW w:w="96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72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591"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8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483"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1650" w:hRule="exact"/>
                    </w:trPr>
                    <w:tc>
                      <w:tcPr>
                        <w:tcW w:w="5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120"/>
                          <w:jc w:val="both"/>
                          <w:rPr>
                            <w:rFonts w:ascii="宋体" w:hAnsi="宋体" w:cs="宋体" w:eastAsia="宋体" w:hint="default"/>
                            <w:sz w:val="18"/>
                            <w:szCs w:val="18"/>
                          </w:rPr>
                        </w:pPr>
                        <w:r>
                          <w:rPr>
                            <w:rFonts w:ascii="宋体" w:hAnsi="宋体" w:cs="宋体" w:eastAsia="宋体" w:hint="default"/>
                            <w:sz w:val="18"/>
                            <w:szCs w:val="18"/>
                          </w:rPr>
                          <w:t>资产 重组 时所 作承 诺</w:t>
                        </w:r>
                      </w:p>
                    </w:tc>
                    <w:tc>
                      <w:tcPr>
                        <w:tcW w:w="9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22" w:right="29"/>
                          <w:jc w:val="left"/>
                          <w:rPr>
                            <w:rFonts w:ascii="宋体" w:hAnsi="宋体" w:cs="宋体" w:eastAsia="宋体" w:hint="default"/>
                            <w:sz w:val="18"/>
                            <w:szCs w:val="18"/>
                          </w:rPr>
                        </w:pPr>
                        <w:r>
                          <w:rPr>
                            <w:rFonts w:ascii="宋体" w:hAnsi="宋体" w:cs="宋体" w:eastAsia="宋体" w:hint="default"/>
                            <w:sz w:val="18"/>
                            <w:szCs w:val="18"/>
                          </w:rPr>
                          <w:t>杭州日报报 业集团有限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都市 快报社</w:t>
                        </w:r>
                      </w:p>
                    </w:tc>
                    <w:tc>
                      <w:tcPr>
                        <w:tcW w:w="72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152"/>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35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9"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关于股份锁定的承诺函：杭报集团有限公司及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都市快报社承诺：本公司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本社通过本次非公 </w:t>
                        </w:r>
                        <w:r>
                          <w:rPr>
                            <w:rFonts w:ascii="宋体" w:hAnsi="宋体" w:cs="宋体" w:eastAsia="宋体" w:hint="default"/>
                            <w:spacing w:val="-4"/>
                            <w:sz w:val="18"/>
                            <w:szCs w:val="18"/>
                          </w:rPr>
                          <w:t>开发行认购的新增股份，自本次非公开发行股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份上市之日起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个月内不转让，本公司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 社亦不委托他人管理前述股份。</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2017-12-18</w:t>
                        </w:r>
                      </w:p>
                    </w:tc>
                    <w:tc>
                      <w:tcPr>
                        <w:tcW w:w="24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履行之中</w:t>
                        </w:r>
                      </w:p>
                    </w:tc>
                  </w:tr>
                  <w:tr>
                    <w:trPr>
                      <w:trHeight w:val="6018" w:hRule="exact"/>
                    </w:trPr>
                    <w:tc>
                      <w:tcPr>
                        <w:tcW w:w="515" w:type="dxa"/>
                        <w:vMerge/>
                        <w:tcBorders>
                          <w:left w:val="single" w:sz="4" w:space="0" w:color="000000"/>
                          <w:right w:val="single" w:sz="4" w:space="0" w:color="000000"/>
                        </w:tcBorders>
                        <w:shd w:val="clear" w:color="auto" w:fill="D3D3D3"/>
                      </w:tcPr>
                      <w:p>
                        <w:pPr/>
                      </w:p>
                    </w:tc>
                    <w:tc>
                      <w:tcPr>
                        <w:tcW w:w="9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2" w:lineRule="auto"/>
                          <w:ind w:left="22" w:right="29"/>
                          <w:jc w:val="left"/>
                          <w:rPr>
                            <w:rFonts w:ascii="宋体" w:hAnsi="宋体" w:cs="宋体" w:eastAsia="宋体" w:hint="default"/>
                            <w:sz w:val="18"/>
                            <w:szCs w:val="18"/>
                          </w:rPr>
                        </w:pPr>
                        <w:r>
                          <w:rPr>
                            <w:rFonts w:ascii="宋体" w:hAnsi="宋体" w:cs="宋体" w:eastAsia="宋体" w:hint="default"/>
                            <w:sz w:val="18"/>
                            <w:szCs w:val="18"/>
                          </w:rPr>
                          <w:t>杭州日报报 业集团有限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都市 快报社</w:t>
                        </w:r>
                      </w:p>
                    </w:tc>
                    <w:tc>
                      <w:tcPr>
                        <w:tcW w:w="72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316" w:lineRule="auto"/>
                          <w:ind w:left="23" w:right="152"/>
                          <w:jc w:val="both"/>
                          <w:rPr>
                            <w:rFonts w:ascii="宋体" w:hAnsi="宋体" w:cs="宋体" w:eastAsia="宋体" w:hint="default"/>
                            <w:sz w:val="18"/>
                            <w:szCs w:val="18"/>
                          </w:rPr>
                        </w:pPr>
                        <w:r>
                          <w:rPr>
                            <w:rFonts w:ascii="宋体" w:hAnsi="宋体" w:cs="宋体" w:eastAsia="宋体" w:hint="default"/>
                            <w:sz w:val="18"/>
                            <w:szCs w:val="18"/>
                          </w:rPr>
                          <w:t>业绩承 诺及补 偿安排</w:t>
                        </w:r>
                      </w:p>
                    </w:tc>
                    <w:tc>
                      <w:tcPr>
                        <w:tcW w:w="35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关于业绩补偿的承诺 根据杭报集团有限公 </w:t>
                        </w:r>
                        <w:r>
                          <w:rPr>
                            <w:rFonts w:ascii="宋体" w:hAnsi="宋体" w:cs="宋体" w:eastAsia="宋体" w:hint="default"/>
                            <w:spacing w:val="-4"/>
                            <w:sz w:val="18"/>
                            <w:szCs w:val="18"/>
                          </w:rPr>
                          <w:t>司、都市快报社与华智控股签署的《利润补偿</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5"/>
                            <w:sz w:val="18"/>
                            <w:szCs w:val="18"/>
                          </w:rPr>
                          <w:t>协议》及《利润补偿协议之补充协议》，利润</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补偿期间为交易实施完毕日当年起三个会计 年度。若本次交易于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年实施完毕，则利</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润补偿期间为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若本次交易于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年实施完毕，则利润补偿</w:t>
                        </w:r>
                      </w:p>
                      <w:p>
                        <w:pPr>
                          <w:pStyle w:val="TableParagraph"/>
                          <w:spacing w:line="307" w:lineRule="auto" w:before="63"/>
                          <w:ind w:left="22" w:right="21"/>
                          <w:jc w:val="both"/>
                          <w:rPr>
                            <w:rFonts w:ascii="宋体" w:hAnsi="宋体" w:cs="宋体" w:eastAsia="宋体" w:hint="default"/>
                            <w:sz w:val="18"/>
                            <w:szCs w:val="18"/>
                          </w:rPr>
                        </w:pPr>
                        <w:r>
                          <w:rPr>
                            <w:rFonts w:ascii="宋体" w:hAnsi="宋体" w:cs="宋体" w:eastAsia="宋体" w:hint="default"/>
                            <w:sz w:val="18"/>
                            <w:szCs w:val="18"/>
                          </w:rPr>
                          <w:t>期间为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年。根据北 京中企华资产评估有限责任公司出具的拟购 买资产评估报告，拟购买资产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及</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年实现的扣除非经常性损益后归</w:t>
                        </w:r>
                      </w:p>
                      <w:p>
                        <w:pPr>
                          <w:pStyle w:val="TableParagraph"/>
                          <w:spacing w:line="307" w:lineRule="auto" w:before="7"/>
                          <w:ind w:left="22" w:right="21"/>
                          <w:jc w:val="left"/>
                          <w:rPr>
                            <w:rFonts w:ascii="宋体" w:hAnsi="宋体" w:cs="宋体" w:eastAsia="宋体" w:hint="default"/>
                            <w:sz w:val="18"/>
                            <w:szCs w:val="18"/>
                          </w:rPr>
                        </w:pPr>
                        <w:r>
                          <w:rPr>
                            <w:rFonts w:ascii="宋体" w:hAnsi="宋体" w:cs="宋体" w:eastAsia="宋体" w:hint="default"/>
                            <w:sz w:val="18"/>
                            <w:szCs w:val="18"/>
                          </w:rPr>
                          <w:t>属于标的资产股东的净利润分别为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17,541.80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19,532.02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21,514.69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万元和 </w:t>
                        </w:r>
                        <w:r>
                          <w:rPr>
                            <w:rFonts w:ascii="Times New Roman" w:hAnsi="Times New Roman" w:cs="Times New Roman" w:eastAsia="Times New Roman" w:hint="default"/>
                            <w:sz w:val="18"/>
                            <w:szCs w:val="18"/>
                          </w:rPr>
                          <w:t>22,555.13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万元。杭报集团有限公司与都市快 </w:t>
                        </w:r>
                        <w:r>
                          <w:rPr>
                            <w:rFonts w:ascii="宋体" w:hAnsi="宋体" w:cs="宋体" w:eastAsia="宋体" w:hint="default"/>
                            <w:spacing w:val="-4"/>
                            <w:sz w:val="18"/>
                            <w:szCs w:val="18"/>
                          </w:rPr>
                          <w:t>报社承诺：如果年度实际净利润低于上述承诺</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净利润的，杭报集团有限公司与都市快报社同</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意华智控股对差额部分以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元的价格回购杭 报集团有限公司、都市快报社所持的相关股 份。</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2017-12-31</w:t>
                        </w:r>
                      </w:p>
                    </w:tc>
                    <w:tc>
                      <w:tcPr>
                        <w:tcW w:w="24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6"/>
                            <w:szCs w:val="26"/>
                          </w:rPr>
                        </w:pPr>
                      </w:p>
                      <w:p>
                        <w:pPr>
                          <w:pStyle w:val="TableParagraph"/>
                          <w:spacing w:line="300" w:lineRule="auto"/>
                          <w:ind w:left="22" w:right="113"/>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2014</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年承诺已履行完毕 其余履行之中</w:t>
                        </w:r>
                      </w:p>
                    </w:tc>
                  </w:tr>
                  <w:tr>
                    <w:trPr>
                      <w:trHeight w:val="4106" w:hRule="exact"/>
                    </w:trPr>
                    <w:tc>
                      <w:tcPr>
                        <w:tcW w:w="515" w:type="dxa"/>
                        <w:vMerge/>
                        <w:tcBorders>
                          <w:left w:val="single" w:sz="4" w:space="0" w:color="000000"/>
                          <w:bottom w:val="single" w:sz="4" w:space="0" w:color="000000"/>
                          <w:right w:val="single" w:sz="4" w:space="0" w:color="000000"/>
                        </w:tcBorders>
                        <w:shd w:val="clear" w:color="auto" w:fill="D3D3D3"/>
                      </w:tcPr>
                      <w:p>
                        <w:pPr/>
                      </w:p>
                    </w:tc>
                    <w:tc>
                      <w:tcPr>
                        <w:tcW w:w="9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12" w:lineRule="auto"/>
                          <w:ind w:left="22" w:right="21"/>
                          <w:jc w:val="left"/>
                          <w:rPr>
                            <w:rFonts w:ascii="宋体" w:hAnsi="宋体" w:cs="宋体" w:eastAsia="宋体" w:hint="default"/>
                            <w:sz w:val="18"/>
                            <w:szCs w:val="18"/>
                          </w:rPr>
                        </w:pPr>
                        <w:r>
                          <w:rPr>
                            <w:rFonts w:ascii="宋体" w:hAnsi="宋体" w:cs="宋体" w:eastAsia="宋体" w:hint="default"/>
                            <w:sz w:val="18"/>
                            <w:szCs w:val="18"/>
                          </w:rPr>
                          <w:t>杭州日报报 业集团（杭 </w:t>
                        </w:r>
                        <w:r>
                          <w:rPr>
                            <w:rFonts w:ascii="宋体" w:hAnsi="宋体" w:cs="宋体" w:eastAsia="宋体" w:hint="default"/>
                            <w:spacing w:val="-8"/>
                            <w:sz w:val="18"/>
                            <w:szCs w:val="18"/>
                          </w:rPr>
                          <w:t>州日报社）</w:t>
                        </w:r>
                        <w:r>
                          <w:rPr>
                            <w:rFonts w:ascii="Times New Roman" w:hAnsi="Times New Roman" w:cs="Times New Roman" w:eastAsia="Times New Roman" w:hint="default"/>
                            <w:spacing w:val="-8"/>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杭州日报报 业集团有限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都市 快报社</w:t>
                        </w:r>
                      </w:p>
                    </w:tc>
                    <w:tc>
                      <w:tcPr>
                        <w:tcW w:w="72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23" w:right="-26"/>
                          <w:jc w:val="left"/>
                          <w:rPr>
                            <w:rFonts w:ascii="宋体" w:hAnsi="宋体" w:cs="宋体" w:eastAsia="宋体" w:hint="default"/>
                            <w:sz w:val="18"/>
                            <w:szCs w:val="18"/>
                          </w:rPr>
                        </w:pPr>
                        <w:r>
                          <w:rPr>
                            <w:rFonts w:ascii="宋体" w:hAnsi="宋体" w:cs="宋体" w:eastAsia="宋体" w:hint="default"/>
                            <w:sz w:val="18"/>
                            <w:szCs w:val="18"/>
                          </w:rPr>
                          <w:t>关于同 业竞争、 关联交 </w:t>
                        </w:r>
                        <w:r>
                          <w:rPr>
                            <w:rFonts w:ascii="宋体" w:hAnsi="宋体" w:cs="宋体" w:eastAsia="宋体" w:hint="default"/>
                            <w:spacing w:val="-12"/>
                            <w:sz w:val="18"/>
                            <w:szCs w:val="18"/>
                          </w:rPr>
                          <w:t>易、资金</w:t>
                        </w:r>
                        <w:r>
                          <w:rPr>
                            <w:rFonts w:ascii="宋体" w:hAnsi="宋体" w:cs="宋体" w:eastAsia="宋体" w:hint="default"/>
                            <w:sz w:val="18"/>
                            <w:szCs w:val="18"/>
                          </w:rPr>
                          <w:t> 占用方 面的承</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591" w:type="dxa"/>
                        <w:tcBorders>
                          <w:top w:val="single" w:sz="4" w:space="0" w:color="000000"/>
                          <w:left w:val="single" w:sz="4" w:space="0" w:color="000000"/>
                          <w:bottom w:val="single" w:sz="4" w:space="0" w:color="000000"/>
                          <w:right w:val="single" w:sz="9" w:space="0" w:color="FFFFFF"/>
                        </w:tcBorders>
                        <w:shd w:val="clear" w:color="auto" w:fill="C7EDCC"/>
                      </w:tcPr>
                      <w:p>
                        <w:pPr>
                          <w:pStyle w:val="TableParagraph"/>
                          <w:spacing w:line="314" w:lineRule="auto" w:before="51"/>
                          <w:ind w:left="22" w:right="14"/>
                          <w:jc w:val="left"/>
                          <w:rPr>
                            <w:rFonts w:ascii="宋体" w:hAnsi="宋体" w:cs="宋体" w:eastAsia="宋体" w:hint="default"/>
                            <w:sz w:val="18"/>
                            <w:szCs w:val="18"/>
                          </w:rPr>
                        </w:pPr>
                        <w:r>
                          <w:rPr>
                            <w:rFonts w:ascii="宋体" w:hAnsi="宋体" w:cs="宋体" w:eastAsia="宋体" w:hint="default"/>
                            <w:sz w:val="18"/>
                            <w:szCs w:val="18"/>
                          </w:rPr>
                          <w:t>关于避免同业竞争的承诺 为避免今后与上市 </w:t>
                        </w:r>
                        <w:r>
                          <w:rPr>
                            <w:rFonts w:ascii="宋体" w:hAnsi="宋体" w:cs="宋体" w:eastAsia="宋体" w:hint="default"/>
                            <w:spacing w:val="-4"/>
                            <w:sz w:val="18"/>
                            <w:szCs w:val="18"/>
                          </w:rPr>
                          <w:t>公司之间可能出现同业竞争，维护上市公司的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利益，杭报集团与杭报集团有限公司、都市快</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报社分别出具了关于避免同业竞争的承诺函 鉴于华智控股拟向杭州日报报业集团有限公 </w:t>
                        </w:r>
                        <w:r>
                          <w:rPr>
                            <w:rFonts w:ascii="宋体" w:hAnsi="宋体" w:cs="宋体" w:eastAsia="宋体" w:hint="default"/>
                            <w:spacing w:val="-4"/>
                            <w:sz w:val="18"/>
                            <w:szCs w:val="18"/>
                          </w:rPr>
                          <w:t>司及都市快报社非公开发行股份购买资产，杭</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州日报报业集团有限公司将成为华智控股之 控股股东，杭州日报报业集团（杭州日报社 </w:t>
                        </w:r>
                        <w:r>
                          <w:rPr>
                            <w:rFonts w:ascii="宋体" w:hAnsi="宋体" w:cs="宋体" w:eastAsia="宋体" w:hint="default"/>
                            <w:spacing w:val="-4"/>
                            <w:sz w:val="18"/>
                            <w:szCs w:val="18"/>
                          </w:rPr>
                          <w:t>将成为华智控股实际控制人。在此基础上，本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5"/>
                            <w:sz w:val="18"/>
                            <w:szCs w:val="18"/>
                          </w:rPr>
                          <w:t>集团</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本公司</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本社承诺：（</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）自本承诺函签署</w:t>
                        </w:r>
                        <w:r>
                          <w:rPr>
                            <w:rFonts w:ascii="宋体" w:hAnsi="宋体" w:cs="宋体" w:eastAsia="宋体" w:hint="default"/>
                            <w:spacing w:val="-72"/>
                            <w:sz w:val="18"/>
                            <w:szCs w:val="18"/>
                          </w:rPr>
                          <w:t> </w:t>
                        </w:r>
                        <w:r>
                          <w:rPr>
                            <w:rFonts w:ascii="宋体" w:hAnsi="宋体" w:cs="宋体" w:eastAsia="宋体" w:hint="default"/>
                            <w:sz w:val="18"/>
                            <w:szCs w:val="18"/>
                          </w:rPr>
                          <w:t>之日起，本集团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本社将不会以任何方 式直接或间接地从事与华智控股的业务及活 </w:t>
                        </w:r>
                        <w:r>
                          <w:rPr>
                            <w:rFonts w:ascii="宋体" w:hAnsi="宋体" w:cs="宋体" w:eastAsia="宋体" w:hint="default"/>
                            <w:spacing w:val="-4"/>
                            <w:sz w:val="18"/>
                            <w:szCs w:val="18"/>
                          </w:rPr>
                          <w:t>动构成或可能构成竞争的业务及活动，也不会</w:t>
                        </w:r>
                      </w:p>
                    </w:tc>
                    <w:tc>
                      <w:tcPr>
                        <w:tcW w:w="518"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5"/>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12" w:lineRule="exact"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150" w:lineRule="exact"/>
                          <w:ind w:left="-15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1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4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履行之中</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spacing w:before="45"/>
        <w:ind w:left="0" w:right="101"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line="1384" w:lineRule="exact"/>
        <w:ind w:left="5928" w:right="0" w:firstLine="0"/>
        <w:rPr>
          <w:rFonts w:ascii="宋体" w:hAnsi="宋体" w:cs="宋体" w:eastAsia="宋体" w:hint="default"/>
          <w:sz w:val="20"/>
          <w:szCs w:val="20"/>
        </w:rPr>
      </w:pPr>
      <w:r>
        <w:rPr>
          <w:rFonts w:ascii="宋体" w:hAnsi="宋体" w:cs="宋体" w:eastAsia="宋体" w:hint="default"/>
          <w:position w:val="-27"/>
          <w:sz w:val="20"/>
          <w:szCs w:val="20"/>
        </w:rPr>
        <w:pict>
          <v:group style="width:25.4pt;height:69.2pt;mso-position-horizontal-relative:char;mso-position-vertical-relative:line" coordorigin="0,0" coordsize="508,1384">
            <v:group style="position:absolute;left:0;top:0;width:508;height:1384" coordorigin="0,0" coordsize="508,1384">
              <v:shape style="position:absolute;left:0;top:0;width:508;height:1384" coordorigin="0,0" coordsize="508,1384" path="m0,1384l508,1384,508,0,0,0,0,1384xe" filled="true" fillcolor="#ffffff" stroked="false">
                <v:path arrowok="t"/>
                <v:fill type="solid"/>
              </v:shape>
            </v:group>
          </v:group>
        </w:pict>
      </w:r>
      <w:r>
        <w:rPr>
          <w:rFonts w:ascii="宋体" w:hAnsi="宋体" w:cs="宋体" w:eastAsia="宋体" w:hint="default"/>
          <w:position w:val="-27"/>
          <w:sz w:val="20"/>
          <w:szCs w:val="20"/>
        </w:rPr>
      </w:r>
    </w:p>
    <w:p>
      <w:pPr>
        <w:spacing w:after="0" w:line="1384" w:lineRule="exact"/>
        <w:rPr>
          <w:rFonts w:ascii="宋体" w:hAnsi="宋体" w:cs="宋体" w:eastAsia="宋体" w:hint="default"/>
          <w:sz w:val="20"/>
          <w:szCs w:val="20"/>
        </w:rPr>
        <w:sectPr>
          <w:pgSz w:w="11910" w:h="16840"/>
          <w:pgMar w:header="877" w:footer="982" w:top="1100" w:bottom="1180" w:left="980" w:right="94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515"/>
        <w:gridCol w:w="962"/>
        <w:gridCol w:w="728"/>
        <w:gridCol w:w="3591"/>
        <w:gridCol w:w="518"/>
        <w:gridCol w:w="896"/>
        <w:gridCol w:w="2483"/>
      </w:tblGrid>
      <w:tr>
        <w:trPr>
          <w:trHeight w:val="317" w:hRule="exact"/>
        </w:trPr>
        <w:tc>
          <w:tcPr>
            <w:tcW w:w="515" w:type="dxa"/>
            <w:vMerge w:val="restart"/>
            <w:tcBorders>
              <w:top w:val="single" w:sz="4" w:space="0" w:color="000000"/>
              <w:left w:val="single" w:sz="4" w:space="0" w:color="000000"/>
              <w:right w:val="single" w:sz="4" w:space="0" w:color="000000"/>
            </w:tcBorders>
            <w:shd w:val="clear" w:color="auto" w:fill="D3D3D3"/>
          </w:tcPr>
          <w:p>
            <w:pPr/>
          </w:p>
        </w:tc>
        <w:tc>
          <w:tcPr>
            <w:tcW w:w="962" w:type="dxa"/>
            <w:vMerge w:val="restart"/>
            <w:tcBorders>
              <w:top w:val="single" w:sz="4" w:space="0" w:color="000000"/>
              <w:left w:val="single" w:sz="4" w:space="0" w:color="000000"/>
              <w:right w:val="single" w:sz="4" w:space="0" w:color="000000"/>
            </w:tcBorders>
            <w:shd w:val="clear" w:color="auto" w:fill="C7EDCC"/>
          </w:tcPr>
          <w:p>
            <w:pPr/>
          </w:p>
        </w:tc>
        <w:tc>
          <w:tcPr>
            <w:tcW w:w="728" w:type="dxa"/>
            <w:vMerge w:val="restart"/>
            <w:tcBorders>
              <w:top w:val="single" w:sz="4" w:space="0" w:color="000000"/>
              <w:left w:val="single" w:sz="4" w:space="0" w:color="000000"/>
              <w:right w:val="single" w:sz="4" w:space="0" w:color="000000"/>
            </w:tcBorders>
            <w:shd w:val="clear" w:color="auto" w:fill="C7EDCC"/>
          </w:tcPr>
          <w:p>
            <w:pPr/>
          </w:p>
        </w:tc>
        <w:tc>
          <w:tcPr>
            <w:tcW w:w="3591"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4"/>
                <w:sz w:val="18"/>
                <w:szCs w:val="18"/>
              </w:rPr>
              <w:t>参与投资、拥有或控制任何与华智控股经营的</w:t>
            </w:r>
          </w:p>
        </w:tc>
        <w:tc>
          <w:tcPr>
            <w:tcW w:w="518" w:type="dxa"/>
            <w:vMerge w:val="restart"/>
            <w:tcBorders>
              <w:top w:val="single" w:sz="4" w:space="0" w:color="000000"/>
              <w:left w:val="single" w:sz="4" w:space="0" w:color="000000"/>
              <w:right w:val="single" w:sz="4" w:space="0" w:color="000000"/>
            </w:tcBorders>
          </w:tcPr>
          <w:p>
            <w:pPr/>
          </w:p>
        </w:tc>
        <w:tc>
          <w:tcPr>
            <w:tcW w:w="896" w:type="dxa"/>
            <w:vMerge w:val="restart"/>
            <w:tcBorders>
              <w:top w:val="single" w:sz="4" w:space="0" w:color="000000"/>
              <w:left w:val="single" w:sz="4" w:space="0" w:color="000000"/>
              <w:right w:val="single" w:sz="4" w:space="0" w:color="000000"/>
            </w:tcBorders>
            <w:shd w:val="clear" w:color="auto" w:fill="C7EDCC"/>
          </w:tcPr>
          <w:p>
            <w:pPr/>
          </w:p>
        </w:tc>
        <w:tc>
          <w:tcPr>
            <w:tcW w:w="2483" w:type="dxa"/>
            <w:vMerge w:val="restart"/>
            <w:tcBorders>
              <w:top w:val="single" w:sz="4" w:space="0" w:color="000000"/>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113"/>
              <w:jc w:val="center"/>
              <w:rPr>
                <w:rFonts w:ascii="宋体" w:hAnsi="宋体" w:cs="宋体" w:eastAsia="宋体" w:hint="default"/>
                <w:sz w:val="18"/>
                <w:szCs w:val="18"/>
              </w:rPr>
            </w:pPr>
            <w:r>
              <w:rPr>
                <w:rFonts w:ascii="宋体" w:hAnsi="宋体" w:cs="宋体" w:eastAsia="宋体" w:hint="default"/>
                <w:sz w:val="18"/>
                <w:szCs w:val="18"/>
              </w:rPr>
              <w:t>业务及活动构成或可能构成竞争的任何法人</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7"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或其他组织</w:t>
            </w:r>
            <w:r>
              <w:rPr>
                <w:rFonts w:ascii="宋体" w:hAnsi="宋体" w:cs="宋体" w:eastAsia="宋体" w:hint="default"/>
                <w:spacing w:val="-162"/>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72"/>
                <w:sz w:val="18"/>
                <w:szCs w:val="18"/>
              </w:rPr>
              <w:t>）</w:t>
            </w:r>
            <w:r>
              <w:rPr>
                <w:rFonts w:ascii="宋体" w:hAnsi="宋体" w:cs="宋体" w:eastAsia="宋体" w:hint="default"/>
                <w:sz w:val="18"/>
                <w:szCs w:val="18"/>
              </w:rPr>
              <w:t>如本集团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r>
              <w:rPr>
                <w:rFonts w:ascii="宋体" w:hAnsi="宋体" w:cs="宋体" w:eastAsia="宋体" w:hint="default"/>
                <w:spacing w:val="-72"/>
                <w:sz w:val="18"/>
                <w:szCs w:val="18"/>
              </w:rPr>
              <w:t>社</w:t>
            </w:r>
            <w:r>
              <w:rPr>
                <w:rFonts w:ascii="宋体" w:hAnsi="宋体" w:cs="宋体" w:eastAsia="宋体" w:hint="default"/>
                <w:sz w:val="18"/>
                <w:szCs w:val="18"/>
              </w:rPr>
              <w:t>（包</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right="14"/>
              <w:jc w:val="center"/>
              <w:rPr>
                <w:rFonts w:ascii="宋体" w:hAnsi="宋体" w:cs="宋体" w:eastAsia="宋体" w:hint="default"/>
                <w:sz w:val="18"/>
                <w:szCs w:val="18"/>
              </w:rPr>
            </w:pPr>
            <w:r>
              <w:rPr>
                <w:rFonts w:ascii="宋体" w:hAnsi="宋体" w:cs="宋体" w:eastAsia="宋体" w:hint="default"/>
                <w:sz w:val="18"/>
                <w:szCs w:val="18"/>
              </w:rPr>
              <w:t>括本集团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本社现有或将来以任何方式</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right="63"/>
              <w:jc w:val="center"/>
              <w:rPr>
                <w:rFonts w:ascii="宋体" w:hAnsi="宋体" w:cs="宋体" w:eastAsia="宋体" w:hint="default"/>
                <w:sz w:val="18"/>
                <w:szCs w:val="18"/>
              </w:rPr>
            </w:pPr>
            <w:r>
              <w:rPr>
                <w:rFonts w:ascii="宋体" w:hAnsi="宋体" w:cs="宋体" w:eastAsia="宋体" w:hint="default"/>
                <w:sz w:val="18"/>
                <w:szCs w:val="18"/>
              </w:rPr>
              <w:t>直接或间接地投资、拥有或控制的法人及</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07"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pacing w:val="-4"/>
                <w:sz w:val="18"/>
                <w:szCs w:val="18"/>
              </w:rPr>
              <w:t>其他组织）获得的任何商业机会与华智控股所</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4"/>
                <w:sz w:val="18"/>
                <w:szCs w:val="18"/>
              </w:rPr>
              <w:t>从事的业务及活动构成或可能构成竞争的，则</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7"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14"/>
              <w:jc w:val="center"/>
              <w:rPr>
                <w:rFonts w:ascii="宋体" w:hAnsi="宋体" w:cs="宋体" w:eastAsia="宋体" w:hint="default"/>
                <w:sz w:val="18"/>
                <w:szCs w:val="18"/>
              </w:rPr>
            </w:pPr>
            <w:r>
              <w:rPr>
                <w:rFonts w:ascii="宋体" w:hAnsi="宋体" w:cs="宋体" w:eastAsia="宋体" w:hint="default"/>
                <w:sz w:val="18"/>
                <w:szCs w:val="18"/>
              </w:rPr>
              <w:t>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本社将立即通知华智控股，并</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right="63"/>
              <w:jc w:val="center"/>
              <w:rPr>
                <w:rFonts w:ascii="Times New Roman" w:hAnsi="Times New Roman" w:cs="Times New Roman" w:eastAsia="Times New Roman" w:hint="default"/>
                <w:sz w:val="18"/>
                <w:szCs w:val="18"/>
              </w:rPr>
            </w:pPr>
            <w:r>
              <w:rPr>
                <w:rFonts w:ascii="宋体" w:hAnsi="宋体" w:cs="宋体" w:eastAsia="宋体" w:hint="default"/>
                <w:sz w:val="18"/>
                <w:szCs w:val="18"/>
              </w:rPr>
              <w:t>优先将该商业机会给予华智控股。在本集团</w:t>
            </w:r>
            <w:r>
              <w:rPr>
                <w:rFonts w:ascii="Times New Roman" w:hAnsi="Times New Roman" w:cs="Times New Roman" w:eastAsia="Times New Roman" w:hint="default"/>
                <w:sz w:val="18"/>
                <w:szCs w:val="18"/>
              </w:rPr>
              <w:t>/</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right="63"/>
              <w:jc w:val="center"/>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本社与华智控股存在关联关系期间，</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07"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pacing w:val="-4"/>
                <w:sz w:val="18"/>
                <w:szCs w:val="18"/>
              </w:rPr>
              <w:t>本承诺函为有效之承诺。如上述承诺被证明是</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7"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14"/>
              <w:jc w:val="center"/>
              <w:rPr>
                <w:rFonts w:ascii="宋体" w:hAnsi="宋体" w:cs="宋体" w:eastAsia="宋体" w:hint="default"/>
                <w:sz w:val="18"/>
                <w:szCs w:val="18"/>
              </w:rPr>
            </w:pPr>
            <w:r>
              <w:rPr>
                <w:rFonts w:ascii="宋体" w:hAnsi="宋体" w:cs="宋体" w:eastAsia="宋体" w:hint="default"/>
                <w:sz w:val="18"/>
                <w:szCs w:val="18"/>
              </w:rPr>
              <w:t>不真实的或未被遵守，本集团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本社将</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07"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pacing w:val="-4"/>
                <w:sz w:val="18"/>
                <w:szCs w:val="18"/>
              </w:rPr>
              <w:t>向华智控股赔偿一切直接和间接损失，并承担</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4"/>
                <w:sz w:val="18"/>
                <w:szCs w:val="18"/>
              </w:rPr>
              <w:t>相应的法律责任。关于减少和规范关联交易的</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承诺 为了减少和规范关联交易，维护上市公</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4"/>
                <w:sz w:val="18"/>
                <w:szCs w:val="18"/>
              </w:rPr>
              <w:t>司及中小股东的合法权益，杭报集团及杭报集</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4"/>
                <w:sz w:val="18"/>
                <w:szCs w:val="18"/>
              </w:rPr>
              <w:t>团有限公司、都市快报社分别出具了关于规范</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4"/>
                <w:sz w:val="18"/>
                <w:szCs w:val="18"/>
              </w:rPr>
              <w:t>与上市公司关联交易的承诺函：鉴于华智控股</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113"/>
              <w:jc w:val="center"/>
              <w:rPr>
                <w:rFonts w:ascii="宋体" w:hAnsi="宋体" w:cs="宋体" w:eastAsia="宋体" w:hint="default"/>
                <w:sz w:val="18"/>
                <w:szCs w:val="18"/>
              </w:rPr>
            </w:pPr>
            <w:r>
              <w:rPr>
                <w:rFonts w:ascii="宋体" w:hAnsi="宋体" w:cs="宋体" w:eastAsia="宋体" w:hint="default"/>
                <w:sz w:val="18"/>
                <w:szCs w:val="18"/>
              </w:rPr>
              <w:t>拟向杭州日报报业集团有限公司及都市快报</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4"/>
                <w:sz w:val="18"/>
                <w:szCs w:val="18"/>
              </w:rPr>
              <w:t>社非公开发行股份购买资产，杭州日报报业集</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113"/>
              <w:jc w:val="center"/>
              <w:rPr>
                <w:rFonts w:ascii="宋体" w:hAnsi="宋体" w:cs="宋体" w:eastAsia="宋体" w:hint="default"/>
                <w:sz w:val="18"/>
                <w:szCs w:val="18"/>
              </w:rPr>
            </w:pPr>
            <w:r>
              <w:rPr>
                <w:rFonts w:ascii="宋体" w:hAnsi="宋体" w:cs="宋体" w:eastAsia="宋体" w:hint="default"/>
                <w:sz w:val="18"/>
                <w:szCs w:val="18"/>
              </w:rPr>
              <w:t>团有限公司及都市快报社将成为华智控股控</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4"/>
                <w:sz w:val="18"/>
                <w:szCs w:val="18"/>
              </w:rPr>
              <w:t>股股东，杭州日报报业集团（杭州日报社）将</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4"/>
                <w:sz w:val="18"/>
                <w:szCs w:val="18"/>
              </w:rPr>
              <w:t>成为华智控股实际控制人。在此基础上，为规</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4"/>
                <w:sz w:val="18"/>
                <w:szCs w:val="18"/>
              </w:rPr>
              <w:t>范和减少关联交易，保护华智控股及其少数股</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7"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14"/>
              <w:jc w:val="center"/>
              <w:rPr>
                <w:rFonts w:ascii="宋体" w:hAnsi="宋体" w:cs="宋体" w:eastAsia="宋体" w:hint="default"/>
                <w:sz w:val="18"/>
                <w:szCs w:val="18"/>
              </w:rPr>
            </w:pPr>
            <w:r>
              <w:rPr>
                <w:rFonts w:ascii="宋体" w:hAnsi="宋体" w:cs="宋体" w:eastAsia="宋体" w:hint="default"/>
                <w:sz w:val="18"/>
                <w:szCs w:val="18"/>
              </w:rPr>
              <w:t>东权益，本集团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r>
              <w:rPr>
                <w:rFonts w:ascii="宋体" w:hAnsi="宋体" w:cs="宋体" w:eastAsia="宋体" w:hint="default"/>
                <w:spacing w:val="-2"/>
                <w:sz w:val="18"/>
                <w:szCs w:val="18"/>
              </w:rPr>
              <w:t>社</w:t>
            </w:r>
            <w:r>
              <w:rPr>
                <w:rFonts w:ascii="宋体" w:hAnsi="宋体" w:cs="宋体" w:eastAsia="宋体" w:hint="default"/>
                <w:sz w:val="18"/>
                <w:szCs w:val="18"/>
              </w:rPr>
              <w:t>承诺如下</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right="93"/>
              <w:jc w:val="center"/>
              <w:rPr>
                <w:rFonts w:ascii="宋体" w:hAnsi="宋体" w:cs="宋体" w:eastAsia="宋体" w:hint="default"/>
                <w:sz w:val="18"/>
                <w:szCs w:val="18"/>
              </w:rPr>
            </w:pPr>
            <w:r>
              <w:rPr>
                <w:rFonts w:ascii="宋体" w:hAnsi="宋体" w:cs="宋体" w:eastAsia="宋体" w:hint="default"/>
                <w:sz w:val="18"/>
                <w:szCs w:val="18"/>
              </w:rPr>
              <w:t>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本社及本集团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本社控</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right="63"/>
              <w:jc w:val="center"/>
              <w:rPr>
                <w:rFonts w:ascii="宋体" w:hAnsi="宋体" w:cs="宋体" w:eastAsia="宋体" w:hint="default"/>
                <w:sz w:val="18"/>
                <w:szCs w:val="18"/>
              </w:rPr>
            </w:pPr>
            <w:r>
              <w:rPr>
                <w:rFonts w:ascii="宋体" w:hAnsi="宋体" w:cs="宋体" w:eastAsia="宋体" w:hint="default"/>
                <w:sz w:val="18"/>
                <w:szCs w:val="18"/>
              </w:rPr>
              <w:t>制的法人及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或其他组织将尽量避免与华智控</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right="63"/>
              <w:jc w:val="center"/>
              <w:rPr>
                <w:rFonts w:ascii="宋体" w:hAnsi="宋体" w:cs="宋体" w:eastAsia="宋体" w:hint="default"/>
                <w:sz w:val="18"/>
                <w:szCs w:val="18"/>
              </w:rPr>
            </w:pPr>
            <w:r>
              <w:rPr>
                <w:rFonts w:ascii="宋体" w:hAnsi="宋体" w:cs="宋体" w:eastAsia="宋体" w:hint="default"/>
                <w:sz w:val="18"/>
                <w:szCs w:val="18"/>
              </w:rPr>
              <w:t>股（包括其控制的法人及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或其他组织）之间</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right="14"/>
              <w:jc w:val="center"/>
              <w:rPr>
                <w:rFonts w:ascii="宋体" w:hAnsi="宋体" w:cs="宋体" w:eastAsia="宋体" w:hint="default"/>
                <w:sz w:val="18"/>
                <w:szCs w:val="18"/>
              </w:rPr>
            </w:pPr>
            <w:r>
              <w:rPr>
                <w:rFonts w:ascii="宋体" w:hAnsi="宋体" w:cs="宋体" w:eastAsia="宋体" w:hint="default"/>
                <w:sz w:val="18"/>
                <w:szCs w:val="18"/>
              </w:rPr>
              <w:t>发生关联交易</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）如本集团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本社及</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right="143"/>
              <w:jc w:val="center"/>
              <w:rPr>
                <w:rFonts w:ascii="宋体" w:hAnsi="宋体" w:cs="宋体" w:eastAsia="宋体" w:hint="default"/>
                <w:sz w:val="18"/>
                <w:szCs w:val="18"/>
              </w:rPr>
            </w:pPr>
            <w:r>
              <w:rPr>
                <w:rFonts w:ascii="宋体" w:hAnsi="宋体" w:cs="宋体" w:eastAsia="宋体" w:hint="default"/>
                <w:sz w:val="18"/>
                <w:szCs w:val="18"/>
              </w:rPr>
              <w:t>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本社控制的法人及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或其他组</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07"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right="113"/>
              <w:jc w:val="center"/>
              <w:rPr>
                <w:rFonts w:ascii="宋体" w:hAnsi="宋体" w:cs="宋体" w:eastAsia="宋体" w:hint="default"/>
                <w:sz w:val="18"/>
                <w:szCs w:val="18"/>
              </w:rPr>
            </w:pPr>
            <w:r>
              <w:rPr>
                <w:rFonts w:ascii="宋体" w:hAnsi="宋体" w:cs="宋体" w:eastAsia="宋体" w:hint="default"/>
                <w:sz w:val="18"/>
                <w:szCs w:val="18"/>
              </w:rPr>
              <w:t>织今后与华智控股不可避免地出现关联交易</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4"/>
                <w:sz w:val="18"/>
                <w:szCs w:val="18"/>
              </w:rPr>
              <w:t>时，将依照市场规则，本着一般商业原则，通</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4"/>
                <w:sz w:val="18"/>
                <w:szCs w:val="18"/>
              </w:rPr>
              <w:t>过签订书面协议，并严格按照《中华人民共和</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23"/>
              <w:jc w:val="center"/>
              <w:rPr>
                <w:rFonts w:ascii="宋体" w:hAnsi="宋体" w:cs="宋体" w:eastAsia="宋体" w:hint="default"/>
                <w:sz w:val="18"/>
                <w:szCs w:val="18"/>
              </w:rPr>
            </w:pPr>
            <w:r>
              <w:rPr>
                <w:rFonts w:ascii="宋体" w:hAnsi="宋体" w:cs="宋体" w:eastAsia="宋体" w:hint="default"/>
                <w:sz w:val="18"/>
                <w:szCs w:val="18"/>
              </w:rPr>
              <w:t>国公司法</w:t>
            </w:r>
            <w:r>
              <w:rPr>
                <w:rFonts w:ascii="宋体" w:hAnsi="宋体" w:cs="宋体" w:eastAsia="宋体" w:hint="default"/>
                <w:spacing w:val="-90"/>
                <w:sz w:val="18"/>
                <w:szCs w:val="18"/>
              </w:rPr>
              <w:t>》</w:t>
            </w:r>
            <w:r>
              <w:rPr>
                <w:rFonts w:ascii="宋体" w:hAnsi="宋体" w:cs="宋体" w:eastAsia="宋体" w:hint="default"/>
                <w:sz w:val="18"/>
                <w:szCs w:val="18"/>
              </w:rPr>
              <w:t>、华智控股公司章程及其关联交易</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113"/>
              <w:jc w:val="center"/>
              <w:rPr>
                <w:rFonts w:ascii="宋体" w:hAnsi="宋体" w:cs="宋体" w:eastAsia="宋体" w:hint="default"/>
                <w:sz w:val="18"/>
                <w:szCs w:val="18"/>
              </w:rPr>
            </w:pPr>
            <w:r>
              <w:rPr>
                <w:rFonts w:ascii="宋体" w:hAnsi="宋体" w:cs="宋体" w:eastAsia="宋体" w:hint="default"/>
                <w:sz w:val="18"/>
                <w:szCs w:val="18"/>
              </w:rPr>
              <w:t>管理制度所规定的方式和程序履行关联交易</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7"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63"/>
              <w:jc w:val="center"/>
              <w:rPr>
                <w:rFonts w:ascii="宋体" w:hAnsi="宋体" w:cs="宋体" w:eastAsia="宋体" w:hint="default"/>
                <w:sz w:val="18"/>
                <w:szCs w:val="18"/>
              </w:rPr>
            </w:pPr>
            <w:r>
              <w:rPr>
                <w:rFonts w:ascii="宋体" w:hAnsi="宋体" w:cs="宋体" w:eastAsia="宋体" w:hint="default"/>
                <w:sz w:val="18"/>
                <w:szCs w:val="18"/>
              </w:rPr>
              <w:t>审批程序，公平合理交易。涉及到本集团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pacing w:val="-2"/>
                <w:sz w:val="18"/>
                <w:szCs w:val="18"/>
              </w:rPr>
              <w:t>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本社的关联交易，本集团</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本社将</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right="63"/>
              <w:jc w:val="center"/>
              <w:rPr>
                <w:rFonts w:ascii="Times New Roman" w:hAnsi="Times New Roman" w:cs="Times New Roman" w:eastAsia="Times New Roman" w:hint="default"/>
                <w:sz w:val="18"/>
                <w:szCs w:val="18"/>
              </w:rPr>
            </w:pPr>
            <w:r>
              <w:rPr>
                <w:rFonts w:ascii="宋体" w:hAnsi="宋体" w:cs="宋体" w:eastAsia="宋体" w:hint="default"/>
                <w:sz w:val="18"/>
                <w:szCs w:val="18"/>
              </w:rPr>
              <w:t>在相关股东大会中回避表决，不利用本集团</w:t>
            </w:r>
            <w:r>
              <w:rPr>
                <w:rFonts w:ascii="Times New Roman" w:hAnsi="Times New Roman" w:cs="Times New Roman" w:eastAsia="Times New Roman" w:hint="default"/>
                <w:sz w:val="18"/>
                <w:szCs w:val="18"/>
              </w:rPr>
              <w:t>/</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right="63"/>
              <w:jc w:val="center"/>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本社在华智控股的股东地位，为本集</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right="14"/>
              <w:jc w:val="center"/>
              <w:rPr>
                <w:rFonts w:ascii="宋体" w:hAnsi="宋体" w:cs="宋体" w:eastAsia="宋体" w:hint="default"/>
                <w:sz w:val="18"/>
                <w:szCs w:val="18"/>
              </w:rPr>
            </w:pPr>
            <w:r>
              <w:rPr>
                <w:rFonts w:ascii="宋体" w:hAnsi="宋体" w:cs="宋体" w:eastAsia="宋体" w:hint="default"/>
                <w:sz w:val="18"/>
                <w:szCs w:val="18"/>
              </w:rPr>
              <w:t>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本社在与华智控股关联交易中谋取</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right="13"/>
              <w:jc w:val="center"/>
              <w:rPr>
                <w:rFonts w:ascii="Times New Roman" w:hAnsi="Times New Roman" w:cs="Times New Roman" w:eastAsia="Times New Roman" w:hint="default"/>
                <w:sz w:val="18"/>
                <w:szCs w:val="18"/>
              </w:rPr>
            </w:pPr>
            <w:r>
              <w:rPr>
                <w:rFonts w:ascii="宋体" w:hAnsi="宋体" w:cs="宋体" w:eastAsia="宋体" w:hint="default"/>
                <w:sz w:val="18"/>
                <w:szCs w:val="18"/>
              </w:rPr>
              <w:t>不正当利益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）保证不利用本集团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07"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pacing w:val="-4"/>
                <w:sz w:val="18"/>
                <w:szCs w:val="18"/>
              </w:rPr>
              <w:t>本社对华智控股的股东地位及重大影响，谋求</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7"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63"/>
              <w:jc w:val="center"/>
              <w:rPr>
                <w:rFonts w:ascii="宋体" w:hAnsi="宋体" w:cs="宋体" w:eastAsia="宋体" w:hint="default"/>
                <w:sz w:val="18"/>
                <w:szCs w:val="18"/>
              </w:rPr>
            </w:pPr>
            <w:r>
              <w:rPr>
                <w:rFonts w:ascii="宋体" w:hAnsi="宋体" w:cs="宋体" w:eastAsia="宋体" w:hint="default"/>
                <w:sz w:val="18"/>
                <w:szCs w:val="18"/>
              </w:rPr>
              <w:t>华智控股在业务合作等方面给予本集团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3" w:hRule="exact"/>
        </w:trPr>
        <w:tc>
          <w:tcPr>
            <w:tcW w:w="515" w:type="dxa"/>
            <w:vMerge/>
            <w:tcBorders>
              <w:left w:val="single" w:sz="4" w:space="0" w:color="000000"/>
              <w:bottom w:val="single" w:sz="4" w:space="0" w:color="000000"/>
              <w:right w:val="single" w:sz="4" w:space="0" w:color="000000"/>
            </w:tcBorders>
            <w:shd w:val="clear" w:color="auto" w:fill="D3D3D3"/>
          </w:tcPr>
          <w:p>
            <w:pPr/>
          </w:p>
        </w:tc>
        <w:tc>
          <w:tcPr>
            <w:tcW w:w="962" w:type="dxa"/>
            <w:vMerge/>
            <w:tcBorders>
              <w:left w:val="single" w:sz="4" w:space="0" w:color="000000"/>
              <w:bottom w:val="single" w:sz="4" w:space="0" w:color="000000"/>
              <w:right w:val="single" w:sz="4" w:space="0" w:color="000000"/>
            </w:tcBorders>
            <w:shd w:val="clear" w:color="auto" w:fill="C7EDCC"/>
          </w:tcPr>
          <w:p>
            <w:pPr/>
          </w:p>
        </w:tc>
        <w:tc>
          <w:tcPr>
            <w:tcW w:w="728" w:type="dxa"/>
            <w:vMerge/>
            <w:tcBorders>
              <w:left w:val="single" w:sz="4" w:space="0" w:color="000000"/>
              <w:bottom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5"/>
              <w:ind w:right="63"/>
              <w:jc w:val="center"/>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本社优于市场第三方的权利，不利用本集</w:t>
            </w:r>
          </w:p>
        </w:tc>
        <w:tc>
          <w:tcPr>
            <w:tcW w:w="518" w:type="dxa"/>
            <w:vMerge/>
            <w:tcBorders>
              <w:left w:val="single" w:sz="4" w:space="0" w:color="000000"/>
              <w:bottom w:val="single" w:sz="4" w:space="0" w:color="000000"/>
              <w:right w:val="single" w:sz="4" w:space="0" w:color="000000"/>
            </w:tcBorders>
          </w:tcPr>
          <w:p>
            <w:pPr/>
          </w:p>
        </w:tc>
        <w:tc>
          <w:tcPr>
            <w:tcW w:w="896" w:type="dxa"/>
            <w:vMerge/>
            <w:tcBorders>
              <w:left w:val="single" w:sz="4" w:space="0" w:color="000000"/>
              <w:bottom w:val="single" w:sz="4" w:space="0" w:color="000000"/>
              <w:right w:val="single" w:sz="4" w:space="0" w:color="000000"/>
            </w:tcBorders>
            <w:shd w:val="clear" w:color="auto" w:fill="C7EDCC"/>
          </w:tcPr>
          <w:p>
            <w:pPr/>
          </w:p>
        </w:tc>
        <w:tc>
          <w:tcPr>
            <w:tcW w:w="2483" w:type="dxa"/>
            <w:vMerge/>
            <w:tcBorders>
              <w:left w:val="single" w:sz="4" w:space="0" w:color="000000"/>
              <w:bottom w:val="single" w:sz="4" w:space="0" w:color="000000"/>
              <w:right w:val="single" w:sz="4" w:space="0" w:color="000000"/>
            </w:tcBorders>
            <w:shd w:val="clear" w:color="auto" w:fill="C7EDCC"/>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r>
        <w:rPr/>
        <w:pict>
          <v:shape style="position:absolute;margin-left:321.180603pt;margin-top:72.480003pt;width:49.65pt;height:485.65pt;mso-position-horizontal-relative:page;mso-position-vertical-relative:page;z-index:-12604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18"/>
                    <w:ind w:left="0" w:right="0" w:firstLine="0"/>
                    <w:jc w:val="left"/>
                    <w:rPr>
                      <w:rFonts w:ascii="宋体" w:hAnsi="宋体" w:cs="宋体" w:eastAsia="宋体" w:hint="default"/>
                      <w:sz w:val="18"/>
                      <w:szCs w:val="18"/>
                    </w:rPr>
                  </w:pPr>
                  <w:r>
                    <w:rPr>
                      <w:rFonts w:ascii="宋体" w:hAnsi="宋体" w:cs="宋体" w:eastAsia="宋体" w:hint="default"/>
                      <w:sz w:val="18"/>
                      <w:szCs w:val="18"/>
                    </w:rPr>
                    <w:t>法规、</w:t>
                  </w:r>
                </w:p>
              </w:txbxContent>
            </v:textbox>
            <w10:wrap type="none"/>
          </v:shape>
        </w:pict>
      </w:r>
      <w:r>
        <w:rPr/>
        <w:pict>
          <v:group style="position:absolute;margin-left:345.420013pt;margin-top:72.480003pt;width:25.4pt;height:501.75pt;mso-position-horizontal-relative:page;mso-position-vertical-relative:page;z-index:-1260424" coordorigin="6908,1450" coordsize="508,10035">
            <v:group style="position:absolute;left:6908;top:1450;width:508;height:9713" coordorigin="6908,1450" coordsize="508,9713">
              <v:shape style="position:absolute;left:6908;top:1450;width:508;height:9713" coordorigin="6908,1450" coordsize="508,9713" path="m6908,11162l7416,11162,7416,1450,6908,1450,6908,11162xe" filled="true" fillcolor="#ffffff" stroked="false">
                <v:path arrowok="t"/>
                <v:fill type="solid"/>
              </v:shape>
            </v:group>
            <v:group style="position:absolute;left:6908;top:11172;width:508;height:312" coordorigin="6908,11172" coordsize="508,312">
              <v:shape style="position:absolute;left:6908;top:11172;width:508;height:312" coordorigin="6908,11172" coordsize="508,312" path="m6908,11484l7416,11484,7416,11172,6908,11172,6908,11484xe" filled="true" fillcolor="#ffffff" stroked="false">
                <v:path arrowok="t"/>
                <v:fill type="solid"/>
              </v:shape>
            </v:group>
            <w10:wrap type="none"/>
          </v:group>
        </w:pict>
      </w:r>
    </w:p>
    <w:tbl>
      <w:tblPr>
        <w:tblW w:w="0" w:type="auto"/>
        <w:jc w:val="left"/>
        <w:tblInd w:w="121" w:type="dxa"/>
        <w:tblLayout w:type="fixed"/>
        <w:tblCellMar>
          <w:top w:w="0" w:type="dxa"/>
          <w:left w:w="0" w:type="dxa"/>
          <w:bottom w:w="0" w:type="dxa"/>
          <w:right w:w="0" w:type="dxa"/>
        </w:tblCellMar>
        <w:tblLook w:val="01E0"/>
      </w:tblPr>
      <w:tblGrid>
        <w:gridCol w:w="515"/>
        <w:gridCol w:w="962"/>
        <w:gridCol w:w="728"/>
        <w:gridCol w:w="3591"/>
        <w:gridCol w:w="518"/>
        <w:gridCol w:w="896"/>
        <w:gridCol w:w="2483"/>
      </w:tblGrid>
      <w:tr>
        <w:trPr>
          <w:trHeight w:val="322" w:hRule="exact"/>
        </w:trPr>
        <w:tc>
          <w:tcPr>
            <w:tcW w:w="515" w:type="dxa"/>
            <w:vMerge w:val="restart"/>
            <w:tcBorders>
              <w:top w:val="single" w:sz="4" w:space="0" w:color="000000"/>
              <w:left w:val="single" w:sz="4" w:space="0" w:color="000000"/>
              <w:right w:val="single" w:sz="4" w:space="0" w:color="000000"/>
            </w:tcBorders>
            <w:shd w:val="clear" w:color="auto" w:fill="D3D3D3"/>
          </w:tcPr>
          <w:p>
            <w:pPr/>
          </w:p>
        </w:tc>
        <w:tc>
          <w:tcPr>
            <w:tcW w:w="962" w:type="dxa"/>
            <w:vMerge w:val="restart"/>
            <w:tcBorders>
              <w:top w:val="single" w:sz="4" w:space="0" w:color="000000"/>
              <w:left w:val="single" w:sz="4" w:space="0" w:color="000000"/>
              <w:right w:val="single" w:sz="4" w:space="0" w:color="000000"/>
            </w:tcBorders>
            <w:shd w:val="clear" w:color="auto" w:fill="C7EDCC"/>
          </w:tcPr>
          <w:p>
            <w:pPr/>
          </w:p>
        </w:tc>
        <w:tc>
          <w:tcPr>
            <w:tcW w:w="728" w:type="dxa"/>
            <w:vMerge w:val="restart"/>
            <w:tcBorders>
              <w:top w:val="single" w:sz="4" w:space="0" w:color="000000"/>
              <w:left w:val="single" w:sz="4" w:space="0" w:color="000000"/>
              <w:right w:val="single" w:sz="4" w:space="0" w:color="000000"/>
            </w:tcBorders>
            <w:shd w:val="clear" w:color="auto" w:fill="C7EDCC"/>
          </w:tcPr>
          <w:p>
            <w:pPr/>
          </w:p>
        </w:tc>
        <w:tc>
          <w:tcPr>
            <w:tcW w:w="3591"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本社对华智控股的股东地位及重大</w:t>
            </w:r>
          </w:p>
        </w:tc>
        <w:tc>
          <w:tcPr>
            <w:tcW w:w="51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4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w:t>
            </w:r>
          </w:p>
        </w:tc>
        <w:tc>
          <w:tcPr>
            <w:tcW w:w="896" w:type="dxa"/>
            <w:vMerge w:val="restart"/>
            <w:tcBorders>
              <w:top w:val="single" w:sz="4" w:space="0" w:color="000000"/>
              <w:left w:val="single" w:sz="4" w:space="0" w:color="000000"/>
              <w:right w:val="single" w:sz="4" w:space="0" w:color="000000"/>
            </w:tcBorders>
            <w:shd w:val="clear" w:color="auto" w:fill="C7EDCC"/>
          </w:tcPr>
          <w:p>
            <w:pPr/>
          </w:p>
        </w:tc>
        <w:tc>
          <w:tcPr>
            <w:tcW w:w="2483" w:type="dxa"/>
            <w:vMerge w:val="restart"/>
            <w:tcBorders>
              <w:top w:val="single" w:sz="4" w:space="0" w:color="000000"/>
              <w:left w:val="single" w:sz="4" w:space="0" w:color="000000"/>
              <w:right w:val="single" w:sz="4" w:space="0" w:color="000000"/>
            </w:tcBorders>
            <w:shd w:val="clear" w:color="auto" w:fill="C7EDCC"/>
          </w:tcPr>
          <w:p>
            <w:pPr/>
          </w:p>
        </w:tc>
      </w:tr>
      <w:tr>
        <w:trPr>
          <w:trHeight w:val="307"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影响，谋求与华智控股达成交易的优先权利</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7"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）根据《中华人民共和国公司法</w:t>
            </w:r>
            <w:r>
              <w:rPr>
                <w:rFonts w:ascii="宋体" w:hAnsi="宋体" w:cs="宋体" w:eastAsia="宋体" w:hint="default"/>
                <w:spacing w:val="-90"/>
                <w:sz w:val="18"/>
                <w:szCs w:val="18"/>
              </w:rPr>
              <w:t>》、</w:t>
            </w:r>
            <w:r>
              <w:rPr>
                <w:rFonts w:ascii="宋体" w:hAnsi="宋体" w:cs="宋体" w:eastAsia="宋体" w:hint="default"/>
                <w:sz w:val="18"/>
                <w:szCs w:val="18"/>
              </w:rPr>
              <w:t>《深圳</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07"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证券交易所股票上市规则</w:t>
            </w:r>
            <w:r>
              <w:rPr>
                <w:rFonts w:ascii="宋体" w:hAnsi="宋体" w:cs="宋体" w:eastAsia="宋体" w:hint="default"/>
                <w:spacing w:val="-78"/>
                <w:sz w:val="18"/>
                <w:szCs w:val="18"/>
              </w:rPr>
              <w:t>》</w:t>
            </w:r>
            <w:r>
              <w:rPr>
                <w:rFonts w:ascii="宋体" w:hAnsi="宋体" w:cs="宋体" w:eastAsia="宋体" w:hint="default"/>
                <w:sz w:val="18"/>
                <w:szCs w:val="18"/>
              </w:rPr>
              <w:t>等有关法律、</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规范性文件和华智控股章程的规定，督促华智</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控股依法履行信息披露义务和办理有关报批</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7"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程序。在本集团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本社与华智控股存在</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07"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关联关系期间，本承诺函为有效之承诺。如上</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述承诺被证明是不真实的或未被遵守，本集团</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7"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本社将向华智控股赔偿一切直接和间</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07"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接损失，并承担相应的法律责任。关于维护上</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市公司独立性的承诺 杭报集团承诺：在本次</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非公开发行股份购买资产完成后，杭报集团将</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保证上市公司建立健全股份公司法人治理结</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构，拥有独立、完整的组织机构；保证上市公</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司的股东大会、董事会、独立董事、监事会</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总经理等依照法律、法规和公司章程独立行使</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职权；保证从业务、资产、财务、人员、机构</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等方面保障上市公司的独立性。杭报集团承</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诺：在作为华智控股实际控制人期间，杭报集</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团以及其直接或间接控制的企业均不以代垫</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费用或其他支出、直接或间接借款、代偿债务</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等任何方式违规占用华智控股及其子公司的</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资金，且将严格遵守中国证监会关于上市公司</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法人治理的有关规定，避免与华智控股发生与</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正常生产经营无关的资金往来行为。杭报集团</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有限公司及都市快报社承诺：不利用上市公司</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股东地位损害上市公司及其他社会公众股东</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的利益。在作为上市公司股东期间，与上市公</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3"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司在人员、财务、资产、业务和机构等方面将</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57"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bottom w:val="single" w:sz="4" w:space="0" w:color="000000"/>
              <w:right w:val="single" w:sz="4" w:space="0" w:color="000000"/>
            </w:tcBorders>
            <w:shd w:val="clear" w:color="auto" w:fill="C7EDCC"/>
          </w:tcPr>
          <w:p>
            <w:pPr/>
          </w:p>
        </w:tc>
        <w:tc>
          <w:tcPr>
            <w:tcW w:w="728" w:type="dxa"/>
            <w:vMerge/>
            <w:tcBorders>
              <w:left w:val="single" w:sz="4" w:space="0" w:color="000000"/>
              <w:bottom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保持相互独立。</w:t>
            </w:r>
          </w:p>
        </w:tc>
        <w:tc>
          <w:tcPr>
            <w:tcW w:w="518" w:type="dxa"/>
            <w:vMerge/>
            <w:tcBorders>
              <w:left w:val="single" w:sz="4" w:space="0" w:color="000000"/>
              <w:bottom w:val="single" w:sz="4" w:space="0" w:color="000000"/>
              <w:right w:val="single" w:sz="4" w:space="0" w:color="000000"/>
            </w:tcBorders>
          </w:tcPr>
          <w:p>
            <w:pPr/>
          </w:p>
        </w:tc>
        <w:tc>
          <w:tcPr>
            <w:tcW w:w="896" w:type="dxa"/>
            <w:vMerge/>
            <w:tcBorders>
              <w:left w:val="single" w:sz="4" w:space="0" w:color="000000"/>
              <w:bottom w:val="single" w:sz="4" w:space="0" w:color="000000"/>
              <w:right w:val="single" w:sz="4" w:space="0" w:color="000000"/>
            </w:tcBorders>
            <w:shd w:val="clear" w:color="auto" w:fill="C7EDCC"/>
          </w:tcPr>
          <w:p>
            <w:pPr/>
          </w:p>
        </w:tc>
        <w:tc>
          <w:tcPr>
            <w:tcW w:w="2483" w:type="dxa"/>
            <w:vMerge/>
            <w:tcBorders>
              <w:left w:val="single" w:sz="4" w:space="0" w:color="000000"/>
              <w:bottom w:val="single" w:sz="4" w:space="0" w:color="000000"/>
              <w:right w:val="single" w:sz="4" w:space="0" w:color="000000"/>
            </w:tcBorders>
            <w:shd w:val="clear" w:color="auto" w:fill="C7EDCC"/>
          </w:tcPr>
          <w:p>
            <w:pPr/>
          </w:p>
        </w:tc>
      </w:tr>
      <w:tr>
        <w:trPr>
          <w:trHeight w:val="357" w:hRule="exact"/>
        </w:trPr>
        <w:tc>
          <w:tcPr>
            <w:tcW w:w="515" w:type="dxa"/>
            <w:vMerge/>
            <w:tcBorders>
              <w:left w:val="single" w:sz="4" w:space="0" w:color="000000"/>
              <w:right w:val="single" w:sz="4" w:space="0" w:color="000000"/>
            </w:tcBorders>
            <w:shd w:val="clear" w:color="auto" w:fill="D3D3D3"/>
          </w:tcPr>
          <w:p>
            <w:pPr/>
          </w:p>
        </w:tc>
        <w:tc>
          <w:tcPr>
            <w:tcW w:w="962" w:type="dxa"/>
            <w:tcBorders>
              <w:top w:val="single" w:sz="4" w:space="0" w:color="000000"/>
              <w:left w:val="single" w:sz="4" w:space="0" w:color="000000"/>
              <w:bottom w:val="nil" w:sz="6" w:space="0" w:color="auto"/>
              <w:right w:val="single" w:sz="4" w:space="0" w:color="000000"/>
            </w:tcBorders>
            <w:shd w:val="clear" w:color="auto" w:fill="C7EDCC"/>
          </w:tcPr>
          <w:p>
            <w:pPr/>
          </w:p>
        </w:tc>
        <w:tc>
          <w:tcPr>
            <w:tcW w:w="728" w:type="dxa"/>
            <w:tcBorders>
              <w:top w:val="single" w:sz="4" w:space="0" w:color="000000"/>
              <w:left w:val="single" w:sz="4" w:space="0" w:color="000000"/>
              <w:bottom w:val="nil" w:sz="6" w:space="0" w:color="auto"/>
              <w:right w:val="single" w:sz="4" w:space="0" w:color="000000"/>
            </w:tcBorders>
            <w:shd w:val="clear" w:color="auto" w:fill="C7EDCC"/>
          </w:tcPr>
          <w:p>
            <w:pPr/>
          </w:p>
        </w:tc>
        <w:tc>
          <w:tcPr>
            <w:tcW w:w="3591"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w:t>
            </w:r>
            <w:r>
              <w:rPr>
                <w:rFonts w:ascii="宋体" w:hAnsi="宋体" w:cs="宋体" w:eastAsia="宋体" w:hint="default"/>
                <w:spacing w:val="-33"/>
                <w:sz w:val="18"/>
                <w:szCs w:val="18"/>
              </w:rPr>
              <w:t>据</w:t>
            </w:r>
            <w:r>
              <w:rPr>
                <w:rFonts w:ascii="宋体" w:hAnsi="宋体" w:cs="宋体" w:eastAsia="宋体" w:hint="default"/>
                <w:sz w:val="18"/>
                <w:szCs w:val="18"/>
              </w:rPr>
              <w:t>《重组协议</w:t>
            </w:r>
            <w:r>
              <w:rPr>
                <w:rFonts w:ascii="宋体" w:hAnsi="宋体" w:cs="宋体" w:eastAsia="宋体" w:hint="default"/>
                <w:spacing w:val="-90"/>
                <w:sz w:val="18"/>
                <w:szCs w:val="18"/>
              </w:rPr>
              <w:t>》</w:t>
            </w:r>
            <w:r>
              <w:rPr>
                <w:rFonts w:ascii="宋体" w:hAnsi="宋体" w:cs="宋体" w:eastAsia="宋体" w:hint="default"/>
                <w:spacing w:val="-33"/>
                <w:sz w:val="18"/>
                <w:szCs w:val="18"/>
              </w:rPr>
              <w:t>，</w:t>
            </w:r>
            <w:r>
              <w:rPr>
                <w:rFonts w:ascii="宋体" w:hAnsi="宋体" w:cs="宋体" w:eastAsia="宋体" w:hint="default"/>
                <w:sz w:val="18"/>
                <w:szCs w:val="18"/>
              </w:rPr>
              <w:t>对于华智控股的或有负债</w:t>
            </w:r>
          </w:p>
        </w:tc>
        <w:tc>
          <w:tcPr>
            <w:tcW w:w="5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896" w:type="dxa"/>
            <w:tcBorders>
              <w:top w:val="single" w:sz="4" w:space="0" w:color="000000"/>
              <w:left w:val="single" w:sz="4" w:space="0" w:color="000000"/>
              <w:bottom w:val="nil" w:sz="6" w:space="0" w:color="auto"/>
              <w:right w:val="single" w:sz="4" w:space="0" w:color="000000"/>
            </w:tcBorders>
            <w:shd w:val="clear" w:color="auto" w:fill="C7EDCC"/>
          </w:tcPr>
          <w:p>
            <w:pPr/>
          </w:p>
        </w:tc>
        <w:tc>
          <w:tcPr>
            <w:tcW w:w="2483"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6"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tcBorders>
              <w:top w:val="nil" w:sz="6" w:space="0" w:color="auto"/>
              <w:left w:val="single" w:sz="4" w:space="0" w:color="000000"/>
              <w:bottom w:val="nil" w:sz="6" w:space="0" w:color="auto"/>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在交割日后两年内均由华立集团承担；如华智</w:t>
            </w:r>
          </w:p>
        </w:tc>
        <w:tc>
          <w:tcPr>
            <w:tcW w:w="51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sz w:val="18"/>
              </w:rPr>
              <w:t>2014</w:t>
            </w:r>
          </w:p>
        </w:tc>
        <w:tc>
          <w:tcPr>
            <w:tcW w:w="896" w:type="dxa"/>
            <w:tcBorders>
              <w:top w:val="nil" w:sz="6" w:space="0" w:color="auto"/>
              <w:left w:val="single" w:sz="4" w:space="0" w:color="000000"/>
              <w:bottom w:val="nil" w:sz="6" w:space="0" w:color="auto"/>
              <w:right w:val="single" w:sz="4" w:space="0" w:color="000000"/>
            </w:tcBorders>
            <w:shd w:val="clear" w:color="auto" w:fill="C7EDCC"/>
          </w:tcPr>
          <w:p>
            <w:pPr/>
          </w:p>
        </w:tc>
        <w:tc>
          <w:tcPr>
            <w:tcW w:w="2483"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625"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7"/>
              <w:ind w:left="22" w:right="29"/>
              <w:jc w:val="left"/>
              <w:rPr>
                <w:rFonts w:ascii="宋体" w:hAnsi="宋体" w:cs="宋体" w:eastAsia="宋体" w:hint="default"/>
                <w:sz w:val="18"/>
                <w:szCs w:val="18"/>
              </w:rPr>
            </w:pPr>
            <w:r>
              <w:rPr>
                <w:rFonts w:ascii="宋体" w:hAnsi="宋体" w:cs="宋体" w:eastAsia="宋体" w:hint="default"/>
                <w:sz w:val="18"/>
                <w:szCs w:val="18"/>
              </w:rPr>
              <w:t>华立集团股 份有限公司</w:t>
            </w:r>
          </w:p>
        </w:tc>
        <w:tc>
          <w:tcPr>
            <w:tcW w:w="72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7"/>
              <w:ind w:left="23" w:right="152"/>
              <w:jc w:val="left"/>
              <w:rPr>
                <w:rFonts w:ascii="宋体" w:hAnsi="宋体" w:cs="宋体" w:eastAsia="宋体" w:hint="default"/>
                <w:sz w:val="18"/>
                <w:szCs w:val="18"/>
              </w:rPr>
            </w:pPr>
            <w:r>
              <w:rPr>
                <w:rFonts w:ascii="宋体" w:hAnsi="宋体" w:cs="宋体" w:eastAsia="宋体" w:hint="default"/>
                <w:sz w:val="18"/>
                <w:szCs w:val="18"/>
              </w:rPr>
              <w:t>其他承 诺</w:t>
            </w: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6"/>
              <w:ind w:left="22" w:right="21"/>
              <w:jc w:val="left"/>
              <w:rPr>
                <w:rFonts w:ascii="宋体" w:hAnsi="宋体" w:cs="宋体" w:eastAsia="宋体" w:hint="default"/>
                <w:sz w:val="18"/>
                <w:szCs w:val="18"/>
              </w:rPr>
            </w:pPr>
            <w:r>
              <w:rPr>
                <w:rFonts w:ascii="宋体" w:hAnsi="宋体" w:cs="宋体" w:eastAsia="宋体" w:hint="default"/>
                <w:sz w:val="18"/>
                <w:szCs w:val="18"/>
              </w:rPr>
              <w:t>控股于交割日后因该等债务而承担相关责任 </w:t>
            </w:r>
            <w:r>
              <w:rPr>
                <w:rFonts w:ascii="宋体" w:hAnsi="宋体" w:cs="宋体" w:eastAsia="宋体" w:hint="default"/>
                <w:spacing w:val="-4"/>
                <w:sz w:val="18"/>
                <w:szCs w:val="18"/>
              </w:rPr>
              <w:t>或遭受损失的，则华立集团承诺在确认该等情</w:t>
            </w:r>
          </w:p>
        </w:tc>
        <w:tc>
          <w:tcPr>
            <w:tcW w:w="51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c>
          <w:tcPr>
            <w:tcW w:w="89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2016-12-11</w:t>
            </w:r>
          </w:p>
        </w:tc>
        <w:tc>
          <w:tcPr>
            <w:tcW w:w="24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履行之中</w:t>
            </w:r>
          </w:p>
        </w:tc>
      </w:tr>
      <w:tr>
        <w:trPr>
          <w:trHeight w:val="313"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tcBorders>
              <w:top w:val="nil" w:sz="6" w:space="0" w:color="auto"/>
              <w:left w:val="single" w:sz="4" w:space="0" w:color="000000"/>
              <w:bottom w:val="nil" w:sz="6" w:space="0" w:color="auto"/>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形发生日起的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日内对上市公司以货币形式</w:t>
            </w:r>
          </w:p>
        </w:tc>
        <w:tc>
          <w:tcPr>
            <w:tcW w:w="51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6" w:type="dxa"/>
            <w:tcBorders>
              <w:top w:val="nil" w:sz="6" w:space="0" w:color="auto"/>
              <w:left w:val="single" w:sz="4" w:space="0" w:color="000000"/>
              <w:bottom w:val="nil" w:sz="6" w:space="0" w:color="auto"/>
              <w:right w:val="single" w:sz="4" w:space="0" w:color="000000"/>
            </w:tcBorders>
            <w:shd w:val="clear" w:color="auto" w:fill="C7EDCC"/>
          </w:tcPr>
          <w:p>
            <w:pPr/>
          </w:p>
        </w:tc>
        <w:tc>
          <w:tcPr>
            <w:tcW w:w="2483"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52"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single" w:sz="4" w:space="0" w:color="000000"/>
              <w:right w:val="single" w:sz="4" w:space="0" w:color="000000"/>
            </w:tcBorders>
            <w:shd w:val="clear" w:color="auto" w:fill="C7EDCC"/>
          </w:tcPr>
          <w:p>
            <w:pPr/>
          </w:p>
        </w:tc>
        <w:tc>
          <w:tcPr>
            <w:tcW w:w="728" w:type="dxa"/>
            <w:tcBorders>
              <w:top w:val="nil" w:sz="6" w:space="0" w:color="auto"/>
              <w:left w:val="single" w:sz="4" w:space="0" w:color="000000"/>
              <w:bottom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予以足额补偿。</w:t>
            </w:r>
          </w:p>
        </w:tc>
        <w:tc>
          <w:tcPr>
            <w:tcW w:w="518"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shd w:val="clear" w:color="auto" w:fill="C7EDCC"/>
          </w:tcPr>
          <w:p>
            <w:pPr/>
          </w:p>
        </w:tc>
        <w:tc>
          <w:tcPr>
            <w:tcW w:w="2483"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2234" w:hRule="exact"/>
        </w:trPr>
        <w:tc>
          <w:tcPr>
            <w:tcW w:w="515" w:type="dxa"/>
            <w:vMerge/>
            <w:tcBorders>
              <w:left w:val="single" w:sz="4" w:space="0" w:color="000000"/>
              <w:bottom w:val="single" w:sz="4" w:space="0" w:color="000000"/>
              <w:right w:val="single" w:sz="4" w:space="0" w:color="000000"/>
            </w:tcBorders>
            <w:shd w:val="clear" w:color="auto" w:fill="D3D3D3"/>
          </w:tcPr>
          <w:p>
            <w:pPr/>
          </w:p>
        </w:tc>
        <w:tc>
          <w:tcPr>
            <w:tcW w:w="9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z w:val="18"/>
                <w:szCs w:val="18"/>
              </w:rPr>
              <w:t>杭州日报报 业集团有限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杭州 日报报业集 团（杭州日 </w:t>
            </w:r>
            <w:r>
              <w:rPr>
                <w:rFonts w:ascii="宋体" w:hAnsi="宋体" w:cs="宋体" w:eastAsia="宋体" w:hint="default"/>
                <w:spacing w:val="-8"/>
                <w:sz w:val="18"/>
                <w:szCs w:val="18"/>
              </w:rPr>
              <w:t>报社）</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都市</w:t>
            </w:r>
          </w:p>
        </w:tc>
        <w:tc>
          <w:tcPr>
            <w:tcW w:w="72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3" w:right="152"/>
              <w:jc w:val="left"/>
              <w:rPr>
                <w:rFonts w:ascii="宋体" w:hAnsi="宋体" w:cs="宋体" w:eastAsia="宋体" w:hint="default"/>
                <w:sz w:val="18"/>
                <w:szCs w:val="18"/>
              </w:rPr>
            </w:pPr>
            <w:r>
              <w:rPr>
                <w:rFonts w:ascii="宋体" w:hAnsi="宋体" w:cs="宋体" w:eastAsia="宋体" w:hint="default"/>
                <w:sz w:val="18"/>
                <w:szCs w:val="18"/>
              </w:rPr>
              <w:t>其他承 诺</w:t>
            </w:r>
          </w:p>
        </w:tc>
        <w:tc>
          <w:tcPr>
            <w:tcW w:w="35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2"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关于采编资产注入的承诺</w:t>
            </w:r>
            <w:r>
              <w:rPr>
                <w:rFonts w:ascii="宋体" w:hAnsi="宋体" w:cs="宋体" w:eastAsia="宋体" w:hint="default"/>
                <w:spacing w:val="-1"/>
                <w:sz w:val="18"/>
                <w:szCs w:val="18"/>
              </w:rPr>
              <w:t> </w:t>
            </w:r>
            <w:r>
              <w:rPr>
                <w:rFonts w:ascii="宋体" w:hAnsi="宋体" w:cs="宋体" w:eastAsia="宋体" w:hint="default"/>
                <w:sz w:val="18"/>
                <w:szCs w:val="18"/>
              </w:rPr>
              <w:t>基于</w:t>
            </w:r>
            <w:r>
              <w:rPr>
                <w:rFonts w:ascii="Times New Roman" w:hAnsi="Times New Roman" w:cs="Times New Roman" w:eastAsia="Times New Roman" w:hint="default"/>
                <w:sz w:val="18"/>
                <w:szCs w:val="18"/>
              </w:rPr>
              <w:t>“</w:t>
            </w:r>
            <w:r>
              <w:rPr>
                <w:rFonts w:ascii="宋体" w:hAnsi="宋体" w:cs="宋体" w:eastAsia="宋体" w:hint="default"/>
                <w:sz w:val="18"/>
                <w:szCs w:val="18"/>
              </w:rPr>
              <w:t>编营分离</w:t>
            </w:r>
            <w:r>
              <w:rPr>
                <w:rFonts w:ascii="Times New Roman" w:hAnsi="Times New Roman" w:cs="Times New Roman" w:eastAsia="Times New Roman" w:hint="default"/>
                <w:sz w:val="18"/>
                <w:szCs w:val="18"/>
              </w:rPr>
              <w:t>”</w:t>
            </w:r>
            <w:r>
              <w:rPr>
                <w:rFonts w:ascii="宋体" w:hAnsi="宋体" w:cs="宋体" w:eastAsia="宋体" w:hint="default"/>
                <w:sz w:val="18"/>
                <w:szCs w:val="18"/>
              </w:rPr>
              <w:t>的 </w:t>
            </w:r>
            <w:r>
              <w:rPr>
                <w:rFonts w:ascii="宋体" w:hAnsi="宋体" w:cs="宋体" w:eastAsia="宋体" w:hint="default"/>
                <w:spacing w:val="-4"/>
                <w:sz w:val="18"/>
                <w:szCs w:val="18"/>
              </w:rPr>
              <w:t>行业政策，本次注入资产不包括报纸采编类资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产。杭报集团承诺：自行业政策允许采编资产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个月内，杭报集团同意，经国 </w:t>
            </w:r>
            <w:r>
              <w:rPr>
                <w:rFonts w:ascii="宋体" w:hAnsi="宋体" w:cs="宋体" w:eastAsia="宋体" w:hint="default"/>
                <w:spacing w:val="-4"/>
                <w:sz w:val="18"/>
                <w:szCs w:val="18"/>
              </w:rPr>
              <w:t>家有关部门批准（如有）后，无条件允许华智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控股择机通过现金或股权等方式收购杭报集 团及下属报社未进入上市范围之内的报刊采</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3"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4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108"/>
              <w:jc w:val="both"/>
              <w:rPr>
                <w:rFonts w:ascii="宋体" w:hAnsi="宋体" w:cs="宋体" w:eastAsia="宋体" w:hint="default"/>
                <w:sz w:val="18"/>
                <w:szCs w:val="18"/>
              </w:rPr>
            </w:pPr>
            <w:r>
              <w:rPr>
                <w:rFonts w:ascii="宋体" w:hAnsi="宋体" w:cs="宋体" w:eastAsia="宋体" w:hint="default"/>
                <w:sz w:val="18"/>
                <w:szCs w:val="18"/>
              </w:rPr>
              <w:t>关于拟注入资产权属状况的承 诺、关于拟购买资产瑕疵房产 的承诺已履行完毕，其余正常 履行之中。</w:t>
            </w:r>
          </w:p>
        </w:tc>
      </w:tr>
    </w:tbl>
    <w:p>
      <w:pPr>
        <w:spacing w:after="0" w:line="319" w:lineRule="auto"/>
        <w:jc w:val="both"/>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r>
        <w:rPr/>
        <w:pict>
          <v:shape style="position:absolute;margin-left:258.180603pt;margin-top:72.480003pt;width:112.65pt;height:686.4pt;mso-position-horizontal-relative:page;mso-position-vertical-relative:page;z-index:-12604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21"/>
                    <w:ind w:left="540" w:right="0" w:firstLine="1"/>
                    <w:jc w:val="left"/>
                    <w:rPr>
                      <w:rFonts w:ascii="宋体" w:hAnsi="宋体" w:cs="宋体" w:eastAsia="宋体" w:hint="default"/>
                      <w:sz w:val="18"/>
                      <w:szCs w:val="18"/>
                    </w:rPr>
                  </w:pPr>
                  <w:r>
                    <w:rPr>
                      <w:rFonts w:ascii="宋体" w:hAnsi="宋体" w:cs="宋体" w:eastAsia="宋体" w:hint="default"/>
                      <w:sz w:val="18"/>
                      <w:szCs w:val="18"/>
                    </w:rPr>
                    <w:t>杭报集团承诺：</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9"/>
                      <w:szCs w:val="19"/>
                    </w:rPr>
                  </w:pPr>
                </w:p>
                <w:p>
                  <w:pPr>
                    <w:spacing w:before="0"/>
                    <w:ind w:left="0" w:right="0" w:firstLine="540"/>
                    <w:jc w:val="left"/>
                    <w:rPr>
                      <w:rFonts w:ascii="宋体" w:hAnsi="宋体" w:cs="宋体" w:eastAsia="宋体" w:hint="default"/>
                      <w:sz w:val="18"/>
                      <w:szCs w:val="18"/>
                    </w:rPr>
                  </w:pPr>
                  <w:r>
                    <w:rPr>
                      <w:rFonts w:ascii="宋体" w:hAnsi="宋体" w:cs="宋体" w:eastAsia="宋体" w:hint="default"/>
                      <w:sz w:val="18"/>
                      <w:szCs w:val="18"/>
                    </w:rPr>
                    <w:t>受到行政处罚，</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变造发行人或其董事、</w:t>
                  </w:r>
                </w:p>
              </w:txbxContent>
            </v:textbox>
            <w10:wrap type="none"/>
          </v:shape>
        </w:pict>
      </w:r>
      <w:r>
        <w:rPr/>
        <w:pict>
          <v:group style="position:absolute;margin-left:345.420013pt;margin-top:72.480003pt;width:25.4pt;height:686.4pt;mso-position-horizontal-relative:page;mso-position-vertical-relative:page;z-index:-1260376" coordorigin="6908,1450" coordsize="508,13728">
            <v:shape style="position:absolute;left:6908;top:1450;width:508;height:13728" coordorigin="6908,1450" coordsize="508,13728" path="m6908,15178l7416,15178,7416,1450,6908,1450,6908,15178xe" filled="true" fillcolor="#ffffff" stroked="false">
              <v:path arrowok="t"/>
              <v:fill type="solid"/>
            </v:shape>
            <w10:wrap type="none"/>
          </v:group>
        </w:pict>
      </w:r>
    </w:p>
    <w:tbl>
      <w:tblPr>
        <w:tblW w:w="0" w:type="auto"/>
        <w:jc w:val="left"/>
        <w:tblInd w:w="121" w:type="dxa"/>
        <w:tblLayout w:type="fixed"/>
        <w:tblCellMar>
          <w:top w:w="0" w:type="dxa"/>
          <w:left w:w="0" w:type="dxa"/>
          <w:bottom w:w="0" w:type="dxa"/>
          <w:right w:w="0" w:type="dxa"/>
        </w:tblCellMar>
        <w:tblLook w:val="01E0"/>
      </w:tblPr>
      <w:tblGrid>
        <w:gridCol w:w="515"/>
        <w:gridCol w:w="962"/>
        <w:gridCol w:w="728"/>
        <w:gridCol w:w="3591"/>
        <w:gridCol w:w="518"/>
        <w:gridCol w:w="896"/>
        <w:gridCol w:w="2483"/>
      </w:tblGrid>
      <w:tr>
        <w:trPr>
          <w:trHeight w:val="318" w:hRule="exact"/>
        </w:trPr>
        <w:tc>
          <w:tcPr>
            <w:tcW w:w="515" w:type="dxa"/>
            <w:vMerge w:val="restart"/>
            <w:tcBorders>
              <w:top w:val="single" w:sz="4" w:space="0" w:color="000000"/>
              <w:left w:val="single" w:sz="4" w:space="0" w:color="000000"/>
              <w:right w:val="single" w:sz="4" w:space="0" w:color="000000"/>
            </w:tcBorders>
            <w:shd w:val="clear" w:color="auto" w:fill="D3D3D3"/>
          </w:tcPr>
          <w:p>
            <w:pPr/>
          </w:p>
        </w:tc>
        <w:tc>
          <w:tcPr>
            <w:tcW w:w="962"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快报社</w:t>
            </w:r>
          </w:p>
        </w:tc>
        <w:tc>
          <w:tcPr>
            <w:tcW w:w="728" w:type="dxa"/>
            <w:vMerge w:val="restart"/>
            <w:tcBorders>
              <w:top w:val="single" w:sz="4" w:space="0" w:color="000000"/>
              <w:left w:val="single" w:sz="4" w:space="0" w:color="000000"/>
              <w:right w:val="single" w:sz="4" w:space="0" w:color="000000"/>
            </w:tcBorders>
            <w:shd w:val="clear" w:color="auto" w:fill="C7EDCC"/>
          </w:tcPr>
          <w:p>
            <w:pPr/>
          </w:p>
        </w:tc>
        <w:tc>
          <w:tcPr>
            <w:tcW w:w="3591"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编业务资产。关于收入分成的承诺 杭报集团</w:t>
            </w:r>
          </w:p>
        </w:tc>
        <w:tc>
          <w:tcPr>
            <w:tcW w:w="518" w:type="dxa"/>
            <w:tcBorders>
              <w:top w:val="single" w:sz="4" w:space="0" w:color="000000"/>
              <w:left w:val="single" w:sz="4" w:space="0" w:color="000000"/>
              <w:bottom w:val="nil" w:sz="6" w:space="0" w:color="auto"/>
              <w:right w:val="single" w:sz="4" w:space="0" w:color="000000"/>
            </w:tcBorders>
          </w:tcPr>
          <w:p>
            <w:pPr/>
          </w:p>
        </w:tc>
        <w:tc>
          <w:tcPr>
            <w:tcW w:w="896" w:type="dxa"/>
            <w:vMerge w:val="restart"/>
            <w:tcBorders>
              <w:top w:val="single" w:sz="4" w:space="0" w:color="000000"/>
              <w:left w:val="single" w:sz="4" w:space="0" w:color="000000"/>
              <w:right w:val="single" w:sz="4" w:space="0" w:color="000000"/>
            </w:tcBorders>
            <w:shd w:val="clear" w:color="auto" w:fill="C7EDCC"/>
          </w:tcPr>
          <w:p>
            <w:pPr/>
          </w:p>
        </w:tc>
        <w:tc>
          <w:tcPr>
            <w:tcW w:w="2483" w:type="dxa"/>
            <w:vMerge w:val="restart"/>
            <w:tcBorders>
              <w:top w:val="single" w:sz="4" w:space="0" w:color="000000"/>
              <w:left w:val="single" w:sz="4" w:space="0" w:color="000000"/>
              <w:right w:val="single" w:sz="4" w:space="0" w:color="000000"/>
            </w:tcBorders>
            <w:shd w:val="clear" w:color="auto" w:fill="C7EDCC"/>
          </w:tcPr>
          <w:p>
            <w:pPr/>
          </w:p>
        </w:tc>
      </w:tr>
      <w:tr>
        <w:trPr>
          <w:trHeight w:val="316"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及下属报社与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家传媒经营公司签订了《授权</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07"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经营协议》和《收入分成协议</w:t>
            </w:r>
            <w:r>
              <w:rPr>
                <w:rFonts w:ascii="宋体" w:hAnsi="宋体" w:cs="宋体" w:eastAsia="宋体" w:hint="default"/>
                <w:spacing w:val="-90"/>
                <w:sz w:val="18"/>
                <w:szCs w:val="18"/>
              </w:rPr>
              <w:t>》</w:t>
            </w:r>
            <w:r>
              <w:rPr>
                <w:rFonts w:ascii="宋体" w:hAnsi="宋体" w:cs="宋体" w:eastAsia="宋体" w:hint="default"/>
                <w:sz w:val="18"/>
                <w:szCs w:val="18"/>
              </w:rPr>
              <w:t>，杭报集团及</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下属报社将传媒经营业务授权该等公司管理</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运作，按照运营管理报社经营性业务所形成的</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8"/>
                <w:sz w:val="18"/>
                <w:szCs w:val="18"/>
              </w:rPr>
              <w:t>经营收入（母公司）进行分成。</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在相应报社所办报刊的版面、发行量以及外部</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市场环境不发生重大变化的条件下，涉及授权</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7"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家传媒经营公司在授权经营期限内</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年内）向相应报社的收入分成比例不</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超过该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家公司与相应报社已签订《收入分成</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07"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协议》约定的水平。关于部分资产待盈利后注</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入的承诺 杭报集团下属风盛新传媒、城市通</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媒体、闻达电子商务、地铁文化传媒等四家公</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司尚处于亏损状态，预计将有较长培育期。杭</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7"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报集团承诺待上述公司实现盈利后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07"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内，无条件允许上市公司择机通过现金或股权</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等方式予以收购。关于拟注入资产权属状况的</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 杭报集团有限公司与都市快报社承诺，</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所持标的公司相应股份股权权属清晰，不存在</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任何争议或潜在纠纷，不存在质押、查封、冻</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结或任何其他限制或禁止该等股份转让的情</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形。关于拟注入资产合规经营的承诺 杭报集</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团有限公司及都市快报社承诺：下属拟注入标</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的公司最近五年未受过任何刑事处罚、证券市</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场相关的行政处罚，不存在与经济纠纷有关的</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重大民事诉讼或仲裁的情况。截至承诺签署之</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日，拟注入标的公司不存在对外担保的情况</w:t>
            </w:r>
          </w:p>
        </w:tc>
        <w:tc>
          <w:tcPr>
            <w:tcW w:w="5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49" w:right="0"/>
              <w:jc w:val="left"/>
              <w:rPr>
                <w:rFonts w:ascii="宋体" w:hAnsi="宋体" w:cs="宋体" w:eastAsia="宋体" w:hint="default"/>
                <w:sz w:val="18"/>
                <w:szCs w:val="18"/>
              </w:rPr>
            </w:pPr>
            <w:r>
              <w:rPr>
                <w:rFonts w:ascii="宋体" w:hAnsi="宋体" w:cs="宋体" w:eastAsia="宋体" w:hint="default"/>
                <w:sz w:val="18"/>
                <w:szCs w:val="18"/>
              </w:rPr>
              <w:t>。</w:t>
            </w: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7"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拟注入标的公司不存在下列情形：</w:t>
            </w:r>
            <w:r>
              <w:rPr>
                <w:rFonts w:ascii="Times New Roman" w:hAnsi="Times New Roman" w:cs="Times New Roman" w:eastAsia="Times New Roman" w:hint="default"/>
                <w:sz w:val="18"/>
                <w:szCs w:val="18"/>
              </w:rPr>
              <w:t>1</w:t>
            </w:r>
            <w:r>
              <w:rPr>
                <w:rFonts w:ascii="宋体" w:hAnsi="宋体" w:cs="宋体" w:eastAsia="宋体" w:hint="default"/>
                <w:sz w:val="18"/>
                <w:szCs w:val="18"/>
              </w:rPr>
              <w:t>）最近</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36</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07"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个月内未经法定机关核准，擅自公开或者变相</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公开发行过证券；或者有关违法行为虽然发生</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7"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 </w:t>
            </w:r>
            <w:r>
              <w:rPr>
                <w:rFonts w:ascii="宋体" w:hAnsi="宋体" w:cs="宋体" w:eastAsia="宋体" w:hint="default"/>
                <w:spacing w:val="-5"/>
                <w:sz w:val="18"/>
                <w:szCs w:val="18"/>
              </w:rPr>
              <w:t>个月前，但目前仍处于持续状态；</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）最</w:t>
            </w:r>
            <w:r>
              <w:rPr>
                <w:rFonts w:ascii="宋体" w:hAnsi="宋体" w:cs="宋体" w:eastAsia="宋体" w:hint="default"/>
                <w:sz w:val="18"/>
                <w:szCs w:val="18"/>
              </w:rPr>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个月内违反工商、税收、土地、环保、</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07"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海关以及其他法律</w:t>
            </w:r>
            <w:r>
              <w:rPr>
                <w:rFonts w:ascii="宋体" w:hAnsi="宋体" w:cs="宋体" w:eastAsia="宋体" w:hint="default"/>
                <w:spacing w:val="-78"/>
                <w:sz w:val="18"/>
                <w:szCs w:val="18"/>
              </w:rPr>
              <w:t>、</w:t>
            </w:r>
            <w:r>
              <w:rPr>
                <w:rFonts w:ascii="宋体" w:hAnsi="宋体" w:cs="宋体" w:eastAsia="宋体" w:hint="default"/>
                <w:sz w:val="18"/>
                <w:szCs w:val="18"/>
              </w:rPr>
              <w:t>行政法规，</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7"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7"/>
                <w:sz w:val="18"/>
                <w:szCs w:val="18"/>
              </w:rPr>
              <w:t>且情节严重；</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）最近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个月内曾向中国证监</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07"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会提出发行申请，但报送的发行申请文件有虚</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假记载、误导性陈述或重大遗漏；或者不符合</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发行条件以欺骗手段骗取发行核准；或者以不</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正当手段干扰中国证监会及其发行审核委员</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会审核工作</w:t>
            </w:r>
            <w:r>
              <w:rPr>
                <w:rFonts w:ascii="宋体" w:hAnsi="宋体" w:cs="宋体" w:eastAsia="宋体" w:hint="default"/>
                <w:spacing w:val="-78"/>
                <w:sz w:val="18"/>
                <w:szCs w:val="18"/>
              </w:rPr>
              <w:t>；</w:t>
            </w:r>
            <w:r>
              <w:rPr>
                <w:rFonts w:ascii="宋体" w:hAnsi="宋体" w:cs="宋体" w:eastAsia="宋体" w:hint="default"/>
                <w:sz w:val="18"/>
                <w:szCs w:val="18"/>
              </w:rPr>
              <w:t>或者伪造、</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7"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监事、高级管理人员的签字、盖章；</w:t>
            </w:r>
            <w:r>
              <w:rPr>
                <w:rFonts w:ascii="Times New Roman" w:hAnsi="Times New Roman" w:cs="Times New Roman" w:eastAsia="Times New Roman" w:hint="default"/>
                <w:sz w:val="18"/>
                <w:szCs w:val="18"/>
              </w:rPr>
              <w:t>4</w:t>
            </w:r>
            <w:r>
              <w:rPr>
                <w:rFonts w:ascii="宋体" w:hAnsi="宋体" w:cs="宋体" w:eastAsia="宋体" w:hint="default"/>
                <w:sz w:val="18"/>
                <w:szCs w:val="18"/>
              </w:rPr>
              <w:t>）本次</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07"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报送的发行申请文件有虚假记载、误导性陈述</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7"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或者重大遗漏；</w:t>
            </w:r>
            <w:r>
              <w:rPr>
                <w:rFonts w:ascii="Times New Roman" w:hAnsi="Times New Roman" w:cs="Times New Roman" w:eastAsia="Times New Roman" w:hint="default"/>
                <w:sz w:val="18"/>
                <w:szCs w:val="18"/>
              </w:rPr>
              <w:t>5</w:t>
            </w:r>
            <w:r>
              <w:rPr>
                <w:rFonts w:ascii="宋体" w:hAnsi="宋体" w:cs="宋体" w:eastAsia="宋体" w:hint="default"/>
                <w:sz w:val="18"/>
                <w:szCs w:val="18"/>
              </w:rPr>
              <w:t>）涉嫌犯罪被司法机关立案</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3" w:hRule="exact"/>
        </w:trPr>
        <w:tc>
          <w:tcPr>
            <w:tcW w:w="515" w:type="dxa"/>
            <w:vMerge/>
            <w:tcBorders>
              <w:left w:val="single" w:sz="4" w:space="0" w:color="000000"/>
              <w:bottom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single" w:sz="4" w:space="0" w:color="000000"/>
              <w:right w:val="single" w:sz="4" w:space="0" w:color="000000"/>
            </w:tcBorders>
            <w:shd w:val="clear" w:color="auto" w:fill="C7EDCC"/>
          </w:tcPr>
          <w:p>
            <w:pPr/>
          </w:p>
        </w:tc>
        <w:tc>
          <w:tcPr>
            <w:tcW w:w="728" w:type="dxa"/>
            <w:vMerge/>
            <w:tcBorders>
              <w:left w:val="single" w:sz="4" w:space="0" w:color="000000"/>
              <w:bottom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侦查，尚未有明确结论意见；</w:t>
            </w:r>
            <w:r>
              <w:rPr>
                <w:rFonts w:ascii="Times New Roman" w:hAnsi="Times New Roman" w:cs="Times New Roman" w:eastAsia="Times New Roman" w:hint="default"/>
                <w:sz w:val="18"/>
                <w:szCs w:val="18"/>
              </w:rPr>
              <w:t>6</w:t>
            </w:r>
            <w:r>
              <w:rPr>
                <w:rFonts w:ascii="宋体" w:hAnsi="宋体" w:cs="宋体" w:eastAsia="宋体" w:hint="default"/>
                <w:sz w:val="18"/>
                <w:szCs w:val="18"/>
              </w:rPr>
              <w:t>）严重损害投</w:t>
            </w:r>
          </w:p>
        </w:tc>
        <w:tc>
          <w:tcPr>
            <w:tcW w:w="518" w:type="dxa"/>
            <w:tcBorders>
              <w:top w:val="nil" w:sz="6" w:space="0" w:color="auto"/>
              <w:left w:val="single" w:sz="4" w:space="0" w:color="000000"/>
              <w:bottom w:val="single" w:sz="4" w:space="0" w:color="000000"/>
              <w:right w:val="single" w:sz="4" w:space="0" w:color="000000"/>
            </w:tcBorders>
          </w:tcPr>
          <w:p>
            <w:pPr/>
          </w:p>
        </w:tc>
        <w:tc>
          <w:tcPr>
            <w:tcW w:w="896" w:type="dxa"/>
            <w:vMerge/>
            <w:tcBorders>
              <w:left w:val="single" w:sz="4" w:space="0" w:color="000000"/>
              <w:bottom w:val="single" w:sz="4" w:space="0" w:color="000000"/>
              <w:right w:val="single" w:sz="4" w:space="0" w:color="000000"/>
            </w:tcBorders>
            <w:shd w:val="clear" w:color="auto" w:fill="C7EDCC"/>
          </w:tcPr>
          <w:p>
            <w:pPr/>
          </w:p>
        </w:tc>
        <w:tc>
          <w:tcPr>
            <w:tcW w:w="2483" w:type="dxa"/>
            <w:vMerge/>
            <w:tcBorders>
              <w:left w:val="single" w:sz="4" w:space="0" w:color="000000"/>
              <w:bottom w:val="single" w:sz="4" w:space="0" w:color="000000"/>
              <w:right w:val="single" w:sz="4" w:space="0" w:color="000000"/>
            </w:tcBorders>
            <w:shd w:val="clear" w:color="auto" w:fill="C7EDCC"/>
          </w:tcPr>
          <w:p>
            <w:pPr/>
          </w:p>
        </w:tc>
      </w:tr>
    </w:tbl>
    <w:p>
      <w:pPr>
        <w:spacing w:after="0"/>
        <w:sectPr>
          <w:pgSz w:w="11910" w:h="16840"/>
          <w:pgMar w:header="877" w:footer="982" w:top="1100" w:bottom="1180" w:left="980" w:right="980"/>
        </w:sectPr>
      </w:pPr>
    </w:p>
    <w:p>
      <w:pPr>
        <w:spacing w:line="240" w:lineRule="auto" w:before="9"/>
        <w:rPr>
          <w:rFonts w:ascii="Times New Roman" w:hAnsi="Times New Roman" w:cs="Times New Roman" w:eastAsia="Times New Roman" w:hint="default"/>
          <w:sz w:val="25"/>
          <w:szCs w:val="25"/>
        </w:rPr>
      </w:pPr>
      <w:r>
        <w:rPr/>
        <w:pict>
          <v:shape style="position:absolute;margin-left:267.240906pt;margin-top:72.480003pt;width:103.6pt;height:686.4pt;mso-position-horizontal-relative:page;mso-position-vertical-relative:page;z-index:-126035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4"/>
                      <w:szCs w:val="24"/>
                    </w:rPr>
                  </w:pPr>
                </w:p>
                <w:p>
                  <w:pPr>
                    <w:spacing w:before="0"/>
                    <w:ind w:left="0" w:right="0" w:firstLine="144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1"/>
                    <w:ind w:left="0" w:right="0" w:firstLine="0"/>
                    <w:jc w:val="left"/>
                    <w:rPr>
                      <w:rFonts w:ascii="宋体" w:hAnsi="宋体" w:cs="宋体" w:eastAsia="宋体" w:hint="default"/>
                      <w:sz w:val="18"/>
                      <w:szCs w:val="18"/>
                    </w:rPr>
                  </w:pPr>
                  <w:r>
                    <w:rPr>
                      <w:rFonts w:ascii="宋体" w:hAnsi="宋体" w:cs="宋体" w:eastAsia="宋体" w:hint="default"/>
                      <w:sz w:val="18"/>
                      <w:szCs w:val="18"/>
                    </w:rPr>
                    <w:t>杭州市国家税务局、</w:t>
                  </w:r>
                </w:p>
              </w:txbxContent>
            </v:textbox>
            <w10:wrap type="none"/>
          </v:shape>
        </w:pict>
      </w:r>
      <w:r>
        <w:rPr/>
        <w:pict>
          <v:group style="position:absolute;margin-left:54.839981pt;margin-top:71.759941pt;width:485.65pt;height:687.9pt;mso-position-horizontal-relative:page;mso-position-vertical-relative:page;z-index:-1260328" coordorigin="1097,1435" coordsize="9713,13758">
            <v:group style="position:absolute;left:1111;top:1450;width:506;height:13728" coordorigin="1111,1450" coordsize="506,13728">
              <v:shape style="position:absolute;left:1111;top:1450;width:506;height:13728" coordorigin="1111,1450" coordsize="506,13728" path="m1111,15178l1616,15178,1616,1450,1111,1450,1111,15178xe" filled="true" fillcolor="#d3d3d3" stroked="false">
                <v:path arrowok="t"/>
                <v:fill type="solid"/>
              </v:shape>
            </v:group>
            <v:group style="position:absolute;left:1626;top:1450;width:953;height:13728" coordorigin="1626,1450" coordsize="953,13728">
              <v:shape style="position:absolute;left:1626;top:1450;width:953;height:13728" coordorigin="1626,1450" coordsize="953,13728" path="m1626,15178l2579,15178,2579,1450,1626,1450,1626,15178xe" filled="true" fillcolor="#c7edcc" stroked="false">
                <v:path arrowok="t"/>
                <v:fill type="solid"/>
              </v:shape>
            </v:group>
            <v:group style="position:absolute;left:2588;top:1450;width:719;height:13728" coordorigin="2588,1450" coordsize="719,13728">
              <v:shape style="position:absolute;left:2588;top:1450;width:719;height:13728" coordorigin="2588,1450" coordsize="719,13728" path="m2588,15178l3307,15178,3307,1450,2588,1450,2588,15178xe" filled="true" fillcolor="#c7edcc" stroked="false">
                <v:path arrowok="t"/>
                <v:fill type="solid"/>
              </v:shape>
            </v:group>
            <v:group style="position:absolute;left:3328;top:1450;width:2;height:13728" coordorigin="3328,1450" coordsize="2,13728">
              <v:shape style="position:absolute;left:3328;top:1450;width:2;height:13728" coordorigin="3328,1450" coordsize="0,13728" path="m3328,1450l3328,15178e" filled="false" stroked="true" strokeweight="1.140pt" strokecolor="#c7edcc">
                <v:path arrowok="t"/>
              </v:shape>
            </v:group>
            <v:group style="position:absolute;left:6886;top:1450;width:2;height:13728" coordorigin="6886,1450" coordsize="2,13728">
              <v:shape style="position:absolute;left:6886;top:1450;width:2;height:13728" coordorigin="6886,1450" coordsize="0,13728" path="m6886,1450l6886,15178e" filled="false" stroked="true" strokeweight="1.140pt" strokecolor="#c7edcc">
                <v:path arrowok="t"/>
              </v:shape>
            </v:group>
            <v:group style="position:absolute;left:3340;top:1450;width:3536;height:312" coordorigin="3340,1450" coordsize="3536,312">
              <v:shape style="position:absolute;left:3340;top:1450;width:3536;height:312" coordorigin="3340,1450" coordsize="3536,312" path="m3340,1762l6875,1762,6875,1450,3340,1450,3340,1762xe" filled="true" fillcolor="#c7edcc" stroked="false">
                <v:path arrowok="t"/>
                <v:fill type="solid"/>
              </v:shape>
            </v:group>
            <v:group style="position:absolute;left:3340;top:1762;width:3536;height:312" coordorigin="3340,1762" coordsize="3536,312">
              <v:shape style="position:absolute;left:3340;top:1762;width:3536;height:312" coordorigin="3340,1762" coordsize="3536,312" path="m3340,2074l6875,2074,6875,1762,3340,1762,3340,2074xe" filled="true" fillcolor="#c7edcc" stroked="false">
                <v:path arrowok="t"/>
                <v:fill type="solid"/>
              </v:shape>
            </v:group>
            <v:group style="position:absolute;left:3340;top:2074;width:3536;height:312" coordorigin="3340,2074" coordsize="3536,312">
              <v:shape style="position:absolute;left:3340;top:2074;width:3536;height:312" coordorigin="3340,2074" coordsize="3536,312" path="m3340,2386l6875,2386,6875,2074,3340,2074,3340,2386xe" filled="true" fillcolor="#c7edcc" stroked="false">
                <v:path arrowok="t"/>
                <v:fill type="solid"/>
              </v:shape>
            </v:group>
            <v:group style="position:absolute;left:3340;top:2386;width:3536;height:312" coordorigin="3340,2386" coordsize="3536,312">
              <v:shape style="position:absolute;left:3340;top:2386;width:3536;height:312" coordorigin="3340,2386" coordsize="3536,312" path="m3340,2698l6875,2698,6875,2386,3340,2386,3340,2698xe" filled="true" fillcolor="#c7edcc" stroked="false">
                <v:path arrowok="t"/>
                <v:fill type="solid"/>
              </v:shape>
            </v:group>
            <v:group style="position:absolute;left:3340;top:2698;width:3536;height:312" coordorigin="3340,2698" coordsize="3536,312">
              <v:shape style="position:absolute;left:3340;top:2698;width:3536;height:312" coordorigin="3340,2698" coordsize="3536,312" path="m3340,3010l6875,3010,6875,2698,3340,2698,3340,3010xe" filled="true" fillcolor="#c7edcc" stroked="false">
                <v:path arrowok="t"/>
                <v:fill type="solid"/>
              </v:shape>
            </v:group>
            <v:group style="position:absolute;left:3340;top:3010;width:3536;height:312" coordorigin="3340,3010" coordsize="3536,312">
              <v:shape style="position:absolute;left:3340;top:3010;width:3536;height:312" coordorigin="3340,3010" coordsize="3536,312" path="m3340,3322l6875,3322,6875,3010,3340,3010,3340,3322xe" filled="true" fillcolor="#c7edcc" stroked="false">
                <v:path arrowok="t"/>
                <v:fill type="solid"/>
              </v:shape>
            </v:group>
            <v:group style="position:absolute;left:3340;top:3322;width:3536;height:312" coordorigin="3340,3322" coordsize="3536,312">
              <v:shape style="position:absolute;left:3340;top:3322;width:3536;height:312" coordorigin="3340,3322" coordsize="3536,312" path="m3340,3634l6875,3634,6875,3322,3340,3322,3340,3634xe" filled="true" fillcolor="#c7edcc" stroked="false">
                <v:path arrowok="t"/>
                <v:fill type="solid"/>
              </v:shape>
            </v:group>
            <v:group style="position:absolute;left:3340;top:3634;width:3536;height:312" coordorigin="3340,3634" coordsize="3536,312">
              <v:shape style="position:absolute;left:3340;top:3634;width:3536;height:312" coordorigin="3340,3634" coordsize="3536,312" path="m3340,3946l6875,3946,6875,3634,3340,3634,3340,3946xe" filled="true" fillcolor="#c7edcc" stroked="false">
                <v:path arrowok="t"/>
                <v:fill type="solid"/>
              </v:shape>
            </v:group>
            <v:group style="position:absolute;left:3340;top:3946;width:3536;height:312" coordorigin="3340,3946" coordsize="3536,312">
              <v:shape style="position:absolute;left:3340;top:3946;width:3536;height:312" coordorigin="3340,3946" coordsize="3536,312" path="m3340,4258l6875,4258,6875,3946,3340,3946,3340,4258xe" filled="true" fillcolor="#c7edcc" stroked="false">
                <v:path arrowok="t"/>
                <v:fill type="solid"/>
              </v:shape>
            </v:group>
            <v:group style="position:absolute;left:3340;top:4258;width:3536;height:312" coordorigin="3340,4258" coordsize="3536,312">
              <v:shape style="position:absolute;left:3340;top:4258;width:3536;height:312" coordorigin="3340,4258" coordsize="3536,312" path="m3340,4570l6875,4570,6875,4258,3340,4258,3340,4570xe" filled="true" fillcolor="#c7edcc" stroked="false">
                <v:path arrowok="t"/>
                <v:fill type="solid"/>
              </v:shape>
            </v:group>
            <v:group style="position:absolute;left:3340;top:4570;width:3536;height:312" coordorigin="3340,4570" coordsize="3536,312">
              <v:shape style="position:absolute;left:3340;top:4570;width:3536;height:312" coordorigin="3340,4570" coordsize="3536,312" path="m3340,4882l6875,4882,6875,4570,3340,4570,3340,4882xe" filled="true" fillcolor="#c7edcc" stroked="false">
                <v:path arrowok="t"/>
                <v:fill type="solid"/>
              </v:shape>
            </v:group>
            <v:group style="position:absolute;left:3340;top:4882;width:3536;height:312" coordorigin="3340,4882" coordsize="3536,312">
              <v:shape style="position:absolute;left:3340;top:4882;width:3536;height:312" coordorigin="3340,4882" coordsize="3536,312" path="m3340,5194l6875,5194,6875,4882,3340,4882,3340,5194xe" filled="true" fillcolor="#c7edcc" stroked="false">
                <v:path arrowok="t"/>
                <v:fill type="solid"/>
              </v:shape>
            </v:group>
            <v:group style="position:absolute;left:3340;top:5194;width:3536;height:312" coordorigin="3340,5194" coordsize="3536,312">
              <v:shape style="position:absolute;left:3340;top:5194;width:3536;height:312" coordorigin="3340,5194" coordsize="3536,312" path="m3340,5506l6875,5506,6875,5194,3340,5194,3340,5506xe" filled="true" fillcolor="#c7edcc" stroked="false">
                <v:path arrowok="t"/>
                <v:fill type="solid"/>
              </v:shape>
            </v:group>
            <v:group style="position:absolute;left:3340;top:5506;width:3536;height:312" coordorigin="3340,5506" coordsize="3536,312">
              <v:shape style="position:absolute;left:3340;top:5506;width:3536;height:312" coordorigin="3340,5506" coordsize="3536,312" path="m3340,5818l6875,5818,6875,5506,3340,5506,3340,5818xe" filled="true" fillcolor="#c7edcc" stroked="false">
                <v:path arrowok="t"/>
                <v:fill type="solid"/>
              </v:shape>
            </v:group>
            <v:group style="position:absolute;left:3340;top:5818;width:3536;height:312" coordorigin="3340,5818" coordsize="3536,312">
              <v:shape style="position:absolute;left:3340;top:5818;width:3536;height:312" coordorigin="3340,5818" coordsize="3536,312" path="m3340,6130l6875,6130,6875,5818,3340,5818,3340,6130xe" filled="true" fillcolor="#c7edcc" stroked="false">
                <v:path arrowok="t"/>
                <v:fill type="solid"/>
              </v:shape>
            </v:group>
            <v:group style="position:absolute;left:3340;top:6130;width:3536;height:312" coordorigin="3340,6130" coordsize="3536,312">
              <v:shape style="position:absolute;left:3340;top:6130;width:3536;height:312" coordorigin="3340,6130" coordsize="3536,312" path="m3340,6442l6875,6442,6875,6130,3340,6130,3340,6442xe" filled="true" fillcolor="#c7edcc" stroked="false">
                <v:path arrowok="t"/>
                <v:fill type="solid"/>
              </v:shape>
            </v:group>
            <v:group style="position:absolute;left:3340;top:6442;width:3536;height:312" coordorigin="3340,6442" coordsize="3536,312">
              <v:shape style="position:absolute;left:3340;top:6442;width:3536;height:312" coordorigin="3340,6442" coordsize="3536,312" path="m3340,6754l6875,6754,6875,6442,3340,6442,3340,6754xe" filled="true" fillcolor="#c7edcc" stroked="false">
                <v:path arrowok="t"/>
                <v:fill type="solid"/>
              </v:shape>
            </v:group>
            <v:group style="position:absolute;left:3340;top:6754;width:3536;height:312" coordorigin="3340,6754" coordsize="3536,312">
              <v:shape style="position:absolute;left:3340;top:6754;width:3536;height:312" coordorigin="3340,6754" coordsize="3536,312" path="m3340,7066l6875,7066,6875,6754,3340,6754,3340,7066xe" filled="true" fillcolor="#c7edcc" stroked="false">
                <v:path arrowok="t"/>
                <v:fill type="solid"/>
              </v:shape>
            </v:group>
            <v:group style="position:absolute;left:3340;top:7066;width:3536;height:312" coordorigin="3340,7066" coordsize="3536,312">
              <v:shape style="position:absolute;left:3340;top:7066;width:3536;height:312" coordorigin="3340,7066" coordsize="3536,312" path="m3340,7378l6875,7378,6875,7066,3340,7066,3340,7378xe" filled="true" fillcolor="#c7edcc" stroked="false">
                <v:path arrowok="t"/>
                <v:fill type="solid"/>
              </v:shape>
            </v:group>
            <v:group style="position:absolute;left:3340;top:7378;width:3536;height:312" coordorigin="3340,7378" coordsize="3536,312">
              <v:shape style="position:absolute;left:3340;top:7378;width:3536;height:312" coordorigin="3340,7378" coordsize="3536,312" path="m3340,7690l6875,7690,6875,7378,3340,7378,3340,7690xe" filled="true" fillcolor="#c7edcc" stroked="false">
                <v:path arrowok="t"/>
                <v:fill type="solid"/>
              </v:shape>
            </v:group>
            <v:group style="position:absolute;left:3340;top:7690;width:3536;height:312" coordorigin="3340,7690" coordsize="3536,312">
              <v:shape style="position:absolute;left:3340;top:7690;width:3536;height:312" coordorigin="3340,7690" coordsize="3536,312" path="m3340,8002l6875,8002,6875,7690,3340,7690,3340,8002xe" filled="true" fillcolor="#c7edcc" stroked="false">
                <v:path arrowok="t"/>
                <v:fill type="solid"/>
              </v:shape>
            </v:group>
            <v:group style="position:absolute;left:3340;top:8002;width:3536;height:312" coordorigin="3340,8002" coordsize="3536,312">
              <v:shape style="position:absolute;left:3340;top:8002;width:3536;height:312" coordorigin="3340,8002" coordsize="3536,312" path="m3340,8314l6875,8314,6875,8002,3340,8002,3340,8314xe" filled="true" fillcolor="#c7edcc" stroked="false">
                <v:path arrowok="t"/>
                <v:fill type="solid"/>
              </v:shape>
            </v:group>
            <v:group style="position:absolute;left:3340;top:8314;width:3536;height:312" coordorigin="3340,8314" coordsize="3536,312">
              <v:shape style="position:absolute;left:3340;top:8314;width:3536;height:312" coordorigin="3340,8314" coordsize="3536,312" path="m3340,8626l6875,8626,6875,8314,3340,8314,3340,8626xe" filled="true" fillcolor="#c7edcc" stroked="false">
                <v:path arrowok="t"/>
                <v:fill type="solid"/>
              </v:shape>
            </v:group>
            <v:group style="position:absolute;left:3340;top:8626;width:3536;height:312" coordorigin="3340,8626" coordsize="3536,312">
              <v:shape style="position:absolute;left:3340;top:8626;width:3536;height:312" coordorigin="3340,8626" coordsize="3536,312" path="m3340,8938l6875,8938,6875,8626,3340,8626,3340,8938xe" filled="true" fillcolor="#c7edcc" stroked="false">
                <v:path arrowok="t"/>
                <v:fill type="solid"/>
              </v:shape>
            </v:group>
            <v:group style="position:absolute;left:3340;top:8938;width:3536;height:312" coordorigin="3340,8938" coordsize="3536,312">
              <v:shape style="position:absolute;left:3340;top:8938;width:3536;height:312" coordorigin="3340,8938" coordsize="3536,312" path="m3340,9250l6875,9250,6875,8938,3340,8938,3340,9250xe" filled="true" fillcolor="#c7edcc" stroked="false">
                <v:path arrowok="t"/>
                <v:fill type="solid"/>
              </v:shape>
            </v:group>
            <v:group style="position:absolute;left:3340;top:9250;width:3536;height:312" coordorigin="3340,9250" coordsize="3536,312">
              <v:shape style="position:absolute;left:3340;top:9250;width:3536;height:312" coordorigin="3340,9250" coordsize="3536,312" path="m3340,9562l6875,9562,6875,9250,3340,9250,3340,9562xe" filled="true" fillcolor="#c7edcc" stroked="false">
                <v:path arrowok="t"/>
                <v:fill type="solid"/>
              </v:shape>
            </v:group>
            <v:group style="position:absolute;left:3340;top:9562;width:3536;height:312" coordorigin="3340,9562" coordsize="3536,312">
              <v:shape style="position:absolute;left:3340;top:9562;width:3536;height:312" coordorigin="3340,9562" coordsize="3536,312" path="m3340,9874l6875,9874,6875,9562,3340,9562,3340,9874xe" filled="true" fillcolor="#c7edcc" stroked="false">
                <v:path arrowok="t"/>
                <v:fill type="solid"/>
              </v:shape>
            </v:group>
            <v:group style="position:absolute;left:3340;top:9874;width:3536;height:312" coordorigin="3340,9874" coordsize="3536,312">
              <v:shape style="position:absolute;left:3340;top:9874;width:3536;height:312" coordorigin="3340,9874" coordsize="3536,312" path="m3340,10186l6875,10186,6875,9874,3340,9874,3340,10186xe" filled="true" fillcolor="#c7edcc" stroked="false">
                <v:path arrowok="t"/>
                <v:fill type="solid"/>
              </v:shape>
            </v:group>
            <v:group style="position:absolute;left:3340;top:10186;width:3536;height:312" coordorigin="3340,10186" coordsize="3536,312">
              <v:shape style="position:absolute;left:3340;top:10186;width:3536;height:312" coordorigin="3340,10186" coordsize="3536,312" path="m3340,10498l6875,10498,6875,10186,3340,10186,3340,10498xe" filled="true" fillcolor="#c7edcc" stroked="false">
                <v:path arrowok="t"/>
                <v:fill type="solid"/>
              </v:shape>
            </v:group>
            <v:group style="position:absolute;left:3340;top:10498;width:3536;height:312" coordorigin="3340,10498" coordsize="3536,312">
              <v:shape style="position:absolute;left:3340;top:10498;width:3536;height:312" coordorigin="3340,10498" coordsize="3536,312" path="m3340,10810l6875,10810,6875,10498,3340,10498,3340,10810xe" filled="true" fillcolor="#c7edcc" stroked="false">
                <v:path arrowok="t"/>
                <v:fill type="solid"/>
              </v:shape>
            </v:group>
            <v:group style="position:absolute;left:3340;top:10810;width:3536;height:312" coordorigin="3340,10810" coordsize="3536,312">
              <v:shape style="position:absolute;left:3340;top:10810;width:3536;height:312" coordorigin="3340,10810" coordsize="3536,312" path="m3340,11122l6875,11122,6875,10810,3340,10810,3340,11122xe" filled="true" fillcolor="#c7edcc" stroked="false">
                <v:path arrowok="t"/>
                <v:fill type="solid"/>
              </v:shape>
            </v:group>
            <v:group style="position:absolute;left:3340;top:11122;width:3536;height:312" coordorigin="3340,11122" coordsize="3536,312">
              <v:shape style="position:absolute;left:3340;top:11122;width:3536;height:312" coordorigin="3340,11122" coordsize="3536,312" path="m3340,11434l6875,11434,6875,11122,3340,11122,3340,11434xe" filled="true" fillcolor="#c7edcc" stroked="false">
                <v:path arrowok="t"/>
                <v:fill type="solid"/>
              </v:shape>
            </v:group>
            <v:group style="position:absolute;left:3340;top:11434;width:3536;height:312" coordorigin="3340,11434" coordsize="3536,312">
              <v:shape style="position:absolute;left:3340;top:11434;width:3536;height:312" coordorigin="3340,11434" coordsize="3536,312" path="m3340,11746l6875,11746,6875,11434,3340,11434,3340,11746xe" filled="true" fillcolor="#c7edcc" stroked="false">
                <v:path arrowok="t"/>
                <v:fill type="solid"/>
              </v:shape>
            </v:group>
            <v:group style="position:absolute;left:3340;top:11746;width:3536;height:312" coordorigin="3340,11746" coordsize="3536,312">
              <v:shape style="position:absolute;left:3340;top:11746;width:3536;height:312" coordorigin="3340,11746" coordsize="3536,312" path="m3340,12058l6875,12058,6875,11746,3340,11746,3340,12058xe" filled="true" fillcolor="#c7edcc" stroked="false">
                <v:path arrowok="t"/>
                <v:fill type="solid"/>
              </v:shape>
            </v:group>
            <v:group style="position:absolute;left:3340;top:12058;width:3536;height:312" coordorigin="3340,12058" coordsize="3536,312">
              <v:shape style="position:absolute;left:3340;top:12058;width:3536;height:312" coordorigin="3340,12058" coordsize="3536,312" path="m3340,12370l6875,12370,6875,12058,3340,12058,3340,12370xe" filled="true" fillcolor="#c7edcc" stroked="false">
                <v:path arrowok="t"/>
                <v:fill type="solid"/>
              </v:shape>
            </v:group>
            <v:group style="position:absolute;left:3340;top:12370;width:3536;height:312" coordorigin="3340,12370" coordsize="3536,312">
              <v:shape style="position:absolute;left:3340;top:12370;width:3536;height:312" coordorigin="3340,12370" coordsize="3536,312" path="m3340,12682l6875,12682,6875,12370,3340,12370,3340,12682xe" filled="true" fillcolor="#c7edcc" stroked="false">
                <v:path arrowok="t"/>
                <v:fill type="solid"/>
              </v:shape>
            </v:group>
            <v:group style="position:absolute;left:3340;top:12682;width:3536;height:312" coordorigin="3340,12682" coordsize="3536,312">
              <v:shape style="position:absolute;left:3340;top:12682;width:3536;height:312" coordorigin="3340,12682" coordsize="3536,312" path="m3340,12994l6875,12994,6875,12682,3340,12682,3340,12994xe" filled="true" fillcolor="#c7edcc" stroked="false">
                <v:path arrowok="t"/>
                <v:fill type="solid"/>
              </v:shape>
            </v:group>
            <v:group style="position:absolute;left:3340;top:12994;width:3536;height:312" coordorigin="3340,12994" coordsize="3536,312">
              <v:shape style="position:absolute;left:3340;top:12994;width:3536;height:312" coordorigin="3340,12994" coordsize="3536,312" path="m3340,13306l6875,13306,6875,12994,3340,12994,3340,13306xe" filled="true" fillcolor="#c7edcc" stroked="false">
                <v:path arrowok="t"/>
                <v:fill type="solid"/>
              </v:shape>
            </v:group>
            <v:group style="position:absolute;left:3340;top:13306;width:3536;height:312" coordorigin="3340,13306" coordsize="3536,312">
              <v:shape style="position:absolute;left:3340;top:13306;width:3536;height:312" coordorigin="3340,13306" coordsize="3536,312" path="m3340,13618l6875,13618,6875,13306,3340,13306,3340,13618xe" filled="true" fillcolor="#c7edcc" stroked="false">
                <v:path arrowok="t"/>
                <v:fill type="solid"/>
              </v:shape>
            </v:group>
            <v:group style="position:absolute;left:3340;top:13618;width:3536;height:312" coordorigin="3340,13618" coordsize="3536,312">
              <v:shape style="position:absolute;left:3340;top:13618;width:3536;height:312" coordorigin="3340,13618" coordsize="3536,312" path="m3340,13930l6875,13930,6875,13618,3340,13618,3340,13930xe" filled="true" fillcolor="#c7edcc" stroked="false">
                <v:path arrowok="t"/>
                <v:fill type="solid"/>
              </v:shape>
            </v:group>
            <v:group style="position:absolute;left:3340;top:13930;width:3536;height:312" coordorigin="3340,13930" coordsize="3536,312">
              <v:shape style="position:absolute;left:3340;top:13930;width:3536;height:312" coordorigin="3340,13930" coordsize="3536,312" path="m3340,14242l6875,14242,6875,13930,3340,13930,3340,14242xe" filled="true" fillcolor="#c7edcc" stroked="false">
                <v:path arrowok="t"/>
                <v:fill type="solid"/>
              </v:shape>
            </v:group>
            <v:group style="position:absolute;left:3340;top:14242;width:3536;height:312" coordorigin="3340,14242" coordsize="3536,312">
              <v:shape style="position:absolute;left:3340;top:14242;width:3536;height:312" coordorigin="3340,14242" coordsize="3536,312" path="m3340,14554l6875,14554,6875,14242,3340,14242,3340,14554xe" filled="true" fillcolor="#c7edcc" stroked="false">
                <v:path arrowok="t"/>
                <v:fill type="solid"/>
              </v:shape>
            </v:group>
            <v:group style="position:absolute;left:3340;top:14554;width:3536;height:312" coordorigin="3340,14554" coordsize="3536,312">
              <v:shape style="position:absolute;left:3340;top:14554;width:3536;height:312" coordorigin="3340,14554" coordsize="3536,312" path="m3340,14866l6875,14866,6875,14554,3340,14554,3340,14866xe" filled="true" fillcolor="#c7edcc" stroked="false">
                <v:path arrowok="t"/>
                <v:fill type="solid"/>
              </v:shape>
            </v:group>
            <v:group style="position:absolute;left:3340;top:14866;width:3536;height:312" coordorigin="3340,14866" coordsize="3536,312">
              <v:shape style="position:absolute;left:3340;top:14866;width:3536;height:312" coordorigin="3340,14866" coordsize="3536,312" path="m3340,15178l6875,15178,6875,14866,3340,14866,3340,15178xe" filled="true" fillcolor="#c7edcc" stroked="false">
                <v:path arrowok="t"/>
                <v:fill type="solid"/>
              </v:shape>
            </v:group>
            <v:group style="position:absolute;left:6908;top:1450;width:508;height:13728" coordorigin="6908,1450" coordsize="508,13728">
              <v:shape style="position:absolute;left:6908;top:1450;width:508;height:13728" coordorigin="6908,1450" coordsize="508,13728" path="m6908,15178l7416,15178,7416,1450,6908,1450,6908,15178xe" filled="true" fillcolor="#ffffff" stroked="false">
                <v:path arrowok="t"/>
                <v:fill type="solid"/>
              </v:shape>
            </v:group>
            <v:group style="position:absolute;left:7426;top:1450;width:887;height:13728" coordorigin="7426,1450" coordsize="887,13728">
              <v:shape style="position:absolute;left:7426;top:1450;width:887;height:13728" coordorigin="7426,1450" coordsize="887,13728" path="m7426,15178l8312,15178,8312,1450,7426,1450,7426,15178xe" filled="true" fillcolor="#c7edcc" stroked="false">
                <v:path arrowok="t"/>
                <v:fill type="solid"/>
              </v:shape>
            </v:group>
            <v:group style="position:absolute;left:8322;top:1450;width:2474;height:13728" coordorigin="8322,1450" coordsize="2474,13728">
              <v:shape style="position:absolute;left:8322;top:1450;width:2474;height:13728" coordorigin="8322,1450" coordsize="2474,13728" path="m8322,15178l10795,15178,10795,1450,8322,1450,8322,15178xe" filled="true" fillcolor="#c7edcc" stroked="false">
                <v:path arrowok="t"/>
                <v:fill type="solid"/>
              </v:shape>
            </v:group>
            <v:group style="position:absolute;left:1102;top:1445;width:9704;height:2" coordorigin="1102,1445" coordsize="9704,2">
              <v:shape style="position:absolute;left:1102;top:1445;width:9704;height:2" coordorigin="1102,1445" coordsize="9704,0" path="m1102,1445l10805,1445e" filled="false" stroked="true" strokeweight=".48004pt" strokecolor="#000000">
                <v:path arrowok="t"/>
              </v:shape>
            </v:group>
            <v:group style="position:absolute;left:1106;top:1440;width:2;height:13749" coordorigin="1106,1440" coordsize="2,13749">
              <v:shape style="position:absolute;left:1106;top:1440;width:2;height:13749" coordorigin="1106,1440" coordsize="0,13749" path="m1106,1440l1106,15188e" filled="false" stroked="true" strokeweight=".48pt" strokecolor="#000000">
                <v:path arrowok="t"/>
              </v:shape>
            </v:group>
            <v:group style="position:absolute;left:1102;top:15184;width:515;height:2" coordorigin="1102,15184" coordsize="515,2">
              <v:shape style="position:absolute;left:1102;top:15184;width:515;height:2" coordorigin="1102,15184" coordsize="515,0" path="m1102,15184l1616,15184e" filled="false" stroked="true" strokeweight=".47998pt" strokecolor="#000000">
                <v:path arrowok="t"/>
              </v:shape>
            </v:group>
            <v:group style="position:absolute;left:1621;top:1450;width:2;height:13739" coordorigin="1621,1450" coordsize="2,13739">
              <v:shape style="position:absolute;left:1621;top:1450;width:2;height:13739" coordorigin="1621,1450" coordsize="0,13739" path="m1621,1450l1621,15188e" filled="false" stroked="true" strokeweight=".48001pt" strokecolor="#000000">
                <v:path arrowok="t"/>
              </v:shape>
            </v:group>
            <v:group style="position:absolute;left:1626;top:15184;width:953;height:2" coordorigin="1626,15184" coordsize="953,2">
              <v:shape style="position:absolute;left:1626;top:15184;width:953;height:2" coordorigin="1626,15184" coordsize="953,0" path="m1626,15184l2579,15184e" filled="false" stroked="true" strokeweight=".47998pt" strokecolor="#000000">
                <v:path arrowok="t"/>
              </v:shape>
            </v:group>
            <v:group style="position:absolute;left:2584;top:1450;width:2;height:13739" coordorigin="2584,1450" coordsize="2,13739">
              <v:shape style="position:absolute;left:2584;top:1450;width:2;height:13739" coordorigin="2584,1450" coordsize="0,13739" path="m2584,1450l2584,15188e" filled="false" stroked="true" strokeweight=".48pt" strokecolor="#000000">
                <v:path arrowok="t"/>
              </v:shape>
            </v:group>
            <v:group style="position:absolute;left:2588;top:15184;width:719;height:2" coordorigin="2588,15184" coordsize="719,2">
              <v:shape style="position:absolute;left:2588;top:15184;width:719;height:2" coordorigin="2588,15184" coordsize="719,0" path="m2588,15184l3307,15184e" filled="false" stroked="true" strokeweight=".47998pt" strokecolor="#000000">
                <v:path arrowok="t"/>
              </v:shape>
            </v:group>
            <v:group style="position:absolute;left:3312;top:1450;width:2;height:13739" coordorigin="3312,1450" coordsize="2,13739">
              <v:shape style="position:absolute;left:3312;top:1450;width:2;height:13739" coordorigin="3312,1450" coordsize="0,13739" path="m3312,1450l3312,15188e" filled="false" stroked="true" strokeweight=".48pt" strokecolor="#000000">
                <v:path arrowok="t"/>
              </v:shape>
            </v:group>
            <v:group style="position:absolute;left:3317;top:15184;width:3582;height:2" coordorigin="3317,15184" coordsize="3582,2">
              <v:shape style="position:absolute;left:3317;top:15184;width:3582;height:2" coordorigin="3317,15184" coordsize="3582,0" path="m3317,15184l6899,15184e" filled="false" stroked="true" strokeweight=".47998pt" strokecolor="#000000">
                <v:path arrowok="t"/>
              </v:shape>
            </v:group>
            <v:group style="position:absolute;left:6904;top:1450;width:2;height:13739" coordorigin="6904,1450" coordsize="2,13739">
              <v:shape style="position:absolute;left:6904;top:1450;width:2;height:13739" coordorigin="6904,1450" coordsize="0,13739" path="m6904,1450l6904,15188e" filled="false" stroked="true" strokeweight=".48001pt" strokecolor="#000000">
                <v:path arrowok="t"/>
              </v:shape>
            </v:group>
            <v:group style="position:absolute;left:6908;top:15184;width:508;height:2" coordorigin="6908,15184" coordsize="508,2">
              <v:shape style="position:absolute;left:6908;top:15184;width:508;height:2" coordorigin="6908,15184" coordsize="508,0" path="m6908,15184l7416,15184e" filled="false" stroked="true" strokeweight=".47998pt" strokecolor="#000000">
                <v:path arrowok="t"/>
              </v:shape>
            </v:group>
            <v:group style="position:absolute;left:7421;top:1450;width:2;height:13739" coordorigin="7421,1450" coordsize="2,13739">
              <v:shape style="position:absolute;left:7421;top:1450;width:2;height:13739" coordorigin="7421,1450" coordsize="0,13739" path="m7421,1450l7421,15188e" filled="false" stroked="true" strokeweight=".47998pt" strokecolor="#000000">
                <v:path arrowok="t"/>
              </v:shape>
            </v:group>
            <v:group style="position:absolute;left:7426;top:15184;width:887;height:2" coordorigin="7426,15184" coordsize="887,2">
              <v:shape style="position:absolute;left:7426;top:15184;width:887;height:2" coordorigin="7426,15184" coordsize="887,0" path="m7426,15184l8312,15184e" filled="false" stroked="true" strokeweight=".47998pt" strokecolor="#000000">
                <v:path arrowok="t"/>
              </v:shape>
            </v:group>
            <v:group style="position:absolute;left:8317;top:1450;width:2;height:13739" coordorigin="8317,1450" coordsize="2,13739">
              <v:shape style="position:absolute;left:8317;top:1450;width:2;height:13739" coordorigin="8317,1450" coordsize="0,13739" path="m8317,1450l8317,15188e" filled="false" stroked="true" strokeweight=".47998pt" strokecolor="#000000">
                <v:path arrowok="t"/>
              </v:shape>
            </v:group>
            <v:group style="position:absolute;left:8322;top:15184;width:2474;height:2" coordorigin="8322,15184" coordsize="2474,2">
              <v:shape style="position:absolute;left:8322;top:15184;width:2474;height:2" coordorigin="8322,15184" coordsize="2474,0" path="m8322,15184l10795,15184e" filled="false" stroked="true" strokeweight=".47998pt" strokecolor="#000000">
                <v:path arrowok="t"/>
              </v:shape>
            </v:group>
            <v:group style="position:absolute;left:10800;top:1440;width:2;height:13749" coordorigin="10800,1440" coordsize="2,13749">
              <v:shape style="position:absolute;left:10800;top:1440;width:2;height:13749" coordorigin="10800,1440" coordsize="0,13749" path="m10800,1440l10800,15188e" filled="false" stroked="true" strokeweight=".48004pt" strokecolor="#000000">
                <v:path arrowok="t"/>
              </v:shape>
            </v:group>
            <w10:wrap type="none"/>
          </v:group>
        </w:pict>
      </w:r>
    </w:p>
    <w:p>
      <w:pPr>
        <w:spacing w:line="312" w:lineRule="auto" w:before="44"/>
        <w:ind w:left="2359" w:right="4032" w:firstLine="0"/>
        <w:jc w:val="left"/>
        <w:rPr>
          <w:rFonts w:ascii="宋体" w:hAnsi="宋体" w:cs="宋体" w:eastAsia="宋体" w:hint="default"/>
          <w:sz w:val="18"/>
          <w:szCs w:val="18"/>
        </w:rPr>
      </w:pPr>
      <w:r>
        <w:rPr>
          <w:rFonts w:ascii="宋体" w:hAnsi="宋体" w:cs="宋体" w:eastAsia="宋体" w:hint="default"/>
          <w:spacing w:val="-4"/>
          <w:sz w:val="18"/>
          <w:szCs w:val="18"/>
        </w:rPr>
        <w:t>资者合法权益和社会公共利益的其他情形。如</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上述承诺被证明是不真实的或未被遵守，其将</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向华智控股赔偿一切直接和间接损失，并承担</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相应的法律责任。关于注入资产税收优惠的承</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诺 </w:t>
      </w:r>
      <w:r>
        <w:rPr>
          <w:rFonts w:ascii="宋体" w:hAnsi="宋体" w:cs="宋体" w:eastAsia="宋体" w:hint="default"/>
          <w:spacing w:val="-4"/>
          <w:sz w:val="18"/>
          <w:szCs w:val="18"/>
        </w:rPr>
        <w:t>根据财政部、国家税务总局（财税［</w:t>
      </w:r>
      <w:r>
        <w:rPr>
          <w:rFonts w:ascii="Times New Roman" w:hAnsi="Times New Roman" w:cs="Times New Roman" w:eastAsia="Times New Roman" w:hint="default"/>
          <w:spacing w:val="-4"/>
          <w:sz w:val="18"/>
          <w:szCs w:val="18"/>
        </w:rPr>
        <w:t>2009</w:t>
      </w:r>
      <w:r>
        <w:rPr>
          <w:rFonts w:ascii="Times New Roman" w:hAnsi="Times New Roman" w:cs="Times New Roman" w:eastAsia="Times New Roman" w:hint="default"/>
          <w:spacing w:val="-31"/>
          <w:sz w:val="18"/>
          <w:szCs w:val="18"/>
        </w:rPr>
        <w:t>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号）《关于文化体制改革中经营性文化事业</w:t>
      </w:r>
      <w:r>
        <w:rPr>
          <w:rFonts w:ascii="宋体" w:hAnsi="宋体" w:cs="宋体" w:eastAsia="宋体" w:hint="default"/>
          <w:sz w:val="18"/>
          <w:szCs w:val="18"/>
        </w:rPr>
        <w:t> 单位转制为企业的若干税收优惠政策的通 </w:t>
      </w:r>
      <w:r>
        <w:rPr>
          <w:rFonts w:ascii="宋体" w:hAnsi="宋体" w:cs="宋体" w:eastAsia="宋体" w:hint="default"/>
          <w:spacing w:val="-10"/>
          <w:sz w:val="18"/>
          <w:szCs w:val="18"/>
        </w:rPr>
        <w:t>知》，杭报集团享受免征企业所得税至</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spacing w:before="3"/>
        <w:ind w:left="2359"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日。本次注入资产中</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家公司目前</w:t>
      </w:r>
    </w:p>
    <w:p>
      <w:pPr>
        <w:spacing w:before="63"/>
        <w:ind w:left="2359" w:right="0" w:firstLine="0"/>
        <w:jc w:val="left"/>
        <w:rPr>
          <w:rFonts w:ascii="宋体" w:hAnsi="宋体" w:cs="宋体" w:eastAsia="宋体" w:hint="default"/>
          <w:sz w:val="18"/>
          <w:szCs w:val="18"/>
        </w:rPr>
      </w:pPr>
      <w:r>
        <w:rPr>
          <w:rFonts w:ascii="宋体" w:hAnsi="宋体" w:cs="宋体" w:eastAsia="宋体" w:hint="default"/>
          <w:sz w:val="18"/>
          <w:szCs w:val="18"/>
        </w:rPr>
        <w:t>均享受上述政策优惠。根据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316" w:lineRule="auto" w:before="63"/>
        <w:ind w:left="2359" w:right="4162" w:firstLine="0"/>
        <w:jc w:val="both"/>
        <w:rPr>
          <w:rFonts w:ascii="宋体" w:hAnsi="宋体" w:cs="宋体" w:eastAsia="宋体" w:hint="default"/>
          <w:sz w:val="18"/>
          <w:szCs w:val="18"/>
        </w:rPr>
      </w:pPr>
      <w:r>
        <w:rPr>
          <w:rFonts w:ascii="宋体" w:hAnsi="宋体" w:cs="宋体" w:eastAsia="宋体" w:hint="default"/>
          <w:sz w:val="18"/>
          <w:szCs w:val="18"/>
        </w:rPr>
        <w:t>《国务院办公厅关于印发文化体制改革中经 营性文化事业单位转制为企业和进一步支持 </w:t>
      </w:r>
      <w:r>
        <w:rPr>
          <w:rFonts w:ascii="宋体" w:hAnsi="宋体" w:cs="宋体" w:eastAsia="宋体" w:hint="default"/>
          <w:spacing w:val="-5"/>
          <w:sz w:val="18"/>
          <w:szCs w:val="18"/>
        </w:rPr>
        <w:t>文化企业发展两个规定的通知》（国办发</w:t>
      </w:r>
    </w:p>
    <w:p>
      <w:pPr>
        <w:spacing w:line="312" w:lineRule="auto" w:before="19"/>
        <w:ind w:left="2359" w:right="3965"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号）中的《文化体制改革中经营 </w:t>
      </w:r>
      <w:r>
        <w:rPr>
          <w:rFonts w:ascii="宋体" w:hAnsi="宋体" w:cs="宋体" w:eastAsia="宋体" w:hint="default"/>
          <w:spacing w:val="-4"/>
          <w:sz w:val="18"/>
          <w:szCs w:val="18"/>
        </w:rPr>
        <w:t>性文化事业单位转制为企业的规定》第二十条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经营性文化事业单位转制为企业后，免征企 </w:t>
      </w:r>
      <w:r>
        <w:rPr>
          <w:rFonts w:ascii="宋体" w:hAnsi="宋体" w:cs="宋体" w:eastAsia="宋体" w:hint="default"/>
          <w:spacing w:val="-3"/>
          <w:sz w:val="18"/>
          <w:szCs w:val="18"/>
        </w:rPr>
        <w:t>业所得税</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上述政策适用于开展文化体制改</w:t>
      </w:r>
      <w:r>
        <w:rPr>
          <w:rFonts w:ascii="宋体" w:hAnsi="宋体" w:cs="宋体" w:eastAsia="宋体" w:hint="default"/>
          <w:spacing w:val="-73"/>
          <w:sz w:val="18"/>
          <w:szCs w:val="18"/>
        </w:rPr>
        <w:t> </w:t>
      </w:r>
      <w:r>
        <w:rPr>
          <w:rFonts w:ascii="宋体" w:hAnsi="宋体" w:cs="宋体" w:eastAsia="宋体" w:hint="default"/>
          <w:spacing w:val="-4"/>
          <w:sz w:val="18"/>
          <w:szCs w:val="18"/>
        </w:rPr>
        <w:t>革的地区和转制企业。中央所属转制文化企业</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的认定，由中央宣传部会同财政部、税务总局</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确定并发布名单；地方所属转制文化企业的认</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定，按照登记管理权限，由地方各级宣传部门</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会同同级财政、税务部门确定和发布名单，并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按程序抄送中央宣传部、财政部和税务总局。 执行期限为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spacing w:line="312" w:lineRule="auto" w:before="3"/>
        <w:ind w:left="2359" w:right="396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拟购买资产评估时点，杭州市宣传部 门尚未会同财政、税务部门确定和发布名单。 </w:t>
      </w:r>
      <w:r>
        <w:rPr>
          <w:rFonts w:ascii="宋体" w:hAnsi="宋体" w:cs="宋体" w:eastAsia="宋体" w:hint="default"/>
          <w:spacing w:val="-4"/>
          <w:sz w:val="18"/>
          <w:szCs w:val="18"/>
        </w:rPr>
        <w:t>评估机构按照前次名单，假设拟购买资产相关</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企业继续享受免征企业所得税政策到期后延</w:t>
      </w:r>
    </w:p>
    <w:p>
      <w:pPr>
        <w:spacing w:line="307" w:lineRule="auto" w:before="22"/>
        <w:ind w:left="2359" w:right="4038"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年及以后 按照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税率预测企业所得税。杭报集团承 </w:t>
      </w:r>
      <w:r>
        <w:rPr>
          <w:rFonts w:ascii="宋体" w:hAnsi="宋体" w:cs="宋体" w:eastAsia="宋体" w:hint="default"/>
          <w:spacing w:val="-20"/>
          <w:sz w:val="18"/>
          <w:szCs w:val="18"/>
        </w:rPr>
        <w:t>诺：如</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家标的公司在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日前</w:t>
      </w:r>
      <w:r>
        <w:rPr>
          <w:rFonts w:ascii="宋体" w:hAnsi="宋体" w:cs="宋体" w:eastAsia="宋体" w:hint="default"/>
          <w:spacing w:val="1"/>
          <w:sz w:val="18"/>
          <w:szCs w:val="18"/>
        </w:rPr>
        <w:t> </w:t>
      </w:r>
      <w:r>
        <w:rPr>
          <w:rFonts w:ascii="宋体" w:hAnsi="宋体" w:cs="宋体" w:eastAsia="宋体" w:hint="default"/>
          <w:sz w:val="18"/>
          <w:szCs w:val="18"/>
        </w:rPr>
        <w:t>不能持续具备享受上述免征企业所得税的税</w:t>
      </w:r>
      <w:r>
        <w:rPr>
          <w:rFonts w:ascii="宋体" w:hAnsi="宋体" w:cs="宋体" w:eastAsia="宋体" w:hint="default"/>
          <w:sz w:val="18"/>
          <w:szCs w:val="18"/>
        </w:rPr>
        <w:t> </w:t>
      </w:r>
      <w:r>
        <w:rPr>
          <w:rFonts w:ascii="宋体" w:hAnsi="宋体" w:cs="宋体" w:eastAsia="宋体" w:hint="default"/>
          <w:spacing w:val="-4"/>
          <w:sz w:val="18"/>
          <w:szCs w:val="18"/>
        </w:rPr>
        <w:t>收优惠政策条件，或者未来上述税收优惠政策</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发生变化，导致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家标的公司在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spacing w:before="7"/>
        <w:ind w:left="2359" w:right="0"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日前不能继续享受上述税收优惠政策，</w:t>
      </w:r>
    </w:p>
    <w:p>
      <w:pPr>
        <w:spacing w:before="63"/>
        <w:ind w:left="2359" w:right="0" w:firstLine="0"/>
        <w:jc w:val="left"/>
        <w:rPr>
          <w:rFonts w:ascii="宋体" w:hAnsi="宋体" w:cs="宋体" w:eastAsia="宋体" w:hint="default"/>
          <w:sz w:val="18"/>
          <w:szCs w:val="18"/>
        </w:rPr>
      </w:pPr>
      <w:r>
        <w:rPr>
          <w:rFonts w:ascii="宋体" w:hAnsi="宋体" w:cs="宋体" w:eastAsia="宋体" w:hint="default"/>
          <w:sz w:val="18"/>
          <w:szCs w:val="18"/>
        </w:rPr>
        <w:t>本集团将在</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家标的公司该年度所得税汇算</w:t>
      </w:r>
    </w:p>
    <w:p>
      <w:pPr>
        <w:spacing w:line="300" w:lineRule="auto" w:before="63"/>
        <w:ind w:left="2359" w:right="404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清缴完成后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pacing w:val="-15"/>
          <w:sz w:val="18"/>
          <w:szCs w:val="18"/>
        </w:rPr>
        <w:t>日内，按</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家标的公司各自该 年度的应纳税所得额</w:t>
      </w:r>
      <w:r>
        <w:rPr>
          <w:rFonts w:ascii="Times New Roman" w:hAnsi="Times New Roman" w:cs="Times New Roman" w:eastAsia="Times New Roman" w:hint="default"/>
          <w:sz w:val="18"/>
          <w:szCs w:val="18"/>
        </w:rPr>
        <w:t>×(</w:t>
      </w:r>
      <w:r>
        <w:rPr>
          <w:rFonts w:ascii="宋体" w:hAnsi="宋体" w:cs="宋体" w:eastAsia="宋体" w:hint="default"/>
          <w:sz w:val="18"/>
          <w:szCs w:val="18"/>
        </w:rPr>
        <w:t>各公司该年度实际执 行所得税率</w:t>
      </w:r>
      <w:r>
        <w:rPr>
          <w:rFonts w:ascii="Times New Roman" w:hAnsi="Times New Roman" w:cs="Times New Roman" w:eastAsia="Times New Roman" w:hint="default"/>
          <w:sz w:val="18"/>
          <w:szCs w:val="18"/>
        </w:rPr>
        <w:t>-0%)/(1-</w:t>
      </w:r>
      <w:r>
        <w:rPr>
          <w:rFonts w:ascii="宋体" w:hAnsi="宋体" w:cs="宋体" w:eastAsia="宋体" w:hint="default"/>
          <w:sz w:val="18"/>
          <w:szCs w:val="18"/>
        </w:rPr>
        <w:t>各公司该年度实际执行所 得税率</w:t>
      </w:r>
      <w:r>
        <w:rPr>
          <w:rFonts w:ascii="Times New Roman" w:hAnsi="Times New Roman" w:cs="Times New Roman" w:eastAsia="Times New Roman" w:hint="default"/>
          <w:sz w:val="18"/>
          <w:szCs w:val="18"/>
        </w:rPr>
        <w:t>)</w:t>
      </w:r>
      <w:r>
        <w:rPr>
          <w:rFonts w:ascii="宋体" w:hAnsi="宋体" w:cs="宋体" w:eastAsia="宋体" w:hint="default"/>
          <w:sz w:val="18"/>
          <w:szCs w:val="18"/>
        </w:rPr>
        <w:t>给予各公司全额现金补偿。</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spacing w:line="307" w:lineRule="auto" w:before="13"/>
        <w:ind w:left="2359" w:right="4045"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日，杭州市财政局、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杭州市地方税务局、中共杭州市委宣传部联合</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发布《关于明确杭州日报传媒有限公司等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家企业可继续享受文化体制改革税收优惠政</w:t>
      </w:r>
    </w:p>
    <w:p>
      <w:pPr>
        <w:spacing w:after="0" w:line="307"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r>
        <w:rPr/>
        <w:pict>
          <v:shape style="position:absolute;margin-left:321.239990pt;margin-top:72.480003pt;width:49.6pt;height:251.65pt;mso-position-horizontal-relative:page;mso-position-vertical-relative:page;z-index:-12603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至此，</w:t>
                  </w:r>
                </w:p>
              </w:txbxContent>
            </v:textbox>
            <w10:wrap type="none"/>
          </v:shape>
        </w:pict>
      </w:r>
      <w:r>
        <w:rPr/>
        <w:pict>
          <v:group style="position:absolute;margin-left:345.420013pt;margin-top:72.480003pt;width:25.4pt;height:251.65pt;mso-position-horizontal-relative:page;mso-position-vertical-relative:page;z-index:-1260280" coordorigin="6908,1450" coordsize="508,5033">
            <v:shape style="position:absolute;left:6908;top:1450;width:508;height:5033" coordorigin="6908,1450" coordsize="508,5033" path="m6908,6482l7416,6482,7416,1450,6908,1450,6908,6482xe" filled="true" fillcolor="#ffffff" stroked="false">
              <v:path arrowok="t"/>
              <v:fill type="solid"/>
            </v:shape>
            <w10:wrap type="none"/>
          </v:group>
        </w:pict>
      </w:r>
      <w:r>
        <w:rPr/>
        <w:pict>
          <v:group style="position:absolute;margin-left:345.420013pt;margin-top:685.299988pt;width:25.4pt;height:31.2pt;mso-position-horizontal-relative:page;mso-position-vertical-relative:page;z-index:-1260256" coordorigin="6908,13706" coordsize="508,624">
            <v:shape style="position:absolute;left:6908;top:13706;width:508;height:624" coordorigin="6908,13706" coordsize="508,624" path="m6908,14330l7416,14330,7416,13706,6908,13706,6908,14330xe" filled="true" fillcolor="#ffffff" stroked="false">
              <v:path arrowok="t"/>
              <v:fill type="solid"/>
            </v:shape>
            <w10:wrap type="none"/>
          </v:group>
        </w:pict>
      </w:r>
    </w:p>
    <w:tbl>
      <w:tblPr>
        <w:tblW w:w="0" w:type="auto"/>
        <w:jc w:val="left"/>
        <w:tblInd w:w="121" w:type="dxa"/>
        <w:tblLayout w:type="fixed"/>
        <w:tblCellMar>
          <w:top w:w="0" w:type="dxa"/>
          <w:left w:w="0" w:type="dxa"/>
          <w:bottom w:w="0" w:type="dxa"/>
          <w:right w:w="0" w:type="dxa"/>
        </w:tblCellMar>
        <w:tblLook w:val="01E0"/>
      </w:tblPr>
      <w:tblGrid>
        <w:gridCol w:w="515"/>
        <w:gridCol w:w="962"/>
        <w:gridCol w:w="728"/>
        <w:gridCol w:w="3591"/>
        <w:gridCol w:w="518"/>
        <w:gridCol w:w="896"/>
        <w:gridCol w:w="2483"/>
      </w:tblGrid>
      <w:tr>
        <w:trPr>
          <w:trHeight w:val="322" w:hRule="exact"/>
        </w:trPr>
        <w:tc>
          <w:tcPr>
            <w:tcW w:w="515" w:type="dxa"/>
            <w:vMerge w:val="restart"/>
            <w:tcBorders>
              <w:top w:val="single" w:sz="4" w:space="0" w:color="000000"/>
              <w:left w:val="single" w:sz="4" w:space="0" w:color="000000"/>
              <w:right w:val="single" w:sz="4" w:space="0" w:color="000000"/>
            </w:tcBorders>
            <w:shd w:val="clear" w:color="auto" w:fill="D3D3D3"/>
          </w:tcPr>
          <w:p>
            <w:pPr/>
          </w:p>
        </w:tc>
        <w:tc>
          <w:tcPr>
            <w:tcW w:w="962" w:type="dxa"/>
            <w:vMerge w:val="restart"/>
            <w:tcBorders>
              <w:top w:val="single" w:sz="4" w:space="0" w:color="000000"/>
              <w:left w:val="single" w:sz="4" w:space="0" w:color="000000"/>
              <w:right w:val="single" w:sz="4" w:space="0" w:color="000000"/>
            </w:tcBorders>
            <w:shd w:val="clear" w:color="auto" w:fill="C7EDCC"/>
          </w:tcPr>
          <w:p>
            <w:pPr/>
          </w:p>
        </w:tc>
        <w:tc>
          <w:tcPr>
            <w:tcW w:w="728" w:type="dxa"/>
            <w:vMerge w:val="restart"/>
            <w:tcBorders>
              <w:top w:val="single" w:sz="4" w:space="0" w:color="000000"/>
              <w:left w:val="single" w:sz="4" w:space="0" w:color="000000"/>
              <w:right w:val="single" w:sz="4" w:space="0" w:color="000000"/>
            </w:tcBorders>
            <w:shd w:val="clear" w:color="auto" w:fill="C7EDCC"/>
          </w:tcPr>
          <w:p>
            <w:pPr/>
          </w:p>
        </w:tc>
        <w:tc>
          <w:tcPr>
            <w:tcW w:w="3591"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策的通知</w:t>
            </w:r>
            <w:r>
              <w:rPr>
                <w:rFonts w:ascii="宋体" w:hAnsi="宋体" w:cs="宋体" w:eastAsia="宋体" w:hint="default"/>
                <w:spacing w:val="-90"/>
                <w:sz w:val="18"/>
                <w:szCs w:val="18"/>
              </w:rPr>
              <w:t>》</w:t>
            </w:r>
            <w:r>
              <w:rPr>
                <w:rFonts w:ascii="宋体" w:hAnsi="宋体" w:cs="宋体" w:eastAsia="宋体" w:hint="default"/>
                <w:sz w:val="18"/>
                <w:szCs w:val="18"/>
              </w:rPr>
              <w:t>（市宣通</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59 </w:t>
            </w:r>
            <w:r>
              <w:rPr>
                <w:rFonts w:ascii="宋体" w:hAnsi="宋体" w:cs="宋体" w:eastAsia="宋体" w:hint="default"/>
                <w:sz w:val="18"/>
                <w:szCs w:val="18"/>
              </w:rPr>
              <w:t>号</w:t>
            </w:r>
            <w:r>
              <w:rPr>
                <w:rFonts w:ascii="宋体" w:hAnsi="宋体" w:cs="宋体" w:eastAsia="宋体" w:hint="default"/>
                <w:spacing w:val="-90"/>
                <w:sz w:val="18"/>
                <w:szCs w:val="18"/>
              </w:rPr>
              <w:t>）</w:t>
            </w:r>
            <w:r>
              <w:rPr>
                <w:rFonts w:ascii="宋体" w:hAnsi="宋体" w:cs="宋体" w:eastAsia="宋体" w:hint="default"/>
                <w:sz w:val="18"/>
                <w:szCs w:val="18"/>
              </w:rPr>
              <w:t>，明确</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家</w:t>
            </w:r>
          </w:p>
        </w:tc>
        <w:tc>
          <w:tcPr>
            <w:tcW w:w="518" w:type="dxa"/>
            <w:tcBorders>
              <w:top w:val="single" w:sz="4" w:space="0" w:color="000000"/>
              <w:left w:val="single" w:sz="4" w:space="0" w:color="000000"/>
              <w:bottom w:val="nil" w:sz="6" w:space="0" w:color="auto"/>
              <w:right w:val="single" w:sz="4" w:space="0" w:color="000000"/>
            </w:tcBorders>
          </w:tcPr>
          <w:p>
            <w:pPr/>
          </w:p>
        </w:tc>
        <w:tc>
          <w:tcPr>
            <w:tcW w:w="896" w:type="dxa"/>
            <w:vMerge w:val="restart"/>
            <w:tcBorders>
              <w:top w:val="single" w:sz="4" w:space="0" w:color="000000"/>
              <w:left w:val="single" w:sz="4" w:space="0" w:color="000000"/>
              <w:right w:val="single" w:sz="4" w:space="0" w:color="000000"/>
            </w:tcBorders>
            <w:shd w:val="clear" w:color="auto" w:fill="C7EDCC"/>
          </w:tcPr>
          <w:p>
            <w:pPr/>
          </w:p>
        </w:tc>
        <w:tc>
          <w:tcPr>
            <w:tcW w:w="2483" w:type="dxa"/>
            <w:vMerge w:val="restart"/>
            <w:tcBorders>
              <w:top w:val="single" w:sz="4" w:space="0" w:color="000000"/>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标的公司及其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家下属公司可按国办发</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号文件继续享受文化体制改革税</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07"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收优惠政策，免征企业所得税，执行期限为</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7"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家标的公司的税收优惠风险已不存在。关</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07"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于拟购买资产瑕疵房产的承诺 拟购买资产评</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估时点，标的公司盛元印务名下三项房产的相</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关权证尚在办理之中，该等房屋相对应的土地</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使用权证已办理完毕，房产测绘已基本完成</w:t>
            </w:r>
          </w:p>
        </w:tc>
        <w:tc>
          <w:tcPr>
            <w:tcW w:w="5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49" w:right="0"/>
              <w:jc w:val="left"/>
              <w:rPr>
                <w:rFonts w:ascii="宋体" w:hAnsi="宋体" w:cs="宋体" w:eastAsia="宋体" w:hint="default"/>
                <w:sz w:val="18"/>
                <w:szCs w:val="18"/>
              </w:rPr>
            </w:pPr>
            <w:r>
              <w:rPr>
                <w:rFonts w:ascii="宋体" w:hAnsi="宋体" w:cs="宋体" w:eastAsia="宋体" w:hint="default"/>
                <w:sz w:val="18"/>
                <w:szCs w:val="18"/>
              </w:rPr>
              <w:t>。</w:t>
            </w: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对于上述瑕疵资产，杭报集团承诺：如果交割</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上述房产时，相关方无法办理权属证明文件以</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及办理手续存在法律或其他实质性障碍或出</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现产权纠纷等情况，对此造成华智控股一切直</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3"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接和间接损失，杭报集团愿意承担包括以现金</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57" w:hRule="exact"/>
        </w:trPr>
        <w:tc>
          <w:tcPr>
            <w:tcW w:w="515" w:type="dxa"/>
            <w:vMerge/>
            <w:tcBorders>
              <w:left w:val="single" w:sz="4" w:space="0" w:color="000000"/>
              <w:bottom w:val="single" w:sz="4" w:space="0" w:color="000000"/>
              <w:right w:val="single" w:sz="4" w:space="0" w:color="000000"/>
            </w:tcBorders>
            <w:shd w:val="clear" w:color="auto" w:fill="D3D3D3"/>
          </w:tcPr>
          <w:p>
            <w:pPr/>
          </w:p>
        </w:tc>
        <w:tc>
          <w:tcPr>
            <w:tcW w:w="962" w:type="dxa"/>
            <w:vMerge/>
            <w:tcBorders>
              <w:left w:val="single" w:sz="4" w:space="0" w:color="000000"/>
              <w:bottom w:val="single" w:sz="4" w:space="0" w:color="000000"/>
              <w:right w:val="single" w:sz="4" w:space="0" w:color="000000"/>
            </w:tcBorders>
            <w:shd w:val="clear" w:color="auto" w:fill="C7EDCC"/>
          </w:tcPr>
          <w:p>
            <w:pPr/>
          </w:p>
        </w:tc>
        <w:tc>
          <w:tcPr>
            <w:tcW w:w="728" w:type="dxa"/>
            <w:vMerge/>
            <w:tcBorders>
              <w:left w:val="single" w:sz="4" w:space="0" w:color="000000"/>
              <w:bottom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补足等方式在内的全部法律责任。</w:t>
            </w:r>
          </w:p>
        </w:tc>
        <w:tc>
          <w:tcPr>
            <w:tcW w:w="518" w:type="dxa"/>
            <w:tcBorders>
              <w:top w:val="nil" w:sz="6" w:space="0" w:color="auto"/>
              <w:left w:val="single" w:sz="4" w:space="0" w:color="000000"/>
              <w:bottom w:val="single" w:sz="4" w:space="0" w:color="000000"/>
              <w:right w:val="single" w:sz="4" w:space="0" w:color="000000"/>
            </w:tcBorders>
          </w:tcPr>
          <w:p>
            <w:pPr/>
          </w:p>
        </w:tc>
        <w:tc>
          <w:tcPr>
            <w:tcW w:w="896" w:type="dxa"/>
            <w:vMerge/>
            <w:tcBorders>
              <w:left w:val="single" w:sz="4" w:space="0" w:color="000000"/>
              <w:bottom w:val="single" w:sz="4" w:space="0" w:color="000000"/>
              <w:right w:val="single" w:sz="4" w:space="0" w:color="000000"/>
            </w:tcBorders>
            <w:shd w:val="clear" w:color="auto" w:fill="C7EDCC"/>
          </w:tcPr>
          <w:p>
            <w:pPr/>
          </w:p>
        </w:tc>
        <w:tc>
          <w:tcPr>
            <w:tcW w:w="2483" w:type="dxa"/>
            <w:vMerge/>
            <w:tcBorders>
              <w:left w:val="single" w:sz="4" w:space="0" w:color="000000"/>
              <w:bottom w:val="single" w:sz="4" w:space="0" w:color="000000"/>
              <w:right w:val="single" w:sz="4" w:space="0" w:color="000000"/>
            </w:tcBorders>
            <w:shd w:val="clear" w:color="auto" w:fill="C7EDCC"/>
          </w:tcPr>
          <w:p>
            <w:pPr/>
          </w:p>
        </w:tc>
      </w:tr>
      <w:tr>
        <w:trPr>
          <w:trHeight w:val="357" w:hRule="exact"/>
        </w:trPr>
        <w:tc>
          <w:tcPr>
            <w:tcW w:w="515"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w:t>
            </w:r>
          </w:p>
        </w:tc>
        <w:tc>
          <w:tcPr>
            <w:tcW w:w="962" w:type="dxa"/>
            <w:vMerge w:val="restart"/>
            <w:tcBorders>
              <w:top w:val="single" w:sz="4" w:space="0" w:color="000000"/>
              <w:left w:val="single" w:sz="4" w:space="0" w:color="000000"/>
              <w:right w:val="single" w:sz="4" w:space="0" w:color="000000"/>
            </w:tcBorders>
            <w:shd w:val="clear" w:color="auto" w:fill="C7EDCC"/>
          </w:tcPr>
          <w:p>
            <w:pPr/>
          </w:p>
        </w:tc>
        <w:tc>
          <w:tcPr>
            <w:tcW w:w="728" w:type="dxa"/>
            <w:vMerge w:val="restart"/>
            <w:tcBorders>
              <w:top w:val="single" w:sz="4" w:space="0" w:color="000000"/>
              <w:left w:val="single" w:sz="4" w:space="0" w:color="000000"/>
              <w:right w:val="single" w:sz="4" w:space="0" w:color="000000"/>
            </w:tcBorders>
            <w:shd w:val="clear" w:color="auto" w:fill="C7EDCC"/>
          </w:tcPr>
          <w:p>
            <w:pPr/>
          </w:p>
        </w:tc>
        <w:tc>
          <w:tcPr>
            <w:tcW w:w="3591" w:type="dxa"/>
            <w:vMerge w:val="restart"/>
            <w:tcBorders>
              <w:top w:val="single" w:sz="4" w:space="0" w:color="000000"/>
              <w:left w:val="single" w:sz="4" w:space="0" w:color="000000"/>
              <w:right w:val="single" w:sz="4" w:space="0" w:color="000000"/>
            </w:tcBorders>
            <w:shd w:val="clear" w:color="auto" w:fill="C7EDCC"/>
          </w:tcPr>
          <w:p>
            <w:pPr/>
          </w:p>
        </w:tc>
        <w:tc>
          <w:tcPr>
            <w:tcW w:w="518" w:type="dxa"/>
            <w:vMerge w:val="restart"/>
            <w:tcBorders>
              <w:top w:val="single" w:sz="4" w:space="0" w:color="000000"/>
              <w:left w:val="single" w:sz="4" w:space="0" w:color="000000"/>
              <w:right w:val="single" w:sz="4" w:space="0" w:color="000000"/>
            </w:tcBorders>
          </w:tcPr>
          <w:p>
            <w:pPr/>
          </w:p>
        </w:tc>
        <w:tc>
          <w:tcPr>
            <w:tcW w:w="896" w:type="dxa"/>
            <w:vMerge w:val="restart"/>
            <w:tcBorders>
              <w:top w:val="single" w:sz="4" w:space="0" w:color="000000"/>
              <w:left w:val="single" w:sz="4" w:space="0" w:color="000000"/>
              <w:right w:val="single" w:sz="4" w:space="0" w:color="000000"/>
            </w:tcBorders>
            <w:shd w:val="clear" w:color="auto" w:fill="C7EDCC"/>
          </w:tcPr>
          <w:p>
            <w:pPr/>
          </w:p>
        </w:tc>
        <w:tc>
          <w:tcPr>
            <w:tcW w:w="2483" w:type="dxa"/>
            <w:vMerge w:val="restart"/>
            <w:tcBorders>
              <w:top w:val="single" w:sz="4" w:space="0" w:color="000000"/>
              <w:left w:val="single" w:sz="4" w:space="0" w:color="000000"/>
              <w:right w:val="single" w:sz="4" w:space="0" w:color="000000"/>
            </w:tcBorders>
            <w:shd w:val="clear" w:color="auto" w:fill="C7EDCC"/>
          </w:tcPr>
          <w:p>
            <w:pPr/>
          </w:p>
        </w:tc>
      </w:tr>
      <w:tr>
        <w:trPr>
          <w:trHeight w:val="311" w:hRule="exact"/>
        </w:trPr>
        <w:tc>
          <w:tcPr>
            <w:tcW w:w="51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公开</w:t>
            </w: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vMerge/>
            <w:tcBorders>
              <w:left w:val="single" w:sz="4" w:space="0" w:color="000000"/>
              <w:right w:val="single" w:sz="4" w:space="0" w:color="000000"/>
            </w:tcBorders>
            <w:shd w:val="clear" w:color="auto" w:fill="C7EDCC"/>
          </w:tcPr>
          <w:p>
            <w:pP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w:t>
            </w: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vMerge/>
            <w:tcBorders>
              <w:left w:val="single" w:sz="4" w:space="0" w:color="000000"/>
              <w:right w:val="single" w:sz="4" w:space="0" w:color="000000"/>
            </w:tcBorders>
            <w:shd w:val="clear" w:color="auto" w:fill="C7EDCC"/>
          </w:tcPr>
          <w:p>
            <w:pP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或再</w:t>
            </w: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vMerge/>
            <w:tcBorders>
              <w:left w:val="single" w:sz="4" w:space="0" w:color="000000"/>
              <w:right w:val="single" w:sz="4" w:space="0" w:color="000000"/>
            </w:tcBorders>
            <w:shd w:val="clear" w:color="auto" w:fill="C7EDCC"/>
          </w:tcPr>
          <w:p>
            <w:pP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融资</w:t>
            </w: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vMerge/>
            <w:tcBorders>
              <w:left w:val="single" w:sz="4" w:space="0" w:color="000000"/>
              <w:right w:val="single" w:sz="4" w:space="0" w:color="000000"/>
            </w:tcBorders>
            <w:shd w:val="clear" w:color="auto" w:fill="C7EDCC"/>
          </w:tcPr>
          <w:p>
            <w:pP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时所</w:t>
            </w: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vMerge/>
            <w:tcBorders>
              <w:left w:val="single" w:sz="4" w:space="0" w:color="000000"/>
              <w:right w:val="single" w:sz="4" w:space="0" w:color="000000"/>
            </w:tcBorders>
            <w:shd w:val="clear" w:color="auto" w:fill="C7EDCC"/>
          </w:tcPr>
          <w:p>
            <w:pP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3" w:hRule="exact"/>
        </w:trPr>
        <w:tc>
          <w:tcPr>
            <w:tcW w:w="51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作承</w:t>
            </w: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vMerge/>
            <w:tcBorders>
              <w:left w:val="single" w:sz="4" w:space="0" w:color="000000"/>
              <w:right w:val="single" w:sz="4" w:space="0" w:color="000000"/>
            </w:tcBorders>
            <w:shd w:val="clear" w:color="auto" w:fill="C7EDCC"/>
          </w:tcPr>
          <w:p>
            <w:pP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57" w:hRule="exact"/>
        </w:trPr>
        <w:tc>
          <w:tcPr>
            <w:tcW w:w="515"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962" w:type="dxa"/>
            <w:vMerge/>
            <w:tcBorders>
              <w:left w:val="single" w:sz="4" w:space="0" w:color="000000"/>
              <w:bottom w:val="single" w:sz="4" w:space="0" w:color="000000"/>
              <w:right w:val="single" w:sz="4" w:space="0" w:color="000000"/>
            </w:tcBorders>
            <w:shd w:val="clear" w:color="auto" w:fill="C7EDCC"/>
          </w:tcPr>
          <w:p>
            <w:pPr/>
          </w:p>
        </w:tc>
        <w:tc>
          <w:tcPr>
            <w:tcW w:w="728" w:type="dxa"/>
            <w:vMerge/>
            <w:tcBorders>
              <w:left w:val="single" w:sz="4" w:space="0" w:color="000000"/>
              <w:bottom w:val="single" w:sz="4" w:space="0" w:color="000000"/>
              <w:right w:val="single" w:sz="4" w:space="0" w:color="000000"/>
            </w:tcBorders>
            <w:shd w:val="clear" w:color="auto" w:fill="C7EDCC"/>
          </w:tcPr>
          <w:p>
            <w:pPr/>
          </w:p>
        </w:tc>
        <w:tc>
          <w:tcPr>
            <w:tcW w:w="3591" w:type="dxa"/>
            <w:vMerge/>
            <w:tcBorders>
              <w:left w:val="single" w:sz="4" w:space="0" w:color="000000"/>
              <w:bottom w:val="single" w:sz="4" w:space="0" w:color="000000"/>
              <w:right w:val="single" w:sz="4" w:space="0" w:color="000000"/>
            </w:tcBorders>
            <w:shd w:val="clear" w:color="auto" w:fill="C7EDCC"/>
          </w:tcPr>
          <w:p>
            <w:pPr/>
          </w:p>
        </w:tc>
        <w:tc>
          <w:tcPr>
            <w:tcW w:w="518" w:type="dxa"/>
            <w:vMerge/>
            <w:tcBorders>
              <w:left w:val="single" w:sz="4" w:space="0" w:color="000000"/>
              <w:bottom w:val="single" w:sz="4" w:space="0" w:color="000000"/>
              <w:right w:val="single" w:sz="4" w:space="0" w:color="000000"/>
            </w:tcBorders>
          </w:tcPr>
          <w:p>
            <w:pPr/>
          </w:p>
        </w:tc>
        <w:tc>
          <w:tcPr>
            <w:tcW w:w="896" w:type="dxa"/>
            <w:vMerge/>
            <w:tcBorders>
              <w:left w:val="single" w:sz="4" w:space="0" w:color="000000"/>
              <w:bottom w:val="single" w:sz="4" w:space="0" w:color="000000"/>
              <w:right w:val="single" w:sz="4" w:space="0" w:color="000000"/>
            </w:tcBorders>
            <w:shd w:val="clear" w:color="auto" w:fill="C7EDCC"/>
          </w:tcPr>
          <w:p>
            <w:pPr/>
          </w:p>
        </w:tc>
        <w:tc>
          <w:tcPr>
            <w:tcW w:w="2483" w:type="dxa"/>
            <w:vMerge/>
            <w:tcBorders>
              <w:left w:val="single" w:sz="4" w:space="0" w:color="000000"/>
              <w:bottom w:val="single" w:sz="4" w:space="0" w:color="000000"/>
              <w:right w:val="single" w:sz="4" w:space="0" w:color="000000"/>
            </w:tcBorders>
            <w:shd w:val="clear" w:color="auto" w:fill="C7EDCC"/>
          </w:tcPr>
          <w:p>
            <w:pPr/>
          </w:p>
        </w:tc>
      </w:tr>
      <w:tr>
        <w:trPr>
          <w:trHeight w:val="357" w:hRule="exact"/>
        </w:trPr>
        <w:tc>
          <w:tcPr>
            <w:tcW w:w="515"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962" w:type="dxa"/>
            <w:vMerge w:val="restart"/>
            <w:tcBorders>
              <w:top w:val="single" w:sz="4" w:space="0" w:color="000000"/>
              <w:left w:val="single" w:sz="4" w:space="0" w:color="000000"/>
              <w:right w:val="single" w:sz="4" w:space="0" w:color="000000"/>
            </w:tcBorders>
            <w:shd w:val="clear" w:color="auto" w:fill="C7EDCC"/>
          </w:tcPr>
          <w:p>
            <w:pPr/>
          </w:p>
        </w:tc>
        <w:tc>
          <w:tcPr>
            <w:tcW w:w="728" w:type="dxa"/>
            <w:vMerge w:val="restart"/>
            <w:tcBorders>
              <w:top w:val="single" w:sz="4" w:space="0" w:color="000000"/>
              <w:left w:val="single" w:sz="4" w:space="0" w:color="000000"/>
              <w:right w:val="single" w:sz="4" w:space="0" w:color="000000"/>
            </w:tcBorders>
            <w:shd w:val="clear" w:color="auto" w:fill="C7EDCC"/>
          </w:tcPr>
          <w:p>
            <w:pPr/>
          </w:p>
        </w:tc>
        <w:tc>
          <w:tcPr>
            <w:tcW w:w="3591" w:type="dxa"/>
            <w:vMerge w:val="restart"/>
            <w:tcBorders>
              <w:top w:val="single" w:sz="4" w:space="0" w:color="000000"/>
              <w:left w:val="single" w:sz="4" w:space="0" w:color="000000"/>
              <w:right w:val="single" w:sz="4" w:space="0" w:color="000000"/>
            </w:tcBorders>
            <w:shd w:val="clear" w:color="auto" w:fill="C7EDCC"/>
          </w:tcPr>
          <w:p>
            <w:pPr/>
          </w:p>
        </w:tc>
        <w:tc>
          <w:tcPr>
            <w:tcW w:w="518" w:type="dxa"/>
            <w:vMerge w:val="restart"/>
            <w:tcBorders>
              <w:top w:val="single" w:sz="4" w:space="0" w:color="000000"/>
              <w:left w:val="single" w:sz="4" w:space="0" w:color="000000"/>
              <w:right w:val="single" w:sz="4" w:space="0" w:color="000000"/>
            </w:tcBorders>
          </w:tcPr>
          <w:p>
            <w:pPr/>
          </w:p>
        </w:tc>
        <w:tc>
          <w:tcPr>
            <w:tcW w:w="896" w:type="dxa"/>
            <w:vMerge w:val="restart"/>
            <w:tcBorders>
              <w:top w:val="single" w:sz="4" w:space="0" w:color="000000"/>
              <w:left w:val="single" w:sz="4" w:space="0" w:color="000000"/>
              <w:right w:val="single" w:sz="4" w:space="0" w:color="000000"/>
            </w:tcBorders>
            <w:shd w:val="clear" w:color="auto" w:fill="C7EDCC"/>
          </w:tcPr>
          <w:p>
            <w:pPr/>
          </w:p>
        </w:tc>
        <w:tc>
          <w:tcPr>
            <w:tcW w:w="2483" w:type="dxa"/>
            <w:vMerge w:val="restart"/>
            <w:tcBorders>
              <w:top w:val="single" w:sz="4" w:space="0" w:color="000000"/>
              <w:left w:val="single" w:sz="4" w:space="0" w:color="000000"/>
              <w:right w:val="single" w:sz="4" w:space="0" w:color="000000"/>
            </w:tcBorders>
            <w:shd w:val="clear" w:color="auto" w:fill="C7EDCC"/>
          </w:tcPr>
          <w:p>
            <w:pPr/>
          </w:p>
        </w:tc>
      </w:tr>
      <w:tr>
        <w:trPr>
          <w:trHeight w:val="312" w:hRule="exact"/>
        </w:trPr>
        <w:tc>
          <w:tcPr>
            <w:tcW w:w="51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激励</w:t>
            </w: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vMerge/>
            <w:tcBorders>
              <w:left w:val="single" w:sz="4" w:space="0" w:color="000000"/>
              <w:right w:val="single" w:sz="4" w:space="0" w:color="000000"/>
            </w:tcBorders>
            <w:shd w:val="clear" w:color="auto" w:fill="C7EDCC"/>
          </w:tcPr>
          <w:p>
            <w:pP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57" w:hRule="exact"/>
        </w:trPr>
        <w:tc>
          <w:tcPr>
            <w:tcW w:w="515"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962" w:type="dxa"/>
            <w:vMerge/>
            <w:tcBorders>
              <w:left w:val="single" w:sz="4" w:space="0" w:color="000000"/>
              <w:bottom w:val="single" w:sz="4" w:space="0" w:color="000000"/>
              <w:right w:val="single" w:sz="4" w:space="0" w:color="000000"/>
            </w:tcBorders>
            <w:shd w:val="clear" w:color="auto" w:fill="C7EDCC"/>
          </w:tcPr>
          <w:p>
            <w:pPr/>
          </w:p>
        </w:tc>
        <w:tc>
          <w:tcPr>
            <w:tcW w:w="728" w:type="dxa"/>
            <w:vMerge/>
            <w:tcBorders>
              <w:left w:val="single" w:sz="4" w:space="0" w:color="000000"/>
              <w:bottom w:val="single" w:sz="4" w:space="0" w:color="000000"/>
              <w:right w:val="single" w:sz="4" w:space="0" w:color="000000"/>
            </w:tcBorders>
            <w:shd w:val="clear" w:color="auto" w:fill="C7EDCC"/>
          </w:tcPr>
          <w:p>
            <w:pPr/>
          </w:p>
        </w:tc>
        <w:tc>
          <w:tcPr>
            <w:tcW w:w="3591" w:type="dxa"/>
            <w:vMerge/>
            <w:tcBorders>
              <w:left w:val="single" w:sz="4" w:space="0" w:color="000000"/>
              <w:bottom w:val="single" w:sz="4" w:space="0" w:color="000000"/>
              <w:right w:val="single" w:sz="4" w:space="0" w:color="000000"/>
            </w:tcBorders>
            <w:shd w:val="clear" w:color="auto" w:fill="C7EDCC"/>
          </w:tcPr>
          <w:p>
            <w:pPr/>
          </w:p>
        </w:tc>
        <w:tc>
          <w:tcPr>
            <w:tcW w:w="518" w:type="dxa"/>
            <w:vMerge/>
            <w:tcBorders>
              <w:left w:val="single" w:sz="4" w:space="0" w:color="000000"/>
              <w:bottom w:val="single" w:sz="4" w:space="0" w:color="000000"/>
              <w:right w:val="single" w:sz="4" w:space="0" w:color="000000"/>
            </w:tcBorders>
          </w:tcPr>
          <w:p>
            <w:pPr/>
          </w:p>
        </w:tc>
        <w:tc>
          <w:tcPr>
            <w:tcW w:w="896" w:type="dxa"/>
            <w:vMerge/>
            <w:tcBorders>
              <w:left w:val="single" w:sz="4" w:space="0" w:color="000000"/>
              <w:bottom w:val="single" w:sz="4" w:space="0" w:color="000000"/>
              <w:right w:val="single" w:sz="4" w:space="0" w:color="000000"/>
            </w:tcBorders>
            <w:shd w:val="clear" w:color="auto" w:fill="C7EDCC"/>
          </w:tcPr>
          <w:p>
            <w:pPr/>
          </w:p>
        </w:tc>
        <w:tc>
          <w:tcPr>
            <w:tcW w:w="2483" w:type="dxa"/>
            <w:vMerge/>
            <w:tcBorders>
              <w:left w:val="single" w:sz="4" w:space="0" w:color="000000"/>
              <w:bottom w:val="single" w:sz="4" w:space="0" w:color="000000"/>
              <w:right w:val="single" w:sz="4" w:space="0" w:color="000000"/>
            </w:tcBorders>
            <w:shd w:val="clear" w:color="auto" w:fill="C7EDCC"/>
          </w:tcPr>
          <w:p>
            <w:pPr/>
          </w:p>
        </w:tc>
      </w:tr>
      <w:tr>
        <w:trPr>
          <w:trHeight w:val="1573" w:hRule="exact"/>
        </w:trPr>
        <w:tc>
          <w:tcPr>
            <w:tcW w:w="515" w:type="dxa"/>
            <w:tcBorders>
              <w:top w:val="single" w:sz="4" w:space="0" w:color="000000"/>
              <w:left w:val="single" w:sz="4" w:space="0" w:color="000000"/>
              <w:bottom w:val="nil" w:sz="6" w:space="0" w:color="auto"/>
              <w:right w:val="single" w:sz="4" w:space="0" w:color="000000"/>
            </w:tcBorders>
            <w:shd w:val="clear" w:color="auto" w:fill="D3D3D3"/>
          </w:tcPr>
          <w:p>
            <w:pPr/>
          </w:p>
        </w:tc>
        <w:tc>
          <w:tcPr>
            <w:tcW w:w="962"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29"/>
              <w:jc w:val="both"/>
              <w:rPr>
                <w:rFonts w:ascii="宋体" w:hAnsi="宋体" w:cs="宋体" w:eastAsia="宋体" w:hint="default"/>
                <w:sz w:val="18"/>
                <w:szCs w:val="18"/>
              </w:rPr>
            </w:pPr>
            <w:r>
              <w:rPr>
                <w:rFonts w:ascii="宋体" w:hAnsi="宋体" w:cs="宋体" w:eastAsia="宋体" w:hint="default"/>
                <w:sz w:val="18"/>
                <w:szCs w:val="18"/>
              </w:rPr>
              <w:t>浙江华媒控 股股份有限 公司</w:t>
            </w:r>
          </w:p>
        </w:tc>
        <w:tc>
          <w:tcPr>
            <w:tcW w:w="72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52"/>
              <w:jc w:val="left"/>
              <w:rPr>
                <w:rFonts w:ascii="宋体" w:hAnsi="宋体" w:cs="宋体" w:eastAsia="宋体" w:hint="default"/>
                <w:sz w:val="18"/>
                <w:szCs w:val="18"/>
              </w:rPr>
            </w:pPr>
            <w:r>
              <w:rPr>
                <w:rFonts w:ascii="宋体" w:hAnsi="宋体" w:cs="宋体" w:eastAsia="宋体" w:hint="default"/>
                <w:sz w:val="18"/>
                <w:szCs w:val="18"/>
              </w:rPr>
              <w:t>其他承 诺</w:t>
            </w:r>
          </w:p>
        </w:tc>
        <w:tc>
          <w:tcPr>
            <w:tcW w:w="3591"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在本次对外提供财务资助后的十二个月内，不</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使用闲置募集资金暂时补充流动资金、将募集</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资金投向变更为永久性补充流动资金、将超募</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资金永久性用于补充流动资金或者归还银行 贷款。</w:t>
            </w:r>
          </w:p>
        </w:tc>
        <w:tc>
          <w:tcPr>
            <w:tcW w:w="5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6"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2016-10-27</w:t>
            </w:r>
          </w:p>
        </w:tc>
        <w:tc>
          <w:tcPr>
            <w:tcW w:w="2483"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履行之中</w:t>
            </w:r>
          </w:p>
        </w:tc>
      </w:tr>
      <w:tr>
        <w:trPr>
          <w:trHeight w:val="77" w:hRule="exact"/>
        </w:trPr>
        <w:tc>
          <w:tcPr>
            <w:tcW w:w="515" w:type="dxa"/>
            <w:vMerge w:val="restart"/>
            <w:tcBorders>
              <w:top w:val="nil" w:sz="6" w:space="0" w:color="auto"/>
              <w:left w:val="single" w:sz="4" w:space="0" w:color="000000"/>
              <w:right w:val="single" w:sz="4" w:space="0" w:color="000000"/>
            </w:tcBorders>
            <w:shd w:val="clear" w:color="auto" w:fill="D3D3D3"/>
          </w:tcPr>
          <w:p>
            <w:pPr>
              <w:pStyle w:val="TableParagraph"/>
              <w:spacing w:line="213" w:lineRule="exact"/>
              <w:ind w:left="22" w:right="0"/>
              <w:jc w:val="both"/>
              <w:rPr>
                <w:rFonts w:ascii="宋体" w:hAnsi="宋体" w:cs="宋体" w:eastAsia="宋体" w:hint="default"/>
                <w:sz w:val="18"/>
                <w:szCs w:val="18"/>
              </w:rPr>
            </w:pPr>
            <w:r>
              <w:rPr>
                <w:rFonts w:ascii="宋体" w:hAnsi="宋体" w:cs="宋体" w:eastAsia="宋体" w:hint="default"/>
                <w:sz w:val="18"/>
                <w:szCs w:val="18"/>
              </w:rPr>
              <w:t>其他</w:t>
            </w:r>
          </w:p>
          <w:p>
            <w:pPr>
              <w:pStyle w:val="TableParagraph"/>
              <w:spacing w:line="319" w:lineRule="auto" w:before="75"/>
              <w:ind w:left="22" w:right="120"/>
              <w:jc w:val="both"/>
              <w:rPr>
                <w:rFonts w:ascii="宋体" w:hAnsi="宋体" w:cs="宋体" w:eastAsia="宋体" w:hint="default"/>
                <w:sz w:val="18"/>
                <w:szCs w:val="18"/>
              </w:rPr>
            </w:pPr>
            <w:r>
              <w:rPr>
                <w:rFonts w:ascii="宋体" w:hAnsi="宋体" w:cs="宋体" w:eastAsia="宋体" w:hint="default"/>
                <w:sz w:val="18"/>
                <w:szCs w:val="18"/>
              </w:rPr>
              <w:t>对公 司中 小股 东所 作承 诺</w:t>
            </w:r>
          </w:p>
        </w:tc>
        <w:tc>
          <w:tcPr>
            <w:tcW w:w="962" w:type="dxa"/>
            <w:tcBorders>
              <w:top w:val="nil" w:sz="6" w:space="0" w:color="auto"/>
              <w:left w:val="single" w:sz="4" w:space="0" w:color="000000"/>
              <w:bottom w:val="single" w:sz="4" w:space="0" w:color="000000"/>
              <w:right w:val="single" w:sz="4" w:space="0" w:color="000000"/>
            </w:tcBorders>
            <w:shd w:val="clear" w:color="auto" w:fill="C7EDCC"/>
          </w:tcPr>
          <w:p>
            <w:pPr/>
          </w:p>
        </w:tc>
        <w:tc>
          <w:tcPr>
            <w:tcW w:w="728" w:type="dxa"/>
            <w:tcBorders>
              <w:top w:val="nil" w:sz="6" w:space="0" w:color="auto"/>
              <w:left w:val="single" w:sz="4" w:space="0" w:color="000000"/>
              <w:bottom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single" w:sz="4" w:space="0" w:color="000000"/>
              <w:right w:val="single" w:sz="4" w:space="0" w:color="000000"/>
            </w:tcBorders>
            <w:shd w:val="clear" w:color="auto" w:fill="C7EDCC"/>
          </w:tcPr>
          <w:p>
            <w:pPr/>
          </w:p>
        </w:tc>
        <w:tc>
          <w:tcPr>
            <w:tcW w:w="518"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shd w:val="clear" w:color="auto" w:fill="C7EDCC"/>
          </w:tcPr>
          <w:p>
            <w:pPr/>
          </w:p>
        </w:tc>
        <w:tc>
          <w:tcPr>
            <w:tcW w:w="2483"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2230" w:hRule="exact"/>
        </w:trPr>
        <w:tc>
          <w:tcPr>
            <w:tcW w:w="515" w:type="dxa"/>
            <w:vMerge/>
            <w:tcBorders>
              <w:left w:val="single" w:sz="4" w:space="0" w:color="000000"/>
              <w:bottom w:val="nil" w:sz="6" w:space="0" w:color="auto"/>
              <w:right w:val="single" w:sz="4" w:space="0" w:color="000000"/>
            </w:tcBorders>
            <w:shd w:val="clear" w:color="auto" w:fill="D3D3D3"/>
          </w:tcPr>
          <w:p>
            <w:pPr/>
          </w:p>
        </w:tc>
        <w:tc>
          <w:tcPr>
            <w:tcW w:w="962"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29"/>
              <w:jc w:val="left"/>
              <w:rPr>
                <w:rFonts w:ascii="宋体" w:hAnsi="宋体" w:cs="宋体" w:eastAsia="宋体" w:hint="default"/>
                <w:sz w:val="18"/>
                <w:szCs w:val="18"/>
              </w:rPr>
            </w:pPr>
            <w:r>
              <w:rPr>
                <w:rFonts w:ascii="宋体" w:hAnsi="宋体" w:cs="宋体" w:eastAsia="宋体" w:hint="default"/>
                <w:sz w:val="18"/>
                <w:szCs w:val="18"/>
              </w:rPr>
              <w:t>华立集团股 份有限公司</w:t>
            </w:r>
          </w:p>
        </w:tc>
        <w:tc>
          <w:tcPr>
            <w:tcW w:w="72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152"/>
              <w:jc w:val="left"/>
              <w:rPr>
                <w:rFonts w:ascii="宋体" w:hAnsi="宋体" w:cs="宋体" w:eastAsia="宋体" w:hint="default"/>
                <w:sz w:val="18"/>
                <w:szCs w:val="18"/>
              </w:rPr>
            </w:pPr>
            <w:r>
              <w:rPr>
                <w:rFonts w:ascii="宋体" w:hAnsi="宋体" w:cs="宋体" w:eastAsia="宋体" w:hint="default"/>
                <w:sz w:val="18"/>
                <w:szCs w:val="18"/>
              </w:rPr>
              <w:t>股份增 持承诺</w:t>
            </w:r>
          </w:p>
        </w:tc>
        <w:tc>
          <w:tcPr>
            <w:tcW w:w="3591"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21"/>
              <w:jc w:val="left"/>
              <w:rPr>
                <w:rFonts w:ascii="宋体" w:hAnsi="宋体" w:cs="宋体" w:eastAsia="宋体" w:hint="default"/>
                <w:sz w:val="18"/>
                <w:szCs w:val="18"/>
              </w:rPr>
            </w:pPr>
            <w:r>
              <w:rPr>
                <w:rFonts w:ascii="宋体" w:hAnsi="宋体" w:cs="宋体" w:eastAsia="宋体" w:hint="default"/>
                <w:sz w:val="18"/>
                <w:szCs w:val="18"/>
              </w:rPr>
              <w:t>华立集团股份有限公司拟在公司股价低于合 </w:t>
            </w:r>
            <w:r>
              <w:rPr>
                <w:rFonts w:ascii="宋体" w:hAnsi="宋体" w:cs="宋体" w:eastAsia="宋体" w:hint="default"/>
                <w:spacing w:val="-4"/>
                <w:sz w:val="18"/>
                <w:szCs w:val="18"/>
              </w:rPr>
              <w:t>理价值时通过证券公司、基金管理公司定向资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产管理等方式择机增持公司股票，累计增持金</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额不低于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1,451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万元，并承诺通过上述方式购</w:t>
            </w:r>
          </w:p>
          <w:p>
            <w:pPr>
              <w:pStyle w:val="TableParagraph"/>
              <w:spacing w:line="302" w:lineRule="auto"/>
              <w:ind w:left="22" w:right="21"/>
              <w:jc w:val="left"/>
              <w:rPr>
                <w:rFonts w:ascii="宋体" w:hAnsi="宋体" w:cs="宋体" w:eastAsia="宋体" w:hint="default"/>
                <w:sz w:val="18"/>
                <w:szCs w:val="18"/>
              </w:rPr>
            </w:pPr>
            <w:r>
              <w:rPr>
                <w:rFonts w:ascii="宋体" w:hAnsi="宋体" w:cs="宋体" w:eastAsia="宋体" w:hint="default"/>
                <w:sz w:val="18"/>
                <w:szCs w:val="18"/>
              </w:rPr>
              <w:t>买的股票在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个月内不予减持。本次增持计划</w:t>
            </w:r>
            <w:r>
              <w:rPr>
                <w:rFonts w:ascii="宋体" w:hAnsi="宋体" w:cs="宋体" w:eastAsia="宋体" w:hint="default"/>
                <w:sz w:val="18"/>
                <w:szCs w:val="18"/>
              </w:rPr>
              <w:t> 将在符合相关法律法规和规则的前提下实施</w:t>
            </w:r>
          </w:p>
        </w:tc>
        <w:tc>
          <w:tcPr>
            <w:tcW w:w="51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before="76"/>
              <w:ind w:left="-149" w:right="0"/>
              <w:jc w:val="left"/>
              <w:rPr>
                <w:rFonts w:ascii="宋体" w:hAnsi="宋体" w:cs="宋体" w:eastAsia="宋体" w:hint="default"/>
                <w:sz w:val="18"/>
                <w:szCs w:val="18"/>
              </w:rPr>
            </w:pPr>
            <w:r>
              <w:rPr>
                <w:rFonts w:ascii="宋体" w:hAnsi="宋体" w:cs="宋体" w:eastAsia="宋体" w:hint="default"/>
                <w:sz w:val="18"/>
                <w:szCs w:val="18"/>
              </w:rPr>
              <w:t>。</w:t>
            </w:r>
          </w:p>
        </w:tc>
        <w:tc>
          <w:tcPr>
            <w:tcW w:w="896"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
              <w:jc w:val="center"/>
              <w:rPr>
                <w:rFonts w:ascii="Times New Roman" w:hAnsi="Times New Roman" w:cs="Times New Roman" w:eastAsia="Times New Roman" w:hint="default"/>
                <w:sz w:val="18"/>
                <w:szCs w:val="18"/>
              </w:rPr>
            </w:pPr>
            <w:r>
              <w:rPr>
                <w:rFonts w:ascii="Times New Roman"/>
                <w:sz w:val="18"/>
              </w:rPr>
              <w:t>2016-02-16</w:t>
            </w:r>
          </w:p>
        </w:tc>
        <w:tc>
          <w:tcPr>
            <w:tcW w:w="2483"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华立集团股份有限公司于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日通过华安资产华立</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增持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号资产管理计划增持了</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公司公司股份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139.54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万股，平</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均增持股价为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股，累</w:t>
            </w:r>
          </w:p>
          <w:p>
            <w:pPr>
              <w:pStyle w:val="TableParagraph"/>
              <w:spacing w:line="300" w:lineRule="auto" w:before="63"/>
              <w:ind w:left="22" w:right="108"/>
              <w:jc w:val="left"/>
              <w:rPr>
                <w:rFonts w:ascii="宋体" w:hAnsi="宋体" w:cs="宋体" w:eastAsia="宋体" w:hint="default"/>
                <w:sz w:val="18"/>
                <w:szCs w:val="18"/>
              </w:rPr>
            </w:pPr>
            <w:r>
              <w:rPr>
                <w:rFonts w:ascii="宋体" w:hAnsi="宋体" w:cs="宋体" w:eastAsia="宋体" w:hint="default"/>
                <w:sz w:val="18"/>
                <w:szCs w:val="18"/>
              </w:rPr>
              <w:t>计增持金额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1,458.23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万元。本 次增持股份占本公司总股本</w:t>
            </w:r>
          </w:p>
        </w:tc>
      </w:tr>
      <w:tr>
        <w:trPr>
          <w:trHeight w:val="356" w:hRule="exact"/>
        </w:trPr>
        <w:tc>
          <w:tcPr>
            <w:tcW w:w="515" w:type="dxa"/>
            <w:tcBorders>
              <w:top w:val="nil" w:sz="6" w:space="0" w:color="auto"/>
              <w:left w:val="single" w:sz="4" w:space="0" w:color="000000"/>
              <w:bottom w:val="nil" w:sz="6" w:space="0" w:color="auto"/>
              <w:right w:val="single" w:sz="4" w:space="0" w:color="000000"/>
            </w:tcBorders>
            <w:shd w:val="clear" w:color="auto" w:fill="D3D3D3"/>
          </w:tcPr>
          <w:p>
            <w:pPr/>
          </w:p>
        </w:tc>
        <w:tc>
          <w:tcPr>
            <w:tcW w:w="962" w:type="dxa"/>
            <w:tcBorders>
              <w:top w:val="nil" w:sz="6" w:space="0" w:color="auto"/>
              <w:left w:val="single" w:sz="4" w:space="0" w:color="000000"/>
              <w:bottom w:val="single" w:sz="4" w:space="0" w:color="000000"/>
              <w:right w:val="single" w:sz="4" w:space="0" w:color="000000"/>
            </w:tcBorders>
            <w:shd w:val="clear" w:color="auto" w:fill="C7EDCC"/>
          </w:tcPr>
          <w:p>
            <w:pPr/>
          </w:p>
        </w:tc>
        <w:tc>
          <w:tcPr>
            <w:tcW w:w="728" w:type="dxa"/>
            <w:tcBorders>
              <w:top w:val="nil" w:sz="6" w:space="0" w:color="auto"/>
              <w:left w:val="single" w:sz="4" w:space="0" w:color="000000"/>
              <w:bottom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single" w:sz="4" w:space="0" w:color="000000"/>
              <w:right w:val="single" w:sz="4" w:space="0" w:color="000000"/>
            </w:tcBorders>
            <w:shd w:val="clear" w:color="auto" w:fill="C7EDCC"/>
          </w:tcPr>
          <w:p>
            <w:pPr/>
          </w:p>
        </w:tc>
        <w:tc>
          <w:tcPr>
            <w:tcW w:w="518"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shd w:val="clear" w:color="auto" w:fill="C7EDCC"/>
          </w:tcPr>
          <w:p>
            <w:pPr/>
          </w:p>
        </w:tc>
        <w:tc>
          <w:tcPr>
            <w:tcW w:w="2483"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101,769.84 </w:t>
            </w:r>
            <w:r>
              <w:rPr>
                <w:rFonts w:ascii="宋体" w:hAnsi="宋体" w:cs="宋体" w:eastAsia="宋体" w:hint="default"/>
                <w:sz w:val="18"/>
                <w:szCs w:val="18"/>
              </w:rPr>
              <w:t>万股的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0.14%</w:t>
            </w:r>
            <w:r>
              <w:rPr>
                <w:rFonts w:ascii="宋体" w:hAnsi="宋体" w:cs="宋体" w:eastAsia="宋体" w:hint="default"/>
                <w:sz w:val="18"/>
                <w:szCs w:val="18"/>
              </w:rPr>
              <w:t>。</w:t>
            </w:r>
          </w:p>
        </w:tc>
      </w:tr>
      <w:tr>
        <w:trPr>
          <w:trHeight w:val="1026" w:hRule="exact"/>
        </w:trPr>
        <w:tc>
          <w:tcPr>
            <w:tcW w:w="515" w:type="dxa"/>
            <w:tcBorders>
              <w:top w:val="nil" w:sz="6" w:space="0" w:color="auto"/>
              <w:left w:val="single" w:sz="4" w:space="0" w:color="000000"/>
              <w:bottom w:val="single" w:sz="4" w:space="0" w:color="000000"/>
              <w:right w:val="single" w:sz="4" w:space="0" w:color="000000"/>
            </w:tcBorders>
            <w:shd w:val="clear" w:color="auto" w:fill="D3D3D3"/>
          </w:tcPr>
          <w:p>
            <w:pPr/>
          </w:p>
        </w:tc>
        <w:tc>
          <w:tcPr>
            <w:tcW w:w="96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陈黎明</w:t>
            </w:r>
          </w:p>
        </w:tc>
        <w:tc>
          <w:tcPr>
            <w:tcW w:w="72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3" w:right="152"/>
              <w:jc w:val="both"/>
              <w:rPr>
                <w:rFonts w:ascii="宋体" w:hAnsi="宋体" w:cs="宋体" w:eastAsia="宋体" w:hint="default"/>
                <w:sz w:val="18"/>
                <w:szCs w:val="18"/>
              </w:rPr>
            </w:pPr>
            <w:r>
              <w:rPr>
                <w:rFonts w:ascii="宋体" w:hAnsi="宋体" w:cs="宋体" w:eastAsia="宋体" w:hint="default"/>
                <w:sz w:val="18"/>
                <w:szCs w:val="18"/>
              </w:rPr>
              <w:t>业绩承 诺及补 偿安排</w:t>
            </w:r>
          </w:p>
        </w:tc>
        <w:tc>
          <w:tcPr>
            <w:tcW w:w="35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在本次交易完成后的第一阶段利润补偿期间</w:t>
            </w:r>
          </w:p>
          <w:p>
            <w:pPr>
              <w:pStyle w:val="TableParagraph"/>
              <w:spacing w:line="300" w:lineRule="auto" w:before="75"/>
              <w:ind w:left="22" w:right="2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年）承诺，公司业绩将以具 有证券从业资质的审计机构确定的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年预</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tc>
        <w:tc>
          <w:tcPr>
            <w:tcW w:w="8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2017-12-31</w:t>
            </w:r>
          </w:p>
        </w:tc>
        <w:tc>
          <w:tcPr>
            <w:tcW w:w="248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年承诺已履行完毕，其余 履行之中</w:t>
            </w:r>
          </w:p>
        </w:tc>
      </w:tr>
    </w:tbl>
    <w:p>
      <w:pPr>
        <w:spacing w:after="0" w:line="30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r>
        <w:rPr/>
        <w:pict>
          <v:group style="position:absolute;margin-left:345.420013pt;margin-top:71.930pt;width:24.25pt;height:18.75pt;mso-position-horizontal-relative:page;mso-position-vertical-relative:page;z-index:-1260232" coordorigin="6908,1439" coordsize="485,375">
            <v:group style="position:absolute;left:6920;top:1450;width:2;height:352" coordorigin="6920,1450" coordsize="2,352">
              <v:shape style="position:absolute;left:6920;top:1450;width:2;height:352" coordorigin="6920,1450" coordsize="0,352" path="m6920,1450l6920,1802e" filled="false" stroked="true" strokeweight="1.140pt" strokecolor="#ffffff">
                <v:path arrowok="t"/>
              </v:shape>
            </v:group>
            <v:group style="position:absolute;left:6931;top:1450;width:462;height:353" coordorigin="6931,1450" coordsize="462,353">
              <v:shape style="position:absolute;left:6931;top:1450;width:462;height:353" coordorigin="6931,1450" coordsize="462,353" path="m6931,1802l7393,1802,7393,1450,6931,1450,6931,1802xe" filled="true" fillcolor="#ffffff" stroked="false">
                <v:path arrowok="t"/>
                <v:fill type="solid"/>
              </v:shape>
            </v:group>
            <w10:wrap type="none"/>
          </v:group>
        </w:pict>
      </w:r>
      <w:r>
        <w:rPr/>
        <w:pict>
          <v:group style="position:absolute;margin-left:345.420013pt;margin-top:714.299988pt;width:25.4pt;height:53.6pt;mso-position-horizontal-relative:page;mso-position-vertical-relative:page;z-index:-1260208" coordorigin="6908,14286" coordsize="508,1072">
            <v:shape style="position:absolute;left:6908;top:14286;width:508;height:1072" coordorigin="6908,14286" coordsize="508,1072" path="m6908,15358l7416,15358,7416,14286,6908,14286,6908,15358xe" filled="true" fillcolor="#ffffff" stroked="false">
              <v:path arrowok="t"/>
              <v:fill type="solid"/>
            </v:shape>
            <w10:wrap type="none"/>
          </v:group>
        </w:pict>
      </w:r>
      <w:r>
        <w:rPr/>
        <w:pict>
          <v:group style="position:absolute;margin-left:345.420013pt;margin-top:594.299988pt;width:25.4pt;height:53.6pt;mso-position-horizontal-relative:page;mso-position-vertical-relative:page;z-index:-1260184" coordorigin="6908,11886" coordsize="508,1072">
            <v:shape style="position:absolute;left:6908;top:11886;width:508;height:1072" coordorigin="6908,11886" coordsize="508,1072" path="m6908,12958l7416,12958,7416,11886,6908,11886,6908,12958xe" filled="true" fillcolor="#ffffff" stroked="false">
              <v:path arrowok="t"/>
              <v:fill type="solid"/>
            </v:shape>
            <w10:wrap type="none"/>
          </v:group>
        </w:pict>
      </w:r>
    </w:p>
    <w:tbl>
      <w:tblPr>
        <w:tblW w:w="0" w:type="auto"/>
        <w:jc w:val="left"/>
        <w:tblInd w:w="121" w:type="dxa"/>
        <w:tblLayout w:type="fixed"/>
        <w:tblCellMar>
          <w:top w:w="0" w:type="dxa"/>
          <w:left w:w="0" w:type="dxa"/>
          <w:bottom w:w="0" w:type="dxa"/>
          <w:right w:w="0" w:type="dxa"/>
        </w:tblCellMar>
        <w:tblLook w:val="01E0"/>
      </w:tblPr>
      <w:tblGrid>
        <w:gridCol w:w="515"/>
        <w:gridCol w:w="962"/>
        <w:gridCol w:w="728"/>
        <w:gridCol w:w="3591"/>
        <w:gridCol w:w="518"/>
        <w:gridCol w:w="896"/>
        <w:gridCol w:w="2483"/>
      </w:tblGrid>
      <w:tr>
        <w:trPr>
          <w:trHeight w:val="322" w:hRule="exact"/>
        </w:trPr>
        <w:tc>
          <w:tcPr>
            <w:tcW w:w="515" w:type="dxa"/>
            <w:vMerge w:val="restart"/>
            <w:tcBorders>
              <w:top w:val="single" w:sz="4" w:space="0" w:color="000000"/>
              <w:left w:val="single" w:sz="4" w:space="0" w:color="000000"/>
              <w:right w:val="single" w:sz="4" w:space="0" w:color="000000"/>
            </w:tcBorders>
            <w:shd w:val="clear" w:color="auto" w:fill="D3D3D3"/>
          </w:tcPr>
          <w:p>
            <w:pPr/>
          </w:p>
        </w:tc>
        <w:tc>
          <w:tcPr>
            <w:tcW w:w="962" w:type="dxa"/>
            <w:vMerge w:val="restart"/>
            <w:tcBorders>
              <w:top w:val="single" w:sz="4" w:space="0" w:color="000000"/>
              <w:left w:val="single" w:sz="4" w:space="0" w:color="000000"/>
              <w:right w:val="single" w:sz="4" w:space="0" w:color="000000"/>
            </w:tcBorders>
            <w:shd w:val="clear" w:color="auto" w:fill="C7EDCC"/>
          </w:tcPr>
          <w:p>
            <w:pPr/>
          </w:p>
        </w:tc>
        <w:tc>
          <w:tcPr>
            <w:tcW w:w="728" w:type="dxa"/>
            <w:vMerge w:val="restart"/>
            <w:tcBorders>
              <w:top w:val="single" w:sz="4" w:space="0" w:color="000000"/>
              <w:left w:val="single" w:sz="4" w:space="0" w:color="000000"/>
              <w:right w:val="single" w:sz="4" w:space="0" w:color="000000"/>
            </w:tcBorders>
            <w:shd w:val="clear" w:color="auto" w:fill="C7EDCC"/>
          </w:tcPr>
          <w:p>
            <w:pPr/>
          </w:p>
        </w:tc>
        <w:tc>
          <w:tcPr>
            <w:tcW w:w="3591"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10"/>
              <w:ind w:left="22" w:right="-34"/>
              <w:jc w:val="left"/>
              <w:rPr>
                <w:rFonts w:ascii="宋体" w:hAnsi="宋体" w:cs="宋体" w:eastAsia="宋体" w:hint="default"/>
                <w:sz w:val="18"/>
                <w:szCs w:val="18"/>
              </w:rPr>
            </w:pPr>
            <w:r>
              <w:rPr>
                <w:rFonts w:ascii="宋体" w:hAnsi="宋体" w:cs="宋体" w:eastAsia="宋体" w:hint="default"/>
                <w:sz w:val="18"/>
                <w:szCs w:val="18"/>
              </w:rPr>
              <w:t>测净利润数为基准，年均增长率不低于</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20%</w:t>
            </w:r>
            <w:r>
              <w:rPr>
                <w:rFonts w:ascii="宋体" w:hAnsi="宋体" w:cs="宋体" w:eastAsia="宋体" w:hint="default"/>
                <w:spacing w:val="-6"/>
                <w:sz w:val="18"/>
                <w:szCs w:val="18"/>
              </w:rPr>
              <w:t>，</w:t>
            </w:r>
            <w:r>
              <w:rPr>
                <w:rFonts w:ascii="宋体" w:hAnsi="宋体" w:cs="宋体" w:eastAsia="宋体" w:hint="default"/>
                <w:sz w:val="18"/>
                <w:szCs w:val="18"/>
              </w:rPr>
            </w:r>
          </w:p>
        </w:tc>
        <w:tc>
          <w:tcPr>
            <w:tcW w:w="5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6" w:type="dxa"/>
            <w:vMerge w:val="restart"/>
            <w:tcBorders>
              <w:top w:val="single" w:sz="4" w:space="0" w:color="000000"/>
              <w:left w:val="single" w:sz="4" w:space="0" w:color="000000"/>
              <w:right w:val="single" w:sz="4" w:space="0" w:color="000000"/>
            </w:tcBorders>
            <w:shd w:val="clear" w:color="auto" w:fill="C7EDCC"/>
          </w:tcPr>
          <w:p>
            <w:pPr/>
          </w:p>
        </w:tc>
        <w:tc>
          <w:tcPr>
            <w:tcW w:w="2483" w:type="dxa"/>
            <w:vMerge w:val="restart"/>
            <w:tcBorders>
              <w:top w:val="single" w:sz="4" w:space="0" w:color="000000"/>
              <w:left w:val="single" w:sz="4" w:space="0" w:color="000000"/>
              <w:right w:val="single" w:sz="4" w:space="0" w:color="000000"/>
            </w:tcBorders>
            <w:shd w:val="clear" w:color="auto" w:fill="C7EDCC"/>
          </w:tcPr>
          <w:p>
            <w:pPr/>
          </w:p>
        </w:tc>
      </w:tr>
      <w:tr>
        <w:trPr>
          <w:trHeight w:val="307"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即每年实现的归属母公司净利润（根据标的公</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司扣除非经常性损益前后孰低原则确定）分别</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7"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2,400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2,880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3,456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万元。如果</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07"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精典博维实际净利润低于上述承诺利润，则交</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易对方应在该年度的专项审核报告披露之日</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7"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日之内，按交易双方签署的《股权转让</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07"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协议》中相关规定所列明公式计算的金额对华</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7"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媒控股进行现金补偿</w:t>
            </w:r>
            <w:r>
              <w:rPr>
                <w:rFonts w:ascii="宋体" w:hAnsi="宋体" w:cs="宋体" w:eastAsia="宋体" w:hint="default"/>
                <w:spacing w:val="-83"/>
                <w:sz w:val="18"/>
                <w:szCs w:val="18"/>
              </w:rPr>
              <w:t>：</w:t>
            </w:r>
            <w:r>
              <w:rPr>
                <w:rFonts w:ascii="宋体" w:hAnsi="宋体" w:cs="宋体" w:eastAsia="宋体" w:hint="default"/>
                <w:sz w:val="18"/>
                <w:szCs w:val="18"/>
              </w:rPr>
              <w:t>当期应补偿的现金</w:t>
            </w:r>
            <w:r>
              <w:rPr>
                <w:rFonts w:ascii="Times New Roman" w:hAnsi="Times New Roman" w:cs="Times New Roman" w:eastAsia="Times New Roman" w:hint="default"/>
                <w:spacing w:val="-83"/>
                <w:sz w:val="18"/>
                <w:szCs w:val="18"/>
              </w:rPr>
              <w:t>=</w:t>
            </w:r>
            <w:r>
              <w:rPr>
                <w:rFonts w:ascii="宋体" w:hAnsi="宋体" w:cs="宋体" w:eastAsia="宋体" w:hint="default"/>
                <w:spacing w:val="-2"/>
                <w:sz w:val="18"/>
                <w:szCs w:val="18"/>
              </w:rPr>
              <w:t>（截</w:t>
            </w:r>
            <w:r>
              <w:rPr>
                <w:rFonts w:ascii="宋体" w:hAnsi="宋体" w:cs="宋体" w:eastAsia="宋体" w:hint="default"/>
                <w:sz w:val="18"/>
                <w:szCs w:val="18"/>
              </w:rPr>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07"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至当期期末累积承诺净利润数－截至当期期</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7"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末累积实际净利润数）</w:t>
            </w:r>
            <w:r>
              <w:rPr>
                <w:rFonts w:ascii="Times New Roman" w:hAnsi="Times New Roman" w:cs="Times New Roman" w:eastAsia="Times New Roman" w:hint="default"/>
                <w:sz w:val="18"/>
                <w:szCs w:val="18"/>
              </w:rPr>
              <w:t>÷</w:t>
            </w:r>
            <w:r>
              <w:rPr>
                <w:rFonts w:ascii="宋体" w:hAnsi="宋体" w:cs="宋体" w:eastAsia="宋体" w:hint="default"/>
                <w:sz w:val="18"/>
                <w:szCs w:val="18"/>
              </w:rPr>
              <w:t>补偿期限内各年的承</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诺净利润数总和</w:t>
            </w:r>
            <w:r>
              <w:rPr>
                <w:rFonts w:ascii="Times New Roman" w:hAnsi="Times New Roman" w:cs="Times New Roman" w:eastAsia="Times New Roman" w:hint="default"/>
                <w:sz w:val="18"/>
                <w:szCs w:val="18"/>
              </w:rPr>
              <w:t>×</w:t>
            </w:r>
            <w:r>
              <w:rPr>
                <w:rFonts w:ascii="宋体" w:hAnsi="宋体" w:cs="宋体" w:eastAsia="宋体" w:hint="default"/>
                <w:sz w:val="18"/>
                <w:szCs w:val="18"/>
              </w:rPr>
              <w:t>转让标的转让价款－已补偿</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07"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的现金。华媒控股在利润补偿期间届满后将聘</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请具有证券期货业务资格的会计师事务所对</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精典博维进行减值测试，并出具专项审核意</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见。根据上述审核意见，如转让标的期末减值</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7"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w:t>
            </w:r>
            <w:r>
              <w:rPr>
                <w:rFonts w:ascii="宋体" w:hAnsi="宋体" w:cs="宋体" w:eastAsia="宋体" w:hint="default"/>
                <w:sz w:val="18"/>
                <w:szCs w:val="18"/>
              </w:rPr>
              <w:t>转让标的评估值</w:t>
            </w:r>
            <w:r>
              <w:rPr>
                <w:rFonts w:ascii="Times New Roman" w:hAnsi="Times New Roman" w:cs="Times New Roman" w:eastAsia="Times New Roman" w:hint="default"/>
                <w:sz w:val="18"/>
                <w:szCs w:val="18"/>
              </w:rPr>
              <w:t>&gt;</w:t>
            </w:r>
            <w:r>
              <w:rPr>
                <w:rFonts w:ascii="宋体" w:hAnsi="宋体" w:cs="宋体" w:eastAsia="宋体" w:hint="default"/>
                <w:sz w:val="18"/>
                <w:szCs w:val="18"/>
              </w:rPr>
              <w:t>利润补偿期间交易对方</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已补偿现金总数</w:t>
            </w:r>
            <w:r>
              <w:rPr>
                <w:rFonts w:ascii="Times New Roman" w:hAnsi="Times New Roman" w:cs="Times New Roman" w:eastAsia="Times New Roman" w:hint="default"/>
                <w:sz w:val="18"/>
                <w:szCs w:val="18"/>
              </w:rPr>
              <w:t>÷</w:t>
            </w:r>
            <w:r>
              <w:rPr>
                <w:rFonts w:ascii="宋体" w:hAnsi="宋体" w:cs="宋体" w:eastAsia="宋体" w:hint="default"/>
                <w:sz w:val="18"/>
                <w:szCs w:val="18"/>
              </w:rPr>
              <w:t>转让标的转让价款，则交易</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07"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对方将在前述专项审核意见出具之日起二十</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日内向华媒控股另行补偿现金。另需补偿的现</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3"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金数量为：转让标的期末减值额－已补偿的现</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57"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bottom w:val="single" w:sz="4" w:space="0" w:color="000000"/>
              <w:right w:val="single" w:sz="4" w:space="0" w:color="000000"/>
            </w:tcBorders>
            <w:shd w:val="clear" w:color="auto" w:fill="C7EDCC"/>
          </w:tcPr>
          <w:p>
            <w:pPr/>
          </w:p>
        </w:tc>
        <w:tc>
          <w:tcPr>
            <w:tcW w:w="728" w:type="dxa"/>
            <w:vMerge/>
            <w:tcBorders>
              <w:left w:val="single" w:sz="4" w:space="0" w:color="000000"/>
              <w:bottom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518" w:type="dxa"/>
            <w:tcBorders>
              <w:top w:val="nil" w:sz="6" w:space="0" w:color="auto"/>
              <w:left w:val="single" w:sz="4" w:space="0" w:color="000000"/>
              <w:bottom w:val="single" w:sz="4" w:space="0" w:color="000000"/>
              <w:right w:val="single" w:sz="4" w:space="0" w:color="000000"/>
            </w:tcBorders>
          </w:tcPr>
          <w:p>
            <w:pPr/>
          </w:p>
        </w:tc>
        <w:tc>
          <w:tcPr>
            <w:tcW w:w="896" w:type="dxa"/>
            <w:vMerge/>
            <w:tcBorders>
              <w:left w:val="single" w:sz="4" w:space="0" w:color="000000"/>
              <w:bottom w:val="single" w:sz="4" w:space="0" w:color="000000"/>
              <w:right w:val="single" w:sz="4" w:space="0" w:color="000000"/>
            </w:tcBorders>
            <w:shd w:val="clear" w:color="auto" w:fill="C7EDCC"/>
          </w:tcPr>
          <w:p>
            <w:pPr/>
          </w:p>
        </w:tc>
        <w:tc>
          <w:tcPr>
            <w:tcW w:w="2483" w:type="dxa"/>
            <w:vMerge/>
            <w:tcBorders>
              <w:left w:val="single" w:sz="4" w:space="0" w:color="000000"/>
              <w:bottom w:val="single" w:sz="4" w:space="0" w:color="000000"/>
              <w:right w:val="single" w:sz="4" w:space="0" w:color="000000"/>
            </w:tcBorders>
            <w:shd w:val="clear" w:color="auto" w:fill="C7EDCC"/>
          </w:tcPr>
          <w:p>
            <w:pPr/>
          </w:p>
        </w:tc>
      </w:tr>
      <w:tr>
        <w:trPr>
          <w:trHeight w:val="362" w:hRule="exact"/>
        </w:trPr>
        <w:tc>
          <w:tcPr>
            <w:tcW w:w="515" w:type="dxa"/>
            <w:vMerge/>
            <w:tcBorders>
              <w:left w:val="single" w:sz="4" w:space="0" w:color="000000"/>
              <w:right w:val="single" w:sz="4" w:space="0" w:color="000000"/>
            </w:tcBorders>
            <w:shd w:val="clear" w:color="auto" w:fill="D3D3D3"/>
          </w:tcPr>
          <w:p>
            <w:pPr/>
          </w:p>
        </w:tc>
        <w:tc>
          <w:tcPr>
            <w:tcW w:w="962" w:type="dxa"/>
            <w:tcBorders>
              <w:top w:val="single" w:sz="4" w:space="0" w:color="000000"/>
              <w:left w:val="single" w:sz="4" w:space="0" w:color="000000"/>
              <w:bottom w:val="nil" w:sz="6" w:space="0" w:color="auto"/>
              <w:right w:val="single" w:sz="4" w:space="0" w:color="000000"/>
            </w:tcBorders>
            <w:shd w:val="clear" w:color="auto" w:fill="C7EDCC"/>
          </w:tcPr>
          <w:p>
            <w:pPr/>
          </w:p>
        </w:tc>
        <w:tc>
          <w:tcPr>
            <w:tcW w:w="728" w:type="dxa"/>
            <w:tcBorders>
              <w:top w:val="single" w:sz="4" w:space="0" w:color="000000"/>
              <w:left w:val="single" w:sz="4" w:space="0" w:color="000000"/>
              <w:bottom w:val="nil" w:sz="6" w:space="0" w:color="auto"/>
              <w:right w:val="single" w:sz="4" w:space="0" w:color="000000"/>
            </w:tcBorders>
            <w:shd w:val="clear" w:color="auto" w:fill="C7EDCC"/>
          </w:tcPr>
          <w:p>
            <w:pPr/>
          </w:p>
        </w:tc>
        <w:tc>
          <w:tcPr>
            <w:tcW w:w="3591"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合印包装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年净利润不低于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518" w:type="dxa"/>
            <w:tcBorders>
              <w:top w:val="single" w:sz="4" w:space="0" w:color="000000"/>
              <w:left w:val="single" w:sz="4" w:space="0" w:color="000000"/>
              <w:bottom w:val="nil" w:sz="6" w:space="0" w:color="auto"/>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shd w:val="clear" w:color="auto" w:fill="C7EDCC"/>
          </w:tcPr>
          <w:p>
            <w:pPr/>
          </w:p>
        </w:tc>
        <w:tc>
          <w:tcPr>
            <w:tcW w:w="2483"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1"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tcBorders>
              <w:top w:val="nil" w:sz="6" w:space="0" w:color="auto"/>
              <w:left w:val="single" w:sz="4" w:space="0" w:color="000000"/>
              <w:bottom w:val="nil" w:sz="6" w:space="0" w:color="auto"/>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年净利润不低于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3,562.5 </w:t>
            </w:r>
            <w:r>
              <w:rPr>
                <w:rFonts w:ascii="宋体" w:hAnsi="宋体" w:cs="宋体" w:eastAsia="宋体" w:hint="default"/>
                <w:spacing w:val="-10"/>
                <w:sz w:val="18"/>
                <w:szCs w:val="18"/>
              </w:rPr>
              <w:t>万元，</w:t>
            </w:r>
            <w:r>
              <w:rPr>
                <w:rFonts w:ascii="Times New Roman" w:hAnsi="Times New Roman" w:cs="Times New Roman" w:eastAsia="Times New Roman" w:hint="default"/>
                <w:spacing w:val="-10"/>
                <w:sz w:val="18"/>
                <w:szCs w:val="18"/>
              </w:rPr>
              <w:t>2017</w:t>
            </w:r>
            <w:r>
              <w:rPr>
                <w:rFonts w:ascii="Times New Roman" w:hAnsi="Times New Roman" w:cs="Times New Roman" w:eastAsia="Times New Roman" w:hint="default"/>
                <w:sz w:val="18"/>
                <w:szCs w:val="18"/>
              </w:rPr>
              <w:t> </w:t>
            </w:r>
            <w:r>
              <w:rPr>
                <w:rFonts w:ascii="宋体" w:hAnsi="宋体" w:cs="宋体" w:eastAsia="宋体" w:hint="default"/>
                <w:sz w:val="18"/>
                <w:szCs w:val="18"/>
              </w:rPr>
              <w:t>年净</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shd w:val="clear" w:color="auto" w:fill="C7EDCC"/>
          </w:tcPr>
          <w:p>
            <w:pPr/>
          </w:p>
        </w:tc>
        <w:tc>
          <w:tcPr>
            <w:tcW w:w="2483"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tcBorders>
              <w:top w:val="nil" w:sz="6" w:space="0" w:color="auto"/>
              <w:left w:val="single" w:sz="4" w:space="0" w:color="000000"/>
              <w:bottom w:val="nil" w:sz="6" w:space="0" w:color="auto"/>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利润不低于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4,453.125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万元。如果合印包装当</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shd w:val="clear" w:color="auto" w:fill="C7EDCC"/>
          </w:tcPr>
          <w:p>
            <w:pPr/>
          </w:p>
        </w:tc>
        <w:tc>
          <w:tcPr>
            <w:tcW w:w="2483"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1560"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00" w:lineRule="auto"/>
              <w:ind w:left="22" w:right="157"/>
              <w:jc w:val="left"/>
              <w:rPr>
                <w:rFonts w:ascii="宋体" w:hAnsi="宋体" w:cs="宋体" w:eastAsia="宋体" w:hint="default"/>
                <w:sz w:val="18"/>
                <w:szCs w:val="18"/>
              </w:rPr>
            </w:pPr>
            <w:r>
              <w:rPr>
                <w:rFonts w:ascii="宋体" w:hAnsi="宋体" w:cs="宋体" w:eastAsia="宋体" w:hint="default"/>
                <w:sz w:val="18"/>
                <w:szCs w:val="18"/>
              </w:rPr>
              <w:t>茅迅毅</w:t>
            </w:r>
            <w:r>
              <w:rPr>
                <w:rFonts w:ascii="Times New Roman" w:hAnsi="Times New Roman" w:cs="Times New Roman" w:eastAsia="Times New Roman" w:hint="default"/>
                <w:sz w:val="18"/>
                <w:szCs w:val="18"/>
              </w:rPr>
              <w:t>;</w:t>
            </w:r>
            <w:r>
              <w:rPr>
                <w:rFonts w:ascii="宋体" w:hAnsi="宋体" w:cs="宋体" w:eastAsia="宋体" w:hint="default"/>
                <w:sz w:val="18"/>
                <w:szCs w:val="18"/>
              </w:rPr>
              <w:t>吴 以亮</w:t>
            </w:r>
          </w:p>
        </w:tc>
        <w:tc>
          <w:tcPr>
            <w:tcW w:w="72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3" w:right="152"/>
              <w:jc w:val="both"/>
              <w:rPr>
                <w:rFonts w:ascii="宋体" w:hAnsi="宋体" w:cs="宋体" w:eastAsia="宋体" w:hint="default"/>
                <w:sz w:val="18"/>
                <w:szCs w:val="18"/>
              </w:rPr>
            </w:pPr>
            <w:r>
              <w:rPr>
                <w:rFonts w:ascii="宋体" w:hAnsi="宋体" w:cs="宋体" w:eastAsia="宋体" w:hint="default"/>
                <w:sz w:val="18"/>
                <w:szCs w:val="18"/>
              </w:rPr>
              <w:t>业绩承 诺及补 偿安排</w:t>
            </w: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4" w:lineRule="auto" w:before="5"/>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年度未完成上述承诺，盛元印务有权要求茅迅</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毅及吴以亮应在当年会计年度结束后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宋体" w:hAnsi="宋体" w:cs="宋体" w:eastAsia="宋体" w:hint="default"/>
                <w:spacing w:val="1"/>
                <w:sz w:val="18"/>
                <w:szCs w:val="18"/>
              </w:rPr>
              <w:t> </w:t>
            </w:r>
            <w:r>
              <w:rPr>
                <w:rFonts w:ascii="宋体" w:hAnsi="宋体" w:cs="宋体" w:eastAsia="宋体" w:hint="default"/>
                <w:spacing w:val="-4"/>
                <w:sz w:val="18"/>
                <w:szCs w:val="18"/>
              </w:rPr>
              <w:t>内，向盛元印务补足承诺净利润或在公司所有</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股东所持股权比例不变的情况下，对盛元印务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按当年实际实现的税后净利润重新估值以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w:t>
            </w:r>
          </w:p>
        </w:tc>
        <w:tc>
          <w:tcPr>
            <w:tcW w:w="51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2017-12-31</w:t>
            </w:r>
          </w:p>
        </w:tc>
        <w:tc>
          <w:tcPr>
            <w:tcW w:w="24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00" w:lineRule="auto"/>
              <w:ind w:left="22"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年承诺已履行完毕，其余 履行之中</w:t>
            </w:r>
          </w:p>
        </w:tc>
      </w:tr>
      <w:tr>
        <w:trPr>
          <w:trHeight w:val="307"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tcBorders>
              <w:top w:val="nil" w:sz="6" w:space="0" w:color="auto"/>
              <w:left w:val="single" w:sz="4" w:space="0" w:color="000000"/>
              <w:bottom w:val="nil" w:sz="6" w:space="0" w:color="auto"/>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倍，调整本次投资估值，并由合印包装向盛元</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shd w:val="clear" w:color="auto" w:fill="C7EDCC"/>
          </w:tcPr>
          <w:p>
            <w:pPr/>
          </w:p>
        </w:tc>
        <w:tc>
          <w:tcPr>
            <w:tcW w:w="2483"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3"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tcBorders>
              <w:top w:val="nil" w:sz="6" w:space="0" w:color="auto"/>
              <w:left w:val="single" w:sz="4" w:space="0" w:color="000000"/>
              <w:bottom w:val="nil" w:sz="6" w:space="0" w:color="auto"/>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印务退还多付的投资款，茅迅毅及吴以亮承担</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shd w:val="clear" w:color="auto" w:fill="C7EDCC"/>
          </w:tcPr>
          <w:p>
            <w:pPr/>
          </w:p>
        </w:tc>
        <w:tc>
          <w:tcPr>
            <w:tcW w:w="2483"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57"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single" w:sz="4" w:space="0" w:color="000000"/>
              <w:right w:val="single" w:sz="4" w:space="0" w:color="000000"/>
            </w:tcBorders>
            <w:shd w:val="clear" w:color="auto" w:fill="C7EDCC"/>
          </w:tcPr>
          <w:p>
            <w:pPr/>
          </w:p>
        </w:tc>
        <w:tc>
          <w:tcPr>
            <w:tcW w:w="728" w:type="dxa"/>
            <w:tcBorders>
              <w:top w:val="nil" w:sz="6" w:space="0" w:color="auto"/>
              <w:left w:val="single" w:sz="4" w:space="0" w:color="000000"/>
              <w:bottom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连带责任。</w:t>
            </w:r>
          </w:p>
        </w:tc>
        <w:tc>
          <w:tcPr>
            <w:tcW w:w="518"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shd w:val="clear" w:color="auto" w:fill="C7EDCC"/>
          </w:tcPr>
          <w:p>
            <w:pPr/>
          </w:p>
        </w:tc>
        <w:tc>
          <w:tcPr>
            <w:tcW w:w="2483"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362" w:hRule="exact"/>
        </w:trPr>
        <w:tc>
          <w:tcPr>
            <w:tcW w:w="515" w:type="dxa"/>
            <w:vMerge/>
            <w:tcBorders>
              <w:left w:val="single" w:sz="4" w:space="0" w:color="000000"/>
              <w:right w:val="single" w:sz="4" w:space="0" w:color="000000"/>
            </w:tcBorders>
            <w:shd w:val="clear" w:color="auto" w:fill="D3D3D3"/>
          </w:tcPr>
          <w:p>
            <w:pPr/>
          </w:p>
        </w:tc>
        <w:tc>
          <w:tcPr>
            <w:tcW w:w="962" w:type="dxa"/>
            <w:tcBorders>
              <w:top w:val="single" w:sz="4" w:space="0" w:color="000000"/>
              <w:left w:val="single" w:sz="4" w:space="0" w:color="000000"/>
              <w:bottom w:val="nil" w:sz="6" w:space="0" w:color="auto"/>
              <w:right w:val="single" w:sz="4" w:space="0" w:color="000000"/>
            </w:tcBorders>
            <w:shd w:val="clear" w:color="auto" w:fill="C7EDCC"/>
          </w:tcPr>
          <w:p>
            <w:pPr/>
          </w:p>
        </w:tc>
        <w:tc>
          <w:tcPr>
            <w:tcW w:w="728" w:type="dxa"/>
            <w:tcBorders>
              <w:top w:val="single" w:sz="4" w:space="0" w:color="000000"/>
              <w:left w:val="single" w:sz="4" w:space="0" w:color="000000"/>
              <w:bottom w:val="nil" w:sz="6" w:space="0" w:color="auto"/>
              <w:right w:val="single" w:sz="4" w:space="0" w:color="000000"/>
            </w:tcBorders>
            <w:shd w:val="clear" w:color="auto" w:fill="C7EDCC"/>
          </w:tcPr>
          <w:p>
            <w:pPr/>
          </w:p>
        </w:tc>
        <w:tc>
          <w:tcPr>
            <w:tcW w:w="3591"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）甲方（即：林鹭华、韩锋、杨治国、蒋</w:t>
            </w:r>
          </w:p>
        </w:tc>
        <w:tc>
          <w:tcPr>
            <w:tcW w:w="518" w:type="dxa"/>
            <w:tcBorders>
              <w:top w:val="single" w:sz="4" w:space="0" w:color="000000"/>
              <w:left w:val="single" w:sz="4" w:space="0" w:color="000000"/>
              <w:bottom w:val="nil" w:sz="6" w:space="0" w:color="auto"/>
              <w:right w:val="single" w:sz="4" w:space="0" w:color="000000"/>
            </w:tcBorders>
          </w:tcPr>
          <w:p>
            <w:pPr/>
          </w:p>
        </w:tc>
        <w:tc>
          <w:tcPr>
            <w:tcW w:w="896" w:type="dxa"/>
            <w:tcBorders>
              <w:top w:val="single" w:sz="4" w:space="0" w:color="000000"/>
              <w:left w:val="single" w:sz="4" w:space="0" w:color="000000"/>
              <w:bottom w:val="nil" w:sz="6" w:space="0" w:color="auto"/>
              <w:right w:val="single" w:sz="4" w:space="0" w:color="000000"/>
            </w:tcBorders>
            <w:shd w:val="clear" w:color="auto" w:fill="C7EDCC"/>
          </w:tcPr>
          <w:p>
            <w:pPr/>
          </w:p>
        </w:tc>
        <w:tc>
          <w:tcPr>
            <w:tcW w:w="2483"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1"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tcBorders>
              <w:top w:val="nil" w:sz="6" w:space="0" w:color="auto"/>
              <w:left w:val="single" w:sz="4" w:space="0" w:color="000000"/>
              <w:bottom w:val="nil" w:sz="6" w:space="0" w:color="auto"/>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谢珍、刘志英、郑美月、冯岚等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位自然人</w:t>
            </w:r>
          </w:p>
        </w:tc>
        <w:tc>
          <w:tcPr>
            <w:tcW w:w="5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49" w:right="0"/>
              <w:jc w:val="left"/>
              <w:rPr>
                <w:rFonts w:ascii="宋体" w:hAnsi="宋体" w:cs="宋体" w:eastAsia="宋体" w:hint="default"/>
                <w:sz w:val="18"/>
                <w:szCs w:val="18"/>
              </w:rPr>
            </w:pPr>
            <w:r>
              <w:rPr>
                <w:rFonts w:ascii="宋体" w:hAnsi="宋体" w:cs="宋体" w:eastAsia="宋体" w:hint="default"/>
                <w:sz w:val="18"/>
                <w:szCs w:val="18"/>
              </w:rPr>
              <w:t>）</w:t>
            </w:r>
          </w:p>
        </w:tc>
        <w:tc>
          <w:tcPr>
            <w:tcW w:w="896" w:type="dxa"/>
            <w:tcBorders>
              <w:top w:val="nil" w:sz="6" w:space="0" w:color="auto"/>
              <w:left w:val="single" w:sz="4" w:space="0" w:color="000000"/>
              <w:bottom w:val="nil" w:sz="6" w:space="0" w:color="auto"/>
              <w:right w:val="single" w:sz="4" w:space="0" w:color="000000"/>
            </w:tcBorders>
            <w:shd w:val="clear" w:color="auto" w:fill="C7EDCC"/>
          </w:tcPr>
          <w:p>
            <w:pPr/>
          </w:p>
        </w:tc>
        <w:tc>
          <w:tcPr>
            <w:tcW w:w="2483"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297"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tcBorders>
              <w:top w:val="nil" w:sz="6" w:space="0" w:color="auto"/>
              <w:left w:val="single" w:sz="4" w:space="0" w:color="000000"/>
              <w:bottom w:val="nil" w:sz="6" w:space="0" w:color="auto"/>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承诺，标的企业在利润补偿期间实现的归属母</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shd w:val="clear" w:color="auto" w:fill="C7EDCC"/>
          </w:tcPr>
          <w:p>
            <w:pPr/>
          </w:p>
        </w:tc>
        <w:tc>
          <w:tcPr>
            <w:tcW w:w="2483"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1570"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00" w:lineRule="auto" w:before="1"/>
              <w:ind w:left="22" w:right="107"/>
              <w:jc w:val="both"/>
              <w:rPr>
                <w:rFonts w:ascii="宋体" w:hAnsi="宋体" w:cs="宋体" w:eastAsia="宋体" w:hint="default"/>
                <w:sz w:val="18"/>
                <w:szCs w:val="18"/>
              </w:rPr>
            </w:pPr>
            <w:r>
              <w:rPr>
                <w:rFonts w:ascii="宋体" w:hAnsi="宋体" w:cs="宋体" w:eastAsia="宋体" w:hint="default"/>
                <w:sz w:val="18"/>
                <w:szCs w:val="18"/>
              </w:rPr>
              <w:t>林鹭华</w:t>
            </w:r>
            <w:r>
              <w:rPr>
                <w:rFonts w:ascii="Times New Roman" w:hAnsi="Times New Roman" w:cs="Times New Roman" w:eastAsia="Times New Roman" w:hint="default"/>
                <w:sz w:val="18"/>
                <w:szCs w:val="18"/>
              </w:rPr>
              <w:t>;</w:t>
            </w:r>
            <w:r>
              <w:rPr>
                <w:rFonts w:ascii="宋体" w:hAnsi="宋体" w:cs="宋体" w:eastAsia="宋体" w:hint="default"/>
                <w:sz w:val="18"/>
                <w:szCs w:val="18"/>
              </w:rPr>
              <w:t>韩 锋</w:t>
            </w:r>
            <w:r>
              <w:rPr>
                <w:rFonts w:ascii="Times New Roman" w:hAnsi="Times New Roman" w:cs="Times New Roman" w:eastAsia="Times New Roman" w:hint="default"/>
                <w:sz w:val="18"/>
                <w:szCs w:val="18"/>
              </w:rPr>
              <w:t>;</w:t>
            </w:r>
            <w:r>
              <w:rPr>
                <w:rFonts w:ascii="宋体" w:hAnsi="宋体" w:cs="宋体" w:eastAsia="宋体" w:hint="default"/>
                <w:sz w:val="18"/>
                <w:szCs w:val="18"/>
              </w:rPr>
              <w:t>杨治国</w:t>
            </w:r>
            <w:r>
              <w:rPr>
                <w:rFonts w:ascii="Times New Roman" w:hAnsi="Times New Roman" w:cs="Times New Roman" w:eastAsia="Times New Roman" w:hint="default"/>
                <w:sz w:val="18"/>
                <w:szCs w:val="18"/>
              </w:rPr>
              <w:t>; </w:t>
            </w:r>
            <w:r>
              <w:rPr>
                <w:rFonts w:ascii="宋体" w:hAnsi="宋体" w:cs="宋体" w:eastAsia="宋体" w:hint="default"/>
                <w:sz w:val="18"/>
                <w:szCs w:val="18"/>
              </w:rPr>
              <w:t>蒋谢珍</w:t>
            </w:r>
            <w:r>
              <w:rPr>
                <w:rFonts w:ascii="Times New Roman" w:hAnsi="Times New Roman" w:cs="Times New Roman" w:eastAsia="Times New Roman" w:hint="default"/>
                <w:sz w:val="18"/>
                <w:szCs w:val="18"/>
              </w:rPr>
              <w:t>;</w:t>
            </w:r>
            <w:r>
              <w:rPr>
                <w:rFonts w:ascii="宋体" w:hAnsi="宋体" w:cs="宋体" w:eastAsia="宋体" w:hint="default"/>
                <w:sz w:val="18"/>
                <w:szCs w:val="18"/>
              </w:rPr>
              <w:t>刘 志英</w:t>
            </w:r>
            <w:r>
              <w:rPr>
                <w:rFonts w:ascii="Times New Roman" w:hAnsi="Times New Roman" w:cs="Times New Roman" w:eastAsia="Times New Roman" w:hint="default"/>
                <w:sz w:val="18"/>
                <w:szCs w:val="18"/>
              </w:rPr>
              <w:t>;</w:t>
            </w:r>
            <w:r>
              <w:rPr>
                <w:rFonts w:ascii="宋体" w:hAnsi="宋体" w:cs="宋体" w:eastAsia="宋体" w:hint="default"/>
                <w:sz w:val="18"/>
                <w:szCs w:val="18"/>
              </w:rPr>
              <w:t>郑美 月</w:t>
            </w:r>
            <w:r>
              <w:rPr>
                <w:rFonts w:ascii="Times New Roman" w:hAnsi="Times New Roman" w:cs="Times New Roman" w:eastAsia="Times New Roman" w:hint="default"/>
                <w:sz w:val="18"/>
                <w:szCs w:val="18"/>
              </w:rPr>
              <w:t>;</w:t>
            </w:r>
            <w:r>
              <w:rPr>
                <w:rFonts w:ascii="宋体" w:hAnsi="宋体" w:cs="宋体" w:eastAsia="宋体" w:hint="default"/>
                <w:sz w:val="18"/>
                <w:szCs w:val="18"/>
              </w:rPr>
              <w:t>冯岚</w:t>
            </w:r>
          </w:p>
        </w:tc>
        <w:tc>
          <w:tcPr>
            <w:tcW w:w="72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3" w:right="152"/>
              <w:jc w:val="both"/>
              <w:rPr>
                <w:rFonts w:ascii="宋体" w:hAnsi="宋体" w:cs="宋体" w:eastAsia="宋体" w:hint="default"/>
                <w:sz w:val="18"/>
                <w:szCs w:val="18"/>
              </w:rPr>
            </w:pPr>
            <w:r>
              <w:rPr>
                <w:rFonts w:ascii="宋体" w:hAnsi="宋体" w:cs="宋体" w:eastAsia="宋体" w:hint="default"/>
                <w:sz w:val="18"/>
                <w:szCs w:val="18"/>
              </w:rPr>
              <w:t>业绩承 诺及补 偿安排</w:t>
            </w: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04" w:lineRule="auto" w:before="20"/>
              <w:ind w:left="22" w:right="21"/>
              <w:jc w:val="left"/>
              <w:rPr>
                <w:rFonts w:ascii="宋体" w:hAnsi="宋体" w:cs="宋体" w:eastAsia="宋体" w:hint="default"/>
                <w:sz w:val="18"/>
                <w:szCs w:val="18"/>
              </w:rPr>
            </w:pPr>
            <w:r>
              <w:rPr>
                <w:rFonts w:ascii="宋体" w:hAnsi="宋体" w:cs="宋体" w:eastAsia="宋体" w:hint="default"/>
                <w:spacing w:val="-4"/>
                <w:sz w:val="18"/>
                <w:szCs w:val="18"/>
              </w:rPr>
              <w:t>公司净利润（根据标的企业扣除非经常性损益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前后孰低原则确定）分别为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3700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4400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万元。（</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）在各利润补偿期结束</w:t>
            </w:r>
            <w:r>
              <w:rPr>
                <w:rFonts w:ascii="宋体" w:hAnsi="宋体" w:cs="宋体" w:eastAsia="宋体" w:hint="default"/>
                <w:sz w:val="18"/>
                <w:szCs w:val="18"/>
              </w:rPr>
              <w:t> 之日起</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个月之内，乙方（即：杭州网络传媒</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有限公司）应聘请具有证券期货从业资格的审</w:t>
            </w:r>
          </w:p>
        </w:tc>
        <w:tc>
          <w:tcPr>
            <w:tcW w:w="51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2017-12-31</w:t>
            </w:r>
          </w:p>
        </w:tc>
        <w:tc>
          <w:tcPr>
            <w:tcW w:w="248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02" w:lineRule="auto"/>
              <w:ind w:left="22"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年承诺已履行完毕，其余 履行之中</w:t>
            </w: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tcBorders>
              <w:top w:val="nil" w:sz="6" w:space="0" w:color="auto"/>
              <w:left w:val="single" w:sz="4" w:space="0" w:color="000000"/>
              <w:bottom w:val="nil" w:sz="6" w:space="0" w:color="auto"/>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计机构，对标的企业每年度实现的实际净利润</w:t>
            </w:r>
          </w:p>
        </w:tc>
        <w:tc>
          <w:tcPr>
            <w:tcW w:w="518" w:type="dxa"/>
            <w:tcBorders>
              <w:top w:val="nil" w:sz="6" w:space="0" w:color="auto"/>
              <w:left w:val="single" w:sz="4" w:space="0" w:color="000000"/>
              <w:bottom w:val="nil" w:sz="6" w:space="0" w:color="auto"/>
              <w:right w:val="single" w:sz="4" w:space="0" w:color="000000"/>
            </w:tcBorders>
          </w:tcPr>
          <w:p>
            <w:pPr/>
          </w:p>
        </w:tc>
        <w:tc>
          <w:tcPr>
            <w:tcW w:w="896" w:type="dxa"/>
            <w:tcBorders>
              <w:top w:val="nil" w:sz="6" w:space="0" w:color="auto"/>
              <w:left w:val="single" w:sz="4" w:space="0" w:color="000000"/>
              <w:bottom w:val="nil" w:sz="6" w:space="0" w:color="auto"/>
              <w:right w:val="single" w:sz="4" w:space="0" w:color="000000"/>
            </w:tcBorders>
            <w:shd w:val="clear" w:color="auto" w:fill="C7EDCC"/>
          </w:tcPr>
          <w:p>
            <w:pPr/>
          </w:p>
        </w:tc>
        <w:tc>
          <w:tcPr>
            <w:tcW w:w="2483"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7" w:hRule="exact"/>
        </w:trPr>
        <w:tc>
          <w:tcPr>
            <w:tcW w:w="515" w:type="dxa"/>
            <w:vMerge/>
            <w:tcBorders>
              <w:left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nil" w:sz="6" w:space="0" w:color="auto"/>
              <w:right w:val="single" w:sz="4" w:space="0" w:color="000000"/>
            </w:tcBorders>
            <w:shd w:val="clear" w:color="auto" w:fill="C7EDCC"/>
          </w:tcPr>
          <w:p>
            <w:pPr/>
          </w:p>
        </w:tc>
        <w:tc>
          <w:tcPr>
            <w:tcW w:w="728" w:type="dxa"/>
            <w:tcBorders>
              <w:top w:val="nil" w:sz="6" w:space="0" w:color="auto"/>
              <w:left w:val="single" w:sz="4" w:space="0" w:color="000000"/>
              <w:bottom w:val="nil" w:sz="6" w:space="0" w:color="auto"/>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等经营成果予以审核</w:t>
            </w:r>
            <w:r>
              <w:rPr>
                <w:rFonts w:ascii="宋体" w:hAnsi="宋体" w:cs="宋体" w:eastAsia="宋体" w:hint="default"/>
                <w:spacing w:val="-78"/>
                <w:sz w:val="18"/>
                <w:szCs w:val="18"/>
              </w:rPr>
              <w:t>，</w:t>
            </w:r>
            <w:r>
              <w:rPr>
                <w:rFonts w:ascii="宋体" w:hAnsi="宋体" w:cs="宋体" w:eastAsia="宋体" w:hint="default"/>
                <w:sz w:val="18"/>
                <w:szCs w:val="18"/>
              </w:rPr>
              <w:t>出具专项审核报告</w:t>
            </w:r>
            <w:r>
              <w:rPr>
                <w:rFonts w:ascii="宋体" w:hAnsi="宋体" w:cs="宋体" w:eastAsia="宋体" w:hint="default"/>
                <w:spacing w:val="-168"/>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c>
          <w:tcPr>
            <w:tcW w:w="51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896" w:type="dxa"/>
            <w:tcBorders>
              <w:top w:val="nil" w:sz="6" w:space="0" w:color="auto"/>
              <w:left w:val="single" w:sz="4" w:space="0" w:color="000000"/>
              <w:bottom w:val="nil" w:sz="6" w:space="0" w:color="auto"/>
              <w:right w:val="single" w:sz="4" w:space="0" w:color="000000"/>
            </w:tcBorders>
            <w:shd w:val="clear" w:color="auto" w:fill="C7EDCC"/>
          </w:tcPr>
          <w:p>
            <w:pPr/>
          </w:p>
        </w:tc>
        <w:tc>
          <w:tcPr>
            <w:tcW w:w="2483"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3" w:hRule="exact"/>
        </w:trPr>
        <w:tc>
          <w:tcPr>
            <w:tcW w:w="515" w:type="dxa"/>
            <w:vMerge/>
            <w:tcBorders>
              <w:left w:val="single" w:sz="4" w:space="0" w:color="000000"/>
              <w:bottom w:val="single" w:sz="4" w:space="0" w:color="000000"/>
              <w:right w:val="single" w:sz="4" w:space="0" w:color="000000"/>
            </w:tcBorders>
            <w:shd w:val="clear" w:color="auto" w:fill="D3D3D3"/>
          </w:tcPr>
          <w:p>
            <w:pPr/>
          </w:p>
        </w:tc>
        <w:tc>
          <w:tcPr>
            <w:tcW w:w="962" w:type="dxa"/>
            <w:tcBorders>
              <w:top w:val="nil" w:sz="6" w:space="0" w:color="auto"/>
              <w:left w:val="single" w:sz="4" w:space="0" w:color="000000"/>
              <w:bottom w:val="single" w:sz="4" w:space="0" w:color="000000"/>
              <w:right w:val="single" w:sz="4" w:space="0" w:color="000000"/>
            </w:tcBorders>
            <w:shd w:val="clear" w:color="auto" w:fill="C7EDCC"/>
          </w:tcPr>
          <w:p>
            <w:pPr/>
          </w:p>
        </w:tc>
        <w:tc>
          <w:tcPr>
            <w:tcW w:w="728" w:type="dxa"/>
            <w:tcBorders>
              <w:top w:val="nil" w:sz="6" w:space="0" w:color="auto"/>
              <w:left w:val="single" w:sz="4" w:space="0" w:color="000000"/>
              <w:bottom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根据专项审核报告，甲方应在该年度的专项审</w:t>
            </w:r>
          </w:p>
        </w:tc>
        <w:tc>
          <w:tcPr>
            <w:tcW w:w="518" w:type="dxa"/>
            <w:tcBorders>
              <w:top w:val="nil" w:sz="6" w:space="0" w:color="auto"/>
              <w:left w:val="single" w:sz="4" w:space="0" w:color="000000"/>
              <w:bottom w:val="single" w:sz="4" w:space="0" w:color="000000"/>
              <w:right w:val="single" w:sz="4" w:space="0" w:color="000000"/>
            </w:tcBorders>
          </w:tcPr>
          <w:p>
            <w:pPr/>
          </w:p>
        </w:tc>
        <w:tc>
          <w:tcPr>
            <w:tcW w:w="896" w:type="dxa"/>
            <w:tcBorders>
              <w:top w:val="nil" w:sz="6" w:space="0" w:color="auto"/>
              <w:left w:val="single" w:sz="4" w:space="0" w:color="000000"/>
              <w:bottom w:val="single" w:sz="4" w:space="0" w:color="000000"/>
              <w:right w:val="single" w:sz="4" w:space="0" w:color="000000"/>
            </w:tcBorders>
            <w:shd w:val="clear" w:color="auto" w:fill="C7EDCC"/>
          </w:tcPr>
          <w:p>
            <w:pPr/>
          </w:p>
        </w:tc>
        <w:tc>
          <w:tcPr>
            <w:tcW w:w="2483" w:type="dxa"/>
            <w:tcBorders>
              <w:top w:val="nil" w:sz="6" w:space="0" w:color="auto"/>
              <w:left w:val="single" w:sz="4" w:space="0" w:color="000000"/>
              <w:bottom w:val="single" w:sz="4" w:space="0" w:color="000000"/>
              <w:right w:val="single" w:sz="4" w:space="0" w:color="000000"/>
            </w:tcBorders>
            <w:shd w:val="clear" w:color="auto" w:fill="C7EDCC"/>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515"/>
        <w:gridCol w:w="962"/>
        <w:gridCol w:w="728"/>
        <w:gridCol w:w="3591"/>
        <w:gridCol w:w="518"/>
        <w:gridCol w:w="896"/>
        <w:gridCol w:w="2483"/>
      </w:tblGrid>
      <w:tr>
        <w:trPr>
          <w:trHeight w:val="322" w:hRule="exact"/>
        </w:trPr>
        <w:tc>
          <w:tcPr>
            <w:tcW w:w="515" w:type="dxa"/>
            <w:vMerge w:val="restart"/>
            <w:tcBorders>
              <w:top w:val="single" w:sz="4" w:space="0" w:color="000000"/>
              <w:left w:val="single" w:sz="4" w:space="0" w:color="000000"/>
              <w:right w:val="single" w:sz="4" w:space="0" w:color="000000"/>
            </w:tcBorders>
            <w:shd w:val="clear" w:color="auto" w:fill="D3D3D3"/>
          </w:tcPr>
          <w:p>
            <w:pPr/>
          </w:p>
        </w:tc>
        <w:tc>
          <w:tcPr>
            <w:tcW w:w="962" w:type="dxa"/>
            <w:vMerge w:val="restart"/>
            <w:tcBorders>
              <w:top w:val="single" w:sz="4" w:space="0" w:color="000000"/>
              <w:left w:val="single" w:sz="4" w:space="0" w:color="000000"/>
              <w:right w:val="single" w:sz="4" w:space="0" w:color="000000"/>
            </w:tcBorders>
            <w:shd w:val="clear" w:color="auto" w:fill="C7EDCC"/>
          </w:tcPr>
          <w:p>
            <w:pPr/>
          </w:p>
        </w:tc>
        <w:tc>
          <w:tcPr>
            <w:tcW w:w="728" w:type="dxa"/>
            <w:vMerge w:val="restart"/>
            <w:tcBorders>
              <w:top w:val="single" w:sz="4" w:space="0" w:color="000000"/>
              <w:left w:val="single" w:sz="4" w:space="0" w:color="000000"/>
              <w:right w:val="single" w:sz="4" w:space="0" w:color="000000"/>
            </w:tcBorders>
            <w:shd w:val="clear" w:color="auto" w:fill="C7EDCC"/>
          </w:tcPr>
          <w:p>
            <w:pPr/>
          </w:p>
        </w:tc>
        <w:tc>
          <w:tcPr>
            <w:tcW w:w="3591"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核报告披露之日起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日之内，按下列公式计</w:t>
            </w:r>
          </w:p>
        </w:tc>
        <w:tc>
          <w:tcPr>
            <w:tcW w:w="518" w:type="dxa"/>
            <w:vMerge w:val="restart"/>
            <w:tcBorders>
              <w:top w:val="single" w:sz="4" w:space="0" w:color="000000"/>
              <w:left w:val="single" w:sz="4" w:space="0" w:color="000000"/>
              <w:right w:val="single" w:sz="4" w:space="0" w:color="000000"/>
            </w:tcBorders>
          </w:tcPr>
          <w:p>
            <w:pPr/>
          </w:p>
        </w:tc>
        <w:tc>
          <w:tcPr>
            <w:tcW w:w="896" w:type="dxa"/>
            <w:vMerge w:val="restart"/>
            <w:tcBorders>
              <w:top w:val="single" w:sz="4" w:space="0" w:color="000000"/>
              <w:left w:val="single" w:sz="4" w:space="0" w:color="000000"/>
              <w:right w:val="single" w:sz="4" w:space="0" w:color="000000"/>
            </w:tcBorders>
            <w:shd w:val="clear" w:color="auto" w:fill="C7EDCC"/>
          </w:tcPr>
          <w:p>
            <w:pPr/>
          </w:p>
        </w:tc>
        <w:tc>
          <w:tcPr>
            <w:tcW w:w="2483" w:type="dxa"/>
            <w:vMerge w:val="restart"/>
            <w:tcBorders>
              <w:top w:val="single" w:sz="4" w:space="0" w:color="000000"/>
              <w:left w:val="single" w:sz="4" w:space="0" w:color="000000"/>
              <w:right w:val="single" w:sz="4" w:space="0" w:color="000000"/>
            </w:tcBorders>
            <w:shd w:val="clear" w:color="auto" w:fill="C7EDCC"/>
          </w:tcPr>
          <w:p>
            <w:pPr/>
          </w:p>
        </w:tc>
      </w:tr>
      <w:tr>
        <w:trPr>
          <w:trHeight w:val="307"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算的金额对乙方进行现金补偿： 当期应补偿</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7"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的现金</w:t>
            </w:r>
            <w:r>
              <w:rPr>
                <w:rFonts w:ascii="Times New Roman" w:hAnsi="Times New Roman" w:cs="Times New Roman" w:eastAsia="Times New Roman" w:hint="default"/>
                <w:sz w:val="18"/>
                <w:szCs w:val="18"/>
              </w:rPr>
              <w:t>=</w:t>
            </w:r>
            <w:r>
              <w:rPr>
                <w:rFonts w:ascii="宋体" w:hAnsi="宋体" w:cs="宋体" w:eastAsia="宋体" w:hint="default"/>
                <w:sz w:val="18"/>
                <w:szCs w:val="18"/>
              </w:rPr>
              <w:t>（截至当期期末累积承诺净利润数－</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截至当期期末累积实际净利润数）</w:t>
            </w:r>
            <w:r>
              <w:rPr>
                <w:rFonts w:ascii="Times New Roman" w:hAnsi="Times New Roman" w:cs="Times New Roman" w:eastAsia="Times New Roman" w:hint="default"/>
                <w:sz w:val="18"/>
                <w:szCs w:val="18"/>
              </w:rPr>
              <w:t>÷</w:t>
            </w:r>
            <w:r>
              <w:rPr>
                <w:rFonts w:ascii="宋体" w:hAnsi="宋体" w:cs="宋体" w:eastAsia="宋体" w:hint="default"/>
                <w:sz w:val="18"/>
                <w:szCs w:val="18"/>
              </w:rPr>
              <w:t>补偿期限</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内各年的承诺净利润数总和</w:t>
            </w:r>
            <w:r>
              <w:rPr>
                <w:rFonts w:ascii="Times New Roman" w:hAnsi="Times New Roman" w:cs="Times New Roman" w:eastAsia="Times New Roman" w:hint="default"/>
                <w:sz w:val="18"/>
                <w:szCs w:val="18"/>
              </w:rPr>
              <w:t>×</w:t>
            </w:r>
            <w:r>
              <w:rPr>
                <w:rFonts w:ascii="宋体" w:hAnsi="宋体" w:cs="宋体" w:eastAsia="宋体" w:hint="default"/>
                <w:sz w:val="18"/>
                <w:szCs w:val="18"/>
              </w:rPr>
              <w:t>转让标的转让价</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款－已补偿的现金（</w:t>
            </w:r>
            <w:r>
              <w:rPr>
                <w:rFonts w:ascii="Times New Roman" w:hAnsi="Times New Roman" w:cs="Times New Roman" w:eastAsia="Times New Roman" w:hint="default"/>
                <w:sz w:val="18"/>
                <w:szCs w:val="18"/>
              </w:rPr>
              <w:t>4</w:t>
            </w:r>
            <w:r>
              <w:rPr>
                <w:rFonts w:ascii="宋体" w:hAnsi="宋体" w:cs="宋体" w:eastAsia="宋体" w:hint="default"/>
                <w:sz w:val="18"/>
                <w:szCs w:val="18"/>
              </w:rPr>
              <w:t>）根据上述公式计算的</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07"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当期应补偿的现金为负数的，乙方没有义务向</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甲方退还此前向甲方收取的任何补偿款项。</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7"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）乙方在利润补偿期间届满后将聘请具有</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07"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证券期货业务资格的会计师事务所对标的企</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业进行减值测试，并出具专项审核意见。根据</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7"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上述专项审核意见，如转让标的期末减值额</w:t>
            </w:r>
            <w:r>
              <w:rPr>
                <w:rFonts w:ascii="Times New Roman" w:hAnsi="Times New Roman" w:cs="Times New Roman" w:eastAsia="Times New Roman" w:hint="default"/>
                <w:sz w:val="18"/>
                <w:szCs w:val="18"/>
              </w:rPr>
              <w:t>÷</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转让标的评估值</w:t>
            </w:r>
            <w:r>
              <w:rPr>
                <w:rFonts w:ascii="Times New Roman" w:hAnsi="Times New Roman" w:cs="Times New Roman" w:eastAsia="Times New Roman" w:hint="default"/>
                <w:sz w:val="18"/>
                <w:szCs w:val="18"/>
              </w:rPr>
              <w:t>&gt;</w:t>
            </w:r>
            <w:r>
              <w:rPr>
                <w:rFonts w:ascii="宋体" w:hAnsi="宋体" w:cs="宋体" w:eastAsia="宋体" w:hint="default"/>
                <w:sz w:val="18"/>
                <w:szCs w:val="18"/>
              </w:rPr>
              <w:t>利润补偿期间甲方已补偿现</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2"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金总数</w:t>
            </w:r>
            <w:r>
              <w:rPr>
                <w:rFonts w:ascii="Times New Roman" w:hAnsi="Times New Roman" w:cs="Times New Roman" w:eastAsia="Times New Roman" w:hint="default"/>
                <w:sz w:val="18"/>
                <w:szCs w:val="18"/>
              </w:rPr>
              <w:t>÷</w:t>
            </w:r>
            <w:r>
              <w:rPr>
                <w:rFonts w:ascii="宋体" w:hAnsi="宋体" w:cs="宋体" w:eastAsia="宋体" w:hint="default"/>
                <w:sz w:val="18"/>
                <w:szCs w:val="18"/>
              </w:rPr>
              <w:t>转让标的转让价款，则甲方将另行补</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07"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偿现金。另需补偿的现金数量为：转让标的期</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17"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末减值额－已补偿的现金</w:t>
            </w:r>
            <w:r>
              <w:rPr>
                <w:rFonts w:ascii="宋体" w:hAnsi="宋体" w:cs="宋体" w:eastAsia="宋体" w:hint="default"/>
                <w:spacing w:val="-123"/>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pacing w:val="-33"/>
                <w:sz w:val="18"/>
                <w:szCs w:val="18"/>
              </w:rPr>
              <w:t>）</w:t>
            </w:r>
            <w:r>
              <w:rPr>
                <w:rFonts w:ascii="宋体" w:hAnsi="宋体" w:cs="宋体" w:eastAsia="宋体" w:hint="default"/>
                <w:sz w:val="18"/>
                <w:szCs w:val="18"/>
              </w:rPr>
              <w:t>甲方应在前述</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08" w:hRule="exact"/>
        </w:trPr>
        <w:tc>
          <w:tcPr>
            <w:tcW w:w="515" w:type="dxa"/>
            <w:vMerge/>
            <w:tcBorders>
              <w:left w:val="single" w:sz="4" w:space="0" w:color="000000"/>
              <w:right w:val="single" w:sz="4" w:space="0" w:color="000000"/>
            </w:tcBorders>
            <w:shd w:val="clear" w:color="auto" w:fill="D3D3D3"/>
          </w:tcPr>
          <w:p>
            <w:pPr/>
          </w:p>
        </w:tc>
        <w:tc>
          <w:tcPr>
            <w:tcW w:w="962" w:type="dxa"/>
            <w:vMerge/>
            <w:tcBorders>
              <w:left w:val="single" w:sz="4" w:space="0" w:color="000000"/>
              <w:right w:val="single" w:sz="4" w:space="0" w:color="000000"/>
            </w:tcBorders>
            <w:shd w:val="clear" w:color="auto" w:fill="C7EDCC"/>
          </w:tcPr>
          <w:p>
            <w:pPr/>
          </w:p>
        </w:tc>
        <w:tc>
          <w:tcPr>
            <w:tcW w:w="728" w:type="dxa"/>
            <w:vMerge/>
            <w:tcBorders>
              <w:left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专项审核意见出具之日起二十日内支付因减</w:t>
            </w:r>
          </w:p>
        </w:tc>
        <w:tc>
          <w:tcPr>
            <w:tcW w:w="518" w:type="dxa"/>
            <w:vMerge/>
            <w:tcBorders>
              <w:left w:val="single" w:sz="4" w:space="0" w:color="000000"/>
              <w:right w:val="single" w:sz="4" w:space="0" w:color="000000"/>
            </w:tcBorders>
          </w:tcPr>
          <w:p>
            <w:pPr/>
          </w:p>
        </w:tc>
        <w:tc>
          <w:tcPr>
            <w:tcW w:w="896" w:type="dxa"/>
            <w:vMerge/>
            <w:tcBorders>
              <w:left w:val="single" w:sz="4" w:space="0" w:color="000000"/>
              <w:right w:val="single" w:sz="4" w:space="0" w:color="000000"/>
            </w:tcBorders>
            <w:shd w:val="clear" w:color="auto" w:fill="C7EDCC"/>
          </w:tcPr>
          <w:p>
            <w:pPr/>
          </w:p>
        </w:tc>
        <w:tc>
          <w:tcPr>
            <w:tcW w:w="2483" w:type="dxa"/>
            <w:vMerge/>
            <w:tcBorders>
              <w:left w:val="single" w:sz="4" w:space="0" w:color="000000"/>
              <w:right w:val="single" w:sz="4" w:space="0" w:color="000000"/>
            </w:tcBorders>
            <w:shd w:val="clear" w:color="auto" w:fill="C7EDCC"/>
          </w:tcPr>
          <w:p>
            <w:pPr/>
          </w:p>
        </w:tc>
      </w:tr>
      <w:tr>
        <w:trPr>
          <w:trHeight w:val="357" w:hRule="exact"/>
        </w:trPr>
        <w:tc>
          <w:tcPr>
            <w:tcW w:w="515" w:type="dxa"/>
            <w:vMerge/>
            <w:tcBorders>
              <w:left w:val="single" w:sz="4" w:space="0" w:color="000000"/>
              <w:bottom w:val="single" w:sz="4" w:space="0" w:color="000000"/>
              <w:right w:val="single" w:sz="4" w:space="0" w:color="000000"/>
            </w:tcBorders>
            <w:shd w:val="clear" w:color="auto" w:fill="D3D3D3"/>
          </w:tcPr>
          <w:p>
            <w:pPr/>
          </w:p>
        </w:tc>
        <w:tc>
          <w:tcPr>
            <w:tcW w:w="962" w:type="dxa"/>
            <w:vMerge/>
            <w:tcBorders>
              <w:left w:val="single" w:sz="4" w:space="0" w:color="000000"/>
              <w:bottom w:val="single" w:sz="4" w:space="0" w:color="000000"/>
              <w:right w:val="single" w:sz="4" w:space="0" w:color="000000"/>
            </w:tcBorders>
            <w:shd w:val="clear" w:color="auto" w:fill="C7EDCC"/>
          </w:tcPr>
          <w:p>
            <w:pPr/>
          </w:p>
        </w:tc>
        <w:tc>
          <w:tcPr>
            <w:tcW w:w="728" w:type="dxa"/>
            <w:vMerge/>
            <w:tcBorders>
              <w:left w:val="single" w:sz="4" w:space="0" w:color="000000"/>
              <w:bottom w:val="single" w:sz="4" w:space="0" w:color="000000"/>
              <w:right w:val="single" w:sz="4" w:space="0" w:color="000000"/>
            </w:tcBorders>
            <w:shd w:val="clear" w:color="auto" w:fill="C7EDCC"/>
          </w:tcPr>
          <w:p>
            <w:pPr/>
          </w:p>
        </w:tc>
        <w:tc>
          <w:tcPr>
            <w:tcW w:w="3591"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值而发生的现金补偿。</w:t>
            </w:r>
          </w:p>
        </w:tc>
        <w:tc>
          <w:tcPr>
            <w:tcW w:w="518" w:type="dxa"/>
            <w:vMerge/>
            <w:tcBorders>
              <w:left w:val="single" w:sz="4" w:space="0" w:color="000000"/>
              <w:bottom w:val="single" w:sz="4" w:space="0" w:color="000000"/>
              <w:right w:val="single" w:sz="4" w:space="0" w:color="000000"/>
            </w:tcBorders>
          </w:tcPr>
          <w:p>
            <w:pPr/>
          </w:p>
        </w:tc>
        <w:tc>
          <w:tcPr>
            <w:tcW w:w="896" w:type="dxa"/>
            <w:vMerge/>
            <w:tcBorders>
              <w:left w:val="single" w:sz="4" w:space="0" w:color="000000"/>
              <w:bottom w:val="single" w:sz="4" w:space="0" w:color="000000"/>
              <w:right w:val="single" w:sz="4" w:space="0" w:color="000000"/>
            </w:tcBorders>
            <w:shd w:val="clear" w:color="auto" w:fill="C7EDCC"/>
          </w:tcPr>
          <w:p>
            <w:pPr/>
          </w:p>
        </w:tc>
        <w:tc>
          <w:tcPr>
            <w:tcW w:w="2483" w:type="dxa"/>
            <w:vMerge/>
            <w:tcBorders>
              <w:left w:val="single" w:sz="4" w:space="0" w:color="000000"/>
              <w:bottom w:val="single" w:sz="4" w:space="0" w:color="000000"/>
              <w:right w:val="single" w:sz="4" w:space="0" w:color="000000"/>
            </w:tcBorders>
            <w:shd w:val="clear" w:color="auto" w:fill="C7EDCC"/>
          </w:tcPr>
          <w:p>
            <w:pPr/>
          </w:p>
        </w:tc>
      </w:tr>
      <w:tr>
        <w:trPr>
          <w:trHeight w:val="357" w:hRule="exact"/>
        </w:trPr>
        <w:tc>
          <w:tcPr>
            <w:tcW w:w="515"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9179" w:type="dxa"/>
            <w:gridSpan w:val="6"/>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51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22" w:right="120"/>
              <w:jc w:val="left"/>
              <w:rPr>
                <w:rFonts w:ascii="宋体" w:hAnsi="宋体" w:cs="宋体" w:eastAsia="宋体" w:hint="default"/>
                <w:sz w:val="18"/>
                <w:szCs w:val="18"/>
              </w:rPr>
            </w:pPr>
            <w:r>
              <w:rPr>
                <w:rFonts w:ascii="宋体" w:hAnsi="宋体" w:cs="宋体" w:eastAsia="宋体" w:hint="default"/>
                <w:sz w:val="18"/>
                <w:szCs w:val="18"/>
              </w:rPr>
              <w:t>是否 按时</w:t>
            </w:r>
          </w:p>
        </w:tc>
        <w:tc>
          <w:tcPr>
            <w:tcW w:w="9179"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7" w:hRule="exact"/>
        </w:trPr>
        <w:tc>
          <w:tcPr>
            <w:tcW w:w="515"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履行</w:t>
            </w:r>
          </w:p>
        </w:tc>
        <w:tc>
          <w:tcPr>
            <w:tcW w:w="9179" w:type="dxa"/>
            <w:gridSpan w:val="6"/>
            <w:tcBorders>
              <w:top w:val="nil" w:sz="6" w:space="0" w:color="auto"/>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spacing w:line="259" w:lineRule="auto"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、公司资产或项目存在盈利预测，且报告期仍处在盈利预测期间，公司就资产或项目达到原盈利预测及</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其原因做出说明</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05"/>
        <w:gridCol w:w="1179"/>
        <w:gridCol w:w="1181"/>
        <w:gridCol w:w="1181"/>
        <w:gridCol w:w="1180"/>
        <w:gridCol w:w="1180"/>
        <w:gridCol w:w="1182"/>
        <w:gridCol w:w="1167"/>
      </w:tblGrid>
      <w:tr>
        <w:trPr>
          <w:trHeight w:val="714" w:hRule="exact"/>
        </w:trPr>
        <w:tc>
          <w:tcPr>
            <w:tcW w:w="13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96" w:right="106"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4" w:right="43"/>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95" w:right="44"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93" w:right="32"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358" w:hRule="exact"/>
        </w:trPr>
        <w:tc>
          <w:tcPr>
            <w:tcW w:w="1305" w:type="dxa"/>
            <w:tcBorders>
              <w:top w:val="single" w:sz="4" w:space="0" w:color="000000"/>
              <w:left w:val="single" w:sz="4" w:space="0" w:color="000000"/>
              <w:bottom w:val="nil" w:sz="6" w:space="0" w:color="auto"/>
              <w:right w:val="single" w:sz="4" w:space="0" w:color="000000"/>
            </w:tcBorders>
            <w:shd w:val="clear" w:color="auto" w:fill="C7EDCC"/>
          </w:tcPr>
          <w:p>
            <w:pPr/>
          </w:p>
        </w:tc>
        <w:tc>
          <w:tcPr>
            <w:tcW w:w="1179"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0" w:type="dxa"/>
            <w:tcBorders>
              <w:top w:val="single" w:sz="4" w:space="0" w:color="000000"/>
              <w:left w:val="single" w:sz="4" w:space="0" w:color="000000"/>
              <w:bottom w:val="nil" w:sz="6" w:space="0" w:color="auto"/>
              <w:right w:val="single" w:sz="4" w:space="0" w:color="000000"/>
            </w:tcBorders>
          </w:tcPr>
          <w:p>
            <w:pPr/>
          </w:p>
        </w:tc>
        <w:tc>
          <w:tcPr>
            <w:tcW w:w="1180" w:type="dxa"/>
            <w:tcBorders>
              <w:top w:val="single" w:sz="4" w:space="0" w:color="000000"/>
              <w:left w:val="single" w:sz="4" w:space="0" w:color="000000"/>
              <w:bottom w:val="nil" w:sz="6" w:space="0" w:color="auto"/>
              <w:right w:val="single" w:sz="4" w:space="0" w:color="000000"/>
            </w:tcBorders>
            <w:shd w:val="clear" w:color="auto" w:fill="C7EDCC"/>
          </w:tcPr>
          <w:p>
            <w:pPr/>
          </w:p>
        </w:tc>
        <w:tc>
          <w:tcPr>
            <w:tcW w:w="1182" w:type="dxa"/>
            <w:tcBorders>
              <w:top w:val="single" w:sz="4" w:space="0" w:color="000000"/>
              <w:left w:val="single" w:sz="4" w:space="0" w:color="000000"/>
              <w:bottom w:val="nil" w:sz="6" w:space="0" w:color="auto"/>
              <w:right w:val="single" w:sz="4" w:space="0" w:color="000000"/>
            </w:tcBorders>
          </w:tcPr>
          <w:p>
            <w:pPr/>
          </w:p>
        </w:tc>
        <w:tc>
          <w:tcPr>
            <w:tcW w:w="1167"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重大资产出售</w:t>
            </w:r>
          </w:p>
        </w:tc>
      </w:tr>
      <w:tr>
        <w:trPr>
          <w:trHeight w:val="936" w:hRule="exact"/>
        </w:trPr>
        <w:tc>
          <w:tcPr>
            <w:tcW w:w="130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90"/>
              <w:jc w:val="left"/>
              <w:rPr>
                <w:rFonts w:ascii="宋体" w:hAnsi="宋体" w:cs="宋体" w:eastAsia="宋体" w:hint="default"/>
                <w:sz w:val="18"/>
                <w:szCs w:val="18"/>
              </w:rPr>
            </w:pPr>
            <w:r>
              <w:rPr>
                <w:rFonts w:ascii="宋体" w:hAnsi="宋体" w:cs="宋体" w:eastAsia="宋体" w:hint="default"/>
                <w:sz w:val="18"/>
                <w:szCs w:val="18"/>
              </w:rPr>
              <w:t>借壳重组置入 资产</w:t>
            </w:r>
          </w:p>
        </w:tc>
        <w:tc>
          <w:tcPr>
            <w:tcW w:w="11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27" w:right="0"/>
              <w:jc w:val="left"/>
              <w:rPr>
                <w:rFonts w:ascii="Times New Roman" w:hAnsi="Times New Roman" w:cs="Times New Roman" w:eastAsia="Times New Roman" w:hint="default"/>
                <w:sz w:val="18"/>
                <w:szCs w:val="18"/>
              </w:rPr>
            </w:pPr>
            <w:r>
              <w:rPr>
                <w:rFonts w:ascii="Times New Roman"/>
                <w:sz w:val="18"/>
              </w:rPr>
              <w:t>19,532.02</w:t>
            </w:r>
          </w:p>
        </w:tc>
        <w:tc>
          <w:tcPr>
            <w:tcW w:w="11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27" w:right="0"/>
              <w:jc w:val="left"/>
              <w:rPr>
                <w:rFonts w:ascii="Times New Roman" w:hAnsi="Times New Roman" w:cs="Times New Roman" w:eastAsia="Times New Roman" w:hint="default"/>
                <w:sz w:val="18"/>
                <w:szCs w:val="18"/>
              </w:rPr>
            </w:pPr>
            <w:r>
              <w:rPr>
                <w:rFonts w:ascii="Times New Roman"/>
                <w:sz w:val="18"/>
              </w:rPr>
              <w:t>19,984.35</w:t>
            </w:r>
          </w:p>
        </w:tc>
        <w:tc>
          <w:tcPr>
            <w:tcW w:w="118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6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52"/>
              <w:jc w:val="both"/>
              <w:rPr>
                <w:rFonts w:ascii="宋体" w:hAnsi="宋体" w:cs="宋体" w:eastAsia="宋体" w:hint="default"/>
                <w:sz w:val="18"/>
                <w:szCs w:val="18"/>
              </w:rPr>
            </w:pPr>
            <w:r>
              <w:rPr>
                <w:rFonts w:ascii="宋体" w:hAnsi="宋体" w:cs="宋体" w:eastAsia="宋体" w:hint="default"/>
                <w:sz w:val="18"/>
                <w:szCs w:val="18"/>
              </w:rPr>
              <w:t>及发行股份购 买资产暨关联 交易报告书</w:t>
            </w:r>
          </w:p>
        </w:tc>
      </w:tr>
      <w:tr>
        <w:trPr>
          <w:trHeight w:val="357" w:hRule="exact"/>
        </w:trPr>
        <w:tc>
          <w:tcPr>
            <w:tcW w:w="1305" w:type="dxa"/>
            <w:tcBorders>
              <w:top w:val="nil" w:sz="6" w:space="0" w:color="auto"/>
              <w:left w:val="single" w:sz="4" w:space="0" w:color="000000"/>
              <w:bottom w:val="single" w:sz="4" w:space="0" w:color="000000"/>
              <w:right w:val="single" w:sz="4" w:space="0" w:color="000000"/>
            </w:tcBorders>
            <w:shd w:val="clear" w:color="auto" w:fill="C7EDCC"/>
          </w:tcPr>
          <w:p>
            <w:pPr/>
          </w:p>
        </w:tc>
        <w:tc>
          <w:tcPr>
            <w:tcW w:w="1179"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shd w:val="clear" w:color="auto" w:fill="C7EDCC"/>
          </w:tcPr>
          <w:p>
            <w:pPr/>
          </w:p>
        </w:tc>
        <w:tc>
          <w:tcPr>
            <w:tcW w:w="1182" w:type="dxa"/>
            <w:tcBorders>
              <w:top w:val="nil" w:sz="6" w:space="0" w:color="auto"/>
              <w:left w:val="single" w:sz="4" w:space="0" w:color="000000"/>
              <w:bottom w:val="single" w:sz="4" w:space="0" w:color="000000"/>
              <w:right w:val="single" w:sz="4" w:space="0" w:color="000000"/>
            </w:tcBorders>
          </w:tcPr>
          <w:p>
            <w:pPr/>
          </w:p>
        </w:tc>
        <w:tc>
          <w:tcPr>
            <w:tcW w:w="1167"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（修订版）</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公司股东、交易对手方在报告年度经营业绩做出的承诺情况</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86" w:lineRule="auto" w:before="155"/>
        <w:ind w:left="153" w:right="148" w:firstLine="420"/>
        <w:jc w:val="both"/>
        <w:rPr>
          <w:rFonts w:ascii="宋体" w:hAnsi="宋体" w:cs="宋体" w:eastAsia="宋体" w:hint="default"/>
          <w:sz w:val="21"/>
          <w:szCs w:val="21"/>
        </w:rPr>
      </w:pPr>
      <w:r>
        <w:rPr>
          <w:rFonts w:ascii="宋体" w:hAnsi="宋体" w:cs="宋体" w:eastAsia="宋体" w:hint="default"/>
          <w:spacing w:val="-1"/>
          <w:sz w:val="21"/>
          <w:szCs w:val="21"/>
        </w:rPr>
        <w:t>林鹭华、韩锋、杨治国、蒋谢珍、刘志英、郑美月、冯岚承诺快点传播</w:t>
      </w:r>
      <w:r>
        <w:rPr>
          <w:rFonts w:ascii="Times New Roman" w:hAnsi="Times New Roman" w:cs="Times New Roman" w:eastAsia="Times New Roman" w:hint="default"/>
          <w:spacing w:val="-1"/>
          <w:sz w:val="21"/>
          <w:szCs w:val="21"/>
        </w:rPr>
        <w:t>2015</w:t>
      </w:r>
      <w:r>
        <w:rPr>
          <w:rFonts w:ascii="宋体" w:hAnsi="宋体" w:cs="宋体" w:eastAsia="宋体" w:hint="default"/>
          <w:spacing w:val="-1"/>
          <w:sz w:val="21"/>
          <w:szCs w:val="21"/>
        </w:rPr>
        <w:t>年归属母公司净利润（根</w:t>
      </w:r>
      <w:r>
        <w:rPr>
          <w:rFonts w:ascii="宋体" w:hAnsi="宋体" w:cs="宋体" w:eastAsia="宋体" w:hint="default"/>
          <w:sz w:val="21"/>
          <w:szCs w:val="21"/>
        </w:rPr>
        <w:t> </w:t>
      </w:r>
      <w:r>
        <w:rPr>
          <w:rFonts w:ascii="宋体" w:hAnsi="宋体" w:cs="宋体" w:eastAsia="宋体" w:hint="default"/>
          <w:spacing w:val="-1"/>
          <w:sz w:val="21"/>
          <w:szCs w:val="21"/>
        </w:rPr>
        <w:t>据标的企业扣除非经常性损益前后孰低原则确定）为</w:t>
      </w:r>
      <w:r>
        <w:rPr>
          <w:rFonts w:ascii="Times New Roman" w:hAnsi="Times New Roman" w:cs="Times New Roman" w:eastAsia="Times New Roman" w:hint="default"/>
          <w:spacing w:val="-1"/>
          <w:sz w:val="21"/>
          <w:szCs w:val="21"/>
        </w:rPr>
        <w:t>3,100</w:t>
      </w:r>
      <w:r>
        <w:rPr>
          <w:rFonts w:ascii="宋体" w:hAnsi="宋体" w:cs="宋体" w:eastAsia="宋体" w:hint="default"/>
          <w:spacing w:val="-1"/>
          <w:sz w:val="21"/>
          <w:szCs w:val="21"/>
        </w:rPr>
        <w:t>万元，实际实现</w:t>
      </w:r>
      <w:r>
        <w:rPr>
          <w:rFonts w:ascii="Times New Roman" w:hAnsi="Times New Roman" w:cs="Times New Roman" w:eastAsia="Times New Roman" w:hint="default"/>
          <w:spacing w:val="-1"/>
          <w:sz w:val="21"/>
          <w:szCs w:val="21"/>
        </w:rPr>
        <w:t>31,017,044.14</w:t>
      </w:r>
      <w:r>
        <w:rPr>
          <w:rFonts w:ascii="宋体" w:hAnsi="宋体" w:cs="宋体" w:eastAsia="宋体" w:hint="default"/>
          <w:spacing w:val="-1"/>
          <w:sz w:val="21"/>
          <w:szCs w:val="21"/>
        </w:rPr>
        <w:t>元，完成</w:t>
      </w:r>
      <w:r>
        <w:rPr>
          <w:rFonts w:ascii="Times New Roman" w:hAnsi="Times New Roman" w:cs="Times New Roman" w:eastAsia="Times New Roman" w:hint="default"/>
          <w:spacing w:val="-1"/>
          <w:sz w:val="21"/>
          <w:szCs w:val="21"/>
        </w:rPr>
        <w:t>2015</w:t>
      </w:r>
      <w:r>
        <w:rPr>
          <w:rFonts w:ascii="宋体" w:hAnsi="宋体" w:cs="宋体" w:eastAsia="宋体" w:hint="default"/>
          <w:spacing w:val="-1"/>
          <w:sz w:val="21"/>
          <w:szCs w:val="21"/>
        </w:rPr>
        <w:t>年度</w:t>
      </w:r>
      <w:r>
        <w:rPr>
          <w:rFonts w:ascii="宋体" w:hAnsi="宋体" w:cs="宋体" w:eastAsia="宋体" w:hint="default"/>
          <w:spacing w:val="-81"/>
          <w:sz w:val="21"/>
          <w:szCs w:val="21"/>
        </w:rPr>
        <w:t> </w:t>
      </w:r>
      <w:r>
        <w:rPr>
          <w:rFonts w:ascii="宋体" w:hAnsi="宋体" w:cs="宋体" w:eastAsia="宋体" w:hint="default"/>
          <w:sz w:val="21"/>
          <w:szCs w:val="21"/>
        </w:rPr>
        <w:t>的业绩承诺。</w:t>
      </w:r>
    </w:p>
    <w:p>
      <w:pPr>
        <w:spacing w:before="103"/>
        <w:ind w:left="573" w:right="0" w:firstLine="0"/>
        <w:jc w:val="left"/>
        <w:rPr>
          <w:rFonts w:ascii="宋体" w:hAnsi="宋体" w:cs="宋体" w:eastAsia="宋体" w:hint="default"/>
          <w:sz w:val="21"/>
          <w:szCs w:val="21"/>
        </w:rPr>
      </w:pPr>
      <w:r>
        <w:rPr>
          <w:rFonts w:ascii="宋体" w:hAnsi="宋体" w:cs="宋体" w:eastAsia="宋体" w:hint="default"/>
          <w:sz w:val="21"/>
          <w:szCs w:val="21"/>
        </w:rPr>
        <w:t>陈黎明承诺精典博维</w:t>
      </w:r>
      <w:r>
        <w:rPr>
          <w:rFonts w:ascii="Times New Roman" w:hAnsi="Times New Roman" w:cs="Times New Roman" w:eastAsia="Times New Roman" w:hint="default"/>
          <w:sz w:val="21"/>
          <w:szCs w:val="21"/>
        </w:rPr>
        <w:t>2015</w:t>
      </w:r>
      <w:r>
        <w:rPr>
          <w:rFonts w:ascii="宋体" w:hAnsi="宋体" w:cs="宋体" w:eastAsia="宋体" w:hint="default"/>
          <w:sz w:val="21"/>
          <w:szCs w:val="21"/>
        </w:rPr>
        <w:t>年度归属母公司净利润（根据标的公司扣除非经常性损益前后孰低原则确</w:t>
      </w:r>
    </w:p>
    <w:p>
      <w:pPr>
        <w:spacing w:after="0"/>
        <w:jc w:val="left"/>
        <w:rPr>
          <w:rFonts w:ascii="宋体" w:hAnsi="宋体" w:cs="宋体" w:eastAsia="宋体" w:hint="default"/>
          <w:sz w:val="21"/>
          <w:szCs w:val="21"/>
        </w:rPr>
        <w:sectPr>
          <w:pgSz w:w="11910" w:h="16840"/>
          <w:pgMar w:header="877" w:footer="982" w:top="1100" w:bottom="1180" w:left="980" w:right="980"/>
        </w:sectPr>
      </w:pPr>
    </w:p>
    <w:p>
      <w:pPr>
        <w:spacing w:line="240" w:lineRule="auto" w:before="9"/>
        <w:rPr>
          <w:rFonts w:ascii="宋体" w:hAnsi="宋体" w:cs="宋体" w:eastAsia="宋体" w:hint="default"/>
          <w:sz w:val="26"/>
          <w:szCs w:val="26"/>
        </w:rPr>
      </w:pPr>
    </w:p>
    <w:p>
      <w:pPr>
        <w:spacing w:line="417" w:lineRule="auto" w:before="35"/>
        <w:ind w:left="573" w:right="478" w:hanging="420"/>
        <w:jc w:val="left"/>
        <w:rPr>
          <w:rFonts w:ascii="宋体" w:hAnsi="宋体" w:cs="宋体" w:eastAsia="宋体" w:hint="default"/>
          <w:sz w:val="21"/>
          <w:szCs w:val="21"/>
        </w:rPr>
      </w:pPr>
      <w:r>
        <w:rPr>
          <w:rFonts w:ascii="宋体" w:hAnsi="宋体" w:cs="宋体" w:eastAsia="宋体" w:hint="default"/>
          <w:sz w:val="21"/>
          <w:szCs w:val="21"/>
        </w:rPr>
        <w:t>定）为</w:t>
      </w:r>
      <w:r>
        <w:rPr>
          <w:rFonts w:ascii="Times New Roman" w:hAnsi="Times New Roman" w:cs="Times New Roman" w:eastAsia="Times New Roman" w:hint="default"/>
          <w:sz w:val="21"/>
          <w:szCs w:val="21"/>
        </w:rPr>
        <w:t>2,400</w:t>
      </w:r>
      <w:r>
        <w:rPr>
          <w:rFonts w:ascii="宋体" w:hAnsi="宋体" w:cs="宋体" w:eastAsia="宋体" w:hint="default"/>
          <w:sz w:val="21"/>
          <w:szCs w:val="21"/>
        </w:rPr>
        <w:t>万元，实际实现</w:t>
      </w:r>
      <w:r>
        <w:rPr>
          <w:rFonts w:ascii="Times New Roman" w:hAnsi="Times New Roman" w:cs="Times New Roman" w:eastAsia="Times New Roman" w:hint="default"/>
          <w:sz w:val="21"/>
          <w:szCs w:val="21"/>
        </w:rPr>
        <w:t>26,385,582.89</w:t>
      </w:r>
      <w:r>
        <w:rPr>
          <w:rFonts w:ascii="宋体" w:hAnsi="宋体" w:cs="宋体" w:eastAsia="宋体" w:hint="default"/>
          <w:sz w:val="21"/>
          <w:szCs w:val="21"/>
        </w:rPr>
        <w:t>元，完成</w:t>
      </w:r>
      <w:r>
        <w:rPr>
          <w:rFonts w:ascii="Times New Roman" w:hAnsi="Times New Roman" w:cs="Times New Roman" w:eastAsia="Times New Roman" w:hint="default"/>
          <w:sz w:val="21"/>
          <w:szCs w:val="21"/>
        </w:rPr>
        <w:t>2015</w:t>
      </w:r>
      <w:r>
        <w:rPr>
          <w:rFonts w:ascii="宋体" w:hAnsi="宋体" w:cs="宋体" w:eastAsia="宋体" w:hint="default"/>
          <w:sz w:val="21"/>
          <w:szCs w:val="21"/>
        </w:rPr>
        <w:t>年度的业绩承诺。 茅迅毅、吴以亮承诺上海合印包装</w:t>
      </w:r>
      <w:r>
        <w:rPr>
          <w:rFonts w:ascii="Times New Roman" w:hAnsi="Times New Roman" w:cs="Times New Roman" w:eastAsia="Times New Roman" w:hint="default"/>
          <w:sz w:val="21"/>
          <w:szCs w:val="21"/>
        </w:rPr>
        <w:t>2015</w:t>
      </w:r>
      <w:r>
        <w:rPr>
          <w:rFonts w:ascii="宋体" w:hAnsi="宋体" w:cs="宋体" w:eastAsia="宋体" w:hint="default"/>
          <w:sz w:val="21"/>
          <w:szCs w:val="21"/>
        </w:rPr>
        <w:t>年扣除非经常性损益的净利润不低于</w:t>
      </w:r>
      <w:r>
        <w:rPr>
          <w:rFonts w:ascii="Times New Roman" w:hAnsi="Times New Roman" w:cs="Times New Roman" w:eastAsia="Times New Roman" w:hint="default"/>
          <w:sz w:val="21"/>
          <w:szCs w:val="21"/>
        </w:rPr>
        <w:t>2,850</w:t>
      </w:r>
      <w:r>
        <w:rPr>
          <w:rFonts w:ascii="宋体" w:hAnsi="宋体" w:cs="宋体" w:eastAsia="宋体" w:hint="default"/>
          <w:sz w:val="21"/>
          <w:szCs w:val="21"/>
        </w:rPr>
        <w:t>万元，实际实现</w:t>
      </w:r>
    </w:p>
    <w:p>
      <w:pPr>
        <w:spacing w:before="6"/>
        <w:ind w:left="15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29,698,027.14</w:t>
      </w:r>
      <w:r>
        <w:rPr>
          <w:rFonts w:ascii="宋体" w:hAnsi="宋体" w:cs="宋体" w:eastAsia="宋体" w:hint="default"/>
          <w:sz w:val="21"/>
          <w:szCs w:val="21"/>
        </w:rPr>
        <w:t>元，完成</w:t>
      </w:r>
      <w:r>
        <w:rPr>
          <w:rFonts w:ascii="Times New Roman" w:hAnsi="Times New Roman" w:cs="Times New Roman" w:eastAsia="Times New Roman" w:hint="default"/>
          <w:sz w:val="21"/>
          <w:szCs w:val="21"/>
        </w:rPr>
        <w:t>2015</w:t>
      </w:r>
      <w:r>
        <w:rPr>
          <w:rFonts w:ascii="宋体" w:hAnsi="宋体" w:cs="宋体" w:eastAsia="宋体" w:hint="default"/>
          <w:sz w:val="21"/>
          <w:szCs w:val="21"/>
        </w:rPr>
        <w:t>年度的业绩承诺。</w:t>
      </w:r>
    </w:p>
    <w:p>
      <w:pPr>
        <w:spacing w:line="240" w:lineRule="auto" w:before="10"/>
        <w:rPr>
          <w:rFonts w:ascii="宋体" w:hAnsi="宋体" w:cs="宋体" w:eastAsia="宋体" w:hint="default"/>
          <w:sz w:val="28"/>
          <w:szCs w:val="28"/>
        </w:rPr>
      </w:pPr>
    </w:p>
    <w:p>
      <w:pPr>
        <w:pStyle w:val="Heading3"/>
        <w:spacing w:line="240" w:lineRule="auto"/>
        <w:ind w:right="0"/>
        <w:jc w:val="left"/>
        <w:rPr>
          <w:b w:val="0"/>
          <w:bCs w:val="0"/>
        </w:rPr>
      </w:pP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54" w:right="40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47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公司报告期无会计政策、会计估计和核算方法发生变化的情况。</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spacing w:line="340" w:lineRule="auto" w:before="0"/>
        <w:ind w:left="154" w:right="56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73" w:lineRule="auto" w:before="75"/>
        <w:ind w:left="154" w:right="219" w:firstLine="420"/>
        <w:jc w:val="left"/>
        <w:rPr>
          <w:rFonts w:ascii="宋体" w:hAnsi="宋体" w:cs="宋体" w:eastAsia="宋体" w:hint="default"/>
          <w:sz w:val="21"/>
          <w:szCs w:val="21"/>
        </w:rPr>
      </w:pPr>
      <w:r>
        <w:rPr>
          <w:rFonts w:ascii="宋体" w:hAnsi="宋体" w:cs="宋体" w:eastAsia="宋体" w:hint="default"/>
          <w:sz w:val="21"/>
          <w:szCs w:val="21"/>
        </w:rPr>
        <w:t>本公司2015年度纳入合并范围的子公司共13户，详见第十节</w:t>
      </w:r>
      <w:r>
        <w:rPr>
          <w:rFonts w:ascii="宋体" w:hAnsi="宋体" w:cs="宋体" w:eastAsia="宋体" w:hint="default"/>
          <w:spacing w:val="-4"/>
          <w:sz w:val="21"/>
          <w:szCs w:val="21"/>
        </w:rPr>
        <w:t> </w:t>
      </w:r>
      <w:r>
        <w:rPr>
          <w:rFonts w:ascii="宋体" w:hAnsi="宋体" w:cs="宋体" w:eastAsia="宋体" w:hint="default"/>
          <w:sz w:val="21"/>
          <w:szCs w:val="21"/>
        </w:rPr>
        <w:t>九、“在其他主体中的权益”。本公司</w:t>
      </w:r>
      <w:r>
        <w:rPr>
          <w:rFonts w:ascii="宋体" w:hAnsi="宋体" w:cs="宋体" w:eastAsia="宋体" w:hint="default"/>
          <w:sz w:val="21"/>
          <w:szCs w:val="21"/>
        </w:rPr>
        <w:t> 本年度合并范围比上年度增加3户，详见第十节</w:t>
      </w:r>
      <w:r>
        <w:rPr>
          <w:rFonts w:ascii="宋体" w:hAnsi="宋体" w:cs="宋体" w:eastAsia="宋体" w:hint="default"/>
          <w:spacing w:val="-2"/>
          <w:sz w:val="21"/>
          <w:szCs w:val="21"/>
        </w:rPr>
        <w:t> </w:t>
      </w:r>
      <w:r>
        <w:rPr>
          <w:rFonts w:ascii="宋体" w:hAnsi="宋体" w:cs="宋体" w:eastAsia="宋体" w:hint="default"/>
          <w:sz w:val="21"/>
          <w:szCs w:val="21"/>
        </w:rPr>
        <w:t>八“合并范围的变更”。</w:t>
      </w:r>
    </w:p>
    <w:p>
      <w:pPr>
        <w:spacing w:line="240" w:lineRule="auto" w:before="11"/>
        <w:rPr>
          <w:rFonts w:ascii="宋体" w:hAnsi="宋体" w:cs="宋体" w:eastAsia="宋体" w:hint="default"/>
          <w:sz w:val="21"/>
          <w:szCs w:val="21"/>
        </w:rPr>
      </w:pPr>
    </w:p>
    <w:p>
      <w:pPr>
        <w:pStyle w:val="Heading3"/>
        <w:spacing w:line="240" w:lineRule="auto"/>
        <w:ind w:right="0"/>
        <w:jc w:val="left"/>
        <w:rPr>
          <w:b w:val="0"/>
          <w:bCs w:val="0"/>
        </w:rPr>
      </w:pPr>
      <w:r>
        <w:rPr/>
        <w:t>九、聘任、解聘会计师事务所情况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徐殷鹏，李可虎</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40" w:lineRule="auto" w:before="116"/>
        <w:ind w:left="154" w:right="52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76"/>
        <w:ind w:left="574" w:right="0" w:firstLine="0"/>
        <w:jc w:val="left"/>
        <w:rPr>
          <w:rFonts w:ascii="宋体" w:hAnsi="宋体" w:cs="宋体" w:eastAsia="宋体" w:hint="default"/>
          <w:sz w:val="21"/>
          <w:szCs w:val="21"/>
        </w:rPr>
      </w:pPr>
      <w:r>
        <w:rPr>
          <w:rFonts w:ascii="宋体" w:hAnsi="宋体" w:cs="宋体" w:eastAsia="宋体" w:hint="default"/>
          <w:sz w:val="21"/>
          <w:szCs w:val="21"/>
        </w:rPr>
        <w:t>报告期内，公司聘请瑞华会计师事务所（特殊普通合伙）为内部控制审计会计师事务所，支付的费用</w:t>
      </w:r>
    </w:p>
    <w:p>
      <w:pPr>
        <w:spacing w:after="0"/>
        <w:jc w:val="left"/>
        <w:rPr>
          <w:rFonts w:ascii="宋体" w:hAnsi="宋体" w:cs="宋体" w:eastAsia="宋体" w:hint="default"/>
          <w:sz w:val="21"/>
          <w:szCs w:val="21"/>
        </w:rPr>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sz w:val="21"/>
          <w:szCs w:val="21"/>
        </w:rPr>
        <w:t>为</w:t>
      </w:r>
      <w:r>
        <w:rPr>
          <w:rFonts w:ascii="Times New Roman" w:hAnsi="Times New Roman" w:cs="Times New Roman" w:eastAsia="Times New Roman" w:hint="default"/>
          <w:sz w:val="21"/>
          <w:szCs w:val="21"/>
        </w:rPr>
        <w:t>25</w:t>
      </w:r>
      <w:r>
        <w:rPr>
          <w:rFonts w:ascii="宋体" w:hAnsi="宋体" w:cs="宋体" w:eastAsia="宋体" w:hint="default"/>
          <w:sz w:val="21"/>
          <w:szCs w:val="21"/>
        </w:rPr>
        <w:t>万元。</w:t>
      </w:r>
    </w:p>
    <w:p>
      <w:pPr>
        <w:spacing w:before="21"/>
        <w:ind w:left="574" w:right="0" w:firstLine="0"/>
        <w:jc w:val="left"/>
        <w:rPr>
          <w:rFonts w:ascii="宋体" w:hAnsi="宋体" w:cs="宋体" w:eastAsia="宋体" w:hint="default"/>
          <w:sz w:val="21"/>
          <w:szCs w:val="21"/>
        </w:rPr>
      </w:pPr>
      <w:r>
        <w:rPr>
          <w:rFonts w:ascii="宋体" w:hAnsi="宋体" w:cs="宋体" w:eastAsia="宋体" w:hint="default"/>
          <w:sz w:val="21"/>
          <w:szCs w:val="21"/>
        </w:rPr>
        <w:t>报告期内，公司因对外投资事项，聘请东方花旗证券有限公司为财务顾问，支付的费用为</w:t>
      </w:r>
      <w:r>
        <w:rPr>
          <w:rFonts w:ascii="Times New Roman" w:hAnsi="Times New Roman" w:cs="Times New Roman" w:eastAsia="Times New Roman" w:hint="default"/>
          <w:sz w:val="21"/>
          <w:szCs w:val="21"/>
        </w:rPr>
        <w:t>240</w:t>
      </w:r>
      <w:r>
        <w:rPr>
          <w:rFonts w:ascii="宋体" w:hAnsi="宋体" w:cs="宋体" w:eastAsia="宋体" w:hint="default"/>
          <w:sz w:val="21"/>
          <w:szCs w:val="21"/>
        </w:rPr>
        <w:t>万元。</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r>
        <w:rPr/>
        <w:t>十一、破产重整相关事项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67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十二、重大诉讼、仲裁事项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67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本报告期公司无重大诉讼、仲裁事项。</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r>
        <w:rPr/>
        <w:t>十三、处罚及整改情况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68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54" w:right="34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公司报告期无股权激励计划、员工持股计划或其他员工激励措施及其实施情况。</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r>
        <w:rPr/>
        <w:t>十六、重大关联交易</w:t>
      </w:r>
      <w:r>
        <w:rPr>
          <w:b w:val="0"/>
          <w:bCs w:val="0"/>
        </w:rPr>
      </w:r>
    </w:p>
    <w:p>
      <w:pPr>
        <w:spacing w:line="240" w:lineRule="auto" w:before="9"/>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791"/>
        <w:gridCol w:w="667"/>
        <w:gridCol w:w="667"/>
        <w:gridCol w:w="694"/>
        <w:gridCol w:w="668"/>
        <w:gridCol w:w="686"/>
        <w:gridCol w:w="776"/>
        <w:gridCol w:w="662"/>
        <w:gridCol w:w="664"/>
        <w:gridCol w:w="662"/>
        <w:gridCol w:w="664"/>
        <w:gridCol w:w="685"/>
        <w:gridCol w:w="660"/>
        <w:gridCol w:w="746"/>
      </w:tblGrid>
      <w:tr>
        <w:trPr>
          <w:trHeight w:val="1338" w:hRule="exact"/>
        </w:trPr>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300" w:right="29"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37" w:right="59"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57" w:right="59"/>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71" w:right="71"/>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8" w:right="59"/>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68" w:right="66"/>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6" w:right="54"/>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6" w:right="55"/>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6" w:right="54"/>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6" w:right="55"/>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7" w:right="66"/>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35" w:right="53"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7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8" w:right="96"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027" w:hRule="exact"/>
        </w:trPr>
        <w:tc>
          <w:tcPr>
            <w:tcW w:w="7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36"/>
              <w:jc w:val="left"/>
              <w:rPr>
                <w:rFonts w:ascii="宋体" w:hAnsi="宋体" w:cs="宋体" w:eastAsia="宋体" w:hint="default"/>
                <w:sz w:val="18"/>
                <w:szCs w:val="18"/>
              </w:rPr>
            </w:pPr>
            <w:r>
              <w:rPr>
                <w:rFonts w:ascii="宋体" w:hAnsi="宋体" w:cs="宋体" w:eastAsia="宋体" w:hint="default"/>
                <w:sz w:val="18"/>
                <w:szCs w:val="18"/>
              </w:rPr>
              <w:t>都市快报 社</w:t>
            </w:r>
          </w:p>
        </w:tc>
        <w:tc>
          <w:tcPr>
            <w:tcW w:w="6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92"/>
              <w:jc w:val="both"/>
              <w:rPr>
                <w:rFonts w:ascii="宋体" w:hAnsi="宋体" w:cs="宋体" w:eastAsia="宋体" w:hint="default"/>
                <w:sz w:val="18"/>
                <w:szCs w:val="18"/>
              </w:rPr>
            </w:pPr>
            <w:r>
              <w:rPr>
                <w:rFonts w:ascii="宋体" w:hAnsi="宋体" w:cs="宋体" w:eastAsia="宋体" w:hint="default"/>
                <w:sz w:val="18"/>
                <w:szCs w:val="18"/>
              </w:rPr>
              <w:t>同一最 终控制 方控制</w:t>
            </w:r>
          </w:p>
        </w:tc>
        <w:tc>
          <w:tcPr>
            <w:tcW w:w="6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92"/>
              <w:jc w:val="left"/>
              <w:rPr>
                <w:rFonts w:ascii="宋体" w:hAnsi="宋体" w:cs="宋体" w:eastAsia="宋体" w:hint="default"/>
                <w:sz w:val="18"/>
                <w:szCs w:val="18"/>
              </w:rPr>
            </w:pPr>
            <w:r>
              <w:rPr>
                <w:rFonts w:ascii="宋体" w:hAnsi="宋体" w:cs="宋体" w:eastAsia="宋体" w:hint="default"/>
                <w:sz w:val="18"/>
                <w:szCs w:val="18"/>
              </w:rPr>
              <w:t>采编服 务</w:t>
            </w:r>
          </w:p>
        </w:tc>
        <w:tc>
          <w:tcPr>
            <w:tcW w:w="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19"/>
              <w:jc w:val="left"/>
              <w:rPr>
                <w:rFonts w:ascii="宋体" w:hAnsi="宋体" w:cs="宋体" w:eastAsia="宋体" w:hint="default"/>
                <w:sz w:val="18"/>
                <w:szCs w:val="18"/>
              </w:rPr>
            </w:pPr>
            <w:r>
              <w:rPr>
                <w:rFonts w:ascii="宋体" w:hAnsi="宋体" w:cs="宋体" w:eastAsia="宋体" w:hint="default"/>
                <w:sz w:val="18"/>
                <w:szCs w:val="18"/>
              </w:rPr>
              <w:t>采编服 务</w:t>
            </w:r>
          </w:p>
        </w:tc>
        <w:tc>
          <w:tcPr>
            <w:tcW w:w="6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95"/>
              <w:jc w:val="both"/>
              <w:rPr>
                <w:rFonts w:ascii="宋体" w:hAnsi="宋体" w:cs="宋体" w:eastAsia="宋体" w:hint="default"/>
                <w:sz w:val="18"/>
                <w:szCs w:val="18"/>
              </w:rPr>
            </w:pPr>
            <w:r>
              <w:rPr>
                <w:rFonts w:ascii="宋体" w:hAnsi="宋体" w:cs="宋体" w:eastAsia="宋体" w:hint="default"/>
                <w:sz w:val="18"/>
                <w:szCs w:val="18"/>
              </w:rPr>
              <w:t>《收入 分成协 议》</w:t>
            </w:r>
          </w:p>
        </w:tc>
        <w:tc>
          <w:tcPr>
            <w:tcW w:w="6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9,562.26</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9,562.26</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42.31%</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11,000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货币</w:t>
            </w:r>
          </w:p>
        </w:tc>
        <w:tc>
          <w:tcPr>
            <w:tcW w:w="6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9,562.26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2015-030</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号公告</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791"/>
        <w:gridCol w:w="667"/>
        <w:gridCol w:w="667"/>
        <w:gridCol w:w="694"/>
        <w:gridCol w:w="668"/>
        <w:gridCol w:w="686"/>
        <w:gridCol w:w="776"/>
        <w:gridCol w:w="662"/>
        <w:gridCol w:w="664"/>
        <w:gridCol w:w="662"/>
        <w:gridCol w:w="664"/>
        <w:gridCol w:w="685"/>
        <w:gridCol w:w="660"/>
        <w:gridCol w:w="746"/>
      </w:tblGrid>
      <w:tr>
        <w:trPr>
          <w:trHeight w:val="1338" w:hRule="exact"/>
        </w:trPr>
        <w:tc>
          <w:tcPr>
            <w:tcW w:w="7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36"/>
              <w:jc w:val="left"/>
              <w:rPr>
                <w:rFonts w:ascii="宋体" w:hAnsi="宋体" w:cs="宋体" w:eastAsia="宋体" w:hint="default"/>
                <w:sz w:val="18"/>
                <w:szCs w:val="18"/>
              </w:rPr>
            </w:pPr>
            <w:r>
              <w:rPr>
                <w:rFonts w:ascii="宋体" w:hAnsi="宋体" w:cs="宋体" w:eastAsia="宋体" w:hint="default"/>
                <w:sz w:val="18"/>
                <w:szCs w:val="18"/>
              </w:rPr>
              <w:t>杭州日报 报业集团</w:t>
            </w:r>
          </w:p>
          <w:p>
            <w:pPr>
              <w:pStyle w:val="TableParagraph"/>
              <w:spacing w:line="319" w:lineRule="auto" w:before="19"/>
              <w:ind w:left="22" w:right="36"/>
              <w:jc w:val="left"/>
              <w:rPr>
                <w:rFonts w:ascii="宋体" w:hAnsi="宋体" w:cs="宋体" w:eastAsia="宋体" w:hint="default"/>
                <w:sz w:val="18"/>
                <w:szCs w:val="18"/>
              </w:rPr>
            </w:pPr>
            <w:r>
              <w:rPr>
                <w:rFonts w:ascii="宋体" w:hAnsi="宋体" w:cs="宋体" w:eastAsia="宋体" w:hint="default"/>
                <w:sz w:val="18"/>
                <w:szCs w:val="18"/>
              </w:rPr>
              <w:t>（杭州日 报社）</w:t>
            </w:r>
          </w:p>
        </w:tc>
        <w:tc>
          <w:tcPr>
            <w:tcW w:w="6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92"/>
              <w:jc w:val="both"/>
              <w:rPr>
                <w:rFonts w:ascii="宋体" w:hAnsi="宋体" w:cs="宋体" w:eastAsia="宋体" w:hint="default"/>
                <w:sz w:val="18"/>
                <w:szCs w:val="18"/>
              </w:rPr>
            </w:pPr>
            <w:r>
              <w:rPr>
                <w:rFonts w:ascii="宋体" w:hAnsi="宋体" w:cs="宋体" w:eastAsia="宋体" w:hint="default"/>
                <w:sz w:val="18"/>
                <w:szCs w:val="18"/>
              </w:rPr>
              <w:t>同一最 终控制 方控制</w:t>
            </w:r>
          </w:p>
        </w:tc>
        <w:tc>
          <w:tcPr>
            <w:tcW w:w="6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92"/>
              <w:jc w:val="left"/>
              <w:rPr>
                <w:rFonts w:ascii="宋体" w:hAnsi="宋体" w:cs="宋体" w:eastAsia="宋体" w:hint="default"/>
                <w:sz w:val="18"/>
                <w:szCs w:val="18"/>
              </w:rPr>
            </w:pPr>
            <w:r>
              <w:rPr>
                <w:rFonts w:ascii="宋体" w:hAnsi="宋体" w:cs="宋体" w:eastAsia="宋体" w:hint="default"/>
                <w:sz w:val="18"/>
                <w:szCs w:val="18"/>
              </w:rPr>
              <w:t>采编服 务</w:t>
            </w:r>
          </w:p>
        </w:tc>
        <w:tc>
          <w:tcPr>
            <w:tcW w:w="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19"/>
              <w:jc w:val="left"/>
              <w:rPr>
                <w:rFonts w:ascii="宋体" w:hAnsi="宋体" w:cs="宋体" w:eastAsia="宋体" w:hint="default"/>
                <w:sz w:val="18"/>
                <w:szCs w:val="18"/>
              </w:rPr>
            </w:pPr>
            <w:r>
              <w:rPr>
                <w:rFonts w:ascii="宋体" w:hAnsi="宋体" w:cs="宋体" w:eastAsia="宋体" w:hint="default"/>
                <w:sz w:val="18"/>
                <w:szCs w:val="18"/>
              </w:rPr>
              <w:t>采编服 务</w:t>
            </w:r>
          </w:p>
        </w:tc>
        <w:tc>
          <w:tcPr>
            <w:tcW w:w="6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95"/>
              <w:jc w:val="both"/>
              <w:rPr>
                <w:rFonts w:ascii="宋体" w:hAnsi="宋体" w:cs="宋体" w:eastAsia="宋体" w:hint="default"/>
                <w:sz w:val="18"/>
                <w:szCs w:val="18"/>
              </w:rPr>
            </w:pPr>
            <w:r>
              <w:rPr>
                <w:rFonts w:ascii="宋体" w:hAnsi="宋体" w:cs="宋体" w:eastAsia="宋体" w:hint="default"/>
                <w:sz w:val="18"/>
                <w:szCs w:val="18"/>
              </w:rPr>
              <w:t>《收入 分成协 议》</w:t>
            </w:r>
          </w:p>
        </w:tc>
        <w:tc>
          <w:tcPr>
            <w:tcW w:w="6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6,423.98</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6,423.98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28.42%</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7,120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69"/>
              <w:jc w:val="right"/>
              <w:rPr>
                <w:rFonts w:ascii="宋体" w:hAnsi="宋体" w:cs="宋体" w:eastAsia="宋体" w:hint="default"/>
                <w:sz w:val="18"/>
                <w:szCs w:val="18"/>
              </w:rPr>
            </w:pPr>
            <w:r>
              <w:rPr>
                <w:rFonts w:ascii="宋体" w:hAnsi="宋体" w:cs="宋体" w:eastAsia="宋体" w:hint="default"/>
                <w:sz w:val="18"/>
                <w:szCs w:val="18"/>
              </w:rPr>
              <w:t>货币</w:t>
            </w:r>
          </w:p>
        </w:tc>
        <w:tc>
          <w:tcPr>
            <w:tcW w:w="6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6,423.98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2015-030</w:t>
            </w:r>
          </w:p>
          <w:p>
            <w:pPr>
              <w:pStyle w:val="TableParagraph"/>
              <w:spacing w:line="240" w:lineRule="auto" w:before="65"/>
              <w:ind w:left="23" w:right="-8"/>
              <w:jc w:val="left"/>
              <w:rPr>
                <w:rFonts w:ascii="宋体" w:hAnsi="宋体" w:cs="宋体" w:eastAsia="宋体" w:hint="default"/>
                <w:sz w:val="18"/>
                <w:szCs w:val="18"/>
              </w:rPr>
            </w:pPr>
            <w:r>
              <w:rPr>
                <w:rFonts w:ascii="宋体" w:hAnsi="宋体" w:cs="宋体" w:eastAsia="宋体" w:hint="default"/>
                <w:sz w:val="18"/>
                <w:szCs w:val="18"/>
              </w:rPr>
              <w:t>号公告、</w:t>
            </w:r>
          </w:p>
          <w:p>
            <w:pPr>
              <w:pStyle w:val="TableParagraph"/>
              <w:spacing w:line="240" w:lineRule="auto" w:before="116"/>
              <w:ind w:left="23" w:right="0"/>
              <w:jc w:val="left"/>
              <w:rPr>
                <w:rFonts w:ascii="Times New Roman" w:hAnsi="Times New Roman" w:cs="Times New Roman" w:eastAsia="Times New Roman" w:hint="default"/>
                <w:sz w:val="18"/>
                <w:szCs w:val="18"/>
              </w:rPr>
            </w:pPr>
            <w:r>
              <w:rPr>
                <w:rFonts w:ascii="Times New Roman"/>
                <w:sz w:val="18"/>
              </w:rPr>
              <w:t>2015-091</w:t>
            </w:r>
          </w:p>
          <w:p>
            <w:pPr>
              <w:pStyle w:val="TableParagraph"/>
              <w:spacing w:line="240" w:lineRule="auto" w:before="66"/>
              <w:ind w:left="23"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1026" w:hRule="exact"/>
        </w:trPr>
        <w:tc>
          <w:tcPr>
            <w:tcW w:w="7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36"/>
              <w:jc w:val="left"/>
              <w:rPr>
                <w:rFonts w:ascii="宋体" w:hAnsi="宋体" w:cs="宋体" w:eastAsia="宋体" w:hint="default"/>
                <w:sz w:val="18"/>
                <w:szCs w:val="18"/>
              </w:rPr>
            </w:pPr>
            <w:r>
              <w:rPr>
                <w:rFonts w:ascii="宋体" w:hAnsi="宋体" w:cs="宋体" w:eastAsia="宋体" w:hint="default"/>
                <w:sz w:val="18"/>
                <w:szCs w:val="18"/>
              </w:rPr>
              <w:t>每日商报 社</w:t>
            </w:r>
          </w:p>
        </w:tc>
        <w:tc>
          <w:tcPr>
            <w:tcW w:w="6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92"/>
              <w:jc w:val="both"/>
              <w:rPr>
                <w:rFonts w:ascii="宋体" w:hAnsi="宋体" w:cs="宋体" w:eastAsia="宋体" w:hint="default"/>
                <w:sz w:val="18"/>
                <w:szCs w:val="18"/>
              </w:rPr>
            </w:pPr>
            <w:r>
              <w:rPr>
                <w:rFonts w:ascii="宋体" w:hAnsi="宋体" w:cs="宋体" w:eastAsia="宋体" w:hint="default"/>
                <w:sz w:val="18"/>
                <w:szCs w:val="18"/>
              </w:rPr>
              <w:t>同一最 终控制 方控制</w:t>
            </w:r>
          </w:p>
        </w:tc>
        <w:tc>
          <w:tcPr>
            <w:tcW w:w="6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92"/>
              <w:jc w:val="left"/>
              <w:rPr>
                <w:rFonts w:ascii="宋体" w:hAnsi="宋体" w:cs="宋体" w:eastAsia="宋体" w:hint="default"/>
                <w:sz w:val="18"/>
                <w:szCs w:val="18"/>
              </w:rPr>
            </w:pPr>
            <w:r>
              <w:rPr>
                <w:rFonts w:ascii="宋体" w:hAnsi="宋体" w:cs="宋体" w:eastAsia="宋体" w:hint="default"/>
                <w:sz w:val="18"/>
                <w:szCs w:val="18"/>
              </w:rPr>
              <w:t>采编服 务</w:t>
            </w:r>
          </w:p>
        </w:tc>
        <w:tc>
          <w:tcPr>
            <w:tcW w:w="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9"/>
              <w:jc w:val="left"/>
              <w:rPr>
                <w:rFonts w:ascii="宋体" w:hAnsi="宋体" w:cs="宋体" w:eastAsia="宋体" w:hint="default"/>
                <w:sz w:val="18"/>
                <w:szCs w:val="18"/>
              </w:rPr>
            </w:pPr>
            <w:r>
              <w:rPr>
                <w:rFonts w:ascii="宋体" w:hAnsi="宋体" w:cs="宋体" w:eastAsia="宋体" w:hint="default"/>
                <w:sz w:val="18"/>
                <w:szCs w:val="18"/>
              </w:rPr>
              <w:t>采编服 务</w:t>
            </w:r>
          </w:p>
        </w:tc>
        <w:tc>
          <w:tcPr>
            <w:tcW w:w="6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《收入 分成协 议》</w:t>
            </w:r>
          </w:p>
        </w:tc>
        <w:tc>
          <w:tcPr>
            <w:tcW w:w="6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2,028.3</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2,028.3</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8.97%</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69"/>
              <w:jc w:val="right"/>
              <w:rPr>
                <w:rFonts w:ascii="宋体" w:hAnsi="宋体" w:cs="宋体" w:eastAsia="宋体" w:hint="default"/>
                <w:sz w:val="18"/>
                <w:szCs w:val="18"/>
              </w:rPr>
            </w:pPr>
            <w:r>
              <w:rPr>
                <w:rFonts w:ascii="宋体" w:hAnsi="宋体" w:cs="宋体" w:eastAsia="宋体" w:hint="default"/>
                <w:sz w:val="18"/>
                <w:szCs w:val="18"/>
              </w:rPr>
              <w:t>货币</w:t>
            </w:r>
          </w:p>
        </w:tc>
        <w:tc>
          <w:tcPr>
            <w:tcW w:w="6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2,028.3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2015-030</w:t>
            </w:r>
          </w:p>
          <w:p>
            <w:pPr>
              <w:pStyle w:val="TableParagraph"/>
              <w:spacing w:line="240" w:lineRule="auto" w:before="66"/>
              <w:ind w:left="23"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1026" w:hRule="exact"/>
        </w:trPr>
        <w:tc>
          <w:tcPr>
            <w:tcW w:w="7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36"/>
              <w:jc w:val="left"/>
              <w:rPr>
                <w:rFonts w:ascii="宋体" w:hAnsi="宋体" w:cs="宋体" w:eastAsia="宋体" w:hint="default"/>
                <w:sz w:val="18"/>
                <w:szCs w:val="18"/>
              </w:rPr>
            </w:pPr>
            <w:r>
              <w:rPr>
                <w:rFonts w:ascii="宋体" w:hAnsi="宋体" w:cs="宋体" w:eastAsia="宋体" w:hint="default"/>
                <w:sz w:val="18"/>
                <w:szCs w:val="18"/>
              </w:rPr>
              <w:t>萧山日报 社</w:t>
            </w:r>
          </w:p>
        </w:tc>
        <w:tc>
          <w:tcPr>
            <w:tcW w:w="6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92"/>
              <w:jc w:val="both"/>
              <w:rPr>
                <w:rFonts w:ascii="宋体" w:hAnsi="宋体" w:cs="宋体" w:eastAsia="宋体" w:hint="default"/>
                <w:sz w:val="18"/>
                <w:szCs w:val="18"/>
              </w:rPr>
            </w:pPr>
            <w:r>
              <w:rPr>
                <w:rFonts w:ascii="宋体" w:hAnsi="宋体" w:cs="宋体" w:eastAsia="宋体" w:hint="default"/>
                <w:sz w:val="18"/>
                <w:szCs w:val="18"/>
              </w:rPr>
              <w:t>同一最 终控制 方控制</w:t>
            </w:r>
          </w:p>
        </w:tc>
        <w:tc>
          <w:tcPr>
            <w:tcW w:w="6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92"/>
              <w:jc w:val="left"/>
              <w:rPr>
                <w:rFonts w:ascii="宋体" w:hAnsi="宋体" w:cs="宋体" w:eastAsia="宋体" w:hint="default"/>
                <w:sz w:val="18"/>
                <w:szCs w:val="18"/>
              </w:rPr>
            </w:pPr>
            <w:r>
              <w:rPr>
                <w:rFonts w:ascii="宋体" w:hAnsi="宋体" w:cs="宋体" w:eastAsia="宋体" w:hint="default"/>
                <w:sz w:val="18"/>
                <w:szCs w:val="18"/>
              </w:rPr>
              <w:t>采编服 务</w:t>
            </w:r>
          </w:p>
        </w:tc>
        <w:tc>
          <w:tcPr>
            <w:tcW w:w="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9"/>
              <w:jc w:val="left"/>
              <w:rPr>
                <w:rFonts w:ascii="宋体" w:hAnsi="宋体" w:cs="宋体" w:eastAsia="宋体" w:hint="default"/>
                <w:sz w:val="18"/>
                <w:szCs w:val="18"/>
              </w:rPr>
            </w:pPr>
            <w:r>
              <w:rPr>
                <w:rFonts w:ascii="宋体" w:hAnsi="宋体" w:cs="宋体" w:eastAsia="宋体" w:hint="default"/>
                <w:sz w:val="18"/>
                <w:szCs w:val="18"/>
              </w:rPr>
              <w:t>采编服 务</w:t>
            </w:r>
          </w:p>
        </w:tc>
        <w:tc>
          <w:tcPr>
            <w:tcW w:w="6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《收入 分成协 议》</w:t>
            </w:r>
          </w:p>
        </w:tc>
        <w:tc>
          <w:tcPr>
            <w:tcW w:w="6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1,967.92</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1,967.92</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8.71%</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69"/>
              <w:jc w:val="right"/>
              <w:rPr>
                <w:rFonts w:ascii="宋体" w:hAnsi="宋体" w:cs="宋体" w:eastAsia="宋体" w:hint="default"/>
                <w:sz w:val="18"/>
                <w:szCs w:val="18"/>
              </w:rPr>
            </w:pPr>
            <w:r>
              <w:rPr>
                <w:rFonts w:ascii="宋体" w:hAnsi="宋体" w:cs="宋体" w:eastAsia="宋体" w:hint="default"/>
                <w:sz w:val="18"/>
                <w:szCs w:val="18"/>
              </w:rPr>
              <w:t>货币</w:t>
            </w:r>
          </w:p>
        </w:tc>
        <w:tc>
          <w:tcPr>
            <w:tcW w:w="6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1,967.92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2015-030</w:t>
            </w:r>
          </w:p>
          <w:p>
            <w:pPr>
              <w:pStyle w:val="TableParagraph"/>
              <w:spacing w:line="240" w:lineRule="auto" w:before="66"/>
              <w:ind w:left="23"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1026" w:hRule="exact"/>
        </w:trPr>
        <w:tc>
          <w:tcPr>
            <w:tcW w:w="7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36"/>
              <w:jc w:val="left"/>
              <w:rPr>
                <w:rFonts w:ascii="宋体" w:hAnsi="宋体" w:cs="宋体" w:eastAsia="宋体" w:hint="default"/>
                <w:sz w:val="18"/>
                <w:szCs w:val="18"/>
              </w:rPr>
            </w:pPr>
            <w:r>
              <w:rPr>
                <w:rFonts w:ascii="宋体" w:hAnsi="宋体" w:cs="宋体" w:eastAsia="宋体" w:hint="default"/>
                <w:sz w:val="18"/>
                <w:szCs w:val="18"/>
              </w:rPr>
              <w:t>余杭晨报 社</w:t>
            </w:r>
          </w:p>
        </w:tc>
        <w:tc>
          <w:tcPr>
            <w:tcW w:w="6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92"/>
              <w:jc w:val="both"/>
              <w:rPr>
                <w:rFonts w:ascii="宋体" w:hAnsi="宋体" w:cs="宋体" w:eastAsia="宋体" w:hint="default"/>
                <w:sz w:val="18"/>
                <w:szCs w:val="18"/>
              </w:rPr>
            </w:pPr>
            <w:r>
              <w:rPr>
                <w:rFonts w:ascii="宋体" w:hAnsi="宋体" w:cs="宋体" w:eastAsia="宋体" w:hint="default"/>
                <w:sz w:val="18"/>
                <w:szCs w:val="18"/>
              </w:rPr>
              <w:t>同一最 终控制 方控制</w:t>
            </w:r>
          </w:p>
        </w:tc>
        <w:tc>
          <w:tcPr>
            <w:tcW w:w="6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92"/>
              <w:jc w:val="left"/>
              <w:rPr>
                <w:rFonts w:ascii="宋体" w:hAnsi="宋体" w:cs="宋体" w:eastAsia="宋体" w:hint="default"/>
                <w:sz w:val="18"/>
                <w:szCs w:val="18"/>
              </w:rPr>
            </w:pPr>
            <w:r>
              <w:rPr>
                <w:rFonts w:ascii="宋体" w:hAnsi="宋体" w:cs="宋体" w:eastAsia="宋体" w:hint="default"/>
                <w:sz w:val="18"/>
                <w:szCs w:val="18"/>
              </w:rPr>
              <w:t>采编服 务</w:t>
            </w:r>
          </w:p>
        </w:tc>
        <w:tc>
          <w:tcPr>
            <w:tcW w:w="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9"/>
              <w:jc w:val="left"/>
              <w:rPr>
                <w:rFonts w:ascii="宋体" w:hAnsi="宋体" w:cs="宋体" w:eastAsia="宋体" w:hint="default"/>
                <w:sz w:val="18"/>
                <w:szCs w:val="18"/>
              </w:rPr>
            </w:pPr>
            <w:r>
              <w:rPr>
                <w:rFonts w:ascii="宋体" w:hAnsi="宋体" w:cs="宋体" w:eastAsia="宋体" w:hint="default"/>
                <w:sz w:val="18"/>
                <w:szCs w:val="18"/>
              </w:rPr>
              <w:t>采编服 务</w:t>
            </w:r>
          </w:p>
        </w:tc>
        <w:tc>
          <w:tcPr>
            <w:tcW w:w="6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《收入 分成协 议》</w:t>
            </w:r>
          </w:p>
        </w:tc>
        <w:tc>
          <w:tcPr>
            <w:tcW w:w="6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1,050.45</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1,050.45</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4.65%</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69"/>
              <w:jc w:val="right"/>
              <w:rPr>
                <w:rFonts w:ascii="宋体" w:hAnsi="宋体" w:cs="宋体" w:eastAsia="宋体" w:hint="default"/>
                <w:sz w:val="18"/>
                <w:szCs w:val="18"/>
              </w:rPr>
            </w:pPr>
            <w:r>
              <w:rPr>
                <w:rFonts w:ascii="宋体" w:hAnsi="宋体" w:cs="宋体" w:eastAsia="宋体" w:hint="default"/>
                <w:sz w:val="18"/>
                <w:szCs w:val="18"/>
              </w:rPr>
              <w:t>货币</w:t>
            </w:r>
          </w:p>
        </w:tc>
        <w:tc>
          <w:tcPr>
            <w:tcW w:w="6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1,050.45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2015-030</w:t>
            </w:r>
          </w:p>
          <w:p>
            <w:pPr>
              <w:pStyle w:val="TableParagraph"/>
              <w:spacing w:line="240" w:lineRule="auto" w:before="66"/>
              <w:ind w:left="23"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1026" w:hRule="exact"/>
        </w:trPr>
        <w:tc>
          <w:tcPr>
            <w:tcW w:w="7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36"/>
              <w:jc w:val="left"/>
              <w:rPr>
                <w:rFonts w:ascii="宋体" w:hAnsi="宋体" w:cs="宋体" w:eastAsia="宋体" w:hint="default"/>
                <w:sz w:val="18"/>
                <w:szCs w:val="18"/>
              </w:rPr>
            </w:pPr>
            <w:r>
              <w:rPr>
                <w:rFonts w:ascii="宋体" w:hAnsi="宋体" w:cs="宋体" w:eastAsia="宋体" w:hint="default"/>
                <w:sz w:val="18"/>
                <w:szCs w:val="18"/>
              </w:rPr>
              <w:t>富阳日报 社</w:t>
            </w:r>
          </w:p>
        </w:tc>
        <w:tc>
          <w:tcPr>
            <w:tcW w:w="6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92"/>
              <w:jc w:val="both"/>
              <w:rPr>
                <w:rFonts w:ascii="宋体" w:hAnsi="宋体" w:cs="宋体" w:eastAsia="宋体" w:hint="default"/>
                <w:sz w:val="18"/>
                <w:szCs w:val="18"/>
              </w:rPr>
            </w:pPr>
            <w:r>
              <w:rPr>
                <w:rFonts w:ascii="宋体" w:hAnsi="宋体" w:cs="宋体" w:eastAsia="宋体" w:hint="default"/>
                <w:sz w:val="18"/>
                <w:szCs w:val="18"/>
              </w:rPr>
              <w:t>同一最 终控制 方控制</w:t>
            </w:r>
          </w:p>
        </w:tc>
        <w:tc>
          <w:tcPr>
            <w:tcW w:w="6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92"/>
              <w:jc w:val="left"/>
              <w:rPr>
                <w:rFonts w:ascii="宋体" w:hAnsi="宋体" w:cs="宋体" w:eastAsia="宋体" w:hint="default"/>
                <w:sz w:val="18"/>
                <w:szCs w:val="18"/>
              </w:rPr>
            </w:pPr>
            <w:r>
              <w:rPr>
                <w:rFonts w:ascii="宋体" w:hAnsi="宋体" w:cs="宋体" w:eastAsia="宋体" w:hint="default"/>
                <w:sz w:val="18"/>
                <w:szCs w:val="18"/>
              </w:rPr>
              <w:t>采编服 务</w:t>
            </w:r>
          </w:p>
        </w:tc>
        <w:tc>
          <w:tcPr>
            <w:tcW w:w="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9"/>
              <w:jc w:val="left"/>
              <w:rPr>
                <w:rFonts w:ascii="宋体" w:hAnsi="宋体" w:cs="宋体" w:eastAsia="宋体" w:hint="default"/>
                <w:sz w:val="18"/>
                <w:szCs w:val="18"/>
              </w:rPr>
            </w:pPr>
            <w:r>
              <w:rPr>
                <w:rFonts w:ascii="宋体" w:hAnsi="宋体" w:cs="宋体" w:eastAsia="宋体" w:hint="default"/>
                <w:sz w:val="18"/>
                <w:szCs w:val="18"/>
              </w:rPr>
              <w:t>采编服 务</w:t>
            </w:r>
          </w:p>
        </w:tc>
        <w:tc>
          <w:tcPr>
            <w:tcW w:w="6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《收入 分成协 议》</w:t>
            </w:r>
          </w:p>
        </w:tc>
        <w:tc>
          <w:tcPr>
            <w:tcW w:w="6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1,080.09</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1,080.09</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4.78%</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69"/>
              <w:jc w:val="right"/>
              <w:rPr>
                <w:rFonts w:ascii="宋体" w:hAnsi="宋体" w:cs="宋体" w:eastAsia="宋体" w:hint="default"/>
                <w:sz w:val="18"/>
                <w:szCs w:val="18"/>
              </w:rPr>
            </w:pPr>
            <w:r>
              <w:rPr>
                <w:rFonts w:ascii="宋体" w:hAnsi="宋体" w:cs="宋体" w:eastAsia="宋体" w:hint="default"/>
                <w:sz w:val="18"/>
                <w:szCs w:val="18"/>
              </w:rPr>
              <w:t>货币</w:t>
            </w:r>
          </w:p>
        </w:tc>
        <w:tc>
          <w:tcPr>
            <w:tcW w:w="6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1,080.09</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2015-030</w:t>
            </w:r>
          </w:p>
          <w:p>
            <w:pPr>
              <w:pStyle w:val="TableParagraph"/>
              <w:spacing w:line="240" w:lineRule="auto" w:before="66"/>
              <w:ind w:left="23"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1026" w:hRule="exact"/>
        </w:trPr>
        <w:tc>
          <w:tcPr>
            <w:tcW w:w="79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36"/>
              <w:jc w:val="left"/>
              <w:rPr>
                <w:rFonts w:ascii="宋体" w:hAnsi="宋体" w:cs="宋体" w:eastAsia="宋体" w:hint="default"/>
                <w:sz w:val="18"/>
                <w:szCs w:val="18"/>
              </w:rPr>
            </w:pPr>
            <w:r>
              <w:rPr>
                <w:rFonts w:ascii="宋体" w:hAnsi="宋体" w:cs="宋体" w:eastAsia="宋体" w:hint="default"/>
                <w:sz w:val="18"/>
                <w:szCs w:val="18"/>
              </w:rPr>
              <w:t>都市周报 社</w:t>
            </w:r>
          </w:p>
        </w:tc>
        <w:tc>
          <w:tcPr>
            <w:tcW w:w="6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92"/>
              <w:jc w:val="both"/>
              <w:rPr>
                <w:rFonts w:ascii="宋体" w:hAnsi="宋体" w:cs="宋体" w:eastAsia="宋体" w:hint="default"/>
                <w:sz w:val="18"/>
                <w:szCs w:val="18"/>
              </w:rPr>
            </w:pPr>
            <w:r>
              <w:rPr>
                <w:rFonts w:ascii="宋体" w:hAnsi="宋体" w:cs="宋体" w:eastAsia="宋体" w:hint="default"/>
                <w:sz w:val="18"/>
                <w:szCs w:val="18"/>
              </w:rPr>
              <w:t>同一最 终控制 方控制</w:t>
            </w:r>
          </w:p>
        </w:tc>
        <w:tc>
          <w:tcPr>
            <w:tcW w:w="6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92"/>
              <w:jc w:val="left"/>
              <w:rPr>
                <w:rFonts w:ascii="宋体" w:hAnsi="宋体" w:cs="宋体" w:eastAsia="宋体" w:hint="default"/>
                <w:sz w:val="18"/>
                <w:szCs w:val="18"/>
              </w:rPr>
            </w:pPr>
            <w:r>
              <w:rPr>
                <w:rFonts w:ascii="宋体" w:hAnsi="宋体" w:cs="宋体" w:eastAsia="宋体" w:hint="default"/>
                <w:sz w:val="18"/>
                <w:szCs w:val="18"/>
              </w:rPr>
              <w:t>采编服 务</w:t>
            </w:r>
          </w:p>
        </w:tc>
        <w:tc>
          <w:tcPr>
            <w:tcW w:w="6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9"/>
              <w:jc w:val="left"/>
              <w:rPr>
                <w:rFonts w:ascii="宋体" w:hAnsi="宋体" w:cs="宋体" w:eastAsia="宋体" w:hint="default"/>
                <w:sz w:val="18"/>
                <w:szCs w:val="18"/>
              </w:rPr>
            </w:pPr>
            <w:r>
              <w:rPr>
                <w:rFonts w:ascii="宋体" w:hAnsi="宋体" w:cs="宋体" w:eastAsia="宋体" w:hint="default"/>
                <w:sz w:val="18"/>
                <w:szCs w:val="18"/>
              </w:rPr>
              <w:t>采编服 务</w:t>
            </w:r>
          </w:p>
        </w:tc>
        <w:tc>
          <w:tcPr>
            <w:tcW w:w="6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《收入 分成协 议》</w:t>
            </w:r>
          </w:p>
        </w:tc>
        <w:tc>
          <w:tcPr>
            <w:tcW w:w="6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488.68</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488.68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2.16%</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69"/>
              <w:jc w:val="right"/>
              <w:rPr>
                <w:rFonts w:ascii="宋体" w:hAnsi="宋体" w:cs="宋体" w:eastAsia="宋体" w:hint="default"/>
                <w:sz w:val="18"/>
                <w:szCs w:val="18"/>
              </w:rPr>
            </w:pPr>
            <w:r>
              <w:rPr>
                <w:rFonts w:ascii="宋体" w:hAnsi="宋体" w:cs="宋体" w:eastAsia="宋体" w:hint="default"/>
                <w:sz w:val="18"/>
                <w:szCs w:val="18"/>
              </w:rPr>
              <w:t>货币</w:t>
            </w:r>
          </w:p>
        </w:tc>
        <w:tc>
          <w:tcPr>
            <w:tcW w:w="68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488.68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4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2015-030</w:t>
            </w:r>
          </w:p>
          <w:p>
            <w:pPr>
              <w:pStyle w:val="TableParagraph"/>
              <w:spacing w:line="240" w:lineRule="auto" w:before="66"/>
              <w:ind w:left="23"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402" w:hRule="exact"/>
        </w:trPr>
        <w:tc>
          <w:tcPr>
            <w:tcW w:w="281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22,601.68</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25,370</w:t>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65"/>
              <w:jc w:val="right"/>
              <w:rPr>
                <w:rFonts w:ascii="Times New Roman" w:hAnsi="Times New Roman" w:cs="Times New Roman" w:eastAsia="Times New Roman" w:hint="default"/>
                <w:sz w:val="18"/>
                <w:szCs w:val="18"/>
              </w:rPr>
            </w:pPr>
            <w:r>
              <w:rPr>
                <w:rFonts w:ascii="Times New Roman"/>
                <w:sz w:val="18"/>
              </w:rPr>
              <w:t>--</w:t>
            </w:r>
          </w:p>
        </w:tc>
        <w:tc>
          <w:tcPr>
            <w:tcW w:w="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81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875" w:type="dxa"/>
            <w:gridSpan w:val="10"/>
            <w:tcBorders>
              <w:top w:val="single" w:sz="4" w:space="0" w:color="000000"/>
              <w:left w:val="single" w:sz="10" w:space="0" w:color="D3D3D3"/>
              <w:bottom w:val="single" w:sz="4" w:space="0" w:color="000000"/>
              <w:right w:val="single" w:sz="4" w:space="0" w:color="000000"/>
            </w:tcBorders>
            <w:shd w:val="clear" w:color="auto" w:fill="C7EDCC"/>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2819" w:type="dxa"/>
            <w:gridSpan w:val="4"/>
            <w:tcBorders>
              <w:top w:val="single" w:sz="4" w:space="0" w:color="000000"/>
              <w:left w:val="single" w:sz="4" w:space="0" w:color="000000"/>
              <w:bottom w:val="nil" w:sz="6" w:space="0" w:color="auto"/>
              <w:right w:val="single" w:sz="4" w:space="0" w:color="000000"/>
            </w:tcBorders>
            <w:shd w:val="clear" w:color="auto" w:fill="D3D3D3"/>
          </w:tcPr>
          <w:p>
            <w:pPr/>
          </w:p>
        </w:tc>
        <w:tc>
          <w:tcPr>
            <w:tcW w:w="6875" w:type="dxa"/>
            <w:gridSpan w:val="10"/>
            <w:vMerge w:val="restart"/>
            <w:tcBorders>
              <w:top w:val="single" w:sz="4" w:space="0" w:color="000000"/>
              <w:left w:val="single" w:sz="10" w:space="0" w:color="D3D3D3"/>
              <w:right w:val="single" w:sz="4" w:space="0" w:color="000000"/>
            </w:tcBorders>
            <w:shd w:val="clear" w:color="auto" w:fill="C7EDCC"/>
          </w:tcPr>
          <w:p>
            <w:pPr>
              <w:pStyle w:val="TableParagraph"/>
              <w:spacing w:line="300" w:lineRule="auto" w:before="51"/>
              <w:ind w:left="15"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接受劳务的日常关联交易预计</w:t>
            </w:r>
            <w:r>
              <w:rPr>
                <w:rFonts w:ascii="宋体" w:hAnsi="宋体" w:cs="宋体" w:eastAsia="宋体" w:hint="default"/>
                <w:spacing w:val="-48"/>
                <w:sz w:val="18"/>
                <w:szCs w:val="18"/>
              </w:rPr>
              <w:t> </w:t>
            </w:r>
            <w:r>
              <w:rPr>
                <w:rFonts w:ascii="Times New Roman" w:hAnsi="Times New Roman" w:cs="Times New Roman" w:eastAsia="Times New Roman" w:hint="default"/>
                <w:spacing w:val="-1"/>
                <w:sz w:val="18"/>
                <w:szCs w:val="18"/>
              </w:rPr>
              <w:t>273,140,000</w:t>
            </w:r>
            <w:r>
              <w:rPr>
                <w:rFonts w:ascii="Times New Roman" w:hAnsi="Times New Roman" w:cs="Times New Roman" w:eastAsia="Times New Roman" w:hint="default"/>
                <w:spacing w:val="-3"/>
                <w:sz w:val="18"/>
                <w:szCs w:val="18"/>
              </w:rPr>
              <w:t> </w:t>
            </w:r>
            <w:r>
              <w:rPr>
                <w:rFonts w:ascii="宋体" w:hAnsi="宋体" w:cs="宋体" w:eastAsia="宋体" w:hint="default"/>
                <w:spacing w:val="-15"/>
                <w:sz w:val="18"/>
                <w:szCs w:val="18"/>
              </w:rPr>
              <w:t>元，实际发生</w:t>
            </w:r>
            <w:r>
              <w:rPr>
                <w:rFonts w:ascii="宋体" w:hAnsi="宋体" w:cs="宋体" w:eastAsia="宋体" w:hint="default"/>
                <w:spacing w:val="-48"/>
                <w:sz w:val="18"/>
                <w:szCs w:val="18"/>
              </w:rPr>
              <w:t> </w:t>
            </w:r>
            <w:r>
              <w:rPr>
                <w:rFonts w:ascii="Times New Roman" w:hAnsi="Times New Roman" w:cs="Times New Roman" w:eastAsia="Times New Roman" w:hint="default"/>
                <w:spacing w:val="-1"/>
                <w:sz w:val="18"/>
                <w:szCs w:val="18"/>
              </w:rPr>
              <w:t>238,050,749.26</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提供劳务的日常关联交易预计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122,840,000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元，实际发生 </w:t>
            </w:r>
            <w:r>
              <w:rPr>
                <w:rFonts w:ascii="Times New Roman" w:hAnsi="Times New Roman" w:cs="Times New Roman" w:eastAsia="Times New Roman" w:hint="default"/>
                <w:sz w:val="18"/>
                <w:szCs w:val="18"/>
              </w:rPr>
              <w:t>99,987,862.72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年关联租赁的日常关联交易预计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13,633,000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元，实际发生</w:t>
            </w:r>
          </w:p>
          <w:p>
            <w:pPr>
              <w:pStyle w:val="TableParagraph"/>
              <w:spacing w:line="240" w:lineRule="auto" w:before="1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12,060,172.69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r>
      <w:tr>
        <w:trPr>
          <w:trHeight w:val="1016" w:hRule="exact"/>
        </w:trPr>
        <w:tc>
          <w:tcPr>
            <w:tcW w:w="2819" w:type="dxa"/>
            <w:gridSpan w:val="4"/>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按类别对本期将发生的日常关联交 易进行总金额预计的，在报告期内 的实际履行情况（如有）</w:t>
            </w:r>
          </w:p>
        </w:tc>
        <w:tc>
          <w:tcPr>
            <w:tcW w:w="6875" w:type="dxa"/>
            <w:gridSpan w:val="10"/>
            <w:vMerge/>
            <w:tcBorders>
              <w:left w:val="single" w:sz="10" w:space="0" w:color="D3D3D3"/>
              <w:right w:val="single" w:sz="4" w:space="0" w:color="000000"/>
            </w:tcBorders>
            <w:shd w:val="clear" w:color="auto" w:fill="C7EDCC"/>
          </w:tcPr>
          <w:p>
            <w:pPr/>
          </w:p>
        </w:tc>
      </w:tr>
      <w:tr>
        <w:trPr>
          <w:trHeight w:val="161" w:hRule="exact"/>
        </w:trPr>
        <w:tc>
          <w:tcPr>
            <w:tcW w:w="2819" w:type="dxa"/>
            <w:gridSpan w:val="4"/>
            <w:tcBorders>
              <w:top w:val="nil" w:sz="6" w:space="0" w:color="auto"/>
              <w:left w:val="single" w:sz="4" w:space="0" w:color="000000"/>
              <w:bottom w:val="single" w:sz="4" w:space="0" w:color="000000"/>
              <w:right w:val="single" w:sz="4" w:space="0" w:color="000000"/>
            </w:tcBorders>
            <w:shd w:val="clear" w:color="auto" w:fill="D3D3D3"/>
          </w:tcPr>
          <w:p>
            <w:pPr/>
          </w:p>
        </w:tc>
        <w:tc>
          <w:tcPr>
            <w:tcW w:w="6875" w:type="dxa"/>
            <w:gridSpan w:val="10"/>
            <w:vMerge/>
            <w:tcBorders>
              <w:left w:val="single" w:sz="10" w:space="0" w:color="D3D3D3"/>
              <w:bottom w:val="single" w:sz="4" w:space="0" w:color="000000"/>
              <w:right w:val="single" w:sz="4" w:space="0" w:color="000000"/>
            </w:tcBorders>
            <w:shd w:val="clear" w:color="auto" w:fill="C7EDCC"/>
          </w:tcPr>
          <w:p>
            <w:pPr/>
          </w:p>
        </w:tc>
      </w:tr>
      <w:tr>
        <w:trPr>
          <w:trHeight w:val="714" w:hRule="exact"/>
        </w:trPr>
        <w:tc>
          <w:tcPr>
            <w:tcW w:w="281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875" w:type="dxa"/>
            <w:gridSpan w:val="10"/>
            <w:tcBorders>
              <w:top w:val="single" w:sz="4" w:space="0" w:color="000000"/>
              <w:left w:val="single" w:sz="10" w:space="0" w:color="D3D3D3"/>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交易价格与市场价格相符</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808"/>
        <w:gridCol w:w="808"/>
        <w:gridCol w:w="808"/>
        <w:gridCol w:w="816"/>
        <w:gridCol w:w="806"/>
        <w:gridCol w:w="810"/>
        <w:gridCol w:w="808"/>
        <w:gridCol w:w="808"/>
        <w:gridCol w:w="807"/>
        <w:gridCol w:w="808"/>
        <w:gridCol w:w="808"/>
        <w:gridCol w:w="800"/>
      </w:tblGrid>
      <w:tr>
        <w:trPr>
          <w:trHeight w:val="1026" w:hRule="exact"/>
        </w:trPr>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28"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8"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9" w:right="36"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2" w:right="42"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8" w:right="36"/>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8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34" w:firstLine="16"/>
              <w:jc w:val="both"/>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19"/>
                <w:sz w:val="18"/>
                <w:szCs w:val="18"/>
              </w:rPr>
              <w:t>值（万元）</w:t>
            </w:r>
            <w:r>
              <w:rPr>
                <w:rFonts w:ascii="宋体" w:hAnsi="宋体" w:cs="宋体" w:eastAsia="宋体" w:hint="default"/>
                <w:sz w:val="18"/>
                <w:szCs w:val="18"/>
              </w:rPr>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3" w:right="36" w:firstLine="15"/>
              <w:jc w:val="both"/>
              <w:rPr>
                <w:rFonts w:ascii="宋体" w:hAnsi="宋体" w:cs="宋体" w:eastAsia="宋体" w:hint="default"/>
                <w:sz w:val="18"/>
                <w:szCs w:val="18"/>
              </w:rPr>
            </w:pPr>
            <w:r>
              <w:rPr>
                <w:rFonts w:ascii="宋体" w:hAnsi="宋体" w:cs="宋体" w:eastAsia="宋体" w:hint="default"/>
                <w:sz w:val="18"/>
                <w:szCs w:val="18"/>
              </w:rPr>
              <w:t>转让资产 的评估价 </w:t>
            </w:r>
            <w:r>
              <w:rPr>
                <w:rFonts w:ascii="宋体" w:hAnsi="宋体" w:cs="宋体" w:eastAsia="宋体" w:hint="default"/>
                <w:spacing w:val="-15"/>
                <w:sz w:val="18"/>
                <w:szCs w:val="18"/>
              </w:rPr>
              <w:t>值（万元</w:t>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转让价格</w:t>
            </w:r>
          </w:p>
          <w:p>
            <w:pPr>
              <w:pStyle w:val="TableParagraph"/>
              <w:spacing w:line="196" w:lineRule="exact" w:before="76"/>
              <w:ind w:left="38" w:right="0"/>
              <w:jc w:val="left"/>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8" w:right="38"/>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6"/>
              <w:ind w:left="3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8"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7" w:hRule="exact"/>
        </w:trPr>
        <w:tc>
          <w:tcPr>
            <w:tcW w:w="808"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持有本公</w:t>
            </w:r>
          </w:p>
        </w:tc>
        <w:tc>
          <w:tcPr>
            <w:tcW w:w="808" w:type="dxa"/>
            <w:tcBorders>
              <w:top w:val="single" w:sz="4" w:space="0" w:color="000000"/>
              <w:left w:val="single" w:sz="4" w:space="0" w:color="000000"/>
              <w:bottom w:val="nil" w:sz="6" w:space="0" w:color="auto"/>
              <w:right w:val="single" w:sz="4" w:space="0" w:color="000000"/>
            </w:tcBorders>
            <w:shd w:val="clear" w:color="auto" w:fill="C7EDCC"/>
          </w:tcPr>
          <w:p>
            <w:pPr/>
          </w:p>
        </w:tc>
        <w:tc>
          <w:tcPr>
            <w:tcW w:w="816"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转让十九</w:t>
            </w:r>
          </w:p>
        </w:tc>
        <w:tc>
          <w:tcPr>
            <w:tcW w:w="806" w:type="dxa"/>
            <w:tcBorders>
              <w:top w:val="single" w:sz="4" w:space="0" w:color="000000"/>
              <w:left w:val="single" w:sz="4" w:space="0" w:color="000000"/>
              <w:bottom w:val="nil" w:sz="6" w:space="0" w:color="auto"/>
              <w:right w:val="single" w:sz="4" w:space="0" w:color="000000"/>
            </w:tcBorders>
            <w:shd w:val="clear" w:color="auto" w:fill="C7EDCC"/>
          </w:tcPr>
          <w:p>
            <w:pPr/>
          </w:p>
        </w:tc>
        <w:tc>
          <w:tcPr>
            <w:tcW w:w="810"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7"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0"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1559" w:hRule="exact"/>
        </w:trPr>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2"/>
              <w:ind w:right="0"/>
              <w:jc w:val="left"/>
              <w:rPr>
                <w:rFonts w:ascii="宋体" w:hAnsi="宋体" w:cs="宋体" w:eastAsia="宋体" w:hint="default"/>
                <w:sz w:val="23"/>
                <w:szCs w:val="23"/>
              </w:rPr>
            </w:pPr>
          </w:p>
          <w:p>
            <w:pPr>
              <w:pStyle w:val="TableParagraph"/>
              <w:spacing w:line="319" w:lineRule="auto"/>
              <w:ind w:left="22" w:right="53"/>
              <w:jc w:val="both"/>
              <w:rPr>
                <w:rFonts w:ascii="宋体" w:hAnsi="宋体" w:cs="宋体" w:eastAsia="宋体" w:hint="default"/>
                <w:sz w:val="18"/>
                <w:szCs w:val="18"/>
              </w:rPr>
            </w:pPr>
            <w:r>
              <w:rPr>
                <w:rFonts w:ascii="宋体" w:hAnsi="宋体" w:cs="宋体" w:eastAsia="宋体" w:hint="default"/>
                <w:sz w:val="18"/>
                <w:szCs w:val="18"/>
              </w:rPr>
              <w:t>华立集团 股份有限 公司</w:t>
            </w:r>
          </w:p>
        </w:tc>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7.02%</w:t>
            </w:r>
          </w:p>
          <w:p>
            <w:pPr>
              <w:pStyle w:val="TableParagraph"/>
              <w:spacing w:line="316" w:lineRule="auto" w:before="63"/>
              <w:ind w:left="22" w:right="53"/>
              <w:jc w:val="both"/>
              <w:rPr>
                <w:rFonts w:ascii="宋体" w:hAnsi="宋体" w:cs="宋体" w:eastAsia="宋体" w:hint="default"/>
                <w:sz w:val="18"/>
                <w:szCs w:val="18"/>
              </w:rPr>
            </w:pPr>
            <w:r>
              <w:rPr>
                <w:rFonts w:ascii="宋体" w:hAnsi="宋体" w:cs="宋体" w:eastAsia="宋体" w:hint="default"/>
                <w:sz w:val="18"/>
                <w:szCs w:val="18"/>
              </w:rPr>
              <w:t>股份，公 司董事汪 思洋先生 在华立集</w:t>
            </w:r>
          </w:p>
        </w:tc>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9" w:lineRule="auto" w:before="146"/>
              <w:ind w:left="23" w:right="53"/>
              <w:jc w:val="both"/>
              <w:rPr>
                <w:rFonts w:ascii="宋体" w:hAnsi="宋体" w:cs="宋体" w:eastAsia="宋体" w:hint="default"/>
                <w:sz w:val="18"/>
                <w:szCs w:val="18"/>
              </w:rPr>
            </w:pPr>
            <w:r>
              <w:rPr>
                <w:rFonts w:ascii="宋体" w:hAnsi="宋体" w:cs="宋体" w:eastAsia="宋体" w:hint="default"/>
                <w:sz w:val="18"/>
                <w:szCs w:val="18"/>
              </w:rPr>
              <w:t>购买或销 售除商品 以外的其 他资产</w:t>
            </w:r>
          </w:p>
        </w:tc>
        <w:tc>
          <w:tcPr>
            <w:tcW w:w="81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61"/>
              <w:jc w:val="both"/>
              <w:rPr>
                <w:rFonts w:ascii="宋体" w:hAnsi="宋体" w:cs="宋体" w:eastAsia="宋体" w:hint="default"/>
                <w:sz w:val="18"/>
                <w:szCs w:val="18"/>
              </w:rPr>
            </w:pPr>
            <w:r>
              <w:rPr>
                <w:rFonts w:ascii="宋体" w:hAnsi="宋体" w:cs="宋体" w:eastAsia="宋体" w:hint="default"/>
                <w:sz w:val="18"/>
                <w:szCs w:val="18"/>
              </w:rPr>
              <w:t>楼网络股 份有限公 司股份</w:t>
            </w:r>
          </w:p>
          <w:p>
            <w:pPr>
              <w:pStyle w:val="TableParagraph"/>
              <w:spacing w:line="240" w:lineRule="auto" w:before="58"/>
              <w:ind w:left="22" w:right="0"/>
              <w:jc w:val="both"/>
              <w:rPr>
                <w:rFonts w:ascii="Times New Roman" w:hAnsi="Times New Roman" w:cs="Times New Roman" w:eastAsia="Times New Roman" w:hint="default"/>
                <w:sz w:val="18"/>
                <w:szCs w:val="18"/>
              </w:rPr>
            </w:pPr>
            <w:r>
              <w:rPr>
                <w:rFonts w:ascii="Times New Roman"/>
                <w:sz w:val="18"/>
              </w:rPr>
              <w:t>6797325</w:t>
            </w:r>
          </w:p>
          <w:p>
            <w:pPr>
              <w:pStyle w:val="TableParagraph"/>
              <w:spacing w:line="240" w:lineRule="auto" w:before="65"/>
              <w:ind w:left="22" w:right="0"/>
              <w:jc w:val="both"/>
              <w:rPr>
                <w:rFonts w:ascii="宋体" w:hAnsi="宋体" w:cs="宋体" w:eastAsia="宋体" w:hint="default"/>
                <w:sz w:val="18"/>
                <w:szCs w:val="18"/>
              </w:rPr>
            </w:pPr>
            <w:r>
              <w:rPr>
                <w:rFonts w:ascii="宋体" w:hAnsi="宋体" w:cs="宋体" w:eastAsia="宋体" w:hint="default"/>
                <w:sz w:val="18"/>
                <w:szCs w:val="18"/>
              </w:rPr>
              <w:t>股股份，</w:t>
            </w:r>
          </w:p>
        </w:tc>
        <w:tc>
          <w:tcPr>
            <w:tcW w:w="806"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22" w:right="0"/>
              <w:jc w:val="left"/>
              <w:rPr>
                <w:rFonts w:ascii="宋体" w:hAnsi="宋体" w:cs="宋体" w:eastAsia="宋体" w:hint="default"/>
                <w:sz w:val="18"/>
                <w:szCs w:val="18"/>
              </w:rPr>
            </w:pPr>
            <w:r>
              <w:rPr>
                <w:rFonts w:ascii="宋体" w:hAnsi="宋体" w:cs="宋体" w:eastAsia="宋体" w:hint="default"/>
                <w:sz w:val="18"/>
                <w:szCs w:val="18"/>
              </w:rPr>
              <w:t>公开挂牌</w:t>
            </w:r>
          </w:p>
        </w:tc>
        <w:tc>
          <w:tcPr>
            <w:tcW w:w="81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1,973.78</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4,665.79</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5,678.13</w:t>
            </w:r>
          </w:p>
        </w:tc>
        <w:tc>
          <w:tcPr>
            <w:tcW w:w="80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3,451.16</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2015-100</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318" w:hRule="exact"/>
        </w:trPr>
        <w:tc>
          <w:tcPr>
            <w:tcW w:w="808"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团下属企</w:t>
            </w:r>
          </w:p>
        </w:tc>
        <w:tc>
          <w:tcPr>
            <w:tcW w:w="808" w:type="dxa"/>
            <w:tcBorders>
              <w:top w:val="nil" w:sz="6" w:space="0" w:color="auto"/>
              <w:left w:val="single" w:sz="4" w:space="0" w:color="000000"/>
              <w:bottom w:val="single" w:sz="4" w:space="0" w:color="000000"/>
              <w:right w:val="single" w:sz="4" w:space="0" w:color="000000"/>
            </w:tcBorders>
            <w:shd w:val="clear" w:color="auto" w:fill="C7EDCC"/>
          </w:tcPr>
          <w:p>
            <w:pPr/>
          </w:p>
        </w:tc>
        <w:tc>
          <w:tcPr>
            <w:tcW w:w="816"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占其总股</w:t>
            </w:r>
          </w:p>
        </w:tc>
        <w:tc>
          <w:tcPr>
            <w:tcW w:w="806" w:type="dxa"/>
            <w:tcBorders>
              <w:top w:val="nil" w:sz="6" w:space="0" w:color="auto"/>
              <w:left w:val="single" w:sz="4" w:space="0" w:color="000000"/>
              <w:bottom w:val="single" w:sz="4" w:space="0" w:color="000000"/>
              <w:right w:val="single" w:sz="4" w:space="0" w:color="000000"/>
            </w:tcBorders>
            <w:shd w:val="clear" w:color="auto" w:fill="C7EDCC"/>
          </w:tcPr>
          <w:p>
            <w:pPr/>
          </w:p>
        </w:tc>
        <w:tc>
          <w:tcPr>
            <w:tcW w:w="810"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7"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0" w:type="dxa"/>
            <w:tcBorders>
              <w:top w:val="nil" w:sz="6" w:space="0" w:color="auto"/>
              <w:left w:val="single" w:sz="4" w:space="0" w:color="000000"/>
              <w:bottom w:val="single" w:sz="4" w:space="0" w:color="000000"/>
              <w:right w:val="single" w:sz="4" w:space="0" w:color="000000"/>
            </w:tcBorders>
            <w:shd w:val="clear" w:color="auto" w:fill="C7EDCC"/>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819"/>
        <w:gridCol w:w="796"/>
        <w:gridCol w:w="819"/>
        <w:gridCol w:w="793"/>
        <w:gridCol w:w="818"/>
        <w:gridCol w:w="810"/>
        <w:gridCol w:w="808"/>
        <w:gridCol w:w="808"/>
        <w:gridCol w:w="808"/>
        <w:gridCol w:w="808"/>
        <w:gridCol w:w="808"/>
        <w:gridCol w:w="800"/>
      </w:tblGrid>
      <w:tr>
        <w:trPr>
          <w:trHeight w:val="669" w:hRule="exact"/>
        </w:trPr>
        <w:tc>
          <w:tcPr>
            <w:tcW w:w="819" w:type="dxa"/>
            <w:vMerge w:val="restart"/>
            <w:tcBorders>
              <w:top w:val="single" w:sz="4" w:space="0" w:color="000000"/>
              <w:left w:val="single" w:sz="4" w:space="0" w:color="000000"/>
              <w:right w:val="single" w:sz="4" w:space="0" w:color="000000"/>
            </w:tcBorders>
            <w:shd w:val="clear" w:color="auto" w:fill="C7EDCC"/>
          </w:tcPr>
          <w:p>
            <w:pPr/>
          </w:p>
        </w:tc>
        <w:tc>
          <w:tcPr>
            <w:tcW w:w="796" w:type="dxa"/>
            <w:vMerge w:val="restart"/>
            <w:tcBorders>
              <w:top w:val="single" w:sz="4" w:space="0" w:color="000000"/>
              <w:left w:val="single" w:sz="4" w:space="0" w:color="000000"/>
              <w:right w:val="single" w:sz="4" w:space="0" w:color="000000"/>
            </w:tcBorders>
            <w:shd w:val="clear" w:color="auto" w:fill="C7EDCC"/>
          </w:tcPr>
          <w:p>
            <w:pPr>
              <w:pStyle w:val="TableParagraph"/>
              <w:spacing w:line="319" w:lineRule="auto" w:before="10"/>
              <w:ind w:left="11" w:right="53"/>
              <w:jc w:val="both"/>
              <w:rPr>
                <w:rFonts w:ascii="宋体" w:hAnsi="宋体" w:cs="宋体" w:eastAsia="宋体" w:hint="default"/>
                <w:sz w:val="18"/>
                <w:szCs w:val="18"/>
              </w:rPr>
            </w:pPr>
            <w:r>
              <w:rPr>
                <w:rFonts w:ascii="宋体" w:hAnsi="宋体" w:cs="宋体" w:eastAsia="宋体" w:hint="default"/>
                <w:sz w:val="18"/>
                <w:szCs w:val="18"/>
              </w:rPr>
              <w:t>业担任董 事、高级 管理人员 职务</w:t>
            </w:r>
          </w:p>
        </w:tc>
        <w:tc>
          <w:tcPr>
            <w:tcW w:w="819" w:type="dxa"/>
            <w:vMerge w:val="restart"/>
            <w:tcBorders>
              <w:top w:val="single" w:sz="4" w:space="0" w:color="000000"/>
              <w:left w:val="single" w:sz="4" w:space="0" w:color="000000"/>
              <w:right w:val="single" w:sz="4" w:space="0" w:color="000000"/>
            </w:tcBorders>
            <w:shd w:val="clear" w:color="auto" w:fill="C7EDCC"/>
          </w:tcPr>
          <w:p>
            <w:pPr/>
          </w:p>
        </w:tc>
        <w:tc>
          <w:tcPr>
            <w:tcW w:w="793"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本</w:t>
            </w:r>
          </w:p>
          <w:p>
            <w:pPr>
              <w:pStyle w:val="TableParagraph"/>
              <w:spacing w:line="240" w:lineRule="auto" w:before="117"/>
              <w:ind w:left="11" w:right="0"/>
              <w:jc w:val="left"/>
              <w:rPr>
                <w:rFonts w:ascii="Times New Roman" w:hAnsi="Times New Roman" w:cs="Times New Roman" w:eastAsia="Times New Roman" w:hint="default"/>
                <w:sz w:val="18"/>
                <w:szCs w:val="18"/>
              </w:rPr>
            </w:pPr>
            <w:r>
              <w:rPr>
                <w:rFonts w:ascii="Times New Roman"/>
                <w:sz w:val="18"/>
              </w:rPr>
              <w:t>11.3289%</w:t>
            </w:r>
          </w:p>
        </w:tc>
        <w:tc>
          <w:tcPr>
            <w:tcW w:w="818" w:type="dxa"/>
            <w:vMerge w:val="restart"/>
            <w:tcBorders>
              <w:top w:val="single" w:sz="4" w:space="0" w:color="000000"/>
              <w:left w:val="single" w:sz="4" w:space="0" w:color="000000"/>
              <w:right w:val="single" w:sz="4" w:space="0" w:color="000000"/>
            </w:tcBorders>
            <w:shd w:val="clear" w:color="auto" w:fill="C7EDCC"/>
          </w:tcPr>
          <w:p>
            <w:pPr/>
          </w:p>
        </w:tc>
        <w:tc>
          <w:tcPr>
            <w:tcW w:w="810" w:type="dxa"/>
            <w:vMerge w:val="restart"/>
            <w:tcBorders>
              <w:top w:val="single" w:sz="4" w:space="0" w:color="000000"/>
              <w:left w:val="single" w:sz="4" w:space="0" w:color="000000"/>
              <w:right w:val="single" w:sz="4" w:space="0" w:color="000000"/>
            </w:tcBorders>
          </w:tcPr>
          <w:p>
            <w:pPr/>
          </w:p>
        </w:tc>
        <w:tc>
          <w:tcPr>
            <w:tcW w:w="808" w:type="dxa"/>
            <w:vMerge w:val="restart"/>
            <w:tcBorders>
              <w:top w:val="single" w:sz="4" w:space="0" w:color="000000"/>
              <w:left w:val="single" w:sz="4" w:space="0" w:color="000000"/>
              <w:right w:val="single" w:sz="4" w:space="0" w:color="000000"/>
            </w:tcBorders>
          </w:tcPr>
          <w:p>
            <w:pPr/>
          </w:p>
        </w:tc>
        <w:tc>
          <w:tcPr>
            <w:tcW w:w="808" w:type="dxa"/>
            <w:vMerge w:val="restart"/>
            <w:tcBorders>
              <w:top w:val="single" w:sz="4" w:space="0" w:color="000000"/>
              <w:left w:val="single" w:sz="4" w:space="0" w:color="000000"/>
              <w:right w:val="single" w:sz="4" w:space="0" w:color="000000"/>
            </w:tcBorders>
          </w:tcPr>
          <w:p>
            <w:pPr/>
          </w:p>
        </w:tc>
        <w:tc>
          <w:tcPr>
            <w:tcW w:w="808" w:type="dxa"/>
            <w:vMerge w:val="restart"/>
            <w:tcBorders>
              <w:top w:val="single" w:sz="4" w:space="0" w:color="000000"/>
              <w:left w:val="single" w:sz="4" w:space="0" w:color="000000"/>
              <w:right w:val="single" w:sz="4" w:space="0" w:color="000000"/>
            </w:tcBorders>
            <w:shd w:val="clear" w:color="auto" w:fill="C7EDCC"/>
          </w:tcPr>
          <w:p>
            <w:pPr/>
          </w:p>
        </w:tc>
        <w:tc>
          <w:tcPr>
            <w:tcW w:w="808" w:type="dxa"/>
            <w:vMerge w:val="restart"/>
            <w:tcBorders>
              <w:top w:val="single" w:sz="4" w:space="0" w:color="000000"/>
              <w:left w:val="single" w:sz="4" w:space="0" w:color="000000"/>
              <w:right w:val="single" w:sz="4" w:space="0" w:color="000000"/>
            </w:tcBorders>
          </w:tcPr>
          <w:p>
            <w:pPr/>
          </w:p>
        </w:tc>
        <w:tc>
          <w:tcPr>
            <w:tcW w:w="808" w:type="dxa"/>
            <w:vMerge w:val="restart"/>
            <w:tcBorders>
              <w:top w:val="single" w:sz="4" w:space="0" w:color="000000"/>
              <w:left w:val="single" w:sz="4" w:space="0" w:color="000000"/>
              <w:right w:val="single" w:sz="4" w:space="0" w:color="000000"/>
            </w:tcBorders>
          </w:tcPr>
          <w:p>
            <w:pPr/>
          </w:p>
        </w:tc>
        <w:tc>
          <w:tcPr>
            <w:tcW w:w="800" w:type="dxa"/>
            <w:vMerge w:val="restart"/>
            <w:tcBorders>
              <w:top w:val="single" w:sz="4" w:space="0" w:color="000000"/>
              <w:left w:val="single" w:sz="4" w:space="0" w:color="000000"/>
              <w:right w:val="single" w:sz="4" w:space="0" w:color="000000"/>
            </w:tcBorders>
            <w:shd w:val="clear" w:color="auto" w:fill="C7EDCC"/>
          </w:tcPr>
          <w:p>
            <w:pPr/>
          </w:p>
        </w:tc>
      </w:tr>
      <w:tr>
        <w:trPr>
          <w:trHeight w:val="629" w:hRule="exact"/>
        </w:trPr>
        <w:tc>
          <w:tcPr>
            <w:tcW w:w="819" w:type="dxa"/>
            <w:vMerge/>
            <w:tcBorders>
              <w:left w:val="single" w:sz="4" w:space="0" w:color="000000"/>
              <w:bottom w:val="single" w:sz="4" w:space="0" w:color="000000"/>
              <w:right w:val="single" w:sz="4" w:space="0" w:color="000000"/>
            </w:tcBorders>
            <w:shd w:val="clear" w:color="auto" w:fill="C7EDCC"/>
          </w:tcPr>
          <w:p>
            <w:pPr/>
          </w:p>
        </w:tc>
        <w:tc>
          <w:tcPr>
            <w:tcW w:w="796" w:type="dxa"/>
            <w:vMerge/>
            <w:tcBorders>
              <w:left w:val="single" w:sz="4" w:space="0" w:color="000000"/>
              <w:bottom w:val="single" w:sz="4" w:space="0" w:color="000000"/>
              <w:right w:val="single" w:sz="4" w:space="0" w:color="000000"/>
            </w:tcBorders>
            <w:shd w:val="clear" w:color="auto" w:fill="C7EDCC"/>
          </w:tcPr>
          <w:p>
            <w:pPr/>
          </w:p>
        </w:tc>
        <w:tc>
          <w:tcPr>
            <w:tcW w:w="819" w:type="dxa"/>
            <w:vMerge/>
            <w:tcBorders>
              <w:left w:val="single" w:sz="4" w:space="0" w:color="000000"/>
              <w:bottom w:val="single" w:sz="4" w:space="0" w:color="000000"/>
              <w:right w:val="single" w:sz="4" w:space="0" w:color="000000"/>
            </w:tcBorders>
            <w:shd w:val="clear" w:color="auto" w:fill="C7EDCC"/>
          </w:tcPr>
          <w:p>
            <w:pPr/>
          </w:p>
        </w:tc>
        <w:tc>
          <w:tcPr>
            <w:tcW w:w="793" w:type="dxa"/>
            <w:tcBorders>
              <w:top w:val="nil" w:sz="6" w:space="0" w:color="auto"/>
              <w:left w:val="single" w:sz="4" w:space="0" w:color="000000"/>
              <w:bottom w:val="single" w:sz="4" w:space="0" w:color="000000"/>
              <w:right w:val="single" w:sz="4" w:space="0" w:color="000000"/>
            </w:tcBorders>
            <w:shd w:val="clear" w:color="auto" w:fill="C7EDCC"/>
          </w:tcPr>
          <w:p>
            <w:pPr/>
          </w:p>
        </w:tc>
        <w:tc>
          <w:tcPr>
            <w:tcW w:w="818" w:type="dxa"/>
            <w:vMerge/>
            <w:tcBorders>
              <w:left w:val="single" w:sz="4" w:space="0" w:color="000000"/>
              <w:bottom w:val="single" w:sz="4" w:space="0" w:color="000000"/>
              <w:right w:val="single" w:sz="4" w:space="0" w:color="000000"/>
            </w:tcBorders>
            <w:shd w:val="clear" w:color="auto" w:fill="C7EDCC"/>
          </w:tcPr>
          <w:p>
            <w:pPr/>
          </w:p>
        </w:tc>
        <w:tc>
          <w:tcPr>
            <w:tcW w:w="810" w:type="dxa"/>
            <w:vMerge/>
            <w:tcBorders>
              <w:left w:val="single" w:sz="4" w:space="0" w:color="000000"/>
              <w:bottom w:val="single" w:sz="4" w:space="0" w:color="000000"/>
              <w:right w:val="single" w:sz="4" w:space="0" w:color="000000"/>
            </w:tcBorders>
          </w:tcPr>
          <w:p>
            <w:pPr/>
          </w:p>
        </w:tc>
        <w:tc>
          <w:tcPr>
            <w:tcW w:w="808" w:type="dxa"/>
            <w:vMerge/>
            <w:tcBorders>
              <w:left w:val="single" w:sz="4" w:space="0" w:color="000000"/>
              <w:bottom w:val="single" w:sz="4" w:space="0" w:color="000000"/>
              <w:right w:val="single" w:sz="4" w:space="0" w:color="000000"/>
            </w:tcBorders>
          </w:tcPr>
          <w:p>
            <w:pPr/>
          </w:p>
        </w:tc>
        <w:tc>
          <w:tcPr>
            <w:tcW w:w="808" w:type="dxa"/>
            <w:vMerge/>
            <w:tcBorders>
              <w:left w:val="single" w:sz="4" w:space="0" w:color="000000"/>
              <w:bottom w:val="single" w:sz="4" w:space="0" w:color="000000"/>
              <w:right w:val="single" w:sz="4" w:space="0" w:color="000000"/>
            </w:tcBorders>
          </w:tcPr>
          <w:p>
            <w:pPr/>
          </w:p>
        </w:tc>
        <w:tc>
          <w:tcPr>
            <w:tcW w:w="808" w:type="dxa"/>
            <w:vMerge/>
            <w:tcBorders>
              <w:left w:val="single" w:sz="4" w:space="0" w:color="000000"/>
              <w:bottom w:val="single" w:sz="4" w:space="0" w:color="000000"/>
              <w:right w:val="single" w:sz="4" w:space="0" w:color="000000"/>
            </w:tcBorders>
            <w:shd w:val="clear" w:color="auto" w:fill="C7EDCC"/>
          </w:tcPr>
          <w:p>
            <w:pPr/>
          </w:p>
        </w:tc>
        <w:tc>
          <w:tcPr>
            <w:tcW w:w="808" w:type="dxa"/>
            <w:vMerge/>
            <w:tcBorders>
              <w:left w:val="single" w:sz="4" w:space="0" w:color="000000"/>
              <w:bottom w:val="single" w:sz="4" w:space="0" w:color="000000"/>
              <w:right w:val="single" w:sz="4" w:space="0" w:color="000000"/>
            </w:tcBorders>
          </w:tcPr>
          <w:p>
            <w:pPr/>
          </w:p>
        </w:tc>
        <w:tc>
          <w:tcPr>
            <w:tcW w:w="808"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shd w:val="clear" w:color="auto" w:fill="C7EDCC"/>
          </w:tcPr>
          <w:p>
            <w:pPr/>
          </w:p>
        </w:tc>
      </w:tr>
      <w:tr>
        <w:trPr>
          <w:trHeight w:val="317" w:hRule="exact"/>
        </w:trPr>
        <w:tc>
          <w:tcPr>
            <w:tcW w:w="819" w:type="dxa"/>
            <w:tcBorders>
              <w:top w:val="single" w:sz="4" w:space="0" w:color="000000"/>
              <w:left w:val="single" w:sz="4" w:space="0" w:color="000000"/>
              <w:bottom w:val="nil" w:sz="6" w:space="0" w:color="auto"/>
              <w:right w:val="single" w:sz="4" w:space="0" w:color="000000"/>
            </w:tcBorders>
            <w:shd w:val="clear" w:color="auto" w:fill="C7EDCC"/>
          </w:tcPr>
          <w:p>
            <w:pPr/>
          </w:p>
        </w:tc>
        <w:tc>
          <w:tcPr>
            <w:tcW w:w="796" w:type="dxa"/>
            <w:vMerge w:val="restart"/>
            <w:tcBorders>
              <w:top w:val="single" w:sz="4" w:space="0" w:color="000000"/>
              <w:left w:val="single" w:sz="4" w:space="0" w:color="000000"/>
              <w:right w:val="single" w:sz="4" w:space="0" w:color="000000"/>
            </w:tcBorders>
            <w:shd w:val="clear" w:color="auto" w:fill="C7EDCC"/>
          </w:tcPr>
          <w:p>
            <w:pPr/>
          </w:p>
        </w:tc>
        <w:tc>
          <w:tcPr>
            <w:tcW w:w="819" w:type="dxa"/>
            <w:tcBorders>
              <w:top w:val="single" w:sz="4" w:space="0" w:color="000000"/>
              <w:left w:val="single" w:sz="4" w:space="0" w:color="000000"/>
              <w:bottom w:val="nil" w:sz="6" w:space="0" w:color="auto"/>
              <w:right w:val="single" w:sz="4" w:space="0" w:color="000000"/>
            </w:tcBorders>
            <w:shd w:val="clear" w:color="auto" w:fill="C7EDCC"/>
          </w:tcPr>
          <w:p>
            <w:pPr/>
          </w:p>
        </w:tc>
        <w:tc>
          <w:tcPr>
            <w:tcW w:w="793"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51"/>
              <w:ind w:left="11" w:right="49"/>
              <w:jc w:val="both"/>
              <w:rPr>
                <w:rFonts w:ascii="宋体" w:hAnsi="宋体" w:cs="宋体" w:eastAsia="宋体" w:hint="default"/>
                <w:sz w:val="18"/>
                <w:szCs w:val="18"/>
              </w:rPr>
            </w:pPr>
            <w:r>
              <w:rPr>
                <w:rFonts w:ascii="宋体" w:hAnsi="宋体" w:cs="宋体" w:eastAsia="宋体" w:hint="default"/>
                <w:sz w:val="18"/>
                <w:szCs w:val="18"/>
              </w:rPr>
              <w:t>杭州日报 报业集团 的一宗土 地使用权 及其上房 屋所有权</w:t>
            </w:r>
          </w:p>
        </w:tc>
        <w:tc>
          <w:tcPr>
            <w:tcW w:w="818" w:type="dxa"/>
            <w:vMerge w:val="restart"/>
            <w:tcBorders>
              <w:top w:val="single" w:sz="4" w:space="0" w:color="000000"/>
              <w:left w:val="single" w:sz="4" w:space="0" w:color="000000"/>
              <w:right w:val="single" w:sz="4" w:space="0" w:color="000000"/>
            </w:tcBorders>
            <w:shd w:val="clear" w:color="auto" w:fill="C7EDCC"/>
          </w:tcPr>
          <w:p>
            <w:pPr/>
          </w:p>
        </w:tc>
        <w:tc>
          <w:tcPr>
            <w:tcW w:w="810" w:type="dxa"/>
            <w:vMerge w:val="restart"/>
            <w:tcBorders>
              <w:top w:val="single" w:sz="4" w:space="0" w:color="000000"/>
              <w:left w:val="single" w:sz="9" w:space="0" w:color="C7EDCC"/>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3,591.14</w:t>
            </w:r>
          </w:p>
        </w:tc>
        <w:tc>
          <w:tcPr>
            <w:tcW w:w="8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70" w:right="0"/>
              <w:jc w:val="left"/>
              <w:rPr>
                <w:rFonts w:ascii="Times New Roman" w:hAnsi="Times New Roman" w:cs="Times New Roman" w:eastAsia="Times New Roman" w:hint="default"/>
                <w:sz w:val="18"/>
                <w:szCs w:val="18"/>
              </w:rPr>
            </w:pPr>
            <w:r>
              <w:rPr>
                <w:rFonts w:ascii="Times New Roman"/>
                <w:sz w:val="18"/>
              </w:rPr>
              <w:t>4,370</w:t>
            </w:r>
          </w:p>
        </w:tc>
        <w:tc>
          <w:tcPr>
            <w:tcW w:w="808" w:type="dxa"/>
            <w:vMerge w:val="restart"/>
            <w:tcBorders>
              <w:top w:val="single" w:sz="4" w:space="0" w:color="000000"/>
              <w:left w:val="single" w:sz="4" w:space="0" w:color="000000"/>
              <w:right w:val="single" w:sz="9" w:space="0" w:color="C7EDCC"/>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70" w:right="0"/>
              <w:jc w:val="left"/>
              <w:rPr>
                <w:rFonts w:ascii="Times New Roman" w:hAnsi="Times New Roman" w:cs="Times New Roman" w:eastAsia="Times New Roman" w:hint="default"/>
                <w:sz w:val="18"/>
                <w:szCs w:val="18"/>
              </w:rPr>
            </w:pPr>
            <w:r>
              <w:rPr>
                <w:rFonts w:ascii="Times New Roman"/>
                <w:sz w:val="18"/>
              </w:rPr>
              <w:t>4,370</w:t>
            </w:r>
          </w:p>
        </w:tc>
        <w:tc>
          <w:tcPr>
            <w:tcW w:w="808" w:type="dxa"/>
            <w:vMerge w:val="restart"/>
            <w:tcBorders>
              <w:top w:val="single" w:sz="4" w:space="0" w:color="000000"/>
              <w:left w:val="single" w:sz="4" w:space="0" w:color="000000"/>
              <w:right w:val="single" w:sz="4" w:space="0" w:color="000000"/>
            </w:tcBorders>
            <w:shd w:val="clear" w:color="auto" w:fill="C7EDCC"/>
          </w:tcPr>
          <w:p>
            <w:pPr/>
          </w:p>
        </w:tc>
        <w:tc>
          <w:tcPr>
            <w:tcW w:w="808" w:type="dxa"/>
            <w:vMerge w:val="restart"/>
            <w:tcBorders>
              <w:top w:val="single" w:sz="4" w:space="0" w:color="000000"/>
              <w:left w:val="single" w:sz="9" w:space="0" w:color="C7EDCC"/>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74" w:right="0"/>
              <w:jc w:val="left"/>
              <w:rPr>
                <w:rFonts w:ascii="Times New Roman" w:hAnsi="Times New Roman" w:cs="Times New Roman" w:eastAsia="Times New Roman" w:hint="default"/>
                <w:sz w:val="18"/>
                <w:szCs w:val="18"/>
              </w:rPr>
            </w:pPr>
            <w:r>
              <w:rPr>
                <w:rFonts w:ascii="Times New Roman"/>
                <w:sz w:val="18"/>
              </w:rPr>
              <w:t>778.86</w:t>
            </w:r>
          </w:p>
        </w:tc>
        <w:tc>
          <w:tcPr>
            <w:tcW w:w="808" w:type="dxa"/>
            <w:vMerge w:val="restart"/>
            <w:tcBorders>
              <w:top w:val="single" w:sz="4" w:space="0" w:color="000000"/>
              <w:left w:val="single" w:sz="4" w:space="0" w:color="000000"/>
              <w:right w:val="single" w:sz="9" w:space="0" w:color="C7EDCC"/>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vMerge w:val="restart"/>
            <w:tcBorders>
              <w:top w:val="single" w:sz="4" w:space="0" w:color="000000"/>
              <w:left w:val="single" w:sz="4" w:space="0" w:color="000000"/>
              <w:right w:val="single" w:sz="4" w:space="0" w:color="000000"/>
            </w:tcBorders>
            <w:shd w:val="clear" w:color="auto" w:fill="C7EDCC"/>
          </w:tcPr>
          <w:p>
            <w:pPr/>
          </w:p>
        </w:tc>
      </w:tr>
      <w:tr>
        <w:trPr>
          <w:trHeight w:val="312" w:hRule="exact"/>
        </w:trPr>
        <w:tc>
          <w:tcPr>
            <w:tcW w:w="819" w:type="dxa"/>
            <w:vMerge w:val="restart"/>
            <w:tcBorders>
              <w:top w:val="nil" w:sz="6" w:space="0" w:color="auto"/>
              <w:left w:val="single" w:sz="4" w:space="0" w:color="000000"/>
              <w:right w:val="single" w:sz="4" w:space="0" w:color="000000"/>
            </w:tcBorders>
            <w:shd w:val="clear" w:color="auto" w:fill="C7EDCC"/>
          </w:tcPr>
          <w:p>
            <w:pPr>
              <w:pStyle w:val="TableParagraph"/>
              <w:spacing w:line="316" w:lineRule="auto" w:before="51"/>
              <w:ind w:left="22" w:right="64"/>
              <w:jc w:val="left"/>
              <w:rPr>
                <w:rFonts w:ascii="宋体" w:hAnsi="宋体" w:cs="宋体" w:eastAsia="宋体" w:hint="default"/>
                <w:sz w:val="18"/>
                <w:szCs w:val="18"/>
              </w:rPr>
            </w:pPr>
            <w:r>
              <w:rPr>
                <w:rFonts w:ascii="宋体" w:hAnsi="宋体" w:cs="宋体" w:eastAsia="宋体" w:hint="default"/>
                <w:sz w:val="18"/>
                <w:szCs w:val="18"/>
              </w:rPr>
              <w:t>杭州日报 报业集团</w:t>
            </w:r>
          </w:p>
          <w:p>
            <w:pPr>
              <w:pStyle w:val="TableParagraph"/>
              <w:spacing w:line="319" w:lineRule="auto" w:before="19"/>
              <w:ind w:left="22" w:right="64"/>
              <w:jc w:val="left"/>
              <w:rPr>
                <w:rFonts w:ascii="宋体" w:hAnsi="宋体" w:cs="宋体" w:eastAsia="宋体" w:hint="default"/>
                <w:sz w:val="18"/>
                <w:szCs w:val="18"/>
              </w:rPr>
            </w:pPr>
            <w:r>
              <w:rPr>
                <w:rFonts w:ascii="宋体" w:hAnsi="宋体" w:cs="宋体" w:eastAsia="宋体" w:hint="default"/>
                <w:sz w:val="18"/>
                <w:szCs w:val="18"/>
              </w:rPr>
              <w:t>（杭州日 报社）</w:t>
            </w:r>
          </w:p>
        </w:tc>
        <w:tc>
          <w:tcPr>
            <w:tcW w:w="796" w:type="dxa"/>
            <w:vMerge/>
            <w:tcBorders>
              <w:left w:val="single" w:sz="4" w:space="0" w:color="000000"/>
              <w:bottom w:val="nil" w:sz="6" w:space="0" w:color="auto"/>
              <w:right w:val="single" w:sz="4" w:space="0" w:color="000000"/>
            </w:tcBorders>
            <w:shd w:val="clear" w:color="auto" w:fill="C7EDCC"/>
          </w:tcPr>
          <w:p>
            <w:pPr/>
          </w:p>
        </w:tc>
        <w:tc>
          <w:tcPr>
            <w:tcW w:w="819" w:type="dxa"/>
            <w:vMerge w:val="restart"/>
            <w:tcBorders>
              <w:top w:val="nil" w:sz="6" w:space="0" w:color="auto"/>
              <w:left w:val="single" w:sz="4" w:space="0" w:color="000000"/>
              <w:right w:val="single" w:sz="4" w:space="0" w:color="000000"/>
            </w:tcBorders>
            <w:shd w:val="clear" w:color="auto" w:fill="C7EDCC"/>
          </w:tcPr>
          <w:p>
            <w:pPr>
              <w:pStyle w:val="TableParagraph"/>
              <w:spacing w:line="316" w:lineRule="auto" w:before="51"/>
              <w:ind w:left="23" w:right="63"/>
              <w:jc w:val="both"/>
              <w:rPr>
                <w:rFonts w:ascii="宋体" w:hAnsi="宋体" w:cs="宋体" w:eastAsia="宋体" w:hint="default"/>
                <w:sz w:val="18"/>
                <w:szCs w:val="18"/>
              </w:rPr>
            </w:pPr>
            <w:r>
              <w:rPr>
                <w:rFonts w:ascii="宋体" w:hAnsi="宋体" w:cs="宋体" w:eastAsia="宋体" w:hint="default"/>
                <w:sz w:val="18"/>
                <w:szCs w:val="18"/>
              </w:rPr>
              <w:t>购买或销 售除商品 以外的其 他资产</w:t>
            </w:r>
          </w:p>
        </w:tc>
        <w:tc>
          <w:tcPr>
            <w:tcW w:w="793" w:type="dxa"/>
            <w:vMerge/>
            <w:tcBorders>
              <w:left w:val="single" w:sz="4" w:space="0" w:color="000000"/>
              <w:right w:val="single" w:sz="4" w:space="0" w:color="000000"/>
            </w:tcBorders>
            <w:shd w:val="clear" w:color="auto" w:fill="C7EDCC"/>
          </w:tcPr>
          <w:p>
            <w:pPr/>
          </w:p>
        </w:tc>
        <w:tc>
          <w:tcPr>
            <w:tcW w:w="818" w:type="dxa"/>
            <w:vMerge/>
            <w:tcBorders>
              <w:left w:val="single" w:sz="4" w:space="0" w:color="000000"/>
              <w:right w:val="single" w:sz="4" w:space="0" w:color="000000"/>
            </w:tcBorders>
            <w:shd w:val="clear" w:color="auto" w:fill="C7EDCC"/>
          </w:tcPr>
          <w:p>
            <w:pPr/>
          </w:p>
        </w:tc>
        <w:tc>
          <w:tcPr>
            <w:tcW w:w="810" w:type="dxa"/>
            <w:vMerge/>
            <w:tcBorders>
              <w:left w:val="single" w:sz="9" w:space="0" w:color="C7EDCC"/>
              <w:right w:val="single" w:sz="4" w:space="0" w:color="000000"/>
            </w:tcBorders>
          </w:tcPr>
          <w:p>
            <w:pPr/>
          </w:p>
        </w:tc>
        <w:tc>
          <w:tcPr>
            <w:tcW w:w="808" w:type="dxa"/>
            <w:vMerge/>
            <w:tcBorders>
              <w:left w:val="single" w:sz="4" w:space="0" w:color="000000"/>
              <w:right w:val="single" w:sz="4" w:space="0" w:color="000000"/>
            </w:tcBorders>
          </w:tcPr>
          <w:p>
            <w:pPr/>
          </w:p>
        </w:tc>
        <w:tc>
          <w:tcPr>
            <w:tcW w:w="808" w:type="dxa"/>
            <w:vMerge/>
            <w:tcBorders>
              <w:left w:val="single" w:sz="4" w:space="0" w:color="000000"/>
              <w:right w:val="single" w:sz="9" w:space="0" w:color="C7EDCC"/>
            </w:tcBorders>
          </w:tcPr>
          <w:p>
            <w:pPr/>
          </w:p>
        </w:tc>
        <w:tc>
          <w:tcPr>
            <w:tcW w:w="808" w:type="dxa"/>
            <w:vMerge/>
            <w:tcBorders>
              <w:left w:val="single" w:sz="4" w:space="0" w:color="000000"/>
              <w:right w:val="single" w:sz="4" w:space="0" w:color="000000"/>
            </w:tcBorders>
            <w:shd w:val="clear" w:color="auto" w:fill="C7EDCC"/>
          </w:tcPr>
          <w:p>
            <w:pPr/>
          </w:p>
        </w:tc>
        <w:tc>
          <w:tcPr>
            <w:tcW w:w="808" w:type="dxa"/>
            <w:vMerge/>
            <w:tcBorders>
              <w:left w:val="single" w:sz="9" w:space="0" w:color="C7EDCC"/>
              <w:right w:val="single" w:sz="4" w:space="0" w:color="000000"/>
            </w:tcBorders>
          </w:tcPr>
          <w:p>
            <w:pPr/>
          </w:p>
        </w:tc>
        <w:tc>
          <w:tcPr>
            <w:tcW w:w="808" w:type="dxa"/>
            <w:vMerge/>
            <w:tcBorders>
              <w:left w:val="single" w:sz="4" w:space="0" w:color="000000"/>
              <w:right w:val="single" w:sz="9" w:space="0" w:color="C7EDCC"/>
            </w:tcBorders>
          </w:tcPr>
          <w:p>
            <w:pPr/>
          </w:p>
        </w:tc>
        <w:tc>
          <w:tcPr>
            <w:tcW w:w="800" w:type="dxa"/>
            <w:vMerge/>
            <w:tcBorders>
              <w:left w:val="single" w:sz="4" w:space="0" w:color="000000"/>
              <w:bottom w:val="nil" w:sz="6" w:space="0" w:color="auto"/>
              <w:right w:val="single" w:sz="4" w:space="0" w:color="000000"/>
            </w:tcBorders>
            <w:shd w:val="clear" w:color="auto" w:fill="C7EDCC"/>
          </w:tcPr>
          <w:p>
            <w:pPr/>
          </w:p>
        </w:tc>
      </w:tr>
      <w:tr>
        <w:trPr>
          <w:trHeight w:val="156" w:hRule="exact"/>
        </w:trPr>
        <w:tc>
          <w:tcPr>
            <w:tcW w:w="819" w:type="dxa"/>
            <w:vMerge/>
            <w:tcBorders>
              <w:left w:val="single" w:sz="4" w:space="0" w:color="000000"/>
              <w:right w:val="single" w:sz="4" w:space="0" w:color="000000"/>
            </w:tcBorders>
            <w:shd w:val="clear" w:color="auto" w:fill="C7EDCC"/>
          </w:tcPr>
          <w:p>
            <w:pPr/>
          </w:p>
        </w:tc>
        <w:tc>
          <w:tcPr>
            <w:tcW w:w="796" w:type="dxa"/>
            <w:vMerge w:val="restart"/>
            <w:tcBorders>
              <w:top w:val="nil" w:sz="6" w:space="0" w:color="auto"/>
              <w:left w:val="single" w:sz="4" w:space="0" w:color="000000"/>
              <w:right w:val="single" w:sz="4" w:space="0" w:color="000000"/>
            </w:tcBorders>
            <w:shd w:val="clear" w:color="auto" w:fill="C7EDCC"/>
          </w:tcPr>
          <w:p>
            <w:pPr>
              <w:pStyle w:val="TableParagraph"/>
              <w:spacing w:line="316" w:lineRule="auto" w:before="51"/>
              <w:ind w:left="11" w:right="53"/>
              <w:jc w:val="left"/>
              <w:rPr>
                <w:rFonts w:ascii="宋体" w:hAnsi="宋体" w:cs="宋体" w:eastAsia="宋体" w:hint="default"/>
                <w:sz w:val="18"/>
                <w:szCs w:val="18"/>
              </w:rPr>
            </w:pPr>
            <w:r>
              <w:rPr>
                <w:rFonts w:ascii="宋体" w:hAnsi="宋体" w:cs="宋体" w:eastAsia="宋体" w:hint="default"/>
                <w:sz w:val="18"/>
                <w:szCs w:val="18"/>
              </w:rPr>
              <w:t>本公司实 际控制人</w:t>
            </w:r>
          </w:p>
        </w:tc>
        <w:tc>
          <w:tcPr>
            <w:tcW w:w="819" w:type="dxa"/>
            <w:vMerge/>
            <w:tcBorders>
              <w:left w:val="single" w:sz="4" w:space="0" w:color="000000"/>
              <w:right w:val="single" w:sz="4" w:space="0" w:color="000000"/>
            </w:tcBorders>
            <w:shd w:val="clear" w:color="auto" w:fill="C7EDCC"/>
          </w:tcPr>
          <w:p>
            <w:pPr/>
          </w:p>
        </w:tc>
        <w:tc>
          <w:tcPr>
            <w:tcW w:w="793" w:type="dxa"/>
            <w:vMerge/>
            <w:tcBorders>
              <w:left w:val="single" w:sz="4" w:space="0" w:color="000000"/>
              <w:right w:val="single" w:sz="4" w:space="0" w:color="000000"/>
            </w:tcBorders>
            <w:shd w:val="clear" w:color="auto" w:fill="C7EDCC"/>
          </w:tcPr>
          <w:p>
            <w:pPr/>
          </w:p>
        </w:tc>
        <w:tc>
          <w:tcPr>
            <w:tcW w:w="818" w:type="dxa"/>
            <w:vMerge/>
            <w:tcBorders>
              <w:left w:val="single" w:sz="4" w:space="0" w:color="000000"/>
              <w:bottom w:val="nil" w:sz="6" w:space="0" w:color="auto"/>
              <w:right w:val="single" w:sz="4" w:space="0" w:color="000000"/>
            </w:tcBorders>
            <w:shd w:val="clear" w:color="auto" w:fill="C7EDCC"/>
          </w:tcPr>
          <w:p>
            <w:pPr/>
          </w:p>
        </w:tc>
        <w:tc>
          <w:tcPr>
            <w:tcW w:w="810" w:type="dxa"/>
            <w:vMerge/>
            <w:tcBorders>
              <w:left w:val="single" w:sz="9" w:space="0" w:color="C7EDCC"/>
              <w:right w:val="single" w:sz="4" w:space="0" w:color="000000"/>
            </w:tcBorders>
          </w:tcPr>
          <w:p>
            <w:pPr/>
          </w:p>
        </w:tc>
        <w:tc>
          <w:tcPr>
            <w:tcW w:w="808" w:type="dxa"/>
            <w:vMerge/>
            <w:tcBorders>
              <w:left w:val="single" w:sz="4" w:space="0" w:color="000000"/>
              <w:right w:val="single" w:sz="4" w:space="0" w:color="000000"/>
            </w:tcBorders>
          </w:tcPr>
          <w:p>
            <w:pPr/>
          </w:p>
        </w:tc>
        <w:tc>
          <w:tcPr>
            <w:tcW w:w="808" w:type="dxa"/>
            <w:vMerge/>
            <w:tcBorders>
              <w:left w:val="single" w:sz="4" w:space="0" w:color="000000"/>
              <w:right w:val="single" w:sz="9" w:space="0" w:color="C7EDCC"/>
            </w:tcBorders>
          </w:tcPr>
          <w:p>
            <w:pPr/>
          </w:p>
        </w:tc>
        <w:tc>
          <w:tcPr>
            <w:tcW w:w="808" w:type="dxa"/>
            <w:vMerge/>
            <w:tcBorders>
              <w:left w:val="single" w:sz="4" w:space="0" w:color="000000"/>
              <w:bottom w:val="nil" w:sz="6" w:space="0" w:color="auto"/>
              <w:right w:val="single" w:sz="4" w:space="0" w:color="000000"/>
            </w:tcBorders>
            <w:shd w:val="clear" w:color="auto" w:fill="C7EDCC"/>
          </w:tcPr>
          <w:p>
            <w:pPr/>
          </w:p>
        </w:tc>
        <w:tc>
          <w:tcPr>
            <w:tcW w:w="808" w:type="dxa"/>
            <w:vMerge/>
            <w:tcBorders>
              <w:left w:val="single" w:sz="9" w:space="0" w:color="C7EDCC"/>
              <w:right w:val="single" w:sz="4" w:space="0" w:color="000000"/>
            </w:tcBorders>
          </w:tcPr>
          <w:p>
            <w:pPr/>
          </w:p>
        </w:tc>
        <w:tc>
          <w:tcPr>
            <w:tcW w:w="808" w:type="dxa"/>
            <w:vMerge/>
            <w:tcBorders>
              <w:left w:val="single" w:sz="4" w:space="0" w:color="000000"/>
              <w:right w:val="single" w:sz="9" w:space="0" w:color="C7EDCC"/>
            </w:tcBorders>
          </w:tcPr>
          <w:p>
            <w:pPr/>
          </w:p>
        </w:tc>
        <w:tc>
          <w:tcPr>
            <w:tcW w:w="800" w:type="dxa"/>
            <w:vMerge w:val="restart"/>
            <w:tcBorders>
              <w:top w:val="nil" w:sz="6" w:space="0" w:color="auto"/>
              <w:left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2015-074</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号公告</w:t>
            </w:r>
          </w:p>
        </w:tc>
      </w:tr>
      <w:tr>
        <w:trPr>
          <w:trHeight w:val="392" w:hRule="exact"/>
        </w:trPr>
        <w:tc>
          <w:tcPr>
            <w:tcW w:w="819" w:type="dxa"/>
            <w:vMerge/>
            <w:tcBorders>
              <w:left w:val="single" w:sz="4" w:space="0" w:color="000000"/>
              <w:right w:val="single" w:sz="4" w:space="0" w:color="000000"/>
            </w:tcBorders>
            <w:shd w:val="clear" w:color="auto" w:fill="C7EDCC"/>
          </w:tcPr>
          <w:p>
            <w:pPr/>
          </w:p>
        </w:tc>
        <w:tc>
          <w:tcPr>
            <w:tcW w:w="796" w:type="dxa"/>
            <w:vMerge/>
            <w:tcBorders>
              <w:left w:val="single" w:sz="4" w:space="0" w:color="000000"/>
              <w:right w:val="single" w:sz="4" w:space="0" w:color="000000"/>
            </w:tcBorders>
            <w:shd w:val="clear" w:color="auto" w:fill="C7EDCC"/>
          </w:tcPr>
          <w:p>
            <w:pPr/>
          </w:p>
        </w:tc>
        <w:tc>
          <w:tcPr>
            <w:tcW w:w="819" w:type="dxa"/>
            <w:vMerge/>
            <w:tcBorders>
              <w:left w:val="single" w:sz="4" w:space="0" w:color="000000"/>
              <w:right w:val="single" w:sz="4" w:space="0" w:color="000000"/>
            </w:tcBorders>
            <w:shd w:val="clear" w:color="auto" w:fill="C7EDCC"/>
          </w:tcPr>
          <w:p>
            <w:pPr/>
          </w:p>
        </w:tc>
        <w:tc>
          <w:tcPr>
            <w:tcW w:w="793" w:type="dxa"/>
            <w:vMerge/>
            <w:tcBorders>
              <w:left w:val="single" w:sz="4" w:space="0" w:color="000000"/>
              <w:right w:val="single" w:sz="4" w:space="0" w:color="000000"/>
            </w:tcBorders>
            <w:shd w:val="clear" w:color="auto" w:fill="C7EDCC"/>
          </w:tcPr>
          <w:p>
            <w:pPr/>
          </w:p>
        </w:tc>
        <w:tc>
          <w:tcPr>
            <w:tcW w:w="81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公开挂牌</w:t>
            </w:r>
          </w:p>
        </w:tc>
        <w:tc>
          <w:tcPr>
            <w:tcW w:w="810" w:type="dxa"/>
            <w:vMerge/>
            <w:tcBorders>
              <w:left w:val="single" w:sz="9" w:space="0" w:color="C7EDCC"/>
              <w:right w:val="single" w:sz="4" w:space="0" w:color="000000"/>
            </w:tcBorders>
          </w:tcPr>
          <w:p>
            <w:pPr/>
          </w:p>
        </w:tc>
        <w:tc>
          <w:tcPr>
            <w:tcW w:w="808" w:type="dxa"/>
            <w:vMerge/>
            <w:tcBorders>
              <w:left w:val="single" w:sz="4" w:space="0" w:color="000000"/>
              <w:right w:val="single" w:sz="4" w:space="0" w:color="000000"/>
            </w:tcBorders>
          </w:tcPr>
          <w:p>
            <w:pPr/>
          </w:p>
        </w:tc>
        <w:tc>
          <w:tcPr>
            <w:tcW w:w="808" w:type="dxa"/>
            <w:vMerge/>
            <w:tcBorders>
              <w:left w:val="single" w:sz="4" w:space="0" w:color="000000"/>
              <w:right w:val="single" w:sz="9" w:space="0" w:color="C7EDCC"/>
            </w:tcBorders>
          </w:tcPr>
          <w:p>
            <w:pPr/>
          </w:p>
        </w:tc>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808" w:type="dxa"/>
            <w:vMerge/>
            <w:tcBorders>
              <w:left w:val="single" w:sz="9" w:space="0" w:color="C7EDCC"/>
              <w:right w:val="single" w:sz="4" w:space="0" w:color="000000"/>
            </w:tcBorders>
          </w:tcPr>
          <w:p>
            <w:pPr/>
          </w:p>
        </w:tc>
        <w:tc>
          <w:tcPr>
            <w:tcW w:w="808" w:type="dxa"/>
            <w:vMerge/>
            <w:tcBorders>
              <w:left w:val="single" w:sz="4" w:space="0" w:color="000000"/>
              <w:right w:val="single" w:sz="9" w:space="0" w:color="C7EDCC"/>
            </w:tcBorders>
          </w:tcPr>
          <w:p>
            <w:pPr/>
          </w:p>
        </w:tc>
        <w:tc>
          <w:tcPr>
            <w:tcW w:w="800" w:type="dxa"/>
            <w:vMerge/>
            <w:tcBorders>
              <w:left w:val="single" w:sz="4" w:space="0" w:color="000000"/>
              <w:right w:val="single" w:sz="4" w:space="0" w:color="000000"/>
            </w:tcBorders>
            <w:shd w:val="clear" w:color="auto" w:fill="C7EDCC"/>
          </w:tcPr>
          <w:p>
            <w:pPr/>
          </w:p>
        </w:tc>
      </w:tr>
      <w:tr>
        <w:trPr>
          <w:trHeight w:val="156" w:hRule="exact"/>
        </w:trPr>
        <w:tc>
          <w:tcPr>
            <w:tcW w:w="819" w:type="dxa"/>
            <w:vMerge/>
            <w:tcBorders>
              <w:left w:val="single" w:sz="4" w:space="0" w:color="000000"/>
              <w:right w:val="single" w:sz="4" w:space="0" w:color="000000"/>
            </w:tcBorders>
            <w:shd w:val="clear" w:color="auto" w:fill="C7EDCC"/>
          </w:tcPr>
          <w:p>
            <w:pPr/>
          </w:p>
        </w:tc>
        <w:tc>
          <w:tcPr>
            <w:tcW w:w="796" w:type="dxa"/>
            <w:vMerge/>
            <w:tcBorders>
              <w:left w:val="single" w:sz="4" w:space="0" w:color="000000"/>
              <w:bottom w:val="nil" w:sz="6" w:space="0" w:color="auto"/>
              <w:right w:val="single" w:sz="4" w:space="0" w:color="000000"/>
            </w:tcBorders>
            <w:shd w:val="clear" w:color="auto" w:fill="C7EDCC"/>
          </w:tcPr>
          <w:p>
            <w:pPr/>
          </w:p>
        </w:tc>
        <w:tc>
          <w:tcPr>
            <w:tcW w:w="819" w:type="dxa"/>
            <w:vMerge/>
            <w:tcBorders>
              <w:left w:val="single" w:sz="4" w:space="0" w:color="000000"/>
              <w:right w:val="single" w:sz="4" w:space="0" w:color="000000"/>
            </w:tcBorders>
            <w:shd w:val="clear" w:color="auto" w:fill="C7EDCC"/>
          </w:tcPr>
          <w:p>
            <w:pPr/>
          </w:p>
        </w:tc>
        <w:tc>
          <w:tcPr>
            <w:tcW w:w="793" w:type="dxa"/>
            <w:vMerge/>
            <w:tcBorders>
              <w:left w:val="single" w:sz="4" w:space="0" w:color="000000"/>
              <w:right w:val="single" w:sz="4" w:space="0" w:color="000000"/>
            </w:tcBorders>
            <w:shd w:val="clear" w:color="auto" w:fill="C7EDCC"/>
          </w:tcPr>
          <w:p>
            <w:pPr/>
          </w:p>
        </w:tc>
        <w:tc>
          <w:tcPr>
            <w:tcW w:w="818" w:type="dxa"/>
            <w:vMerge w:val="restart"/>
            <w:tcBorders>
              <w:top w:val="nil" w:sz="6" w:space="0" w:color="auto"/>
              <w:left w:val="single" w:sz="4" w:space="0" w:color="000000"/>
              <w:right w:val="single" w:sz="4" w:space="0" w:color="000000"/>
            </w:tcBorders>
            <w:shd w:val="clear" w:color="auto" w:fill="C7EDCC"/>
          </w:tcPr>
          <w:p>
            <w:pPr/>
          </w:p>
        </w:tc>
        <w:tc>
          <w:tcPr>
            <w:tcW w:w="810" w:type="dxa"/>
            <w:vMerge/>
            <w:tcBorders>
              <w:left w:val="single" w:sz="9" w:space="0" w:color="C7EDCC"/>
              <w:right w:val="single" w:sz="4" w:space="0" w:color="000000"/>
            </w:tcBorders>
          </w:tcPr>
          <w:p>
            <w:pPr/>
          </w:p>
        </w:tc>
        <w:tc>
          <w:tcPr>
            <w:tcW w:w="808" w:type="dxa"/>
            <w:vMerge/>
            <w:tcBorders>
              <w:left w:val="single" w:sz="4" w:space="0" w:color="000000"/>
              <w:right w:val="single" w:sz="4" w:space="0" w:color="000000"/>
            </w:tcBorders>
          </w:tcPr>
          <w:p>
            <w:pPr/>
          </w:p>
        </w:tc>
        <w:tc>
          <w:tcPr>
            <w:tcW w:w="808" w:type="dxa"/>
            <w:vMerge/>
            <w:tcBorders>
              <w:left w:val="single" w:sz="4" w:space="0" w:color="000000"/>
              <w:right w:val="single" w:sz="9" w:space="0" w:color="C7EDCC"/>
            </w:tcBorders>
          </w:tcPr>
          <w:p>
            <w:pPr/>
          </w:p>
        </w:tc>
        <w:tc>
          <w:tcPr>
            <w:tcW w:w="808" w:type="dxa"/>
            <w:vMerge w:val="restart"/>
            <w:tcBorders>
              <w:top w:val="nil" w:sz="6" w:space="0" w:color="auto"/>
              <w:left w:val="single" w:sz="4" w:space="0" w:color="000000"/>
              <w:right w:val="single" w:sz="4" w:space="0" w:color="000000"/>
            </w:tcBorders>
            <w:shd w:val="clear" w:color="auto" w:fill="C7EDCC"/>
          </w:tcPr>
          <w:p>
            <w:pPr/>
          </w:p>
        </w:tc>
        <w:tc>
          <w:tcPr>
            <w:tcW w:w="808" w:type="dxa"/>
            <w:vMerge/>
            <w:tcBorders>
              <w:left w:val="single" w:sz="9" w:space="0" w:color="C7EDCC"/>
              <w:right w:val="single" w:sz="4" w:space="0" w:color="000000"/>
            </w:tcBorders>
          </w:tcPr>
          <w:p>
            <w:pPr/>
          </w:p>
        </w:tc>
        <w:tc>
          <w:tcPr>
            <w:tcW w:w="808" w:type="dxa"/>
            <w:vMerge/>
            <w:tcBorders>
              <w:left w:val="single" w:sz="4" w:space="0" w:color="000000"/>
              <w:right w:val="single" w:sz="9" w:space="0" w:color="C7EDCC"/>
            </w:tcBorders>
          </w:tcPr>
          <w:p>
            <w:pPr/>
          </w:p>
        </w:tc>
        <w:tc>
          <w:tcPr>
            <w:tcW w:w="800" w:type="dxa"/>
            <w:vMerge/>
            <w:tcBorders>
              <w:left w:val="single" w:sz="4" w:space="0" w:color="000000"/>
              <w:bottom w:val="nil" w:sz="6" w:space="0" w:color="auto"/>
              <w:right w:val="single" w:sz="4" w:space="0" w:color="000000"/>
            </w:tcBorders>
            <w:shd w:val="clear" w:color="auto" w:fill="C7EDCC"/>
          </w:tcPr>
          <w:p>
            <w:pPr/>
          </w:p>
        </w:tc>
      </w:tr>
      <w:tr>
        <w:trPr>
          <w:trHeight w:val="312" w:hRule="exact"/>
        </w:trPr>
        <w:tc>
          <w:tcPr>
            <w:tcW w:w="819" w:type="dxa"/>
            <w:vMerge/>
            <w:tcBorders>
              <w:left w:val="single" w:sz="4" w:space="0" w:color="000000"/>
              <w:bottom w:val="nil" w:sz="6" w:space="0" w:color="auto"/>
              <w:right w:val="single" w:sz="4" w:space="0" w:color="000000"/>
            </w:tcBorders>
            <w:shd w:val="clear" w:color="auto" w:fill="C7EDCC"/>
          </w:tcPr>
          <w:p>
            <w:pPr/>
          </w:p>
        </w:tc>
        <w:tc>
          <w:tcPr>
            <w:tcW w:w="796" w:type="dxa"/>
            <w:vMerge w:val="restart"/>
            <w:tcBorders>
              <w:top w:val="nil" w:sz="6" w:space="0" w:color="auto"/>
              <w:left w:val="single" w:sz="4" w:space="0" w:color="000000"/>
              <w:right w:val="single" w:sz="4" w:space="0" w:color="000000"/>
            </w:tcBorders>
            <w:shd w:val="clear" w:color="auto" w:fill="C7EDCC"/>
          </w:tcPr>
          <w:p>
            <w:pPr/>
          </w:p>
        </w:tc>
        <w:tc>
          <w:tcPr>
            <w:tcW w:w="819" w:type="dxa"/>
            <w:vMerge/>
            <w:tcBorders>
              <w:left w:val="single" w:sz="4" w:space="0" w:color="000000"/>
              <w:bottom w:val="nil" w:sz="6" w:space="0" w:color="auto"/>
              <w:right w:val="single" w:sz="4" w:space="0" w:color="000000"/>
            </w:tcBorders>
            <w:shd w:val="clear" w:color="auto" w:fill="C7EDCC"/>
          </w:tcPr>
          <w:p>
            <w:pPr/>
          </w:p>
        </w:tc>
        <w:tc>
          <w:tcPr>
            <w:tcW w:w="793" w:type="dxa"/>
            <w:vMerge/>
            <w:tcBorders>
              <w:left w:val="single" w:sz="4" w:space="0" w:color="000000"/>
              <w:right w:val="single" w:sz="4" w:space="0" w:color="000000"/>
            </w:tcBorders>
            <w:shd w:val="clear" w:color="auto" w:fill="C7EDCC"/>
          </w:tcPr>
          <w:p>
            <w:pPr/>
          </w:p>
        </w:tc>
        <w:tc>
          <w:tcPr>
            <w:tcW w:w="818" w:type="dxa"/>
            <w:vMerge/>
            <w:tcBorders>
              <w:left w:val="single" w:sz="4" w:space="0" w:color="000000"/>
              <w:right w:val="single" w:sz="4" w:space="0" w:color="000000"/>
            </w:tcBorders>
            <w:shd w:val="clear" w:color="auto" w:fill="C7EDCC"/>
          </w:tcPr>
          <w:p>
            <w:pPr/>
          </w:p>
        </w:tc>
        <w:tc>
          <w:tcPr>
            <w:tcW w:w="810" w:type="dxa"/>
            <w:vMerge/>
            <w:tcBorders>
              <w:left w:val="single" w:sz="9" w:space="0" w:color="C7EDCC"/>
              <w:right w:val="single" w:sz="4" w:space="0" w:color="000000"/>
            </w:tcBorders>
          </w:tcPr>
          <w:p>
            <w:pPr/>
          </w:p>
        </w:tc>
        <w:tc>
          <w:tcPr>
            <w:tcW w:w="808" w:type="dxa"/>
            <w:vMerge/>
            <w:tcBorders>
              <w:left w:val="single" w:sz="4" w:space="0" w:color="000000"/>
              <w:right w:val="single" w:sz="4" w:space="0" w:color="000000"/>
            </w:tcBorders>
          </w:tcPr>
          <w:p>
            <w:pPr/>
          </w:p>
        </w:tc>
        <w:tc>
          <w:tcPr>
            <w:tcW w:w="808" w:type="dxa"/>
            <w:vMerge/>
            <w:tcBorders>
              <w:left w:val="single" w:sz="4" w:space="0" w:color="000000"/>
              <w:right w:val="single" w:sz="9" w:space="0" w:color="C7EDCC"/>
            </w:tcBorders>
          </w:tcPr>
          <w:p>
            <w:pPr/>
          </w:p>
        </w:tc>
        <w:tc>
          <w:tcPr>
            <w:tcW w:w="808" w:type="dxa"/>
            <w:vMerge/>
            <w:tcBorders>
              <w:left w:val="single" w:sz="4" w:space="0" w:color="000000"/>
              <w:right w:val="single" w:sz="4" w:space="0" w:color="000000"/>
            </w:tcBorders>
            <w:shd w:val="clear" w:color="auto" w:fill="C7EDCC"/>
          </w:tcPr>
          <w:p>
            <w:pPr/>
          </w:p>
        </w:tc>
        <w:tc>
          <w:tcPr>
            <w:tcW w:w="808" w:type="dxa"/>
            <w:vMerge/>
            <w:tcBorders>
              <w:left w:val="single" w:sz="9" w:space="0" w:color="C7EDCC"/>
              <w:right w:val="single" w:sz="4" w:space="0" w:color="000000"/>
            </w:tcBorders>
          </w:tcPr>
          <w:p>
            <w:pPr/>
          </w:p>
        </w:tc>
        <w:tc>
          <w:tcPr>
            <w:tcW w:w="808" w:type="dxa"/>
            <w:vMerge/>
            <w:tcBorders>
              <w:left w:val="single" w:sz="4" w:space="0" w:color="000000"/>
              <w:right w:val="single" w:sz="9" w:space="0" w:color="C7EDCC"/>
            </w:tcBorders>
          </w:tcPr>
          <w:p>
            <w:pPr/>
          </w:p>
        </w:tc>
        <w:tc>
          <w:tcPr>
            <w:tcW w:w="800" w:type="dxa"/>
            <w:vMerge w:val="restart"/>
            <w:tcBorders>
              <w:top w:val="nil" w:sz="6" w:space="0" w:color="auto"/>
              <w:left w:val="single" w:sz="4" w:space="0" w:color="000000"/>
              <w:right w:val="single" w:sz="4" w:space="0" w:color="000000"/>
            </w:tcBorders>
            <w:shd w:val="clear" w:color="auto" w:fill="C7EDCC"/>
          </w:tcPr>
          <w:p>
            <w:pPr/>
          </w:p>
        </w:tc>
      </w:tr>
      <w:tr>
        <w:trPr>
          <w:trHeight w:val="317" w:hRule="exact"/>
        </w:trPr>
        <w:tc>
          <w:tcPr>
            <w:tcW w:w="819" w:type="dxa"/>
            <w:tcBorders>
              <w:top w:val="nil" w:sz="6" w:space="0" w:color="auto"/>
              <w:left w:val="single" w:sz="4" w:space="0" w:color="000000"/>
              <w:bottom w:val="single" w:sz="4" w:space="0" w:color="000000"/>
              <w:right w:val="single" w:sz="4" w:space="0" w:color="000000"/>
            </w:tcBorders>
            <w:shd w:val="clear" w:color="auto" w:fill="C7EDCC"/>
          </w:tcPr>
          <w:p>
            <w:pPr/>
          </w:p>
        </w:tc>
        <w:tc>
          <w:tcPr>
            <w:tcW w:w="796" w:type="dxa"/>
            <w:vMerge/>
            <w:tcBorders>
              <w:left w:val="single" w:sz="4" w:space="0" w:color="000000"/>
              <w:bottom w:val="single" w:sz="4" w:space="0" w:color="000000"/>
              <w:right w:val="single" w:sz="4" w:space="0" w:color="000000"/>
            </w:tcBorders>
            <w:shd w:val="clear" w:color="auto" w:fill="C7EDCC"/>
          </w:tcPr>
          <w:p>
            <w:pPr/>
          </w:p>
        </w:tc>
        <w:tc>
          <w:tcPr>
            <w:tcW w:w="819" w:type="dxa"/>
            <w:tcBorders>
              <w:top w:val="nil" w:sz="6" w:space="0" w:color="auto"/>
              <w:left w:val="single" w:sz="4" w:space="0" w:color="000000"/>
              <w:bottom w:val="single" w:sz="4" w:space="0" w:color="000000"/>
              <w:right w:val="single" w:sz="4" w:space="0" w:color="000000"/>
            </w:tcBorders>
            <w:shd w:val="clear" w:color="auto" w:fill="C7EDCC"/>
          </w:tcPr>
          <w:p>
            <w:pPr/>
          </w:p>
        </w:tc>
        <w:tc>
          <w:tcPr>
            <w:tcW w:w="793" w:type="dxa"/>
            <w:vMerge/>
            <w:tcBorders>
              <w:left w:val="single" w:sz="4" w:space="0" w:color="000000"/>
              <w:bottom w:val="single" w:sz="4" w:space="0" w:color="000000"/>
              <w:right w:val="single" w:sz="4" w:space="0" w:color="000000"/>
            </w:tcBorders>
            <w:shd w:val="clear" w:color="auto" w:fill="C7EDCC"/>
          </w:tcPr>
          <w:p>
            <w:pPr/>
          </w:p>
        </w:tc>
        <w:tc>
          <w:tcPr>
            <w:tcW w:w="818" w:type="dxa"/>
            <w:vMerge/>
            <w:tcBorders>
              <w:left w:val="single" w:sz="4" w:space="0" w:color="000000"/>
              <w:bottom w:val="single" w:sz="4" w:space="0" w:color="000000"/>
              <w:right w:val="single" w:sz="4" w:space="0" w:color="000000"/>
            </w:tcBorders>
            <w:shd w:val="clear" w:color="auto" w:fill="C7EDCC"/>
          </w:tcPr>
          <w:p>
            <w:pPr/>
          </w:p>
        </w:tc>
        <w:tc>
          <w:tcPr>
            <w:tcW w:w="810" w:type="dxa"/>
            <w:vMerge/>
            <w:tcBorders>
              <w:left w:val="single" w:sz="9" w:space="0" w:color="C7EDCC"/>
              <w:bottom w:val="single" w:sz="4" w:space="0" w:color="000000"/>
              <w:right w:val="single" w:sz="4" w:space="0" w:color="000000"/>
            </w:tcBorders>
          </w:tcPr>
          <w:p>
            <w:pPr/>
          </w:p>
        </w:tc>
        <w:tc>
          <w:tcPr>
            <w:tcW w:w="808" w:type="dxa"/>
            <w:vMerge/>
            <w:tcBorders>
              <w:left w:val="single" w:sz="4" w:space="0" w:color="000000"/>
              <w:bottom w:val="single" w:sz="4" w:space="0" w:color="000000"/>
              <w:right w:val="single" w:sz="4" w:space="0" w:color="000000"/>
            </w:tcBorders>
          </w:tcPr>
          <w:p>
            <w:pPr/>
          </w:p>
        </w:tc>
        <w:tc>
          <w:tcPr>
            <w:tcW w:w="808" w:type="dxa"/>
            <w:vMerge/>
            <w:tcBorders>
              <w:left w:val="single" w:sz="4" w:space="0" w:color="000000"/>
              <w:bottom w:val="single" w:sz="4" w:space="0" w:color="000000"/>
              <w:right w:val="single" w:sz="9" w:space="0" w:color="C7EDCC"/>
            </w:tcBorders>
          </w:tcPr>
          <w:p>
            <w:pPr/>
          </w:p>
        </w:tc>
        <w:tc>
          <w:tcPr>
            <w:tcW w:w="808" w:type="dxa"/>
            <w:vMerge/>
            <w:tcBorders>
              <w:left w:val="single" w:sz="4" w:space="0" w:color="000000"/>
              <w:bottom w:val="single" w:sz="4" w:space="0" w:color="000000"/>
              <w:right w:val="single" w:sz="4" w:space="0" w:color="000000"/>
            </w:tcBorders>
            <w:shd w:val="clear" w:color="auto" w:fill="C7EDCC"/>
          </w:tcPr>
          <w:p>
            <w:pPr/>
          </w:p>
        </w:tc>
        <w:tc>
          <w:tcPr>
            <w:tcW w:w="808" w:type="dxa"/>
            <w:vMerge/>
            <w:tcBorders>
              <w:left w:val="single" w:sz="9" w:space="0" w:color="C7EDCC"/>
              <w:bottom w:val="single" w:sz="4" w:space="0" w:color="000000"/>
              <w:right w:val="single" w:sz="4" w:space="0" w:color="000000"/>
            </w:tcBorders>
          </w:tcPr>
          <w:p>
            <w:pPr/>
          </w:p>
        </w:tc>
        <w:tc>
          <w:tcPr>
            <w:tcW w:w="808" w:type="dxa"/>
            <w:vMerge/>
            <w:tcBorders>
              <w:left w:val="single" w:sz="4" w:space="0" w:color="000000"/>
              <w:bottom w:val="single" w:sz="4" w:space="0" w:color="000000"/>
              <w:right w:val="single" w:sz="9" w:space="0" w:color="C7EDCC"/>
            </w:tcBorders>
          </w:tcPr>
          <w:p>
            <w:pPr/>
          </w:p>
        </w:tc>
        <w:tc>
          <w:tcPr>
            <w:tcW w:w="800" w:type="dxa"/>
            <w:vMerge/>
            <w:tcBorders>
              <w:left w:val="single" w:sz="4" w:space="0" w:color="000000"/>
              <w:bottom w:val="single" w:sz="4" w:space="0" w:color="000000"/>
              <w:right w:val="single" w:sz="4" w:space="0" w:color="000000"/>
            </w:tcBorders>
            <w:shd w:val="clear" w:color="auto" w:fill="C7EDCC"/>
          </w:tcPr>
          <w:p>
            <w:pPr/>
          </w:p>
        </w:tc>
      </w:tr>
      <w:tr>
        <w:trPr>
          <w:trHeight w:val="161" w:hRule="exact"/>
        </w:trPr>
        <w:tc>
          <w:tcPr>
            <w:tcW w:w="3227" w:type="dxa"/>
            <w:gridSpan w:val="4"/>
            <w:vMerge w:val="restart"/>
            <w:tcBorders>
              <w:top w:val="single" w:sz="4" w:space="0" w:color="000000"/>
              <w:left w:val="single" w:sz="4" w:space="0" w:color="000000"/>
              <w:right w:val="single" w:sz="9" w:space="0" w:color="C7EDCC"/>
            </w:tcBorders>
            <w:shd w:val="clear" w:color="auto" w:fill="D3D3D3"/>
          </w:tcPr>
          <w:p>
            <w:pPr>
              <w:pStyle w:val="TableParagraph"/>
              <w:spacing w:line="316"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转让价格与账面价值或评估价值差异较 大的原因（如有）</w:t>
            </w:r>
          </w:p>
        </w:tc>
        <w:tc>
          <w:tcPr>
            <w:tcW w:w="6467" w:type="dxa"/>
            <w:gridSpan w:val="8"/>
            <w:tcBorders>
              <w:top w:val="single" w:sz="4" w:space="0" w:color="000000"/>
              <w:left w:val="single" w:sz="10" w:space="0" w:color="D3D3D3"/>
              <w:bottom w:val="nil" w:sz="6" w:space="0" w:color="auto"/>
              <w:right w:val="single" w:sz="4" w:space="0" w:color="000000"/>
            </w:tcBorders>
            <w:shd w:val="clear" w:color="auto" w:fill="C7EDCC"/>
          </w:tcPr>
          <w:p>
            <w:pPr/>
          </w:p>
        </w:tc>
      </w:tr>
      <w:tr>
        <w:trPr>
          <w:trHeight w:val="392" w:hRule="exact"/>
        </w:trPr>
        <w:tc>
          <w:tcPr>
            <w:tcW w:w="3227" w:type="dxa"/>
            <w:gridSpan w:val="4"/>
            <w:vMerge/>
            <w:tcBorders>
              <w:left w:val="single" w:sz="4" w:space="0" w:color="000000"/>
              <w:right w:val="single" w:sz="9" w:space="0" w:color="C7EDCC"/>
            </w:tcBorders>
            <w:shd w:val="clear" w:color="auto" w:fill="D3D3D3"/>
          </w:tcPr>
          <w:p>
            <w:pPr/>
          </w:p>
        </w:tc>
        <w:tc>
          <w:tcPr>
            <w:tcW w:w="6467" w:type="dxa"/>
            <w:gridSpan w:val="8"/>
            <w:tcBorders>
              <w:top w:val="nil" w:sz="6" w:space="0" w:color="auto"/>
              <w:left w:val="single" w:sz="10" w:space="0" w:color="D3D3D3"/>
              <w:bottom w:val="nil" w:sz="6" w:space="0" w:color="auto"/>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3227" w:type="dxa"/>
            <w:gridSpan w:val="4"/>
            <w:vMerge/>
            <w:tcBorders>
              <w:left w:val="single" w:sz="4" w:space="0" w:color="000000"/>
              <w:bottom w:val="single" w:sz="4" w:space="0" w:color="000000"/>
              <w:right w:val="single" w:sz="9" w:space="0" w:color="C7EDCC"/>
            </w:tcBorders>
            <w:shd w:val="clear" w:color="auto" w:fill="D3D3D3"/>
          </w:tcPr>
          <w:p>
            <w:pPr/>
          </w:p>
        </w:tc>
        <w:tc>
          <w:tcPr>
            <w:tcW w:w="6467" w:type="dxa"/>
            <w:gridSpan w:val="8"/>
            <w:tcBorders>
              <w:top w:val="nil" w:sz="6" w:space="0" w:color="auto"/>
              <w:left w:val="single" w:sz="10" w:space="0" w:color="D3D3D3"/>
              <w:bottom w:val="single" w:sz="4" w:space="0" w:color="000000"/>
              <w:right w:val="single" w:sz="4" w:space="0" w:color="000000"/>
            </w:tcBorders>
            <w:shd w:val="clear" w:color="auto" w:fill="C7EDCC"/>
          </w:tcPr>
          <w:p>
            <w:pPr/>
          </w:p>
        </w:tc>
      </w:tr>
      <w:tr>
        <w:trPr>
          <w:trHeight w:val="402" w:hRule="exact"/>
        </w:trPr>
        <w:tc>
          <w:tcPr>
            <w:tcW w:w="3227" w:type="dxa"/>
            <w:gridSpan w:val="4"/>
            <w:tcBorders>
              <w:top w:val="single" w:sz="4" w:space="0" w:color="000000"/>
              <w:left w:val="single" w:sz="4" w:space="0" w:color="000000"/>
              <w:bottom w:val="single" w:sz="4" w:space="0" w:color="000000"/>
              <w:right w:val="single" w:sz="13" w:space="0" w:color="C7EDCC"/>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对公司经营成果与财务状况的影响情况</w:t>
            </w:r>
          </w:p>
        </w:tc>
        <w:tc>
          <w:tcPr>
            <w:tcW w:w="6467" w:type="dxa"/>
            <w:gridSpan w:val="8"/>
            <w:tcBorders>
              <w:top w:val="single" w:sz="4" w:space="0" w:color="000000"/>
              <w:left w:val="single" w:sz="10" w:space="0" w:color="D3D3D3"/>
              <w:bottom w:val="single" w:sz="4" w:space="0" w:color="000000"/>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对公司交易损益的情况见上表</w:t>
            </w:r>
          </w:p>
        </w:tc>
      </w:tr>
      <w:tr>
        <w:trPr>
          <w:trHeight w:val="161" w:hRule="exact"/>
        </w:trPr>
        <w:tc>
          <w:tcPr>
            <w:tcW w:w="3227" w:type="dxa"/>
            <w:gridSpan w:val="4"/>
            <w:vMerge w:val="restart"/>
            <w:tcBorders>
              <w:top w:val="single" w:sz="4" w:space="0" w:color="000000"/>
              <w:left w:val="single" w:sz="4" w:space="0" w:color="000000"/>
              <w:right w:val="single" w:sz="9" w:space="0" w:color="C7EDCC"/>
            </w:tcBorders>
            <w:shd w:val="clear" w:color="auto" w:fill="D3D3D3"/>
          </w:tcPr>
          <w:p>
            <w:pPr>
              <w:pStyle w:val="TableParagraph"/>
              <w:spacing w:line="316" w:lineRule="auto" w:before="51"/>
              <w:ind w:left="22" w:right="3"/>
              <w:jc w:val="left"/>
              <w:rPr>
                <w:rFonts w:ascii="宋体" w:hAnsi="宋体" w:cs="宋体" w:eastAsia="宋体" w:hint="default"/>
                <w:sz w:val="18"/>
                <w:szCs w:val="18"/>
              </w:rPr>
            </w:pPr>
            <w:r>
              <w:rPr>
                <w:rFonts w:ascii="宋体" w:hAnsi="宋体" w:cs="宋体" w:eastAsia="宋体" w:hint="default"/>
                <w:spacing w:val="-4"/>
                <w:sz w:val="18"/>
                <w:szCs w:val="18"/>
              </w:rPr>
              <w:t>如相关交易涉及业绩约定的，报告期内的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业绩实现情况</w:t>
            </w:r>
          </w:p>
        </w:tc>
        <w:tc>
          <w:tcPr>
            <w:tcW w:w="6467" w:type="dxa"/>
            <w:gridSpan w:val="8"/>
            <w:tcBorders>
              <w:top w:val="single" w:sz="4" w:space="0" w:color="000000"/>
              <w:left w:val="single" w:sz="10" w:space="0" w:color="D3D3D3"/>
              <w:bottom w:val="nil" w:sz="6" w:space="0" w:color="auto"/>
              <w:right w:val="single" w:sz="4" w:space="0" w:color="000000"/>
            </w:tcBorders>
            <w:shd w:val="clear" w:color="auto" w:fill="C7EDCC"/>
          </w:tcPr>
          <w:p>
            <w:pPr/>
          </w:p>
        </w:tc>
      </w:tr>
      <w:tr>
        <w:trPr>
          <w:trHeight w:val="392" w:hRule="exact"/>
        </w:trPr>
        <w:tc>
          <w:tcPr>
            <w:tcW w:w="3227" w:type="dxa"/>
            <w:gridSpan w:val="4"/>
            <w:vMerge/>
            <w:tcBorders>
              <w:left w:val="single" w:sz="4" w:space="0" w:color="000000"/>
              <w:right w:val="single" w:sz="9" w:space="0" w:color="C7EDCC"/>
            </w:tcBorders>
            <w:shd w:val="clear" w:color="auto" w:fill="D3D3D3"/>
          </w:tcPr>
          <w:p>
            <w:pPr/>
          </w:p>
        </w:tc>
        <w:tc>
          <w:tcPr>
            <w:tcW w:w="6467" w:type="dxa"/>
            <w:gridSpan w:val="8"/>
            <w:tcBorders>
              <w:top w:val="nil" w:sz="6" w:space="0" w:color="auto"/>
              <w:left w:val="single" w:sz="10" w:space="0" w:color="D3D3D3"/>
              <w:bottom w:val="nil" w:sz="6" w:space="0" w:color="auto"/>
              <w:right w:val="single" w:sz="4" w:space="0" w:color="000000"/>
            </w:tcBorders>
            <w:shd w:val="clear" w:color="auto" w:fill="C7EDCC"/>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3227" w:type="dxa"/>
            <w:gridSpan w:val="4"/>
            <w:vMerge/>
            <w:tcBorders>
              <w:left w:val="single" w:sz="4" w:space="0" w:color="000000"/>
              <w:bottom w:val="single" w:sz="4" w:space="0" w:color="000000"/>
              <w:right w:val="single" w:sz="9" w:space="0" w:color="C7EDCC"/>
            </w:tcBorders>
            <w:shd w:val="clear" w:color="auto" w:fill="D3D3D3"/>
          </w:tcPr>
          <w:p>
            <w:pPr/>
          </w:p>
        </w:tc>
        <w:tc>
          <w:tcPr>
            <w:tcW w:w="6467" w:type="dxa"/>
            <w:gridSpan w:val="8"/>
            <w:tcBorders>
              <w:top w:val="nil" w:sz="6" w:space="0" w:color="auto"/>
              <w:left w:val="single" w:sz="10" w:space="0" w:color="D3D3D3"/>
              <w:bottom w:val="single" w:sz="4" w:space="0" w:color="000000"/>
              <w:right w:val="single" w:sz="4" w:space="0" w:color="000000"/>
            </w:tcBorders>
            <w:shd w:val="clear" w:color="auto" w:fill="C7EDCC"/>
          </w:tcPr>
          <w:p>
            <w:pPr/>
          </w:p>
        </w:tc>
      </w:tr>
    </w:tbl>
    <w:p>
      <w:pPr>
        <w:spacing w:line="240" w:lineRule="auto" w:before="3"/>
        <w:rPr>
          <w:rFonts w:ascii="宋体" w:hAnsi="宋体" w:cs="宋体" w:eastAsia="宋体" w:hint="default"/>
          <w:sz w:val="19"/>
          <w:szCs w:val="19"/>
        </w:rPr>
      </w:pPr>
    </w:p>
    <w:p>
      <w:pPr>
        <w:spacing w:before="35"/>
        <w:ind w:left="154" w:right="69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、共同对外投资的关联交易</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69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before="44"/>
        <w:ind w:left="0" w:right="101" w:firstLine="0"/>
        <w:jc w:val="right"/>
        <w:rPr>
          <w:rFonts w:ascii="宋体" w:hAnsi="宋体" w:cs="宋体" w:eastAsia="宋体" w:hint="default"/>
          <w:sz w:val="18"/>
          <w:szCs w:val="18"/>
        </w:rPr>
      </w:pPr>
      <w:r>
        <w:rPr/>
        <w:pict>
          <v:shape style="position:absolute;margin-left:56.459999pt;margin-top:-47.677959pt;width:484.05pt;height:268.1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86"/>
                    <w:gridCol w:w="2298"/>
                    <w:gridCol w:w="1384"/>
                    <w:gridCol w:w="559"/>
                    <w:gridCol w:w="1147"/>
                    <w:gridCol w:w="1026"/>
                    <w:gridCol w:w="955"/>
                    <w:gridCol w:w="811"/>
                  </w:tblGrid>
                  <w:tr>
                    <w:trPr>
                      <w:trHeight w:val="1650" w:hRule="exact"/>
                    </w:trPr>
                    <w:tc>
                      <w:tcPr>
                        <w:tcW w:w="14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2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关联关系</w:t>
                        </w:r>
                      </w:p>
                    </w:tc>
                    <w:tc>
                      <w:tcPr>
                        <w:tcW w:w="13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08" w:right="43" w:hanging="540"/>
                          <w:jc w:val="left"/>
                          <w:rPr>
                            <w:rFonts w:ascii="宋体" w:hAnsi="宋体" w:cs="宋体" w:eastAsia="宋体" w:hint="default"/>
                            <w:sz w:val="18"/>
                            <w:szCs w:val="18"/>
                          </w:rPr>
                        </w:pPr>
                        <w:r>
                          <w:rPr>
                            <w:rFonts w:ascii="宋体" w:hAnsi="宋体" w:cs="宋体" w:eastAsia="宋体" w:hint="default"/>
                            <w:sz w:val="18"/>
                            <w:szCs w:val="18"/>
                          </w:rPr>
                          <w:t>被投资企业的名 称</w:t>
                        </w:r>
                      </w:p>
                    </w:tc>
                    <w:tc>
                      <w:tcPr>
                        <w:tcW w:w="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05" w:right="83"/>
                          <w:jc w:val="both"/>
                          <w:rPr>
                            <w:rFonts w:ascii="宋体" w:hAnsi="宋体" w:cs="宋体" w:eastAsia="宋体" w:hint="default"/>
                            <w:sz w:val="18"/>
                            <w:szCs w:val="18"/>
                          </w:rPr>
                        </w:pPr>
                        <w:r>
                          <w:rPr>
                            <w:rFonts w:ascii="宋体" w:hAnsi="宋体" w:cs="宋体" w:eastAsia="宋体" w:hint="default"/>
                            <w:sz w:val="18"/>
                            <w:szCs w:val="18"/>
                          </w:rPr>
                          <w:t>被投 资企 业的 主营 业务</w:t>
                        </w:r>
                      </w:p>
                    </w:tc>
                    <w:tc>
                      <w:tcPr>
                        <w:tcW w:w="11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23" w:right="113"/>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47" w:right="56" w:hanging="90"/>
                          <w:jc w:val="left"/>
                          <w:rPr>
                            <w:rFonts w:ascii="宋体" w:hAnsi="宋体" w:cs="宋体" w:eastAsia="宋体" w:hint="default"/>
                            <w:sz w:val="18"/>
                            <w:szCs w:val="18"/>
                          </w:rPr>
                        </w:pPr>
                        <w:r>
                          <w:rPr>
                            <w:rFonts w:ascii="宋体" w:hAnsi="宋体" w:cs="宋体" w:eastAsia="宋体" w:hint="default"/>
                            <w:sz w:val="18"/>
                            <w:szCs w:val="18"/>
                          </w:rPr>
                          <w:t>被投资企业 的总资产</w:t>
                        </w:r>
                      </w:p>
                      <w:p>
                        <w:pPr>
                          <w:pStyle w:val="TableParagraph"/>
                          <w:spacing w:line="240" w:lineRule="auto" w:before="20"/>
                          <w:ind w:left="14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19" w:firstLine="88"/>
                          <w:jc w:val="both"/>
                          <w:rPr>
                            <w:rFonts w:ascii="宋体" w:hAnsi="宋体" w:cs="宋体" w:eastAsia="宋体" w:hint="default"/>
                            <w:sz w:val="18"/>
                            <w:szCs w:val="18"/>
                          </w:rPr>
                        </w:pPr>
                        <w:r>
                          <w:rPr>
                            <w:rFonts w:ascii="宋体" w:hAnsi="宋体" w:cs="宋体" w:eastAsia="宋体" w:hint="default"/>
                            <w:sz w:val="18"/>
                            <w:szCs w:val="18"/>
                          </w:rPr>
                          <w:t>被投资企 业的净资 产（万元）</w:t>
                        </w:r>
                      </w:p>
                    </w:tc>
                    <w:tc>
                      <w:tcPr>
                        <w:tcW w:w="8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41" w:firstLine="16"/>
                          <w:jc w:val="both"/>
                          <w:rPr>
                            <w:rFonts w:ascii="宋体" w:hAnsi="宋体" w:cs="宋体" w:eastAsia="宋体" w:hint="default"/>
                            <w:sz w:val="18"/>
                            <w:szCs w:val="18"/>
                          </w:rPr>
                        </w:pPr>
                        <w:r>
                          <w:rPr>
                            <w:rFonts w:ascii="宋体" w:hAnsi="宋体" w:cs="宋体" w:eastAsia="宋体" w:hint="default"/>
                            <w:sz w:val="18"/>
                            <w:szCs w:val="18"/>
                          </w:rPr>
                          <w:t>被投资企 业的净利 </w:t>
                        </w:r>
                        <w:r>
                          <w:rPr>
                            <w:rFonts w:ascii="宋体" w:hAnsi="宋体" w:cs="宋体" w:eastAsia="宋体" w:hint="default"/>
                            <w:spacing w:val="-14"/>
                            <w:sz w:val="18"/>
                            <w:szCs w:val="18"/>
                          </w:rPr>
                          <w:t>润（万元</w:t>
                        </w:r>
                      </w:p>
                    </w:tc>
                  </w:tr>
                  <w:tr>
                    <w:trPr>
                      <w:trHeight w:val="162" w:hRule="exact"/>
                    </w:trPr>
                    <w:tc>
                      <w:tcPr>
                        <w:tcW w:w="1486" w:type="dxa"/>
                        <w:vMerge w:val="restart"/>
                        <w:tcBorders>
                          <w:top w:val="single" w:sz="4" w:space="0" w:color="000000"/>
                          <w:left w:val="single" w:sz="4" w:space="0" w:color="000000"/>
                          <w:right w:val="single" w:sz="4" w:space="0" w:color="000000"/>
                        </w:tcBorders>
                        <w:shd w:val="clear" w:color="auto" w:fill="C7EDCC"/>
                      </w:tcPr>
                      <w:p>
                        <w:pPr/>
                      </w:p>
                    </w:tc>
                    <w:tc>
                      <w:tcPr>
                        <w:tcW w:w="2298" w:type="dxa"/>
                        <w:tcBorders>
                          <w:top w:val="single" w:sz="4" w:space="0" w:color="000000"/>
                          <w:left w:val="single" w:sz="4" w:space="0" w:color="000000"/>
                          <w:bottom w:val="nil" w:sz="6" w:space="0" w:color="auto"/>
                          <w:right w:val="single" w:sz="4" w:space="0" w:color="000000"/>
                        </w:tcBorders>
                        <w:shd w:val="clear" w:color="auto" w:fill="C7EDCC"/>
                      </w:tcPr>
                      <w:p>
                        <w:pPr/>
                      </w:p>
                    </w:tc>
                    <w:tc>
                      <w:tcPr>
                        <w:tcW w:w="1384"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52"/>
                          <w:ind w:left="34" w:right="77"/>
                          <w:jc w:val="left"/>
                          <w:rPr>
                            <w:rFonts w:ascii="宋体" w:hAnsi="宋体" w:cs="宋体" w:eastAsia="宋体" w:hint="default"/>
                            <w:sz w:val="18"/>
                            <w:szCs w:val="18"/>
                          </w:rPr>
                        </w:pPr>
                        <w:r>
                          <w:rPr>
                            <w:rFonts w:ascii="宋体" w:hAnsi="宋体" w:cs="宋体" w:eastAsia="宋体" w:hint="default"/>
                            <w:sz w:val="18"/>
                            <w:szCs w:val="18"/>
                          </w:rPr>
                          <w:t>浙江饭美科技有 限公司（原暂定 名：浙江食景网 络科技有限公 司）</w:t>
                        </w:r>
                      </w:p>
                    </w:tc>
                    <w:tc>
                      <w:tcPr>
                        <w:tcW w:w="559" w:type="dxa"/>
                        <w:tcBorders>
                          <w:top w:val="single" w:sz="4" w:space="0" w:color="000000"/>
                          <w:left w:val="single" w:sz="4" w:space="0" w:color="000000"/>
                          <w:bottom w:val="nil" w:sz="6" w:space="0" w:color="auto"/>
                          <w:right w:val="single" w:sz="4" w:space="0" w:color="000000"/>
                        </w:tcBorders>
                        <w:shd w:val="clear" w:color="auto" w:fill="C7EDCC"/>
                      </w:tcPr>
                      <w:p>
                        <w:pPr/>
                      </w:p>
                    </w:tc>
                    <w:tc>
                      <w:tcPr>
                        <w:tcW w:w="1147" w:type="dxa"/>
                        <w:vMerge w:val="restart"/>
                        <w:tcBorders>
                          <w:top w:val="single" w:sz="4" w:space="0" w:color="000000"/>
                          <w:left w:val="single" w:sz="4" w:space="0" w:color="000000"/>
                          <w:right w:val="single" w:sz="4" w:space="0" w:color="000000"/>
                        </w:tcBorders>
                        <w:shd w:val="clear" w:color="auto" w:fill="C7EDCC"/>
                      </w:tcPr>
                      <w:p>
                        <w:pPr/>
                      </w:p>
                    </w:tc>
                    <w:tc>
                      <w:tcPr>
                        <w:tcW w:w="1026" w:type="dxa"/>
                        <w:vMerge w:val="restart"/>
                        <w:tcBorders>
                          <w:top w:val="single" w:sz="4" w:space="0" w:color="000000"/>
                          <w:left w:val="single" w:sz="9" w:space="0" w:color="C7EDCC"/>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1486" w:type="dxa"/>
                        <w:vMerge/>
                        <w:tcBorders>
                          <w:left w:val="single" w:sz="4" w:space="0" w:color="000000"/>
                          <w:bottom w:val="nil" w:sz="6" w:space="0" w:color="auto"/>
                          <w:right w:val="single" w:sz="4" w:space="0" w:color="000000"/>
                        </w:tcBorders>
                        <w:shd w:val="clear" w:color="auto" w:fill="C7EDCC"/>
                      </w:tcPr>
                      <w:p>
                        <w:pPr/>
                      </w:p>
                    </w:tc>
                    <w:tc>
                      <w:tcPr>
                        <w:tcW w:w="2298" w:type="dxa"/>
                        <w:vMerge w:val="restart"/>
                        <w:tcBorders>
                          <w:top w:val="nil" w:sz="6" w:space="0" w:color="auto"/>
                          <w:left w:val="single" w:sz="4" w:space="0" w:color="000000"/>
                          <w:right w:val="single" w:sz="4" w:space="0" w:color="000000"/>
                        </w:tcBorders>
                        <w:shd w:val="clear" w:color="auto" w:fill="C7EDCC"/>
                      </w:tcPr>
                      <w:p>
                        <w:pPr>
                          <w:pStyle w:val="TableParagraph"/>
                          <w:spacing w:line="316" w:lineRule="auto" w:before="51"/>
                          <w:ind w:left="11" w:right="71"/>
                          <w:jc w:val="both"/>
                          <w:rPr>
                            <w:rFonts w:ascii="Times New Roman" w:hAnsi="Times New Roman" w:cs="Times New Roman" w:eastAsia="Times New Roman" w:hint="default"/>
                            <w:sz w:val="18"/>
                            <w:szCs w:val="18"/>
                          </w:rPr>
                        </w:pPr>
                        <w:r>
                          <w:rPr>
                            <w:rFonts w:ascii="宋体" w:hAnsi="宋体" w:cs="宋体" w:eastAsia="宋体" w:hint="default"/>
                            <w:sz w:val="18"/>
                            <w:szCs w:val="18"/>
                          </w:rPr>
                          <w:t>法定代表人朱建原为公司控 股股东及其一致行动人都市 快报社的总编辑，已于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p>
                      <w:p>
                        <w:pPr>
                          <w:pStyle w:val="TableParagraph"/>
                          <w:spacing w:line="240" w:lineRule="auto"/>
                          <w:ind w:left="11"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月离任</w:t>
                        </w:r>
                      </w:p>
                    </w:tc>
                    <w:tc>
                      <w:tcPr>
                        <w:tcW w:w="1384" w:type="dxa"/>
                        <w:vMerge/>
                        <w:tcBorders>
                          <w:left w:val="single" w:sz="4" w:space="0" w:color="000000"/>
                          <w:right w:val="single" w:sz="4" w:space="0" w:color="000000"/>
                        </w:tcBorders>
                        <w:shd w:val="clear" w:color="auto" w:fill="C7EDCC"/>
                      </w:tcPr>
                      <w:p>
                        <w:pPr/>
                      </w:p>
                    </w:tc>
                    <w:tc>
                      <w:tcPr>
                        <w:tcW w:w="559" w:type="dxa"/>
                        <w:vMerge w:val="restart"/>
                        <w:tcBorders>
                          <w:top w:val="nil" w:sz="6" w:space="0" w:color="auto"/>
                          <w:left w:val="single" w:sz="4" w:space="0" w:color="000000"/>
                          <w:right w:val="single" w:sz="4" w:space="0" w:color="000000"/>
                        </w:tcBorders>
                        <w:shd w:val="clear" w:color="auto" w:fill="C7EDCC"/>
                      </w:tcPr>
                      <w:p>
                        <w:pPr>
                          <w:pStyle w:val="TableParagraph"/>
                          <w:spacing w:line="316" w:lineRule="auto" w:before="51"/>
                          <w:ind w:left="34" w:right="152"/>
                          <w:jc w:val="both"/>
                          <w:rPr>
                            <w:rFonts w:ascii="宋体" w:hAnsi="宋体" w:cs="宋体" w:eastAsia="宋体" w:hint="default"/>
                            <w:sz w:val="18"/>
                            <w:szCs w:val="18"/>
                          </w:rPr>
                        </w:pPr>
                        <w:r>
                          <w:rPr>
                            <w:rFonts w:ascii="宋体" w:hAnsi="宋体" w:cs="宋体" w:eastAsia="宋体" w:hint="default"/>
                            <w:sz w:val="18"/>
                            <w:szCs w:val="18"/>
                          </w:rPr>
                          <w:t>互联 网信 息技 术</w:t>
                        </w:r>
                      </w:p>
                    </w:tc>
                    <w:tc>
                      <w:tcPr>
                        <w:tcW w:w="1147" w:type="dxa"/>
                        <w:vMerge/>
                        <w:tcBorders>
                          <w:left w:val="single" w:sz="4" w:space="0" w:color="000000"/>
                          <w:right w:val="single" w:sz="4" w:space="0" w:color="000000"/>
                        </w:tcBorders>
                        <w:shd w:val="clear" w:color="auto" w:fill="C7EDCC"/>
                      </w:tcPr>
                      <w:p>
                        <w:pPr/>
                      </w:p>
                    </w:tc>
                    <w:tc>
                      <w:tcPr>
                        <w:tcW w:w="1026" w:type="dxa"/>
                        <w:vMerge/>
                        <w:tcBorders>
                          <w:left w:val="single" w:sz="9" w:space="0" w:color="C7EDCC"/>
                          <w:right w:val="single" w:sz="4" w:space="0" w:color="000000"/>
                        </w:tcBorders>
                      </w:tcPr>
                      <w:p>
                        <w:pPr/>
                      </w:p>
                    </w:tc>
                    <w:tc>
                      <w:tcPr>
                        <w:tcW w:w="955"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156" w:hRule="exact"/>
                    </w:trPr>
                    <w:tc>
                      <w:tcPr>
                        <w:tcW w:w="1486" w:type="dxa"/>
                        <w:vMerge w:val="restart"/>
                        <w:tcBorders>
                          <w:top w:val="nil" w:sz="6" w:space="0" w:color="auto"/>
                          <w:left w:val="single" w:sz="4" w:space="0" w:color="000000"/>
                          <w:right w:val="single" w:sz="4" w:space="0" w:color="000000"/>
                        </w:tcBorders>
                        <w:shd w:val="clear" w:color="auto" w:fill="C7EDCC"/>
                      </w:tcPr>
                      <w:p>
                        <w:pPr>
                          <w:pStyle w:val="TableParagraph"/>
                          <w:spacing w:line="316"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浙江隐食网络科 技有限公司</w:t>
                        </w:r>
                      </w:p>
                    </w:tc>
                    <w:tc>
                      <w:tcPr>
                        <w:tcW w:w="2298" w:type="dxa"/>
                        <w:vMerge/>
                        <w:tcBorders>
                          <w:left w:val="single" w:sz="4" w:space="0" w:color="000000"/>
                          <w:right w:val="single" w:sz="4" w:space="0" w:color="000000"/>
                        </w:tcBorders>
                        <w:shd w:val="clear" w:color="auto" w:fill="C7EDCC"/>
                      </w:tcPr>
                      <w:p>
                        <w:pPr/>
                      </w:p>
                    </w:tc>
                    <w:tc>
                      <w:tcPr>
                        <w:tcW w:w="1384" w:type="dxa"/>
                        <w:vMerge/>
                        <w:tcBorders>
                          <w:left w:val="single" w:sz="4" w:space="0" w:color="000000"/>
                          <w:right w:val="single" w:sz="4" w:space="0" w:color="000000"/>
                        </w:tcBorders>
                        <w:shd w:val="clear" w:color="auto" w:fill="C7EDCC"/>
                      </w:tcPr>
                      <w:p>
                        <w:pPr/>
                      </w:p>
                    </w:tc>
                    <w:tc>
                      <w:tcPr>
                        <w:tcW w:w="559" w:type="dxa"/>
                        <w:vMerge/>
                        <w:tcBorders>
                          <w:left w:val="single" w:sz="4" w:space="0" w:color="000000"/>
                          <w:right w:val="single" w:sz="4" w:space="0" w:color="000000"/>
                        </w:tcBorders>
                        <w:shd w:val="clear" w:color="auto" w:fill="C7EDCC"/>
                      </w:tcPr>
                      <w:p>
                        <w:pPr/>
                      </w:p>
                    </w:tc>
                    <w:tc>
                      <w:tcPr>
                        <w:tcW w:w="1147" w:type="dxa"/>
                        <w:vMerge/>
                        <w:tcBorders>
                          <w:left w:val="single" w:sz="4" w:space="0" w:color="000000"/>
                          <w:bottom w:val="nil" w:sz="6" w:space="0" w:color="auto"/>
                          <w:right w:val="single" w:sz="4" w:space="0" w:color="000000"/>
                        </w:tcBorders>
                        <w:shd w:val="clear" w:color="auto" w:fill="C7EDCC"/>
                      </w:tcPr>
                      <w:p>
                        <w:pPr/>
                      </w:p>
                    </w:tc>
                    <w:tc>
                      <w:tcPr>
                        <w:tcW w:w="1026" w:type="dxa"/>
                        <w:vMerge/>
                        <w:tcBorders>
                          <w:left w:val="single" w:sz="9" w:space="0" w:color="C7EDCC"/>
                          <w:right w:val="single" w:sz="4" w:space="0" w:color="000000"/>
                        </w:tcBorders>
                      </w:tcPr>
                      <w:p>
                        <w:pPr/>
                      </w:p>
                    </w:tc>
                    <w:tc>
                      <w:tcPr>
                        <w:tcW w:w="955"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91" w:hRule="exact"/>
                    </w:trPr>
                    <w:tc>
                      <w:tcPr>
                        <w:tcW w:w="1486" w:type="dxa"/>
                        <w:vMerge/>
                        <w:tcBorders>
                          <w:left w:val="single" w:sz="4" w:space="0" w:color="000000"/>
                          <w:right w:val="single" w:sz="4" w:space="0" w:color="000000"/>
                        </w:tcBorders>
                        <w:shd w:val="clear" w:color="auto" w:fill="C7EDCC"/>
                      </w:tcPr>
                      <w:p>
                        <w:pPr/>
                      </w:p>
                    </w:tc>
                    <w:tc>
                      <w:tcPr>
                        <w:tcW w:w="2298" w:type="dxa"/>
                        <w:vMerge/>
                        <w:tcBorders>
                          <w:left w:val="single" w:sz="4" w:space="0" w:color="000000"/>
                          <w:right w:val="single" w:sz="4" w:space="0" w:color="000000"/>
                        </w:tcBorders>
                        <w:shd w:val="clear" w:color="auto" w:fill="C7EDCC"/>
                      </w:tcPr>
                      <w:p>
                        <w:pPr/>
                      </w:p>
                    </w:tc>
                    <w:tc>
                      <w:tcPr>
                        <w:tcW w:w="1384" w:type="dxa"/>
                        <w:vMerge/>
                        <w:tcBorders>
                          <w:left w:val="single" w:sz="4" w:space="0" w:color="000000"/>
                          <w:right w:val="single" w:sz="4" w:space="0" w:color="000000"/>
                        </w:tcBorders>
                        <w:shd w:val="clear" w:color="auto" w:fill="C7EDCC"/>
                      </w:tcPr>
                      <w:p>
                        <w:pPr/>
                      </w:p>
                    </w:tc>
                    <w:tc>
                      <w:tcPr>
                        <w:tcW w:w="559" w:type="dxa"/>
                        <w:vMerge/>
                        <w:tcBorders>
                          <w:left w:val="single" w:sz="4" w:space="0" w:color="000000"/>
                          <w:right w:val="single" w:sz="4" w:space="0" w:color="000000"/>
                        </w:tcBorders>
                        <w:shd w:val="clear" w:color="auto" w:fill="C7EDCC"/>
                      </w:tcPr>
                      <w:p>
                        <w:pPr/>
                      </w:p>
                    </w:tc>
                    <w:tc>
                      <w:tcPr>
                        <w:tcW w:w="114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026" w:type="dxa"/>
                        <w:vMerge/>
                        <w:tcBorders>
                          <w:left w:val="single" w:sz="9" w:space="0" w:color="C7EDCC"/>
                          <w:right w:val="single" w:sz="4" w:space="0" w:color="000000"/>
                        </w:tcBorders>
                      </w:tcPr>
                      <w:p>
                        <w:pPr/>
                      </w:p>
                    </w:tc>
                    <w:tc>
                      <w:tcPr>
                        <w:tcW w:w="955"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156" w:hRule="exact"/>
                    </w:trPr>
                    <w:tc>
                      <w:tcPr>
                        <w:tcW w:w="1486" w:type="dxa"/>
                        <w:vMerge/>
                        <w:tcBorders>
                          <w:left w:val="single" w:sz="4" w:space="0" w:color="000000"/>
                          <w:bottom w:val="nil" w:sz="6" w:space="0" w:color="auto"/>
                          <w:right w:val="single" w:sz="4" w:space="0" w:color="000000"/>
                        </w:tcBorders>
                        <w:shd w:val="clear" w:color="auto" w:fill="C7EDCC"/>
                      </w:tcPr>
                      <w:p>
                        <w:pPr/>
                      </w:p>
                    </w:tc>
                    <w:tc>
                      <w:tcPr>
                        <w:tcW w:w="2298" w:type="dxa"/>
                        <w:vMerge/>
                        <w:tcBorders>
                          <w:left w:val="single" w:sz="4" w:space="0" w:color="000000"/>
                          <w:right w:val="single" w:sz="4" w:space="0" w:color="000000"/>
                        </w:tcBorders>
                        <w:shd w:val="clear" w:color="auto" w:fill="C7EDCC"/>
                      </w:tcPr>
                      <w:p>
                        <w:pPr/>
                      </w:p>
                    </w:tc>
                    <w:tc>
                      <w:tcPr>
                        <w:tcW w:w="1384" w:type="dxa"/>
                        <w:vMerge/>
                        <w:tcBorders>
                          <w:left w:val="single" w:sz="4" w:space="0" w:color="000000"/>
                          <w:right w:val="single" w:sz="4" w:space="0" w:color="000000"/>
                        </w:tcBorders>
                        <w:shd w:val="clear" w:color="auto" w:fill="C7EDCC"/>
                      </w:tcPr>
                      <w:p>
                        <w:pPr/>
                      </w:p>
                    </w:tc>
                    <w:tc>
                      <w:tcPr>
                        <w:tcW w:w="559" w:type="dxa"/>
                        <w:vMerge/>
                        <w:tcBorders>
                          <w:left w:val="single" w:sz="4" w:space="0" w:color="000000"/>
                          <w:right w:val="single" w:sz="4" w:space="0" w:color="000000"/>
                        </w:tcBorders>
                        <w:shd w:val="clear" w:color="auto" w:fill="C7EDCC"/>
                      </w:tcPr>
                      <w:p>
                        <w:pPr/>
                      </w:p>
                    </w:tc>
                    <w:tc>
                      <w:tcPr>
                        <w:tcW w:w="1147" w:type="dxa"/>
                        <w:vMerge w:val="restart"/>
                        <w:tcBorders>
                          <w:top w:val="nil" w:sz="6" w:space="0" w:color="auto"/>
                          <w:left w:val="single" w:sz="4" w:space="0" w:color="000000"/>
                          <w:right w:val="single" w:sz="4" w:space="0" w:color="000000"/>
                        </w:tcBorders>
                        <w:shd w:val="clear" w:color="auto" w:fill="C7EDCC"/>
                      </w:tcPr>
                      <w:p>
                        <w:pPr/>
                      </w:p>
                    </w:tc>
                    <w:tc>
                      <w:tcPr>
                        <w:tcW w:w="1026" w:type="dxa"/>
                        <w:vMerge/>
                        <w:tcBorders>
                          <w:left w:val="single" w:sz="9" w:space="0" w:color="C7EDCC"/>
                          <w:right w:val="single" w:sz="4" w:space="0" w:color="000000"/>
                        </w:tcBorders>
                      </w:tcPr>
                      <w:p>
                        <w:pPr/>
                      </w:p>
                    </w:tc>
                    <w:tc>
                      <w:tcPr>
                        <w:tcW w:w="955"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12" w:hRule="exact"/>
                    </w:trPr>
                    <w:tc>
                      <w:tcPr>
                        <w:tcW w:w="1486" w:type="dxa"/>
                        <w:vMerge w:val="restart"/>
                        <w:tcBorders>
                          <w:top w:val="nil" w:sz="6" w:space="0" w:color="auto"/>
                          <w:left w:val="single" w:sz="4" w:space="0" w:color="000000"/>
                          <w:right w:val="single" w:sz="4" w:space="0" w:color="000000"/>
                        </w:tcBorders>
                        <w:shd w:val="clear" w:color="auto" w:fill="C7EDCC"/>
                      </w:tcPr>
                      <w:p>
                        <w:pPr/>
                      </w:p>
                    </w:tc>
                    <w:tc>
                      <w:tcPr>
                        <w:tcW w:w="2298" w:type="dxa"/>
                        <w:vMerge/>
                        <w:tcBorders>
                          <w:left w:val="single" w:sz="4" w:space="0" w:color="000000"/>
                          <w:bottom w:val="nil" w:sz="6" w:space="0" w:color="auto"/>
                          <w:right w:val="single" w:sz="4" w:space="0" w:color="000000"/>
                        </w:tcBorders>
                        <w:shd w:val="clear" w:color="auto" w:fill="C7EDCC"/>
                      </w:tcPr>
                      <w:p>
                        <w:pPr/>
                      </w:p>
                    </w:tc>
                    <w:tc>
                      <w:tcPr>
                        <w:tcW w:w="1384" w:type="dxa"/>
                        <w:vMerge/>
                        <w:tcBorders>
                          <w:left w:val="single" w:sz="4" w:space="0" w:color="000000"/>
                          <w:right w:val="single" w:sz="4" w:space="0" w:color="000000"/>
                        </w:tcBorders>
                        <w:shd w:val="clear" w:color="auto" w:fill="C7EDCC"/>
                      </w:tcPr>
                      <w:p>
                        <w:pPr/>
                      </w:p>
                    </w:tc>
                    <w:tc>
                      <w:tcPr>
                        <w:tcW w:w="559" w:type="dxa"/>
                        <w:vMerge/>
                        <w:tcBorders>
                          <w:left w:val="single" w:sz="4" w:space="0" w:color="000000"/>
                          <w:bottom w:val="nil" w:sz="6" w:space="0" w:color="auto"/>
                          <w:right w:val="single" w:sz="4" w:space="0" w:color="000000"/>
                        </w:tcBorders>
                        <w:shd w:val="clear" w:color="auto" w:fill="C7EDCC"/>
                      </w:tcPr>
                      <w:p>
                        <w:pPr/>
                      </w:p>
                    </w:tc>
                    <w:tc>
                      <w:tcPr>
                        <w:tcW w:w="1147" w:type="dxa"/>
                        <w:vMerge/>
                        <w:tcBorders>
                          <w:left w:val="single" w:sz="4" w:space="0" w:color="000000"/>
                          <w:right w:val="single" w:sz="4" w:space="0" w:color="000000"/>
                        </w:tcBorders>
                        <w:shd w:val="clear" w:color="auto" w:fill="C7EDCC"/>
                      </w:tcPr>
                      <w:p>
                        <w:pPr/>
                      </w:p>
                    </w:tc>
                    <w:tc>
                      <w:tcPr>
                        <w:tcW w:w="1026" w:type="dxa"/>
                        <w:vMerge/>
                        <w:tcBorders>
                          <w:left w:val="single" w:sz="9" w:space="0" w:color="C7EDCC"/>
                          <w:right w:val="single" w:sz="4" w:space="0" w:color="000000"/>
                        </w:tcBorders>
                      </w:tcPr>
                      <w:p>
                        <w:pPr/>
                      </w:p>
                    </w:tc>
                    <w:tc>
                      <w:tcPr>
                        <w:tcW w:w="955"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161" w:hRule="exact"/>
                    </w:trPr>
                    <w:tc>
                      <w:tcPr>
                        <w:tcW w:w="1486" w:type="dxa"/>
                        <w:vMerge/>
                        <w:tcBorders>
                          <w:left w:val="single" w:sz="4" w:space="0" w:color="000000"/>
                          <w:bottom w:val="single" w:sz="4" w:space="0" w:color="000000"/>
                          <w:right w:val="single" w:sz="4" w:space="0" w:color="000000"/>
                        </w:tcBorders>
                        <w:shd w:val="clear" w:color="auto" w:fill="C7EDCC"/>
                      </w:tcPr>
                      <w:p>
                        <w:pPr/>
                      </w:p>
                    </w:tc>
                    <w:tc>
                      <w:tcPr>
                        <w:tcW w:w="2298" w:type="dxa"/>
                        <w:tcBorders>
                          <w:top w:val="nil" w:sz="6" w:space="0" w:color="auto"/>
                          <w:left w:val="single" w:sz="4" w:space="0" w:color="000000"/>
                          <w:bottom w:val="single" w:sz="4" w:space="0" w:color="000000"/>
                          <w:right w:val="single" w:sz="4" w:space="0" w:color="000000"/>
                        </w:tcBorders>
                        <w:shd w:val="clear" w:color="auto" w:fill="C7EDCC"/>
                      </w:tcPr>
                      <w:p>
                        <w:pPr/>
                      </w:p>
                    </w:tc>
                    <w:tc>
                      <w:tcPr>
                        <w:tcW w:w="1384" w:type="dxa"/>
                        <w:vMerge/>
                        <w:tcBorders>
                          <w:left w:val="single" w:sz="4" w:space="0" w:color="000000"/>
                          <w:bottom w:val="single" w:sz="4" w:space="0" w:color="000000"/>
                          <w:right w:val="single" w:sz="4" w:space="0" w:color="000000"/>
                        </w:tcBorders>
                        <w:shd w:val="clear" w:color="auto" w:fill="C7EDCC"/>
                      </w:tcPr>
                      <w:p>
                        <w:pPr/>
                      </w:p>
                    </w:tc>
                    <w:tc>
                      <w:tcPr>
                        <w:tcW w:w="559" w:type="dxa"/>
                        <w:tcBorders>
                          <w:top w:val="nil" w:sz="6" w:space="0" w:color="auto"/>
                          <w:left w:val="single" w:sz="4" w:space="0" w:color="000000"/>
                          <w:bottom w:val="single" w:sz="4" w:space="0" w:color="000000"/>
                          <w:right w:val="single" w:sz="4" w:space="0" w:color="000000"/>
                        </w:tcBorders>
                        <w:shd w:val="clear" w:color="auto" w:fill="C7EDCC"/>
                      </w:tcPr>
                      <w:p>
                        <w:pPr/>
                      </w:p>
                    </w:tc>
                    <w:tc>
                      <w:tcPr>
                        <w:tcW w:w="1147" w:type="dxa"/>
                        <w:vMerge/>
                        <w:tcBorders>
                          <w:left w:val="single" w:sz="4" w:space="0" w:color="000000"/>
                          <w:bottom w:val="single" w:sz="4" w:space="0" w:color="000000"/>
                          <w:right w:val="single" w:sz="4" w:space="0" w:color="000000"/>
                        </w:tcBorders>
                        <w:shd w:val="clear" w:color="auto" w:fill="C7EDCC"/>
                      </w:tcPr>
                      <w:p>
                        <w:pPr/>
                      </w:p>
                    </w:tc>
                    <w:tc>
                      <w:tcPr>
                        <w:tcW w:w="1026" w:type="dxa"/>
                        <w:vMerge/>
                        <w:tcBorders>
                          <w:left w:val="single" w:sz="9" w:space="0" w:color="C7EDCC"/>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811" w:type="dxa"/>
                        <w:vMerge/>
                        <w:tcBorders>
                          <w:left w:val="single" w:sz="4" w:space="0" w:color="000000"/>
                          <w:bottom w:val="single" w:sz="4" w:space="0" w:color="000000"/>
                          <w:right w:val="single" w:sz="4" w:space="0" w:color="000000"/>
                        </w:tcBorders>
                      </w:tcPr>
                      <w:p>
                        <w:pPr/>
                      </w:p>
                    </w:tc>
                  </w:tr>
                  <w:tr>
                    <w:trPr>
                      <w:trHeight w:val="474" w:hRule="exact"/>
                    </w:trPr>
                    <w:tc>
                      <w:tcPr>
                        <w:tcW w:w="1486" w:type="dxa"/>
                        <w:vMerge w:val="restart"/>
                        <w:tcBorders>
                          <w:top w:val="single" w:sz="4" w:space="0" w:color="000000"/>
                          <w:left w:val="single" w:sz="4" w:space="0" w:color="000000"/>
                          <w:right w:val="single" w:sz="4" w:space="0" w:color="000000"/>
                        </w:tcBorders>
                        <w:shd w:val="clear" w:color="auto" w:fill="C7EDCC"/>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舟山泽创投资合 伙企业（有限合 </w:t>
                        </w:r>
                        <w:r>
                          <w:rPr>
                            <w:rFonts w:ascii="宋体" w:hAnsi="宋体" w:cs="宋体" w:eastAsia="宋体" w:hint="default"/>
                            <w:spacing w:val="-12"/>
                            <w:sz w:val="18"/>
                            <w:szCs w:val="18"/>
                          </w:rPr>
                          <w:t>伙）、深圳市泽创</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投资发展有限公 司</w:t>
                        </w:r>
                      </w:p>
                    </w:tc>
                    <w:tc>
                      <w:tcPr>
                        <w:tcW w:w="2298" w:type="dxa"/>
                        <w:vMerge w:val="restart"/>
                        <w:tcBorders>
                          <w:top w:val="single" w:sz="4" w:space="0" w:color="000000"/>
                          <w:left w:val="single" w:sz="4" w:space="0" w:color="000000"/>
                          <w:right w:val="single" w:sz="4" w:space="0" w:color="000000"/>
                        </w:tcBorders>
                        <w:shd w:val="clear" w:color="auto" w:fill="C7EDCC"/>
                      </w:tcPr>
                      <w:p>
                        <w:pPr>
                          <w:pStyle w:val="TableParagraph"/>
                          <w:spacing w:line="304" w:lineRule="auto" w:before="52"/>
                          <w:ind w:left="11" w:right="11"/>
                          <w:jc w:val="left"/>
                          <w:rPr>
                            <w:rFonts w:ascii="宋体" w:hAnsi="宋体" w:cs="宋体" w:eastAsia="宋体" w:hint="default"/>
                            <w:sz w:val="18"/>
                            <w:szCs w:val="18"/>
                          </w:rPr>
                        </w:pPr>
                        <w:r>
                          <w:rPr>
                            <w:rFonts w:ascii="宋体" w:hAnsi="宋体" w:cs="宋体" w:eastAsia="宋体" w:hint="default"/>
                            <w:sz w:val="18"/>
                            <w:szCs w:val="18"/>
                          </w:rPr>
                          <w:t>本公司副总经理林鹭华女士 持有泽创投资</w:t>
                        </w:r>
                        <w:r>
                          <w:rPr>
                            <w:rFonts w:ascii="宋体" w:hAnsi="宋体" w:cs="宋体" w:eastAsia="宋体" w:hint="default"/>
                            <w:spacing w:val="-42"/>
                            <w:sz w:val="18"/>
                            <w:szCs w:val="18"/>
                          </w:rPr>
                          <w:t> </w:t>
                        </w:r>
                        <w:r>
                          <w:rPr>
                            <w:rFonts w:ascii="Times New Roman" w:hAnsi="Times New Roman" w:cs="Times New Roman" w:eastAsia="Times New Roman" w:hint="default"/>
                            <w:spacing w:val="-12"/>
                            <w:sz w:val="18"/>
                            <w:szCs w:val="18"/>
                          </w:rPr>
                          <w:t>60%</w:t>
                        </w:r>
                        <w:r>
                          <w:rPr>
                            <w:rFonts w:ascii="宋体" w:hAnsi="宋体" w:cs="宋体" w:eastAsia="宋体" w:hint="default"/>
                            <w:spacing w:val="-12"/>
                            <w:sz w:val="18"/>
                            <w:szCs w:val="18"/>
                          </w:rPr>
                          <w:t>股权，持有</w:t>
                        </w:r>
                        <w:r>
                          <w:rPr>
                            <w:rFonts w:ascii="宋体" w:hAnsi="宋体" w:cs="宋体" w:eastAsia="宋体" w:hint="default"/>
                            <w:sz w:val="18"/>
                            <w:szCs w:val="18"/>
                          </w:rPr>
                          <w:t> 舟山泽创</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34.48%</w:t>
                        </w:r>
                        <w:r>
                          <w:rPr>
                            <w:rFonts w:ascii="宋体" w:hAnsi="宋体" w:cs="宋体" w:eastAsia="宋体" w:hint="default"/>
                            <w:sz w:val="18"/>
                            <w:szCs w:val="18"/>
                          </w:rPr>
                          <w:t>股权，泽创 投资持有舟山泽创</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17.10%</w:t>
                        </w:r>
                        <w:r>
                          <w:rPr>
                            <w:rFonts w:ascii="宋体" w:hAnsi="宋体" w:cs="宋体" w:eastAsia="宋体" w:hint="default"/>
                            <w:sz w:val="18"/>
                            <w:szCs w:val="18"/>
                          </w:rPr>
                          <w:t>股 权</w:t>
                        </w:r>
                      </w:p>
                    </w:tc>
                    <w:tc>
                      <w:tcPr>
                        <w:tcW w:w="1384" w:type="dxa"/>
                        <w:tcBorders>
                          <w:top w:val="single" w:sz="4" w:space="0" w:color="000000"/>
                          <w:left w:val="single" w:sz="4" w:space="0" w:color="000000"/>
                          <w:bottom w:val="nil" w:sz="6" w:space="0" w:color="auto"/>
                          <w:right w:val="single" w:sz="4" w:space="0" w:color="000000"/>
                        </w:tcBorders>
                        <w:shd w:val="clear" w:color="auto" w:fill="C7EDCC"/>
                      </w:tcPr>
                      <w:p>
                        <w:pPr/>
                      </w:p>
                    </w:tc>
                    <w:tc>
                      <w:tcPr>
                        <w:tcW w:w="559" w:type="dxa"/>
                        <w:vMerge w:val="restart"/>
                        <w:tcBorders>
                          <w:top w:val="single" w:sz="4" w:space="0" w:color="000000"/>
                          <w:left w:val="single" w:sz="4" w:space="0" w:color="000000"/>
                          <w:right w:val="single" w:sz="4" w:space="0" w:color="000000"/>
                        </w:tcBorders>
                        <w:shd w:val="clear" w:color="auto" w:fill="C7EDCC"/>
                      </w:tcPr>
                      <w:p>
                        <w:pPr/>
                      </w:p>
                    </w:tc>
                    <w:tc>
                      <w:tcPr>
                        <w:tcW w:w="1147" w:type="dxa"/>
                        <w:tcBorders>
                          <w:top w:val="single" w:sz="4" w:space="0" w:color="000000"/>
                          <w:left w:val="single" w:sz="4" w:space="0" w:color="000000"/>
                          <w:bottom w:val="nil" w:sz="6" w:space="0" w:color="auto"/>
                          <w:right w:val="single" w:sz="4" w:space="0" w:color="000000"/>
                        </w:tcBorders>
                        <w:shd w:val="clear" w:color="auto" w:fill="C7EDCC"/>
                      </w:tcPr>
                      <w:p>
                        <w:pPr/>
                      </w:p>
                    </w:tc>
                    <w:tc>
                      <w:tcPr>
                        <w:tcW w:w="1026" w:type="dxa"/>
                        <w:vMerge w:val="restart"/>
                        <w:tcBorders>
                          <w:top w:val="single" w:sz="4" w:space="0" w:color="000000"/>
                          <w:left w:val="single" w:sz="9" w:space="0" w:color="C7EDCC"/>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56" w:right="0"/>
                          <w:jc w:val="left"/>
                          <w:rPr>
                            <w:rFonts w:ascii="Times New Roman" w:hAnsi="Times New Roman" w:cs="Times New Roman" w:eastAsia="Times New Roman" w:hint="default"/>
                            <w:sz w:val="18"/>
                            <w:szCs w:val="18"/>
                          </w:rPr>
                        </w:pPr>
                        <w:r>
                          <w:rPr>
                            <w:rFonts w:ascii="Times New Roman"/>
                            <w:sz w:val="18"/>
                          </w:rPr>
                          <w:t>7,009.53</w:t>
                        </w:r>
                      </w:p>
                    </w:tc>
                    <w:tc>
                      <w:tcPr>
                        <w:tcW w:w="95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82" w:right="0"/>
                          <w:jc w:val="left"/>
                          <w:rPr>
                            <w:rFonts w:ascii="Times New Roman" w:hAnsi="Times New Roman" w:cs="Times New Roman" w:eastAsia="Times New Roman" w:hint="default"/>
                            <w:sz w:val="18"/>
                            <w:szCs w:val="18"/>
                          </w:rPr>
                        </w:pPr>
                        <w:r>
                          <w:rPr>
                            <w:rFonts w:ascii="Times New Roman"/>
                            <w:sz w:val="18"/>
                          </w:rPr>
                          <w:t>7,005.1</w:t>
                        </w:r>
                      </w:p>
                    </w:tc>
                    <w:tc>
                      <w:tcPr>
                        <w:tcW w:w="8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r>
                  <w:tr>
                    <w:trPr>
                      <w:trHeight w:val="156" w:hRule="exact"/>
                    </w:trPr>
                    <w:tc>
                      <w:tcPr>
                        <w:tcW w:w="1486" w:type="dxa"/>
                        <w:vMerge/>
                        <w:tcBorders>
                          <w:left w:val="single" w:sz="4" w:space="0" w:color="000000"/>
                          <w:right w:val="single" w:sz="4" w:space="0" w:color="000000"/>
                        </w:tcBorders>
                        <w:shd w:val="clear" w:color="auto" w:fill="C7EDCC"/>
                      </w:tcPr>
                      <w:p>
                        <w:pPr/>
                      </w:p>
                    </w:tc>
                    <w:tc>
                      <w:tcPr>
                        <w:tcW w:w="2298" w:type="dxa"/>
                        <w:vMerge/>
                        <w:tcBorders>
                          <w:left w:val="single" w:sz="4" w:space="0" w:color="000000"/>
                          <w:right w:val="single" w:sz="4" w:space="0" w:color="000000"/>
                        </w:tcBorders>
                        <w:shd w:val="clear" w:color="auto" w:fill="C7EDCC"/>
                      </w:tcPr>
                      <w:p>
                        <w:pPr/>
                      </w:p>
                    </w:tc>
                    <w:tc>
                      <w:tcPr>
                        <w:tcW w:w="1384" w:type="dxa"/>
                        <w:vMerge w:val="restart"/>
                        <w:tcBorders>
                          <w:top w:val="nil" w:sz="6" w:space="0" w:color="auto"/>
                          <w:left w:val="single" w:sz="4" w:space="0" w:color="000000"/>
                          <w:right w:val="single" w:sz="4" w:space="0" w:color="000000"/>
                        </w:tcBorders>
                        <w:shd w:val="clear" w:color="auto" w:fill="C7EDCC"/>
                      </w:tcPr>
                      <w:p>
                        <w:pPr>
                          <w:pStyle w:val="TableParagraph"/>
                          <w:spacing w:line="316" w:lineRule="auto" w:before="51"/>
                          <w:ind w:left="34" w:right="77"/>
                          <w:jc w:val="left"/>
                          <w:rPr>
                            <w:rFonts w:ascii="宋体" w:hAnsi="宋体" w:cs="宋体" w:eastAsia="宋体" w:hint="default"/>
                            <w:sz w:val="18"/>
                            <w:szCs w:val="18"/>
                          </w:rPr>
                        </w:pPr>
                        <w:r>
                          <w:rPr>
                            <w:rFonts w:ascii="宋体" w:hAnsi="宋体" w:cs="宋体" w:eastAsia="宋体" w:hint="default"/>
                            <w:sz w:val="18"/>
                            <w:szCs w:val="18"/>
                          </w:rPr>
                          <w:t>浙江华媒信息传 播有限公司</w:t>
                        </w:r>
                      </w:p>
                    </w:tc>
                    <w:tc>
                      <w:tcPr>
                        <w:tcW w:w="559" w:type="dxa"/>
                        <w:vMerge/>
                        <w:tcBorders>
                          <w:left w:val="single" w:sz="4" w:space="0" w:color="000000"/>
                          <w:bottom w:val="nil" w:sz="6" w:space="0" w:color="auto"/>
                          <w:right w:val="single" w:sz="4" w:space="0" w:color="000000"/>
                        </w:tcBorders>
                        <w:shd w:val="clear" w:color="auto" w:fill="C7EDCC"/>
                      </w:tcPr>
                      <w:p>
                        <w:pPr/>
                      </w:p>
                    </w:tc>
                    <w:tc>
                      <w:tcPr>
                        <w:tcW w:w="1147" w:type="dxa"/>
                        <w:vMerge w:val="restart"/>
                        <w:tcBorders>
                          <w:top w:val="nil" w:sz="6" w:space="0" w:color="auto"/>
                          <w:left w:val="single" w:sz="4" w:space="0" w:color="000000"/>
                          <w:right w:val="single" w:sz="4" w:space="0" w:color="000000"/>
                        </w:tcBorders>
                        <w:shd w:val="clear" w:color="auto" w:fill="C7EDCC"/>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65"/>
                          <w:ind w:left="3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026" w:type="dxa"/>
                        <w:vMerge/>
                        <w:tcBorders>
                          <w:left w:val="single" w:sz="9" w:space="0" w:color="C7EDCC"/>
                          <w:right w:val="single" w:sz="4" w:space="0" w:color="000000"/>
                        </w:tcBorders>
                      </w:tcPr>
                      <w:p>
                        <w:pPr/>
                      </w:p>
                    </w:tc>
                    <w:tc>
                      <w:tcPr>
                        <w:tcW w:w="955"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391" w:hRule="exact"/>
                    </w:trPr>
                    <w:tc>
                      <w:tcPr>
                        <w:tcW w:w="1486" w:type="dxa"/>
                        <w:vMerge/>
                        <w:tcBorders>
                          <w:left w:val="single" w:sz="4" w:space="0" w:color="000000"/>
                          <w:right w:val="single" w:sz="4" w:space="0" w:color="000000"/>
                        </w:tcBorders>
                        <w:shd w:val="clear" w:color="auto" w:fill="C7EDCC"/>
                      </w:tcPr>
                      <w:p>
                        <w:pPr/>
                      </w:p>
                    </w:tc>
                    <w:tc>
                      <w:tcPr>
                        <w:tcW w:w="2298" w:type="dxa"/>
                        <w:vMerge/>
                        <w:tcBorders>
                          <w:left w:val="single" w:sz="4" w:space="0" w:color="000000"/>
                          <w:right w:val="single" w:sz="4" w:space="0" w:color="000000"/>
                        </w:tcBorders>
                        <w:shd w:val="clear" w:color="auto" w:fill="C7EDCC"/>
                      </w:tcPr>
                      <w:p>
                        <w:pPr/>
                      </w:p>
                    </w:tc>
                    <w:tc>
                      <w:tcPr>
                        <w:tcW w:w="1384" w:type="dxa"/>
                        <w:vMerge/>
                        <w:tcBorders>
                          <w:left w:val="single" w:sz="4" w:space="0" w:color="000000"/>
                          <w:right w:val="single" w:sz="4" w:space="0" w:color="000000"/>
                        </w:tcBorders>
                        <w:shd w:val="clear" w:color="auto" w:fill="C7EDCC"/>
                      </w:tcPr>
                      <w:p>
                        <w:pPr/>
                      </w:p>
                    </w:tc>
                    <w:tc>
                      <w:tcPr>
                        <w:tcW w:w="55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视频</w:t>
                        </w:r>
                      </w:p>
                    </w:tc>
                    <w:tc>
                      <w:tcPr>
                        <w:tcW w:w="1147" w:type="dxa"/>
                        <w:vMerge/>
                        <w:tcBorders>
                          <w:left w:val="single" w:sz="4" w:space="0" w:color="000000"/>
                          <w:right w:val="single" w:sz="4" w:space="0" w:color="000000"/>
                        </w:tcBorders>
                        <w:shd w:val="clear" w:color="auto" w:fill="C7EDCC"/>
                      </w:tcPr>
                      <w:p>
                        <w:pPr/>
                      </w:p>
                    </w:tc>
                    <w:tc>
                      <w:tcPr>
                        <w:tcW w:w="1026" w:type="dxa"/>
                        <w:vMerge/>
                        <w:tcBorders>
                          <w:left w:val="single" w:sz="9" w:space="0" w:color="C7EDCC"/>
                          <w:right w:val="single" w:sz="4" w:space="0" w:color="000000"/>
                        </w:tcBorders>
                      </w:tcPr>
                      <w:p>
                        <w:pPr/>
                      </w:p>
                    </w:tc>
                    <w:tc>
                      <w:tcPr>
                        <w:tcW w:w="955"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156" w:hRule="exact"/>
                    </w:trPr>
                    <w:tc>
                      <w:tcPr>
                        <w:tcW w:w="1486" w:type="dxa"/>
                        <w:vMerge/>
                        <w:tcBorders>
                          <w:left w:val="single" w:sz="4" w:space="0" w:color="000000"/>
                          <w:right w:val="single" w:sz="4" w:space="0" w:color="000000"/>
                        </w:tcBorders>
                        <w:shd w:val="clear" w:color="auto" w:fill="C7EDCC"/>
                      </w:tcPr>
                      <w:p>
                        <w:pPr/>
                      </w:p>
                    </w:tc>
                    <w:tc>
                      <w:tcPr>
                        <w:tcW w:w="2298" w:type="dxa"/>
                        <w:vMerge/>
                        <w:tcBorders>
                          <w:left w:val="single" w:sz="4" w:space="0" w:color="000000"/>
                          <w:right w:val="single" w:sz="4" w:space="0" w:color="000000"/>
                        </w:tcBorders>
                        <w:shd w:val="clear" w:color="auto" w:fill="C7EDCC"/>
                      </w:tcPr>
                      <w:p>
                        <w:pPr/>
                      </w:p>
                    </w:tc>
                    <w:tc>
                      <w:tcPr>
                        <w:tcW w:w="1384" w:type="dxa"/>
                        <w:vMerge/>
                        <w:tcBorders>
                          <w:left w:val="single" w:sz="4" w:space="0" w:color="000000"/>
                          <w:bottom w:val="nil" w:sz="6" w:space="0" w:color="auto"/>
                          <w:right w:val="single" w:sz="4" w:space="0" w:color="000000"/>
                        </w:tcBorders>
                        <w:shd w:val="clear" w:color="auto" w:fill="C7EDCC"/>
                      </w:tcPr>
                      <w:p>
                        <w:pPr/>
                      </w:p>
                    </w:tc>
                    <w:tc>
                      <w:tcPr>
                        <w:tcW w:w="559" w:type="dxa"/>
                        <w:vMerge w:val="restart"/>
                        <w:tcBorders>
                          <w:top w:val="nil" w:sz="6" w:space="0" w:color="auto"/>
                          <w:left w:val="single" w:sz="4" w:space="0" w:color="000000"/>
                          <w:right w:val="single" w:sz="4" w:space="0" w:color="000000"/>
                        </w:tcBorders>
                        <w:shd w:val="clear" w:color="auto" w:fill="C7EDCC"/>
                      </w:tcPr>
                      <w:p>
                        <w:pPr/>
                      </w:p>
                    </w:tc>
                    <w:tc>
                      <w:tcPr>
                        <w:tcW w:w="1147" w:type="dxa"/>
                        <w:vMerge/>
                        <w:tcBorders>
                          <w:left w:val="single" w:sz="4" w:space="0" w:color="000000"/>
                          <w:bottom w:val="nil" w:sz="6" w:space="0" w:color="auto"/>
                          <w:right w:val="single" w:sz="4" w:space="0" w:color="000000"/>
                        </w:tcBorders>
                        <w:shd w:val="clear" w:color="auto" w:fill="C7EDCC"/>
                      </w:tcPr>
                      <w:p>
                        <w:pPr/>
                      </w:p>
                    </w:tc>
                    <w:tc>
                      <w:tcPr>
                        <w:tcW w:w="1026" w:type="dxa"/>
                        <w:vMerge/>
                        <w:tcBorders>
                          <w:left w:val="single" w:sz="9" w:space="0" w:color="C7EDCC"/>
                          <w:right w:val="single" w:sz="4" w:space="0" w:color="000000"/>
                        </w:tcBorders>
                      </w:tcPr>
                      <w:p>
                        <w:pPr/>
                      </w:p>
                    </w:tc>
                    <w:tc>
                      <w:tcPr>
                        <w:tcW w:w="955" w:type="dxa"/>
                        <w:vMerge/>
                        <w:tcBorders>
                          <w:left w:val="single" w:sz="4" w:space="0" w:color="000000"/>
                          <w:right w:val="single" w:sz="4" w:space="0" w:color="000000"/>
                        </w:tcBorders>
                      </w:tcPr>
                      <w:p>
                        <w:pPr/>
                      </w:p>
                    </w:tc>
                    <w:tc>
                      <w:tcPr>
                        <w:tcW w:w="811" w:type="dxa"/>
                        <w:vMerge/>
                        <w:tcBorders>
                          <w:left w:val="single" w:sz="4" w:space="0" w:color="000000"/>
                          <w:right w:val="single" w:sz="4" w:space="0" w:color="000000"/>
                        </w:tcBorders>
                      </w:tcPr>
                      <w:p>
                        <w:pPr/>
                      </w:p>
                    </w:tc>
                  </w:tr>
                  <w:tr>
                    <w:trPr>
                      <w:trHeight w:val="474" w:hRule="exact"/>
                    </w:trPr>
                    <w:tc>
                      <w:tcPr>
                        <w:tcW w:w="1486" w:type="dxa"/>
                        <w:vMerge/>
                        <w:tcBorders>
                          <w:left w:val="single" w:sz="4" w:space="0" w:color="000000"/>
                          <w:bottom w:val="single" w:sz="4" w:space="0" w:color="000000"/>
                          <w:right w:val="single" w:sz="4" w:space="0" w:color="000000"/>
                        </w:tcBorders>
                        <w:shd w:val="clear" w:color="auto" w:fill="C7EDCC"/>
                      </w:tcPr>
                      <w:p>
                        <w:pPr/>
                      </w:p>
                    </w:tc>
                    <w:tc>
                      <w:tcPr>
                        <w:tcW w:w="2298" w:type="dxa"/>
                        <w:vMerge/>
                        <w:tcBorders>
                          <w:left w:val="single" w:sz="4" w:space="0" w:color="000000"/>
                          <w:bottom w:val="single" w:sz="4" w:space="0" w:color="000000"/>
                          <w:right w:val="single" w:sz="4" w:space="0" w:color="000000"/>
                        </w:tcBorders>
                        <w:shd w:val="clear" w:color="auto" w:fill="C7EDCC"/>
                      </w:tcPr>
                      <w:p>
                        <w:pPr/>
                      </w:p>
                    </w:tc>
                    <w:tc>
                      <w:tcPr>
                        <w:tcW w:w="1384" w:type="dxa"/>
                        <w:tcBorders>
                          <w:top w:val="nil" w:sz="6" w:space="0" w:color="auto"/>
                          <w:left w:val="single" w:sz="4" w:space="0" w:color="000000"/>
                          <w:bottom w:val="single" w:sz="4" w:space="0" w:color="000000"/>
                          <w:right w:val="single" w:sz="4" w:space="0" w:color="000000"/>
                        </w:tcBorders>
                        <w:shd w:val="clear" w:color="auto" w:fill="C7EDCC"/>
                      </w:tcPr>
                      <w:p>
                        <w:pPr/>
                      </w:p>
                    </w:tc>
                    <w:tc>
                      <w:tcPr>
                        <w:tcW w:w="559" w:type="dxa"/>
                        <w:vMerge/>
                        <w:tcBorders>
                          <w:left w:val="single" w:sz="4" w:space="0" w:color="000000"/>
                          <w:bottom w:val="single" w:sz="4" w:space="0" w:color="000000"/>
                          <w:right w:val="single" w:sz="4" w:space="0" w:color="000000"/>
                        </w:tcBorders>
                        <w:shd w:val="clear" w:color="auto" w:fill="C7EDCC"/>
                      </w:tcPr>
                      <w:p>
                        <w:pPr/>
                      </w:p>
                    </w:tc>
                    <w:tc>
                      <w:tcPr>
                        <w:tcW w:w="1147" w:type="dxa"/>
                        <w:tcBorders>
                          <w:top w:val="nil" w:sz="6" w:space="0" w:color="auto"/>
                          <w:left w:val="single" w:sz="4" w:space="0" w:color="000000"/>
                          <w:bottom w:val="single" w:sz="4" w:space="0" w:color="000000"/>
                          <w:right w:val="single" w:sz="4" w:space="0" w:color="000000"/>
                        </w:tcBorders>
                        <w:shd w:val="clear" w:color="auto" w:fill="C7EDCC"/>
                      </w:tcPr>
                      <w:p>
                        <w:pPr/>
                      </w:p>
                    </w:tc>
                    <w:tc>
                      <w:tcPr>
                        <w:tcW w:w="1026" w:type="dxa"/>
                        <w:vMerge/>
                        <w:tcBorders>
                          <w:left w:val="single" w:sz="9" w:space="0" w:color="C7EDCC"/>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811" w:type="dxa"/>
                        <w:vMerge/>
                        <w:tcBorders>
                          <w:left w:val="single" w:sz="4" w:space="0" w:color="000000"/>
                          <w:bottom w:val="single" w:sz="4" w:space="0" w:color="000000"/>
                          <w:right w:val="single" w:sz="4" w:space="0" w:color="000000"/>
                        </w:tcBorders>
                      </w:tcPr>
                      <w:p>
                        <w:pPr/>
                      </w:p>
                    </w:tc>
                  </w:tr>
                  <w:tr>
                    <w:trPr>
                      <w:trHeight w:val="402" w:hRule="exact"/>
                    </w:trPr>
                    <w:tc>
                      <w:tcPr>
                        <w:tcW w:w="3784" w:type="dxa"/>
                        <w:gridSpan w:val="2"/>
                        <w:tcBorders>
                          <w:top w:val="single" w:sz="4" w:space="0" w:color="000000"/>
                          <w:left w:val="single" w:sz="4" w:space="0" w:color="000000"/>
                          <w:bottom w:val="single" w:sz="4" w:space="0" w:color="000000"/>
                          <w:right w:val="single" w:sz="13" w:space="0" w:color="C7EDCC"/>
                        </w:tcBorders>
                        <w:shd w:val="clear" w:color="auto" w:fill="D3D3D3"/>
                      </w:tcPr>
                      <w:p>
                        <w:pPr>
                          <w:pStyle w:val="TableParagraph"/>
                          <w:spacing w:line="240" w:lineRule="auto" w:before="52"/>
                          <w:ind w:left="22" w:right="-41"/>
                          <w:jc w:val="left"/>
                          <w:rPr>
                            <w:rFonts w:ascii="宋体" w:hAnsi="宋体" w:cs="宋体" w:eastAsia="宋体" w:hint="default"/>
                            <w:sz w:val="18"/>
                            <w:szCs w:val="18"/>
                          </w:rPr>
                        </w:pPr>
                        <w:r>
                          <w:rPr>
                            <w:rFonts w:ascii="宋体" w:hAnsi="宋体" w:cs="宋体" w:eastAsia="宋体" w:hint="default"/>
                            <w:sz w:val="18"/>
                            <w:szCs w:val="18"/>
                          </w:rPr>
                          <w:t>被投资企业的重大在建项目的进展情况（如有）</w:t>
                        </w:r>
                      </w:p>
                    </w:tc>
                    <w:tc>
                      <w:tcPr>
                        <w:tcW w:w="5882" w:type="dxa"/>
                        <w:gridSpan w:val="6"/>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before="35"/>
        <w:ind w:left="154" w:right="69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38" w:lineRule="auto" w:before="0"/>
        <w:ind w:left="154" w:right="69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是否存在非经营性关联债权债务往来</w:t>
      </w:r>
    </w:p>
    <w:p>
      <w:pPr>
        <w:spacing w:before="42"/>
        <w:ind w:left="154" w:right="69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77" w:footer="982" w:top="1100" w:bottom="1180" w:left="980" w:right="940"/>
        </w:sectPr>
      </w:pPr>
    </w:p>
    <w:p>
      <w:pPr>
        <w:spacing w:line="240" w:lineRule="auto" w:before="13"/>
        <w:rPr>
          <w:rFonts w:ascii="宋体" w:hAnsi="宋体" w:cs="宋体" w:eastAsia="宋体" w:hint="default"/>
          <w:sz w:val="21"/>
          <w:szCs w:val="21"/>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应收关联方债权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99"/>
        <w:gridCol w:w="829"/>
        <w:gridCol w:w="759"/>
        <w:gridCol w:w="955"/>
        <w:gridCol w:w="1037"/>
        <w:gridCol w:w="1111"/>
        <w:gridCol w:w="1168"/>
        <w:gridCol w:w="521"/>
        <w:gridCol w:w="808"/>
        <w:gridCol w:w="980"/>
      </w:tblGrid>
      <w:tr>
        <w:trPr>
          <w:trHeight w:val="1026" w:hRule="exact"/>
        </w:trPr>
        <w:tc>
          <w:tcPr>
            <w:tcW w:w="1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7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8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84" w:right="104" w:hanging="180"/>
              <w:jc w:val="left"/>
              <w:rPr>
                <w:rFonts w:ascii="宋体" w:hAnsi="宋体" w:cs="宋体" w:eastAsia="宋体" w:hint="default"/>
                <w:sz w:val="18"/>
                <w:szCs w:val="18"/>
              </w:rPr>
            </w:pPr>
            <w:r>
              <w:rPr>
                <w:rFonts w:ascii="宋体" w:hAnsi="宋体" w:cs="宋体" w:eastAsia="宋体" w:hint="default"/>
                <w:sz w:val="18"/>
                <w:szCs w:val="18"/>
              </w:rPr>
              <w:t>形成原 因</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2" w:right="110"/>
              <w:jc w:val="both"/>
              <w:rPr>
                <w:rFonts w:ascii="宋体" w:hAnsi="宋体" w:cs="宋体" w:eastAsia="宋体" w:hint="default"/>
                <w:sz w:val="18"/>
                <w:szCs w:val="18"/>
              </w:rPr>
            </w:pPr>
            <w:r>
              <w:rPr>
                <w:rFonts w:ascii="宋体" w:hAnsi="宋体" w:cs="宋体" w:eastAsia="宋体" w:hint="default"/>
                <w:sz w:val="18"/>
                <w:szCs w:val="18"/>
              </w:rPr>
              <w:t>是否存在 非经营性 资金占用</w:t>
            </w:r>
          </w:p>
        </w:tc>
        <w:tc>
          <w:tcPr>
            <w:tcW w:w="1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15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9" w:right="101"/>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1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本期收回金额</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利率</w:t>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6"/>
              <w:ind w:left="3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6"/>
              <w:ind w:left="126"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1026" w:hRule="exact"/>
        </w:trPr>
        <w:tc>
          <w:tcPr>
            <w:tcW w:w="14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华立集团股份有限 公司</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以上股东</w:t>
            </w:r>
          </w:p>
        </w:tc>
        <w:tc>
          <w:tcPr>
            <w:tcW w:w="7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84"/>
              <w:jc w:val="both"/>
              <w:rPr>
                <w:rFonts w:ascii="宋体" w:hAnsi="宋体" w:cs="宋体" w:eastAsia="宋体" w:hint="default"/>
                <w:sz w:val="18"/>
                <w:szCs w:val="18"/>
              </w:rPr>
            </w:pPr>
            <w:r>
              <w:rPr>
                <w:rFonts w:ascii="宋体" w:hAnsi="宋体" w:cs="宋体" w:eastAsia="宋体" w:hint="default"/>
                <w:sz w:val="18"/>
                <w:szCs w:val="18"/>
              </w:rPr>
              <w:t>重组置 出资产 处置款</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36,850.41</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1,527.64</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38,378.05</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0.00%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4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杭州读报人电子商 务有限公司</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4" w:firstLine="90"/>
              <w:jc w:val="left"/>
              <w:rPr>
                <w:rFonts w:ascii="宋体" w:hAnsi="宋体" w:cs="宋体" w:eastAsia="宋体" w:hint="default"/>
                <w:sz w:val="18"/>
                <w:szCs w:val="18"/>
              </w:rPr>
            </w:pPr>
            <w:r>
              <w:rPr>
                <w:rFonts w:ascii="宋体" w:hAnsi="宋体" w:cs="宋体" w:eastAsia="宋体" w:hint="default"/>
                <w:sz w:val="18"/>
                <w:szCs w:val="18"/>
              </w:rPr>
              <w:t>同一最 终控制方 控制</w:t>
            </w:r>
          </w:p>
        </w:tc>
        <w:tc>
          <w:tcPr>
            <w:tcW w:w="7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84"/>
              <w:jc w:val="left"/>
              <w:rPr>
                <w:rFonts w:ascii="宋体" w:hAnsi="宋体" w:cs="宋体" w:eastAsia="宋体" w:hint="default"/>
                <w:sz w:val="18"/>
                <w:szCs w:val="18"/>
              </w:rPr>
            </w:pPr>
            <w:r>
              <w:rPr>
                <w:rFonts w:ascii="宋体" w:hAnsi="宋体" w:cs="宋体" w:eastAsia="宋体" w:hint="default"/>
                <w:sz w:val="18"/>
                <w:szCs w:val="18"/>
              </w:rPr>
              <w:t>结算余 额</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439.89</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308.68</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747.74</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0.00%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0.83</w:t>
            </w:r>
          </w:p>
        </w:tc>
      </w:tr>
      <w:tr>
        <w:trPr>
          <w:trHeight w:val="1026" w:hRule="exact"/>
        </w:trPr>
        <w:tc>
          <w:tcPr>
            <w:tcW w:w="14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14" w:firstLine="90"/>
              <w:jc w:val="left"/>
              <w:rPr>
                <w:rFonts w:ascii="宋体" w:hAnsi="宋体" w:cs="宋体" w:eastAsia="宋体" w:hint="default"/>
                <w:sz w:val="18"/>
                <w:szCs w:val="18"/>
              </w:rPr>
            </w:pPr>
            <w:r>
              <w:rPr>
                <w:rFonts w:ascii="宋体" w:hAnsi="宋体" w:cs="宋体" w:eastAsia="宋体" w:hint="default"/>
                <w:sz w:val="18"/>
                <w:szCs w:val="18"/>
              </w:rPr>
              <w:t>杭州汉书数字出 版传媒有限公司</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4" w:firstLine="90"/>
              <w:jc w:val="left"/>
              <w:rPr>
                <w:rFonts w:ascii="宋体" w:hAnsi="宋体" w:cs="宋体" w:eastAsia="宋体" w:hint="default"/>
                <w:sz w:val="18"/>
                <w:szCs w:val="18"/>
              </w:rPr>
            </w:pPr>
            <w:r>
              <w:rPr>
                <w:rFonts w:ascii="宋体" w:hAnsi="宋体" w:cs="宋体" w:eastAsia="宋体" w:hint="default"/>
                <w:sz w:val="18"/>
                <w:szCs w:val="18"/>
              </w:rPr>
              <w:t>同一最 终控制方 控制</w:t>
            </w:r>
          </w:p>
        </w:tc>
        <w:tc>
          <w:tcPr>
            <w:tcW w:w="7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84"/>
              <w:jc w:val="left"/>
              <w:rPr>
                <w:rFonts w:ascii="宋体" w:hAnsi="宋体" w:cs="宋体" w:eastAsia="宋体" w:hint="default"/>
                <w:sz w:val="18"/>
                <w:szCs w:val="18"/>
              </w:rPr>
            </w:pPr>
            <w:r>
              <w:rPr>
                <w:rFonts w:ascii="宋体" w:hAnsi="宋体" w:cs="宋体" w:eastAsia="宋体" w:hint="default"/>
                <w:sz w:val="18"/>
                <w:szCs w:val="18"/>
              </w:rPr>
              <w:t>结算余 额</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1.93</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0.00%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5.67</w:t>
            </w:r>
          </w:p>
        </w:tc>
      </w:tr>
      <w:tr>
        <w:trPr>
          <w:trHeight w:val="714" w:hRule="exact"/>
        </w:trPr>
        <w:tc>
          <w:tcPr>
            <w:tcW w:w="14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24" w:firstLine="90"/>
              <w:jc w:val="left"/>
              <w:rPr>
                <w:rFonts w:ascii="宋体" w:hAnsi="宋体" w:cs="宋体" w:eastAsia="宋体" w:hint="default"/>
                <w:sz w:val="18"/>
                <w:szCs w:val="18"/>
              </w:rPr>
            </w:pPr>
            <w:r>
              <w:rPr>
                <w:rFonts w:ascii="宋体" w:hAnsi="宋体" w:cs="宋体" w:eastAsia="宋体" w:hint="default"/>
                <w:sz w:val="18"/>
                <w:szCs w:val="18"/>
              </w:rPr>
              <w:t>杭州日报报业集 团（杭州日报社）</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4"/>
              <w:jc w:val="left"/>
              <w:rPr>
                <w:rFonts w:ascii="宋体" w:hAnsi="宋体" w:cs="宋体" w:eastAsia="宋体" w:hint="default"/>
                <w:sz w:val="18"/>
                <w:szCs w:val="18"/>
              </w:rPr>
            </w:pPr>
            <w:r>
              <w:rPr>
                <w:rFonts w:ascii="宋体" w:hAnsi="宋体" w:cs="宋体" w:eastAsia="宋体" w:hint="default"/>
                <w:sz w:val="18"/>
                <w:szCs w:val="18"/>
              </w:rPr>
              <w:t>实际控制 人</w:t>
            </w:r>
          </w:p>
        </w:tc>
        <w:tc>
          <w:tcPr>
            <w:tcW w:w="7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84"/>
              <w:jc w:val="left"/>
              <w:rPr>
                <w:rFonts w:ascii="宋体" w:hAnsi="宋体" w:cs="宋体" w:eastAsia="宋体" w:hint="default"/>
                <w:sz w:val="18"/>
                <w:szCs w:val="18"/>
              </w:rPr>
            </w:pPr>
            <w:r>
              <w:rPr>
                <w:rFonts w:ascii="宋体" w:hAnsi="宋体" w:cs="宋体" w:eastAsia="宋体" w:hint="default"/>
                <w:sz w:val="18"/>
                <w:szCs w:val="18"/>
              </w:rPr>
              <w:t>结算余 额</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23.66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2,338.27</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1,227.25</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0.00%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1,134.68</w:t>
            </w:r>
          </w:p>
        </w:tc>
      </w:tr>
      <w:tr>
        <w:trPr>
          <w:trHeight w:val="1026" w:hRule="exact"/>
        </w:trPr>
        <w:tc>
          <w:tcPr>
            <w:tcW w:w="14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杭州地铁文化传媒 有限公司</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4" w:firstLine="90"/>
              <w:jc w:val="left"/>
              <w:rPr>
                <w:rFonts w:ascii="宋体" w:hAnsi="宋体" w:cs="宋体" w:eastAsia="宋体" w:hint="default"/>
                <w:sz w:val="18"/>
                <w:szCs w:val="18"/>
              </w:rPr>
            </w:pPr>
            <w:r>
              <w:rPr>
                <w:rFonts w:ascii="宋体" w:hAnsi="宋体" w:cs="宋体" w:eastAsia="宋体" w:hint="default"/>
                <w:sz w:val="18"/>
                <w:szCs w:val="18"/>
              </w:rPr>
              <w:t>同一最 终控制方 控制</w:t>
            </w:r>
          </w:p>
        </w:tc>
        <w:tc>
          <w:tcPr>
            <w:tcW w:w="7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84"/>
              <w:jc w:val="left"/>
              <w:rPr>
                <w:rFonts w:ascii="宋体" w:hAnsi="宋体" w:cs="宋体" w:eastAsia="宋体" w:hint="default"/>
                <w:sz w:val="18"/>
                <w:szCs w:val="18"/>
              </w:rPr>
            </w:pPr>
            <w:r>
              <w:rPr>
                <w:rFonts w:ascii="宋体" w:hAnsi="宋体" w:cs="宋体" w:eastAsia="宋体" w:hint="default"/>
                <w:sz w:val="18"/>
                <w:szCs w:val="18"/>
              </w:rPr>
              <w:t>结算余 额</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183.46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612.01</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689.5</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0.00%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105.97</w:t>
            </w:r>
          </w:p>
        </w:tc>
      </w:tr>
      <w:tr>
        <w:trPr>
          <w:trHeight w:val="1026" w:hRule="exact"/>
        </w:trPr>
        <w:tc>
          <w:tcPr>
            <w:tcW w:w="14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浙江华朗实业有限 公司</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4" w:firstLine="90"/>
              <w:jc w:val="left"/>
              <w:rPr>
                <w:rFonts w:ascii="宋体" w:hAnsi="宋体" w:cs="宋体" w:eastAsia="宋体" w:hint="default"/>
                <w:sz w:val="18"/>
                <w:szCs w:val="18"/>
              </w:rPr>
            </w:pPr>
            <w:r>
              <w:rPr>
                <w:rFonts w:ascii="宋体" w:hAnsi="宋体" w:cs="宋体" w:eastAsia="宋体" w:hint="default"/>
                <w:sz w:val="18"/>
                <w:szCs w:val="18"/>
              </w:rPr>
              <w:t>同一最 终控制方 控制</w:t>
            </w:r>
          </w:p>
        </w:tc>
        <w:tc>
          <w:tcPr>
            <w:tcW w:w="7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84"/>
              <w:jc w:val="left"/>
              <w:rPr>
                <w:rFonts w:ascii="宋体" w:hAnsi="宋体" w:cs="宋体" w:eastAsia="宋体" w:hint="default"/>
                <w:sz w:val="18"/>
                <w:szCs w:val="18"/>
              </w:rPr>
            </w:pPr>
            <w:r>
              <w:rPr>
                <w:rFonts w:ascii="宋体" w:hAnsi="宋体" w:cs="宋体" w:eastAsia="宋体" w:hint="default"/>
                <w:sz w:val="18"/>
                <w:szCs w:val="18"/>
              </w:rPr>
              <w:t>结算余 额</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298.18</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0.12</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0.00%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298.06</w:t>
            </w:r>
          </w:p>
        </w:tc>
      </w:tr>
      <w:tr>
        <w:trPr>
          <w:trHeight w:val="1026" w:hRule="exact"/>
        </w:trPr>
        <w:tc>
          <w:tcPr>
            <w:tcW w:w="14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24"/>
              <w:jc w:val="both"/>
              <w:rPr>
                <w:rFonts w:ascii="宋体" w:hAnsi="宋体" w:cs="宋体" w:eastAsia="宋体" w:hint="default"/>
                <w:sz w:val="18"/>
                <w:szCs w:val="18"/>
              </w:rPr>
            </w:pPr>
            <w:r>
              <w:rPr>
                <w:rFonts w:ascii="宋体" w:hAnsi="宋体" w:cs="宋体" w:eastAsia="宋体" w:hint="default"/>
                <w:sz w:val="18"/>
                <w:szCs w:val="18"/>
              </w:rPr>
              <w:t>杭州日报报业集团 出版传媒控股有限 公司</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4"/>
              <w:jc w:val="both"/>
              <w:rPr>
                <w:rFonts w:ascii="宋体" w:hAnsi="宋体" w:cs="宋体" w:eastAsia="宋体" w:hint="default"/>
                <w:sz w:val="18"/>
                <w:szCs w:val="18"/>
              </w:rPr>
            </w:pPr>
            <w:r>
              <w:rPr>
                <w:rFonts w:ascii="宋体" w:hAnsi="宋体" w:cs="宋体" w:eastAsia="宋体" w:hint="default"/>
                <w:sz w:val="18"/>
                <w:szCs w:val="18"/>
              </w:rPr>
              <w:t>同一最终 控制方控 制</w:t>
            </w:r>
          </w:p>
        </w:tc>
        <w:tc>
          <w:tcPr>
            <w:tcW w:w="7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84"/>
              <w:jc w:val="left"/>
              <w:rPr>
                <w:rFonts w:ascii="宋体" w:hAnsi="宋体" w:cs="宋体" w:eastAsia="宋体" w:hint="default"/>
                <w:sz w:val="18"/>
                <w:szCs w:val="18"/>
              </w:rPr>
            </w:pPr>
            <w:r>
              <w:rPr>
                <w:rFonts w:ascii="宋体" w:hAnsi="宋体" w:cs="宋体" w:eastAsia="宋体" w:hint="default"/>
                <w:sz w:val="18"/>
                <w:szCs w:val="18"/>
              </w:rPr>
              <w:t>结算余 额</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29.17</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29.17</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0.00%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4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浙江都市艺术文化 发展有限公司</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4"/>
              <w:jc w:val="both"/>
              <w:rPr>
                <w:rFonts w:ascii="宋体" w:hAnsi="宋体" w:cs="宋体" w:eastAsia="宋体" w:hint="default"/>
                <w:sz w:val="18"/>
                <w:szCs w:val="18"/>
              </w:rPr>
            </w:pPr>
            <w:r>
              <w:rPr>
                <w:rFonts w:ascii="宋体" w:hAnsi="宋体" w:cs="宋体" w:eastAsia="宋体" w:hint="default"/>
                <w:sz w:val="18"/>
                <w:szCs w:val="18"/>
              </w:rPr>
              <w:t>同一最终 控制方控 制</w:t>
            </w:r>
          </w:p>
        </w:tc>
        <w:tc>
          <w:tcPr>
            <w:tcW w:w="7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84"/>
              <w:jc w:val="left"/>
              <w:rPr>
                <w:rFonts w:ascii="宋体" w:hAnsi="宋体" w:cs="宋体" w:eastAsia="宋体" w:hint="default"/>
                <w:sz w:val="18"/>
                <w:szCs w:val="18"/>
              </w:rPr>
            </w:pPr>
            <w:r>
              <w:rPr>
                <w:rFonts w:ascii="宋体" w:hAnsi="宋体" w:cs="宋体" w:eastAsia="宋体" w:hint="default"/>
                <w:sz w:val="18"/>
                <w:szCs w:val="18"/>
              </w:rPr>
              <w:t>结算余 额</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271.83</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1,107.13</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397.42</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0.00%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981.54</w:t>
            </w:r>
          </w:p>
        </w:tc>
      </w:tr>
      <w:tr>
        <w:trPr>
          <w:trHeight w:val="1026" w:hRule="exact"/>
        </w:trPr>
        <w:tc>
          <w:tcPr>
            <w:tcW w:w="14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富阳日报社</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4"/>
              <w:jc w:val="both"/>
              <w:rPr>
                <w:rFonts w:ascii="宋体" w:hAnsi="宋体" w:cs="宋体" w:eastAsia="宋体" w:hint="default"/>
                <w:sz w:val="18"/>
                <w:szCs w:val="18"/>
              </w:rPr>
            </w:pPr>
            <w:r>
              <w:rPr>
                <w:rFonts w:ascii="宋体" w:hAnsi="宋体" w:cs="宋体" w:eastAsia="宋体" w:hint="default"/>
                <w:sz w:val="18"/>
                <w:szCs w:val="18"/>
              </w:rPr>
              <w:t>同一最终 控制方控 制</w:t>
            </w:r>
          </w:p>
        </w:tc>
        <w:tc>
          <w:tcPr>
            <w:tcW w:w="7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84"/>
              <w:jc w:val="left"/>
              <w:rPr>
                <w:rFonts w:ascii="宋体" w:hAnsi="宋体" w:cs="宋体" w:eastAsia="宋体" w:hint="default"/>
                <w:sz w:val="18"/>
                <w:szCs w:val="18"/>
              </w:rPr>
            </w:pPr>
            <w:r>
              <w:rPr>
                <w:rFonts w:ascii="宋体" w:hAnsi="宋体" w:cs="宋体" w:eastAsia="宋体" w:hint="default"/>
                <w:sz w:val="18"/>
                <w:szCs w:val="18"/>
              </w:rPr>
              <w:t>结算余 额</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0.46</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0.00%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4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24"/>
              <w:jc w:val="left"/>
              <w:rPr>
                <w:rFonts w:ascii="宋体" w:hAnsi="宋体" w:cs="宋体" w:eastAsia="宋体" w:hint="default"/>
                <w:sz w:val="18"/>
                <w:szCs w:val="18"/>
              </w:rPr>
            </w:pPr>
            <w:r>
              <w:rPr>
                <w:rFonts w:ascii="宋体" w:hAnsi="宋体" w:cs="宋体" w:eastAsia="宋体" w:hint="default"/>
                <w:sz w:val="18"/>
                <w:szCs w:val="18"/>
              </w:rPr>
              <w:t>杭州日报报业集团 有限公司</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7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84"/>
              <w:jc w:val="left"/>
              <w:rPr>
                <w:rFonts w:ascii="宋体" w:hAnsi="宋体" w:cs="宋体" w:eastAsia="宋体" w:hint="default"/>
                <w:sz w:val="18"/>
                <w:szCs w:val="18"/>
              </w:rPr>
            </w:pPr>
            <w:r>
              <w:rPr>
                <w:rFonts w:ascii="宋体" w:hAnsi="宋体" w:cs="宋体" w:eastAsia="宋体" w:hint="default"/>
                <w:sz w:val="18"/>
                <w:szCs w:val="18"/>
              </w:rPr>
              <w:t>结算余 额</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179.15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544.94</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303.88</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0.00%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420.21</w:t>
            </w:r>
          </w:p>
        </w:tc>
      </w:tr>
      <w:tr>
        <w:trPr>
          <w:trHeight w:val="1026" w:hRule="exact"/>
        </w:trPr>
        <w:tc>
          <w:tcPr>
            <w:tcW w:w="14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浙江新旺财商贸有 限公司</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4"/>
              <w:jc w:val="both"/>
              <w:rPr>
                <w:rFonts w:ascii="宋体" w:hAnsi="宋体" w:cs="宋体" w:eastAsia="宋体" w:hint="default"/>
                <w:sz w:val="18"/>
                <w:szCs w:val="18"/>
              </w:rPr>
            </w:pPr>
            <w:r>
              <w:rPr>
                <w:rFonts w:ascii="宋体" w:hAnsi="宋体" w:cs="宋体" w:eastAsia="宋体" w:hint="default"/>
                <w:sz w:val="18"/>
                <w:szCs w:val="18"/>
              </w:rPr>
              <w:t>同一最终 控制方控 制</w:t>
            </w:r>
          </w:p>
        </w:tc>
        <w:tc>
          <w:tcPr>
            <w:tcW w:w="7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84"/>
              <w:jc w:val="left"/>
              <w:rPr>
                <w:rFonts w:ascii="宋体" w:hAnsi="宋体" w:cs="宋体" w:eastAsia="宋体" w:hint="default"/>
                <w:sz w:val="18"/>
                <w:szCs w:val="18"/>
              </w:rPr>
            </w:pPr>
            <w:r>
              <w:rPr>
                <w:rFonts w:ascii="宋体" w:hAnsi="宋体" w:cs="宋体" w:eastAsia="宋体" w:hint="default"/>
                <w:sz w:val="18"/>
                <w:szCs w:val="18"/>
              </w:rPr>
              <w:t>结算余 额</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85.65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54.93</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22.35</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0.00%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118.23</w:t>
            </w:r>
          </w:p>
        </w:tc>
      </w:tr>
      <w:tr>
        <w:trPr>
          <w:trHeight w:val="1027" w:hRule="exact"/>
        </w:trPr>
        <w:tc>
          <w:tcPr>
            <w:tcW w:w="14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杭州风茂房地产代 理有限公司</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4"/>
              <w:jc w:val="both"/>
              <w:rPr>
                <w:rFonts w:ascii="宋体" w:hAnsi="宋体" w:cs="宋体" w:eastAsia="宋体" w:hint="default"/>
                <w:sz w:val="18"/>
                <w:szCs w:val="18"/>
              </w:rPr>
            </w:pPr>
            <w:r>
              <w:rPr>
                <w:rFonts w:ascii="宋体" w:hAnsi="宋体" w:cs="宋体" w:eastAsia="宋体" w:hint="default"/>
                <w:sz w:val="18"/>
                <w:szCs w:val="18"/>
              </w:rPr>
              <w:t>同一最终 控制方控 制</w:t>
            </w:r>
          </w:p>
        </w:tc>
        <w:tc>
          <w:tcPr>
            <w:tcW w:w="7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84"/>
              <w:jc w:val="left"/>
              <w:rPr>
                <w:rFonts w:ascii="宋体" w:hAnsi="宋体" w:cs="宋体" w:eastAsia="宋体" w:hint="default"/>
                <w:sz w:val="18"/>
                <w:szCs w:val="18"/>
              </w:rPr>
            </w:pPr>
            <w:r>
              <w:rPr>
                <w:rFonts w:ascii="宋体" w:hAnsi="宋体" w:cs="宋体" w:eastAsia="宋体" w:hint="default"/>
                <w:sz w:val="18"/>
                <w:szCs w:val="18"/>
              </w:rPr>
              <w:t>结算余 额</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35.25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198.87</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234.12</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0.00%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499"/>
        <w:gridCol w:w="829"/>
        <w:gridCol w:w="759"/>
        <w:gridCol w:w="955"/>
        <w:gridCol w:w="1037"/>
        <w:gridCol w:w="1111"/>
        <w:gridCol w:w="1168"/>
        <w:gridCol w:w="521"/>
        <w:gridCol w:w="808"/>
        <w:gridCol w:w="980"/>
      </w:tblGrid>
      <w:tr>
        <w:trPr>
          <w:trHeight w:val="1135" w:hRule="exact"/>
        </w:trPr>
        <w:tc>
          <w:tcPr>
            <w:tcW w:w="14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杭州萧报国际旅行 社有限公司</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106"/>
              <w:ind w:left="22" w:right="74"/>
              <w:jc w:val="both"/>
              <w:rPr>
                <w:rFonts w:ascii="宋体" w:hAnsi="宋体" w:cs="宋体" w:eastAsia="宋体" w:hint="default"/>
                <w:sz w:val="18"/>
                <w:szCs w:val="18"/>
              </w:rPr>
            </w:pPr>
            <w:r>
              <w:rPr>
                <w:rFonts w:ascii="宋体" w:hAnsi="宋体" w:cs="宋体" w:eastAsia="宋体" w:hint="default"/>
                <w:sz w:val="18"/>
                <w:szCs w:val="18"/>
              </w:rPr>
              <w:t>同一最终 控制方控 制</w:t>
            </w:r>
          </w:p>
        </w:tc>
        <w:tc>
          <w:tcPr>
            <w:tcW w:w="7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6" w:lineRule="auto"/>
              <w:ind w:left="22" w:right="184"/>
              <w:jc w:val="left"/>
              <w:rPr>
                <w:rFonts w:ascii="宋体" w:hAnsi="宋体" w:cs="宋体" w:eastAsia="宋体" w:hint="default"/>
                <w:sz w:val="18"/>
                <w:szCs w:val="18"/>
              </w:rPr>
            </w:pPr>
            <w:r>
              <w:rPr>
                <w:rFonts w:ascii="宋体" w:hAnsi="宋体" w:cs="宋体" w:eastAsia="宋体" w:hint="default"/>
                <w:sz w:val="18"/>
                <w:szCs w:val="18"/>
              </w:rPr>
              <w:t>结算余 额</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21.99</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0.51</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22.5</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0.00%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4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7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84"/>
              <w:jc w:val="left"/>
              <w:rPr>
                <w:rFonts w:ascii="宋体" w:hAnsi="宋体" w:cs="宋体" w:eastAsia="宋体" w:hint="default"/>
                <w:sz w:val="18"/>
                <w:szCs w:val="18"/>
              </w:rPr>
            </w:pPr>
            <w:r>
              <w:rPr>
                <w:rFonts w:ascii="宋体" w:hAnsi="宋体" w:cs="宋体" w:eastAsia="宋体" w:hint="default"/>
                <w:sz w:val="18"/>
                <w:szCs w:val="18"/>
              </w:rPr>
              <w:t>结算余 额</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214.51</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228.03</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0.00%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2.08</w:t>
            </w:r>
          </w:p>
        </w:tc>
      </w:tr>
      <w:tr>
        <w:trPr>
          <w:trHeight w:val="1026" w:hRule="exact"/>
        </w:trPr>
        <w:tc>
          <w:tcPr>
            <w:tcW w:w="14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杭州萧山旺财商贸 有限公司</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4"/>
              <w:jc w:val="both"/>
              <w:rPr>
                <w:rFonts w:ascii="宋体" w:hAnsi="宋体" w:cs="宋体" w:eastAsia="宋体" w:hint="default"/>
                <w:sz w:val="18"/>
                <w:szCs w:val="18"/>
              </w:rPr>
            </w:pPr>
            <w:r>
              <w:rPr>
                <w:rFonts w:ascii="宋体" w:hAnsi="宋体" w:cs="宋体" w:eastAsia="宋体" w:hint="default"/>
                <w:sz w:val="18"/>
                <w:szCs w:val="18"/>
              </w:rPr>
              <w:t>同一最终 控制方控 制</w:t>
            </w:r>
          </w:p>
        </w:tc>
        <w:tc>
          <w:tcPr>
            <w:tcW w:w="7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84"/>
              <w:jc w:val="left"/>
              <w:rPr>
                <w:rFonts w:ascii="宋体" w:hAnsi="宋体" w:cs="宋体" w:eastAsia="宋体" w:hint="default"/>
                <w:sz w:val="18"/>
                <w:szCs w:val="18"/>
              </w:rPr>
            </w:pPr>
            <w:r>
              <w:rPr>
                <w:rFonts w:ascii="宋体" w:hAnsi="宋体" w:cs="宋体" w:eastAsia="宋体" w:hint="default"/>
                <w:sz w:val="18"/>
                <w:szCs w:val="18"/>
              </w:rPr>
              <w:t>结算余 额</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0.05</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8.75</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0.00%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4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杭州萧山萧报教育 咨询有限公司</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4"/>
              <w:jc w:val="both"/>
              <w:rPr>
                <w:rFonts w:ascii="宋体" w:hAnsi="宋体" w:cs="宋体" w:eastAsia="宋体" w:hint="default"/>
                <w:sz w:val="18"/>
                <w:szCs w:val="18"/>
              </w:rPr>
            </w:pPr>
            <w:r>
              <w:rPr>
                <w:rFonts w:ascii="宋体" w:hAnsi="宋体" w:cs="宋体" w:eastAsia="宋体" w:hint="default"/>
                <w:sz w:val="18"/>
                <w:szCs w:val="18"/>
              </w:rPr>
              <w:t>同一最终 控制方控 制</w:t>
            </w:r>
          </w:p>
        </w:tc>
        <w:tc>
          <w:tcPr>
            <w:tcW w:w="7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84"/>
              <w:jc w:val="left"/>
              <w:rPr>
                <w:rFonts w:ascii="宋体" w:hAnsi="宋体" w:cs="宋体" w:eastAsia="宋体" w:hint="default"/>
                <w:sz w:val="18"/>
                <w:szCs w:val="18"/>
              </w:rPr>
            </w:pPr>
            <w:r>
              <w:rPr>
                <w:rFonts w:ascii="宋体" w:hAnsi="宋体" w:cs="宋体" w:eastAsia="宋体" w:hint="default"/>
                <w:sz w:val="18"/>
                <w:szCs w:val="18"/>
              </w:rPr>
              <w:t>结算余 额</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5.54</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376.35</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237.37</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0.00%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144.52</w:t>
            </w:r>
          </w:p>
        </w:tc>
      </w:tr>
      <w:tr>
        <w:trPr>
          <w:trHeight w:val="1026" w:hRule="exact"/>
        </w:trPr>
        <w:tc>
          <w:tcPr>
            <w:tcW w:w="14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浙江杭报金都创意 产业发展有限公司</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4"/>
              <w:jc w:val="both"/>
              <w:rPr>
                <w:rFonts w:ascii="宋体" w:hAnsi="宋体" w:cs="宋体" w:eastAsia="宋体" w:hint="default"/>
                <w:sz w:val="18"/>
                <w:szCs w:val="18"/>
              </w:rPr>
            </w:pPr>
            <w:r>
              <w:rPr>
                <w:rFonts w:ascii="宋体" w:hAnsi="宋体" w:cs="宋体" w:eastAsia="宋体" w:hint="default"/>
                <w:sz w:val="18"/>
                <w:szCs w:val="18"/>
              </w:rPr>
              <w:t>同一最终 控制方控 制</w:t>
            </w:r>
          </w:p>
        </w:tc>
        <w:tc>
          <w:tcPr>
            <w:tcW w:w="7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84"/>
              <w:jc w:val="left"/>
              <w:rPr>
                <w:rFonts w:ascii="宋体" w:hAnsi="宋体" w:cs="宋体" w:eastAsia="宋体" w:hint="default"/>
                <w:sz w:val="18"/>
                <w:szCs w:val="18"/>
              </w:rPr>
            </w:pPr>
            <w:r>
              <w:rPr>
                <w:rFonts w:ascii="宋体" w:hAnsi="宋体" w:cs="宋体" w:eastAsia="宋体" w:hint="default"/>
                <w:sz w:val="18"/>
                <w:szCs w:val="18"/>
              </w:rPr>
              <w:t>结算余 额</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0.21</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3.77</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0.00%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4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杭州风和会展有限 公司</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4"/>
              <w:jc w:val="both"/>
              <w:rPr>
                <w:rFonts w:ascii="宋体" w:hAnsi="宋体" w:cs="宋体" w:eastAsia="宋体" w:hint="default"/>
                <w:sz w:val="18"/>
                <w:szCs w:val="18"/>
              </w:rPr>
            </w:pPr>
            <w:r>
              <w:rPr>
                <w:rFonts w:ascii="宋体" w:hAnsi="宋体" w:cs="宋体" w:eastAsia="宋体" w:hint="default"/>
                <w:sz w:val="18"/>
                <w:szCs w:val="18"/>
              </w:rPr>
              <w:t>同一最终 控制方控 制</w:t>
            </w:r>
          </w:p>
        </w:tc>
        <w:tc>
          <w:tcPr>
            <w:tcW w:w="7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84"/>
              <w:jc w:val="left"/>
              <w:rPr>
                <w:rFonts w:ascii="宋体" w:hAnsi="宋体" w:cs="宋体" w:eastAsia="宋体" w:hint="default"/>
                <w:sz w:val="18"/>
                <w:szCs w:val="18"/>
              </w:rPr>
            </w:pPr>
            <w:r>
              <w:rPr>
                <w:rFonts w:ascii="宋体" w:hAnsi="宋体" w:cs="宋体" w:eastAsia="宋体" w:hint="default"/>
                <w:sz w:val="18"/>
                <w:szCs w:val="18"/>
              </w:rPr>
              <w:t>结算余 额</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0.95</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0.00%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4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杭州萧文置业有限 公司</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4"/>
              <w:jc w:val="both"/>
              <w:rPr>
                <w:rFonts w:ascii="宋体" w:hAnsi="宋体" w:cs="宋体" w:eastAsia="宋体" w:hint="default"/>
                <w:sz w:val="18"/>
                <w:szCs w:val="18"/>
              </w:rPr>
            </w:pPr>
            <w:r>
              <w:rPr>
                <w:rFonts w:ascii="宋体" w:hAnsi="宋体" w:cs="宋体" w:eastAsia="宋体" w:hint="default"/>
                <w:sz w:val="18"/>
                <w:szCs w:val="18"/>
              </w:rPr>
              <w:t>同一最终 控制方控 制</w:t>
            </w:r>
          </w:p>
        </w:tc>
        <w:tc>
          <w:tcPr>
            <w:tcW w:w="7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84"/>
              <w:jc w:val="left"/>
              <w:rPr>
                <w:rFonts w:ascii="宋体" w:hAnsi="宋体" w:cs="宋体" w:eastAsia="宋体" w:hint="default"/>
                <w:sz w:val="18"/>
                <w:szCs w:val="18"/>
              </w:rPr>
            </w:pPr>
            <w:r>
              <w:rPr>
                <w:rFonts w:ascii="宋体" w:hAnsi="宋体" w:cs="宋体" w:eastAsia="宋体" w:hint="default"/>
                <w:sz w:val="18"/>
                <w:szCs w:val="18"/>
              </w:rPr>
              <w:t>结算余 额</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0.92</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287.97</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1.39</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0.00%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287.5</w:t>
            </w:r>
          </w:p>
        </w:tc>
      </w:tr>
      <w:tr>
        <w:trPr>
          <w:trHeight w:val="1026" w:hRule="exact"/>
        </w:trPr>
        <w:tc>
          <w:tcPr>
            <w:tcW w:w="14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杭州新闻物业管理 开发有限公司</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4"/>
              <w:jc w:val="both"/>
              <w:rPr>
                <w:rFonts w:ascii="宋体" w:hAnsi="宋体" w:cs="宋体" w:eastAsia="宋体" w:hint="default"/>
                <w:sz w:val="18"/>
                <w:szCs w:val="18"/>
              </w:rPr>
            </w:pPr>
            <w:r>
              <w:rPr>
                <w:rFonts w:ascii="宋体" w:hAnsi="宋体" w:cs="宋体" w:eastAsia="宋体" w:hint="default"/>
                <w:sz w:val="18"/>
                <w:szCs w:val="18"/>
              </w:rPr>
              <w:t>同一最终 控制方控 制</w:t>
            </w:r>
          </w:p>
        </w:tc>
        <w:tc>
          <w:tcPr>
            <w:tcW w:w="7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84"/>
              <w:jc w:val="left"/>
              <w:rPr>
                <w:rFonts w:ascii="宋体" w:hAnsi="宋体" w:cs="宋体" w:eastAsia="宋体" w:hint="default"/>
                <w:sz w:val="18"/>
                <w:szCs w:val="18"/>
              </w:rPr>
            </w:pPr>
            <w:r>
              <w:rPr>
                <w:rFonts w:ascii="宋体" w:hAnsi="宋体" w:cs="宋体" w:eastAsia="宋体" w:hint="default"/>
                <w:sz w:val="18"/>
                <w:szCs w:val="18"/>
              </w:rPr>
              <w:t>结算余 额</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0.91</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0.00%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4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富阳闻达电子商务 有限公司</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4"/>
              <w:jc w:val="both"/>
              <w:rPr>
                <w:rFonts w:ascii="宋体" w:hAnsi="宋体" w:cs="宋体" w:eastAsia="宋体" w:hint="default"/>
                <w:sz w:val="18"/>
                <w:szCs w:val="18"/>
              </w:rPr>
            </w:pPr>
            <w:r>
              <w:rPr>
                <w:rFonts w:ascii="宋体" w:hAnsi="宋体" w:cs="宋体" w:eastAsia="宋体" w:hint="default"/>
                <w:sz w:val="18"/>
                <w:szCs w:val="18"/>
              </w:rPr>
              <w:t>同一最终 控制方控 制</w:t>
            </w:r>
          </w:p>
        </w:tc>
        <w:tc>
          <w:tcPr>
            <w:tcW w:w="7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84"/>
              <w:jc w:val="left"/>
              <w:rPr>
                <w:rFonts w:ascii="宋体" w:hAnsi="宋体" w:cs="宋体" w:eastAsia="宋体" w:hint="default"/>
                <w:sz w:val="18"/>
                <w:szCs w:val="18"/>
              </w:rPr>
            </w:pPr>
            <w:r>
              <w:rPr>
                <w:rFonts w:ascii="宋体" w:hAnsi="宋体" w:cs="宋体" w:eastAsia="宋体" w:hint="default"/>
                <w:sz w:val="18"/>
                <w:szCs w:val="18"/>
              </w:rPr>
              <w:t>结算余 额</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31.33</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31.33</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0.00%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4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杭州城市通媒体有 限公司</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4"/>
              <w:jc w:val="both"/>
              <w:rPr>
                <w:rFonts w:ascii="宋体" w:hAnsi="宋体" w:cs="宋体" w:eastAsia="宋体" w:hint="default"/>
                <w:sz w:val="18"/>
                <w:szCs w:val="18"/>
              </w:rPr>
            </w:pPr>
            <w:r>
              <w:rPr>
                <w:rFonts w:ascii="宋体" w:hAnsi="宋体" w:cs="宋体" w:eastAsia="宋体" w:hint="default"/>
                <w:sz w:val="18"/>
                <w:szCs w:val="18"/>
              </w:rPr>
              <w:t>同一最终 控制方控 制</w:t>
            </w:r>
          </w:p>
        </w:tc>
        <w:tc>
          <w:tcPr>
            <w:tcW w:w="7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84"/>
              <w:jc w:val="left"/>
              <w:rPr>
                <w:rFonts w:ascii="宋体" w:hAnsi="宋体" w:cs="宋体" w:eastAsia="宋体" w:hint="default"/>
                <w:sz w:val="18"/>
                <w:szCs w:val="18"/>
              </w:rPr>
            </w:pPr>
            <w:r>
              <w:rPr>
                <w:rFonts w:ascii="宋体" w:hAnsi="宋体" w:cs="宋体" w:eastAsia="宋体" w:hint="default"/>
                <w:sz w:val="18"/>
                <w:szCs w:val="18"/>
              </w:rPr>
              <w:t>结算余 额</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5.64</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1.32</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0.00%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4.32</w:t>
            </w:r>
          </w:p>
        </w:tc>
      </w:tr>
      <w:tr>
        <w:trPr>
          <w:trHeight w:val="1026" w:hRule="exact"/>
        </w:trPr>
        <w:tc>
          <w:tcPr>
            <w:tcW w:w="14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杭州日报报业集团 假日宾馆有限公司</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4"/>
              <w:jc w:val="both"/>
              <w:rPr>
                <w:rFonts w:ascii="宋体" w:hAnsi="宋体" w:cs="宋体" w:eastAsia="宋体" w:hint="default"/>
                <w:sz w:val="18"/>
                <w:szCs w:val="18"/>
              </w:rPr>
            </w:pPr>
            <w:r>
              <w:rPr>
                <w:rFonts w:ascii="宋体" w:hAnsi="宋体" w:cs="宋体" w:eastAsia="宋体" w:hint="default"/>
                <w:sz w:val="18"/>
                <w:szCs w:val="18"/>
              </w:rPr>
              <w:t>同一最终 控制方控 制</w:t>
            </w:r>
          </w:p>
        </w:tc>
        <w:tc>
          <w:tcPr>
            <w:tcW w:w="7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84"/>
              <w:jc w:val="left"/>
              <w:rPr>
                <w:rFonts w:ascii="宋体" w:hAnsi="宋体" w:cs="宋体" w:eastAsia="宋体" w:hint="default"/>
                <w:sz w:val="18"/>
                <w:szCs w:val="18"/>
              </w:rPr>
            </w:pPr>
            <w:r>
              <w:rPr>
                <w:rFonts w:ascii="宋体" w:hAnsi="宋体" w:cs="宋体" w:eastAsia="宋体" w:hint="default"/>
                <w:sz w:val="18"/>
                <w:szCs w:val="18"/>
              </w:rPr>
              <w:t>结算余 额</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73.36</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73.36</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0.00%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4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每日商报社</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4"/>
              <w:jc w:val="both"/>
              <w:rPr>
                <w:rFonts w:ascii="宋体" w:hAnsi="宋体" w:cs="宋体" w:eastAsia="宋体" w:hint="default"/>
                <w:sz w:val="18"/>
                <w:szCs w:val="18"/>
              </w:rPr>
            </w:pPr>
            <w:r>
              <w:rPr>
                <w:rFonts w:ascii="宋体" w:hAnsi="宋体" w:cs="宋体" w:eastAsia="宋体" w:hint="default"/>
                <w:sz w:val="18"/>
                <w:szCs w:val="18"/>
              </w:rPr>
              <w:t>同一最终 控制方控 制</w:t>
            </w:r>
          </w:p>
        </w:tc>
        <w:tc>
          <w:tcPr>
            <w:tcW w:w="7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84"/>
              <w:jc w:val="left"/>
              <w:rPr>
                <w:rFonts w:ascii="宋体" w:hAnsi="宋体" w:cs="宋体" w:eastAsia="宋体" w:hint="default"/>
                <w:sz w:val="18"/>
                <w:szCs w:val="18"/>
              </w:rPr>
            </w:pPr>
            <w:r>
              <w:rPr>
                <w:rFonts w:ascii="宋体" w:hAnsi="宋体" w:cs="宋体" w:eastAsia="宋体" w:hint="default"/>
                <w:sz w:val="18"/>
                <w:szCs w:val="18"/>
              </w:rPr>
              <w:t>结算余 额</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4.29</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4.29</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0.00%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4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萧山日报社</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4"/>
              <w:jc w:val="both"/>
              <w:rPr>
                <w:rFonts w:ascii="宋体" w:hAnsi="宋体" w:cs="宋体" w:eastAsia="宋体" w:hint="default"/>
                <w:sz w:val="18"/>
                <w:szCs w:val="18"/>
              </w:rPr>
            </w:pPr>
            <w:r>
              <w:rPr>
                <w:rFonts w:ascii="宋体" w:hAnsi="宋体" w:cs="宋体" w:eastAsia="宋体" w:hint="default"/>
                <w:sz w:val="18"/>
                <w:szCs w:val="18"/>
              </w:rPr>
              <w:t>同一最终 控制方控 制</w:t>
            </w:r>
          </w:p>
        </w:tc>
        <w:tc>
          <w:tcPr>
            <w:tcW w:w="7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84"/>
              <w:jc w:val="left"/>
              <w:rPr>
                <w:rFonts w:ascii="宋体" w:hAnsi="宋体" w:cs="宋体" w:eastAsia="宋体" w:hint="default"/>
                <w:sz w:val="18"/>
                <w:szCs w:val="18"/>
              </w:rPr>
            </w:pPr>
            <w:r>
              <w:rPr>
                <w:rFonts w:ascii="宋体" w:hAnsi="宋体" w:cs="宋体" w:eastAsia="宋体" w:hint="default"/>
                <w:sz w:val="18"/>
                <w:szCs w:val="18"/>
              </w:rPr>
              <w:t>结算余 额</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29.58</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7.58</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0.00%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w:t>
            </w:r>
          </w:p>
        </w:tc>
      </w:tr>
      <w:tr>
        <w:trPr>
          <w:trHeight w:val="714" w:hRule="exact"/>
        </w:trPr>
        <w:tc>
          <w:tcPr>
            <w:tcW w:w="14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杭州日报报业集团 有限公司</w:t>
            </w:r>
          </w:p>
        </w:tc>
        <w:tc>
          <w:tcPr>
            <w:tcW w:w="82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75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0.00%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1487"/>
        <w:gridCol w:w="813"/>
        <w:gridCol w:w="764"/>
        <w:gridCol w:w="966"/>
        <w:gridCol w:w="1037"/>
        <w:gridCol w:w="1111"/>
        <w:gridCol w:w="1168"/>
        <w:gridCol w:w="521"/>
        <w:gridCol w:w="808"/>
        <w:gridCol w:w="980"/>
      </w:tblGrid>
      <w:tr>
        <w:trPr>
          <w:trHeight w:val="161" w:hRule="exact"/>
        </w:trPr>
        <w:tc>
          <w:tcPr>
            <w:tcW w:w="1487" w:type="dxa"/>
            <w:tcBorders>
              <w:top w:val="single" w:sz="4" w:space="0" w:color="000000"/>
              <w:left w:val="single" w:sz="4" w:space="0" w:color="000000"/>
              <w:bottom w:val="nil" w:sz="6" w:space="0" w:color="auto"/>
              <w:right w:val="single" w:sz="4" w:space="0" w:color="000000"/>
            </w:tcBorders>
            <w:shd w:val="clear" w:color="auto" w:fill="C7EDCC"/>
          </w:tcPr>
          <w:p>
            <w:pPr/>
          </w:p>
        </w:tc>
        <w:tc>
          <w:tcPr>
            <w:tcW w:w="813" w:type="dxa"/>
            <w:vMerge w:val="restart"/>
            <w:tcBorders>
              <w:top w:val="single" w:sz="4" w:space="0" w:color="000000"/>
              <w:left w:val="single" w:sz="4" w:space="0" w:color="000000"/>
              <w:right w:val="single" w:sz="4" w:space="0" w:color="000000"/>
            </w:tcBorders>
            <w:shd w:val="clear" w:color="auto" w:fill="C7EDCC"/>
          </w:tcPr>
          <w:p>
            <w:pPr>
              <w:pStyle w:val="TableParagraph"/>
              <w:spacing w:line="319" w:lineRule="auto" w:before="51"/>
              <w:ind w:left="22" w:right="58"/>
              <w:jc w:val="both"/>
              <w:rPr>
                <w:rFonts w:ascii="宋体" w:hAnsi="宋体" w:cs="宋体" w:eastAsia="宋体" w:hint="default"/>
                <w:sz w:val="18"/>
                <w:szCs w:val="18"/>
              </w:rPr>
            </w:pPr>
            <w:r>
              <w:rPr>
                <w:rFonts w:ascii="宋体" w:hAnsi="宋体" w:cs="宋体" w:eastAsia="宋体" w:hint="default"/>
                <w:sz w:val="18"/>
                <w:szCs w:val="18"/>
              </w:rPr>
              <w:t>同一最终 控制方控 制</w:t>
            </w:r>
          </w:p>
        </w:tc>
        <w:tc>
          <w:tcPr>
            <w:tcW w:w="764" w:type="dxa"/>
            <w:vMerge w:val="restart"/>
            <w:tcBorders>
              <w:top w:val="single" w:sz="4" w:space="0" w:color="000000"/>
              <w:left w:val="single" w:sz="4" w:space="0" w:color="000000"/>
              <w:right w:val="single" w:sz="4" w:space="0" w:color="000000"/>
            </w:tcBorders>
            <w:shd w:val="clear" w:color="auto" w:fill="C7EDCC"/>
          </w:tcPr>
          <w:p>
            <w:pPr/>
          </w:p>
        </w:tc>
        <w:tc>
          <w:tcPr>
            <w:tcW w:w="966" w:type="dxa"/>
            <w:vMerge w:val="restart"/>
            <w:tcBorders>
              <w:top w:val="single" w:sz="4" w:space="0" w:color="000000"/>
              <w:left w:val="single" w:sz="9" w:space="0" w:color="C7EDCC"/>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w:t>
            </w:r>
          </w:p>
        </w:tc>
        <w:tc>
          <w:tcPr>
            <w:tcW w:w="11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5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0.00%</w:t>
            </w:r>
          </w:p>
        </w:tc>
        <w:tc>
          <w:tcPr>
            <w:tcW w:w="8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33" w:right="0"/>
              <w:jc w:val="left"/>
              <w:rPr>
                <w:rFonts w:ascii="Times New Roman" w:hAnsi="Times New Roman" w:cs="Times New Roman" w:eastAsia="Times New Roman" w:hint="default"/>
                <w:sz w:val="18"/>
                <w:szCs w:val="18"/>
              </w:rPr>
            </w:pPr>
            <w:r>
              <w:rPr>
                <w:rFonts w:ascii="Times New Roman"/>
                <w:sz w:val="18"/>
              </w:rPr>
              <w:t>17.5</w:t>
            </w:r>
          </w:p>
        </w:tc>
      </w:tr>
      <w:tr>
        <w:trPr>
          <w:trHeight w:val="156" w:hRule="exact"/>
        </w:trPr>
        <w:tc>
          <w:tcPr>
            <w:tcW w:w="1487" w:type="dxa"/>
            <w:vMerge w:val="restart"/>
            <w:tcBorders>
              <w:top w:val="nil" w:sz="6" w:space="0" w:color="auto"/>
              <w:left w:val="single" w:sz="4" w:space="0" w:color="000000"/>
              <w:right w:val="single" w:sz="4" w:space="0" w:color="000000"/>
            </w:tcBorders>
            <w:shd w:val="clear" w:color="auto" w:fill="C7EDCC"/>
          </w:tcPr>
          <w:p>
            <w:pPr>
              <w:pStyle w:val="TableParagraph"/>
              <w:spacing w:line="319" w:lineRule="auto" w:before="51"/>
              <w:ind w:left="11" w:right="24"/>
              <w:jc w:val="left"/>
              <w:rPr>
                <w:rFonts w:ascii="宋体" w:hAnsi="宋体" w:cs="宋体" w:eastAsia="宋体" w:hint="default"/>
                <w:sz w:val="18"/>
                <w:szCs w:val="18"/>
              </w:rPr>
            </w:pPr>
            <w:r>
              <w:rPr>
                <w:rFonts w:ascii="宋体" w:hAnsi="宋体" w:cs="宋体" w:eastAsia="宋体" w:hint="default"/>
                <w:sz w:val="18"/>
                <w:szCs w:val="18"/>
              </w:rPr>
              <w:t>浙江杭报金都创意 产业发展有限公司</w:t>
            </w:r>
          </w:p>
        </w:tc>
        <w:tc>
          <w:tcPr>
            <w:tcW w:w="813" w:type="dxa"/>
            <w:vMerge/>
            <w:tcBorders>
              <w:left w:val="single" w:sz="4" w:space="0" w:color="000000"/>
              <w:right w:val="single" w:sz="4" w:space="0" w:color="000000"/>
            </w:tcBorders>
            <w:shd w:val="clear" w:color="auto" w:fill="C7EDCC"/>
          </w:tcPr>
          <w:p>
            <w:pPr/>
          </w:p>
        </w:tc>
        <w:tc>
          <w:tcPr>
            <w:tcW w:w="764" w:type="dxa"/>
            <w:vMerge/>
            <w:tcBorders>
              <w:left w:val="single" w:sz="4" w:space="0" w:color="000000"/>
              <w:bottom w:val="nil" w:sz="6" w:space="0" w:color="auto"/>
              <w:right w:val="single" w:sz="4" w:space="0" w:color="000000"/>
            </w:tcBorders>
            <w:shd w:val="clear" w:color="auto" w:fill="C7EDCC"/>
          </w:tcPr>
          <w:p>
            <w:pPr/>
          </w:p>
        </w:tc>
        <w:tc>
          <w:tcPr>
            <w:tcW w:w="966" w:type="dxa"/>
            <w:vMerge/>
            <w:tcBorders>
              <w:left w:val="single" w:sz="9" w:space="0" w:color="C7EDCC"/>
              <w:right w:val="single" w:sz="4" w:space="0" w:color="000000"/>
            </w:tcBorders>
          </w:tcPr>
          <w:p>
            <w:pPr/>
          </w:p>
        </w:tc>
        <w:tc>
          <w:tcPr>
            <w:tcW w:w="1037" w:type="dxa"/>
            <w:vMerge/>
            <w:tcBorders>
              <w:left w:val="single" w:sz="4" w:space="0" w:color="000000"/>
              <w:right w:val="single" w:sz="4" w:space="0" w:color="000000"/>
            </w:tcBorders>
          </w:tcPr>
          <w:p>
            <w:pPr/>
          </w:p>
        </w:tc>
        <w:tc>
          <w:tcPr>
            <w:tcW w:w="1111" w:type="dxa"/>
            <w:vMerge/>
            <w:tcBorders>
              <w:left w:val="single" w:sz="4" w:space="0" w:color="000000"/>
              <w:right w:val="single" w:sz="4" w:space="0" w:color="000000"/>
            </w:tcBorders>
          </w:tcPr>
          <w:p>
            <w:pPr/>
          </w:p>
        </w:tc>
        <w:tc>
          <w:tcPr>
            <w:tcW w:w="1168" w:type="dxa"/>
            <w:vMerge/>
            <w:tcBorders>
              <w:left w:val="single" w:sz="4" w:space="0" w:color="000000"/>
              <w:right w:val="single" w:sz="4" w:space="0" w:color="000000"/>
            </w:tcBorders>
          </w:tcPr>
          <w:p>
            <w:pPr/>
          </w:p>
        </w:tc>
        <w:tc>
          <w:tcPr>
            <w:tcW w:w="521" w:type="dxa"/>
            <w:vMerge/>
            <w:tcBorders>
              <w:left w:val="single" w:sz="4" w:space="0" w:color="000000"/>
              <w:right w:val="single" w:sz="4" w:space="0" w:color="000000"/>
            </w:tcBorders>
          </w:tcPr>
          <w:p>
            <w:pPr/>
          </w:p>
        </w:tc>
        <w:tc>
          <w:tcPr>
            <w:tcW w:w="808" w:type="dxa"/>
            <w:vMerge/>
            <w:tcBorders>
              <w:left w:val="single" w:sz="4" w:space="0" w:color="000000"/>
              <w:right w:val="single" w:sz="4" w:space="0" w:color="000000"/>
            </w:tcBorders>
          </w:tcPr>
          <w:p>
            <w:pPr/>
          </w:p>
        </w:tc>
        <w:tc>
          <w:tcPr>
            <w:tcW w:w="980" w:type="dxa"/>
            <w:vMerge/>
            <w:tcBorders>
              <w:left w:val="single" w:sz="4" w:space="0" w:color="000000"/>
              <w:right w:val="single" w:sz="4" w:space="0" w:color="000000"/>
            </w:tcBorders>
          </w:tcPr>
          <w:p>
            <w:pPr/>
          </w:p>
        </w:tc>
      </w:tr>
      <w:tr>
        <w:trPr>
          <w:trHeight w:val="392" w:hRule="exact"/>
        </w:trPr>
        <w:tc>
          <w:tcPr>
            <w:tcW w:w="1487" w:type="dxa"/>
            <w:vMerge/>
            <w:tcBorders>
              <w:left w:val="single" w:sz="4" w:space="0" w:color="000000"/>
              <w:right w:val="single" w:sz="4" w:space="0" w:color="000000"/>
            </w:tcBorders>
            <w:shd w:val="clear" w:color="auto" w:fill="C7EDCC"/>
          </w:tcPr>
          <w:p>
            <w:pPr/>
          </w:p>
        </w:tc>
        <w:tc>
          <w:tcPr>
            <w:tcW w:w="813" w:type="dxa"/>
            <w:vMerge/>
            <w:tcBorders>
              <w:left w:val="single" w:sz="4" w:space="0" w:color="000000"/>
              <w:right w:val="single" w:sz="4" w:space="0" w:color="000000"/>
            </w:tcBorders>
            <w:shd w:val="clear" w:color="auto" w:fill="C7EDCC"/>
          </w:tcPr>
          <w:p>
            <w:pPr/>
          </w:p>
        </w:tc>
        <w:tc>
          <w:tcPr>
            <w:tcW w:w="76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38"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966" w:type="dxa"/>
            <w:vMerge/>
            <w:tcBorders>
              <w:left w:val="single" w:sz="9" w:space="0" w:color="C7EDCC"/>
              <w:right w:val="single" w:sz="4" w:space="0" w:color="000000"/>
            </w:tcBorders>
          </w:tcPr>
          <w:p>
            <w:pPr/>
          </w:p>
        </w:tc>
        <w:tc>
          <w:tcPr>
            <w:tcW w:w="1037" w:type="dxa"/>
            <w:vMerge/>
            <w:tcBorders>
              <w:left w:val="single" w:sz="4" w:space="0" w:color="000000"/>
              <w:right w:val="single" w:sz="4" w:space="0" w:color="000000"/>
            </w:tcBorders>
          </w:tcPr>
          <w:p>
            <w:pPr/>
          </w:p>
        </w:tc>
        <w:tc>
          <w:tcPr>
            <w:tcW w:w="1111" w:type="dxa"/>
            <w:vMerge/>
            <w:tcBorders>
              <w:left w:val="single" w:sz="4" w:space="0" w:color="000000"/>
              <w:right w:val="single" w:sz="4" w:space="0" w:color="000000"/>
            </w:tcBorders>
          </w:tcPr>
          <w:p>
            <w:pPr/>
          </w:p>
        </w:tc>
        <w:tc>
          <w:tcPr>
            <w:tcW w:w="1168" w:type="dxa"/>
            <w:vMerge/>
            <w:tcBorders>
              <w:left w:val="single" w:sz="4" w:space="0" w:color="000000"/>
              <w:right w:val="single" w:sz="4" w:space="0" w:color="000000"/>
            </w:tcBorders>
          </w:tcPr>
          <w:p>
            <w:pPr/>
          </w:p>
        </w:tc>
        <w:tc>
          <w:tcPr>
            <w:tcW w:w="521" w:type="dxa"/>
            <w:vMerge/>
            <w:tcBorders>
              <w:left w:val="single" w:sz="4" w:space="0" w:color="000000"/>
              <w:right w:val="single" w:sz="4" w:space="0" w:color="000000"/>
            </w:tcBorders>
          </w:tcPr>
          <w:p>
            <w:pPr/>
          </w:p>
        </w:tc>
        <w:tc>
          <w:tcPr>
            <w:tcW w:w="808" w:type="dxa"/>
            <w:vMerge/>
            <w:tcBorders>
              <w:left w:val="single" w:sz="4" w:space="0" w:color="000000"/>
              <w:right w:val="single" w:sz="4" w:space="0" w:color="000000"/>
            </w:tcBorders>
          </w:tcPr>
          <w:p>
            <w:pPr/>
          </w:p>
        </w:tc>
        <w:tc>
          <w:tcPr>
            <w:tcW w:w="980" w:type="dxa"/>
            <w:vMerge/>
            <w:tcBorders>
              <w:left w:val="single" w:sz="4" w:space="0" w:color="000000"/>
              <w:right w:val="single" w:sz="4" w:space="0" w:color="000000"/>
            </w:tcBorders>
          </w:tcPr>
          <w:p>
            <w:pPr/>
          </w:p>
        </w:tc>
      </w:tr>
      <w:tr>
        <w:trPr>
          <w:trHeight w:val="156" w:hRule="exact"/>
        </w:trPr>
        <w:tc>
          <w:tcPr>
            <w:tcW w:w="1487" w:type="dxa"/>
            <w:vMerge/>
            <w:tcBorders>
              <w:left w:val="single" w:sz="4" w:space="0" w:color="000000"/>
              <w:bottom w:val="nil" w:sz="6" w:space="0" w:color="auto"/>
              <w:right w:val="single" w:sz="4" w:space="0" w:color="000000"/>
            </w:tcBorders>
            <w:shd w:val="clear" w:color="auto" w:fill="C7EDCC"/>
          </w:tcPr>
          <w:p>
            <w:pPr/>
          </w:p>
        </w:tc>
        <w:tc>
          <w:tcPr>
            <w:tcW w:w="813" w:type="dxa"/>
            <w:vMerge/>
            <w:tcBorders>
              <w:left w:val="single" w:sz="4" w:space="0" w:color="000000"/>
              <w:right w:val="single" w:sz="4" w:space="0" w:color="000000"/>
            </w:tcBorders>
            <w:shd w:val="clear" w:color="auto" w:fill="C7EDCC"/>
          </w:tcPr>
          <w:p>
            <w:pPr/>
          </w:p>
        </w:tc>
        <w:tc>
          <w:tcPr>
            <w:tcW w:w="764" w:type="dxa"/>
            <w:vMerge w:val="restart"/>
            <w:tcBorders>
              <w:top w:val="nil" w:sz="6" w:space="0" w:color="auto"/>
              <w:left w:val="single" w:sz="4" w:space="0" w:color="000000"/>
              <w:right w:val="single" w:sz="4" w:space="0" w:color="000000"/>
            </w:tcBorders>
            <w:shd w:val="clear" w:color="auto" w:fill="C7EDCC"/>
          </w:tcPr>
          <w:p>
            <w:pPr/>
          </w:p>
        </w:tc>
        <w:tc>
          <w:tcPr>
            <w:tcW w:w="966" w:type="dxa"/>
            <w:vMerge/>
            <w:tcBorders>
              <w:left w:val="single" w:sz="9" w:space="0" w:color="C7EDCC"/>
              <w:right w:val="single" w:sz="4" w:space="0" w:color="000000"/>
            </w:tcBorders>
          </w:tcPr>
          <w:p>
            <w:pPr/>
          </w:p>
        </w:tc>
        <w:tc>
          <w:tcPr>
            <w:tcW w:w="1037" w:type="dxa"/>
            <w:vMerge/>
            <w:tcBorders>
              <w:left w:val="single" w:sz="4" w:space="0" w:color="000000"/>
              <w:right w:val="single" w:sz="4" w:space="0" w:color="000000"/>
            </w:tcBorders>
          </w:tcPr>
          <w:p>
            <w:pPr/>
          </w:p>
        </w:tc>
        <w:tc>
          <w:tcPr>
            <w:tcW w:w="1111" w:type="dxa"/>
            <w:vMerge/>
            <w:tcBorders>
              <w:left w:val="single" w:sz="4" w:space="0" w:color="000000"/>
              <w:right w:val="single" w:sz="4" w:space="0" w:color="000000"/>
            </w:tcBorders>
          </w:tcPr>
          <w:p>
            <w:pPr/>
          </w:p>
        </w:tc>
        <w:tc>
          <w:tcPr>
            <w:tcW w:w="1168" w:type="dxa"/>
            <w:vMerge/>
            <w:tcBorders>
              <w:left w:val="single" w:sz="4" w:space="0" w:color="000000"/>
              <w:right w:val="single" w:sz="4" w:space="0" w:color="000000"/>
            </w:tcBorders>
          </w:tcPr>
          <w:p>
            <w:pPr/>
          </w:p>
        </w:tc>
        <w:tc>
          <w:tcPr>
            <w:tcW w:w="521" w:type="dxa"/>
            <w:vMerge/>
            <w:tcBorders>
              <w:left w:val="single" w:sz="4" w:space="0" w:color="000000"/>
              <w:right w:val="single" w:sz="4" w:space="0" w:color="000000"/>
            </w:tcBorders>
          </w:tcPr>
          <w:p>
            <w:pPr/>
          </w:p>
        </w:tc>
        <w:tc>
          <w:tcPr>
            <w:tcW w:w="808" w:type="dxa"/>
            <w:vMerge/>
            <w:tcBorders>
              <w:left w:val="single" w:sz="4" w:space="0" w:color="000000"/>
              <w:right w:val="single" w:sz="4" w:space="0" w:color="000000"/>
            </w:tcBorders>
          </w:tcPr>
          <w:p>
            <w:pPr/>
          </w:p>
        </w:tc>
        <w:tc>
          <w:tcPr>
            <w:tcW w:w="980" w:type="dxa"/>
            <w:vMerge/>
            <w:tcBorders>
              <w:left w:val="single" w:sz="4" w:space="0" w:color="000000"/>
              <w:right w:val="single" w:sz="4" w:space="0" w:color="000000"/>
            </w:tcBorders>
          </w:tcPr>
          <w:p>
            <w:pPr/>
          </w:p>
        </w:tc>
      </w:tr>
      <w:tr>
        <w:trPr>
          <w:trHeight w:val="161" w:hRule="exact"/>
        </w:trPr>
        <w:tc>
          <w:tcPr>
            <w:tcW w:w="1487" w:type="dxa"/>
            <w:tcBorders>
              <w:top w:val="nil" w:sz="6" w:space="0" w:color="auto"/>
              <w:left w:val="single" w:sz="4" w:space="0" w:color="000000"/>
              <w:bottom w:val="single" w:sz="4" w:space="0" w:color="000000"/>
              <w:right w:val="single" w:sz="4" w:space="0" w:color="000000"/>
            </w:tcBorders>
            <w:shd w:val="clear" w:color="auto" w:fill="C7EDCC"/>
          </w:tcPr>
          <w:p>
            <w:pPr/>
          </w:p>
        </w:tc>
        <w:tc>
          <w:tcPr>
            <w:tcW w:w="813" w:type="dxa"/>
            <w:vMerge/>
            <w:tcBorders>
              <w:left w:val="single" w:sz="4" w:space="0" w:color="000000"/>
              <w:bottom w:val="single" w:sz="4" w:space="0" w:color="000000"/>
              <w:right w:val="single" w:sz="4" w:space="0" w:color="000000"/>
            </w:tcBorders>
            <w:shd w:val="clear" w:color="auto" w:fill="C7EDCC"/>
          </w:tcPr>
          <w:p>
            <w:pPr/>
          </w:p>
        </w:tc>
        <w:tc>
          <w:tcPr>
            <w:tcW w:w="764" w:type="dxa"/>
            <w:vMerge/>
            <w:tcBorders>
              <w:left w:val="single" w:sz="4" w:space="0" w:color="000000"/>
              <w:bottom w:val="single" w:sz="4" w:space="0" w:color="000000"/>
              <w:right w:val="single" w:sz="4" w:space="0" w:color="000000"/>
            </w:tcBorders>
            <w:shd w:val="clear" w:color="auto" w:fill="C7EDCC"/>
          </w:tcPr>
          <w:p>
            <w:pPr/>
          </w:p>
        </w:tc>
        <w:tc>
          <w:tcPr>
            <w:tcW w:w="966" w:type="dxa"/>
            <w:vMerge/>
            <w:tcBorders>
              <w:left w:val="single" w:sz="9" w:space="0" w:color="C7EDCC"/>
              <w:bottom w:val="single" w:sz="4" w:space="0" w:color="000000"/>
              <w:right w:val="single" w:sz="4" w:space="0" w:color="000000"/>
            </w:tcBorders>
          </w:tcPr>
          <w:p>
            <w:pPr/>
          </w:p>
        </w:tc>
        <w:tc>
          <w:tcPr>
            <w:tcW w:w="1037" w:type="dxa"/>
            <w:vMerge/>
            <w:tcBorders>
              <w:left w:val="single" w:sz="4" w:space="0" w:color="000000"/>
              <w:bottom w:val="single" w:sz="4" w:space="0" w:color="000000"/>
              <w:right w:val="single" w:sz="4" w:space="0" w:color="000000"/>
            </w:tcBorders>
          </w:tcPr>
          <w:p>
            <w:pPr/>
          </w:p>
        </w:tc>
        <w:tc>
          <w:tcPr>
            <w:tcW w:w="1111" w:type="dxa"/>
            <w:vMerge/>
            <w:tcBorders>
              <w:left w:val="single" w:sz="4" w:space="0" w:color="000000"/>
              <w:bottom w:val="single" w:sz="4" w:space="0" w:color="000000"/>
              <w:right w:val="single" w:sz="4" w:space="0" w:color="000000"/>
            </w:tcBorders>
          </w:tcPr>
          <w:p>
            <w:pPr/>
          </w:p>
        </w:tc>
        <w:tc>
          <w:tcPr>
            <w:tcW w:w="1168" w:type="dxa"/>
            <w:vMerge/>
            <w:tcBorders>
              <w:left w:val="single" w:sz="4" w:space="0" w:color="000000"/>
              <w:bottom w:val="single" w:sz="4" w:space="0" w:color="000000"/>
              <w:right w:val="single" w:sz="4" w:space="0" w:color="000000"/>
            </w:tcBorders>
          </w:tcPr>
          <w:p>
            <w:pPr/>
          </w:p>
        </w:tc>
        <w:tc>
          <w:tcPr>
            <w:tcW w:w="521" w:type="dxa"/>
            <w:vMerge/>
            <w:tcBorders>
              <w:left w:val="single" w:sz="4" w:space="0" w:color="000000"/>
              <w:bottom w:val="single" w:sz="4" w:space="0" w:color="000000"/>
              <w:right w:val="single" w:sz="4" w:space="0" w:color="000000"/>
            </w:tcBorders>
          </w:tcPr>
          <w:p>
            <w:pPr/>
          </w:p>
        </w:tc>
        <w:tc>
          <w:tcPr>
            <w:tcW w:w="808" w:type="dxa"/>
            <w:vMerge/>
            <w:tcBorders>
              <w:left w:val="single" w:sz="4" w:space="0" w:color="000000"/>
              <w:bottom w:val="single" w:sz="4" w:space="0" w:color="000000"/>
              <w:right w:val="single" w:sz="4" w:space="0" w:color="000000"/>
            </w:tcBorders>
          </w:tcPr>
          <w:p>
            <w:pPr/>
          </w:p>
        </w:tc>
        <w:tc>
          <w:tcPr>
            <w:tcW w:w="980" w:type="dxa"/>
            <w:vMerge/>
            <w:tcBorders>
              <w:left w:val="single" w:sz="4" w:space="0" w:color="000000"/>
              <w:bottom w:val="single" w:sz="4" w:space="0" w:color="000000"/>
              <w:right w:val="single" w:sz="4" w:space="0" w:color="000000"/>
            </w:tcBorders>
          </w:tcPr>
          <w:p>
            <w:pPr/>
          </w:p>
        </w:tc>
      </w:tr>
      <w:tr>
        <w:trPr>
          <w:trHeight w:val="714" w:hRule="exact"/>
        </w:trPr>
        <w:tc>
          <w:tcPr>
            <w:tcW w:w="14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杭州日报报业集团</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（杭州日报社）</w:t>
            </w:r>
          </w:p>
        </w:tc>
        <w:tc>
          <w:tcPr>
            <w:tcW w:w="81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58"/>
              <w:jc w:val="left"/>
              <w:rPr>
                <w:rFonts w:ascii="宋体" w:hAnsi="宋体" w:cs="宋体" w:eastAsia="宋体" w:hint="default"/>
                <w:sz w:val="18"/>
                <w:szCs w:val="18"/>
              </w:rPr>
            </w:pPr>
            <w:r>
              <w:rPr>
                <w:rFonts w:ascii="宋体" w:hAnsi="宋体" w:cs="宋体" w:eastAsia="宋体" w:hint="default"/>
                <w:sz w:val="18"/>
                <w:szCs w:val="18"/>
              </w:rPr>
              <w:t>实际控制 人</w:t>
            </w:r>
          </w:p>
        </w:tc>
        <w:tc>
          <w:tcPr>
            <w:tcW w:w="76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38" w:right="173"/>
              <w:jc w:val="left"/>
              <w:rPr>
                <w:rFonts w:ascii="宋体" w:hAnsi="宋体" w:cs="宋体" w:eastAsia="宋体" w:hint="default"/>
                <w:sz w:val="18"/>
                <w:szCs w:val="18"/>
              </w:rPr>
            </w:pPr>
            <w:r>
              <w:rPr>
                <w:rFonts w:ascii="宋体" w:hAnsi="宋体" w:cs="宋体" w:eastAsia="宋体" w:hint="default"/>
                <w:sz w:val="18"/>
                <w:szCs w:val="18"/>
              </w:rPr>
              <w:t>结算余 额</w:t>
            </w:r>
          </w:p>
        </w:tc>
        <w:tc>
          <w:tcPr>
            <w:tcW w:w="966"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3" w:right="0"/>
              <w:jc w:val="left"/>
              <w:rPr>
                <w:rFonts w:ascii="Times New Roman" w:hAnsi="Times New Roman" w:cs="Times New Roman" w:eastAsia="Times New Roman" w:hint="default"/>
                <w:sz w:val="18"/>
                <w:szCs w:val="18"/>
              </w:rPr>
            </w:pPr>
            <w:r>
              <w:rPr>
                <w:rFonts w:ascii="Times New Roman"/>
                <w:sz w:val="18"/>
              </w:rPr>
              <w:t>50.75</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0" w:right="0"/>
              <w:jc w:val="left"/>
              <w:rPr>
                <w:rFonts w:ascii="Times New Roman" w:hAnsi="Times New Roman" w:cs="Times New Roman" w:eastAsia="Times New Roman" w:hint="default"/>
                <w:sz w:val="18"/>
                <w:szCs w:val="18"/>
              </w:rPr>
            </w:pPr>
            <w:r>
              <w:rPr>
                <w:rFonts w:ascii="Times New Roman"/>
                <w:sz w:val="18"/>
              </w:rPr>
              <w:t>50.75</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1487" w:type="dxa"/>
            <w:tcBorders>
              <w:top w:val="single" w:sz="4" w:space="0" w:color="000000"/>
              <w:left w:val="single" w:sz="4" w:space="0" w:color="000000"/>
              <w:bottom w:val="nil" w:sz="6" w:space="0" w:color="auto"/>
              <w:right w:val="single" w:sz="4" w:space="0" w:color="000000"/>
            </w:tcBorders>
            <w:shd w:val="clear" w:color="auto" w:fill="C7EDCC"/>
          </w:tcPr>
          <w:p>
            <w:pPr/>
          </w:p>
        </w:tc>
        <w:tc>
          <w:tcPr>
            <w:tcW w:w="813" w:type="dxa"/>
            <w:vMerge w:val="restart"/>
            <w:tcBorders>
              <w:top w:val="single" w:sz="4" w:space="0" w:color="000000"/>
              <w:left w:val="single" w:sz="4" w:space="0" w:color="000000"/>
              <w:right w:val="single" w:sz="4" w:space="0" w:color="000000"/>
            </w:tcBorders>
            <w:shd w:val="clear" w:color="auto" w:fill="C7EDCC"/>
          </w:tcPr>
          <w:p>
            <w:pPr>
              <w:pStyle w:val="TableParagraph"/>
              <w:spacing w:line="319" w:lineRule="auto" w:before="51"/>
              <w:ind w:left="22" w:right="58"/>
              <w:jc w:val="both"/>
              <w:rPr>
                <w:rFonts w:ascii="宋体" w:hAnsi="宋体" w:cs="宋体" w:eastAsia="宋体" w:hint="default"/>
                <w:sz w:val="18"/>
                <w:szCs w:val="18"/>
              </w:rPr>
            </w:pPr>
            <w:r>
              <w:rPr>
                <w:rFonts w:ascii="宋体" w:hAnsi="宋体" w:cs="宋体" w:eastAsia="宋体" w:hint="default"/>
                <w:sz w:val="18"/>
                <w:szCs w:val="18"/>
              </w:rPr>
              <w:t>同一最终 控制方控 制</w:t>
            </w:r>
          </w:p>
        </w:tc>
        <w:tc>
          <w:tcPr>
            <w:tcW w:w="764" w:type="dxa"/>
            <w:tcBorders>
              <w:top w:val="single" w:sz="4" w:space="0" w:color="000000"/>
              <w:left w:val="single" w:sz="4" w:space="0" w:color="000000"/>
              <w:bottom w:val="nil" w:sz="6" w:space="0" w:color="auto"/>
              <w:right w:val="single" w:sz="4" w:space="0" w:color="000000"/>
            </w:tcBorders>
            <w:shd w:val="clear" w:color="auto" w:fill="C7EDCC"/>
          </w:tcPr>
          <w:p>
            <w:pPr/>
          </w:p>
        </w:tc>
        <w:tc>
          <w:tcPr>
            <w:tcW w:w="966" w:type="dxa"/>
            <w:vMerge w:val="restart"/>
            <w:tcBorders>
              <w:top w:val="single" w:sz="4" w:space="0" w:color="000000"/>
              <w:left w:val="single" w:sz="9" w:space="0" w:color="C7EDCC"/>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4.13</w:t>
            </w:r>
          </w:p>
        </w:tc>
        <w:tc>
          <w:tcPr>
            <w:tcW w:w="111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7.79</w:t>
            </w:r>
          </w:p>
        </w:tc>
        <w:tc>
          <w:tcPr>
            <w:tcW w:w="11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36" w:right="0"/>
              <w:jc w:val="left"/>
              <w:rPr>
                <w:rFonts w:ascii="Times New Roman" w:hAnsi="Times New Roman" w:cs="Times New Roman" w:eastAsia="Times New Roman" w:hint="default"/>
                <w:sz w:val="18"/>
                <w:szCs w:val="18"/>
              </w:rPr>
            </w:pPr>
            <w:r>
              <w:rPr>
                <w:rFonts w:ascii="Times New Roman"/>
                <w:sz w:val="18"/>
              </w:rPr>
              <w:t>11.92</w:t>
            </w:r>
          </w:p>
        </w:tc>
        <w:tc>
          <w:tcPr>
            <w:tcW w:w="5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0.00%</w:t>
            </w:r>
          </w:p>
        </w:tc>
        <w:tc>
          <w:tcPr>
            <w:tcW w:w="8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04" w:hRule="exact"/>
        </w:trPr>
        <w:tc>
          <w:tcPr>
            <w:tcW w:w="148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9" w:lineRule="auto" w:before="51"/>
              <w:ind w:left="11" w:right="24"/>
              <w:jc w:val="left"/>
              <w:rPr>
                <w:rFonts w:ascii="宋体" w:hAnsi="宋体" w:cs="宋体" w:eastAsia="宋体" w:hint="default"/>
                <w:sz w:val="18"/>
                <w:szCs w:val="18"/>
              </w:rPr>
            </w:pPr>
            <w:r>
              <w:rPr>
                <w:rFonts w:ascii="宋体" w:hAnsi="宋体" w:cs="宋体" w:eastAsia="宋体" w:hint="default"/>
                <w:sz w:val="18"/>
                <w:szCs w:val="18"/>
              </w:rPr>
              <w:t>杭州地铁文化传媒 传媒有限公司</w:t>
            </w:r>
          </w:p>
        </w:tc>
        <w:tc>
          <w:tcPr>
            <w:tcW w:w="813" w:type="dxa"/>
            <w:vMerge/>
            <w:tcBorders>
              <w:left w:val="single" w:sz="4" w:space="0" w:color="000000"/>
              <w:right w:val="single" w:sz="4" w:space="0" w:color="000000"/>
            </w:tcBorders>
            <w:shd w:val="clear" w:color="auto" w:fill="C7EDCC"/>
          </w:tcPr>
          <w:p>
            <w:pPr/>
          </w:p>
        </w:tc>
        <w:tc>
          <w:tcPr>
            <w:tcW w:w="76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9" w:lineRule="auto" w:before="51"/>
              <w:ind w:left="38" w:right="173"/>
              <w:jc w:val="left"/>
              <w:rPr>
                <w:rFonts w:ascii="宋体" w:hAnsi="宋体" w:cs="宋体" w:eastAsia="宋体" w:hint="default"/>
                <w:sz w:val="18"/>
                <w:szCs w:val="18"/>
              </w:rPr>
            </w:pPr>
            <w:r>
              <w:rPr>
                <w:rFonts w:ascii="宋体" w:hAnsi="宋体" w:cs="宋体" w:eastAsia="宋体" w:hint="default"/>
                <w:sz w:val="18"/>
                <w:szCs w:val="18"/>
              </w:rPr>
              <w:t>结算余 额</w:t>
            </w:r>
          </w:p>
        </w:tc>
        <w:tc>
          <w:tcPr>
            <w:tcW w:w="966" w:type="dxa"/>
            <w:vMerge/>
            <w:tcBorders>
              <w:left w:val="single" w:sz="9" w:space="0" w:color="C7EDCC"/>
              <w:right w:val="single" w:sz="4" w:space="0" w:color="000000"/>
            </w:tcBorders>
          </w:tcPr>
          <w:p>
            <w:pPr/>
          </w:p>
        </w:tc>
        <w:tc>
          <w:tcPr>
            <w:tcW w:w="1037" w:type="dxa"/>
            <w:vMerge/>
            <w:tcBorders>
              <w:left w:val="single" w:sz="4" w:space="0" w:color="000000"/>
              <w:right w:val="single" w:sz="4" w:space="0" w:color="000000"/>
            </w:tcBorders>
          </w:tcPr>
          <w:p>
            <w:pPr/>
          </w:p>
        </w:tc>
        <w:tc>
          <w:tcPr>
            <w:tcW w:w="1111" w:type="dxa"/>
            <w:vMerge/>
            <w:tcBorders>
              <w:left w:val="single" w:sz="4" w:space="0" w:color="000000"/>
              <w:right w:val="single" w:sz="4" w:space="0" w:color="000000"/>
            </w:tcBorders>
          </w:tcPr>
          <w:p>
            <w:pPr/>
          </w:p>
        </w:tc>
        <w:tc>
          <w:tcPr>
            <w:tcW w:w="1168" w:type="dxa"/>
            <w:vMerge/>
            <w:tcBorders>
              <w:left w:val="single" w:sz="4" w:space="0" w:color="000000"/>
              <w:right w:val="single" w:sz="4" w:space="0" w:color="000000"/>
            </w:tcBorders>
          </w:tcPr>
          <w:p>
            <w:pPr/>
          </w:p>
        </w:tc>
        <w:tc>
          <w:tcPr>
            <w:tcW w:w="521" w:type="dxa"/>
            <w:vMerge/>
            <w:tcBorders>
              <w:left w:val="single" w:sz="4" w:space="0" w:color="000000"/>
              <w:right w:val="single" w:sz="4" w:space="0" w:color="000000"/>
            </w:tcBorders>
          </w:tcPr>
          <w:p>
            <w:pPr/>
          </w:p>
        </w:tc>
        <w:tc>
          <w:tcPr>
            <w:tcW w:w="808" w:type="dxa"/>
            <w:vMerge/>
            <w:tcBorders>
              <w:left w:val="single" w:sz="4" w:space="0" w:color="000000"/>
              <w:right w:val="single" w:sz="4" w:space="0" w:color="000000"/>
            </w:tcBorders>
          </w:tcPr>
          <w:p>
            <w:pPr/>
          </w:p>
        </w:tc>
        <w:tc>
          <w:tcPr>
            <w:tcW w:w="980" w:type="dxa"/>
            <w:vMerge/>
            <w:tcBorders>
              <w:left w:val="single" w:sz="4" w:space="0" w:color="000000"/>
              <w:right w:val="single" w:sz="4" w:space="0" w:color="000000"/>
            </w:tcBorders>
          </w:tcPr>
          <w:p>
            <w:pPr/>
          </w:p>
        </w:tc>
      </w:tr>
      <w:tr>
        <w:trPr>
          <w:trHeight w:val="161" w:hRule="exact"/>
        </w:trPr>
        <w:tc>
          <w:tcPr>
            <w:tcW w:w="1487" w:type="dxa"/>
            <w:tcBorders>
              <w:top w:val="nil" w:sz="6" w:space="0" w:color="auto"/>
              <w:left w:val="single" w:sz="4" w:space="0" w:color="000000"/>
              <w:bottom w:val="single" w:sz="4" w:space="0" w:color="000000"/>
              <w:right w:val="single" w:sz="4" w:space="0" w:color="000000"/>
            </w:tcBorders>
            <w:shd w:val="clear" w:color="auto" w:fill="C7EDCC"/>
          </w:tcPr>
          <w:p>
            <w:pPr/>
          </w:p>
        </w:tc>
        <w:tc>
          <w:tcPr>
            <w:tcW w:w="813" w:type="dxa"/>
            <w:vMerge/>
            <w:tcBorders>
              <w:left w:val="single" w:sz="4" w:space="0" w:color="000000"/>
              <w:bottom w:val="single" w:sz="4" w:space="0" w:color="000000"/>
              <w:right w:val="single" w:sz="4" w:space="0" w:color="000000"/>
            </w:tcBorders>
            <w:shd w:val="clear" w:color="auto" w:fill="C7EDCC"/>
          </w:tcPr>
          <w:p>
            <w:pPr/>
          </w:p>
        </w:tc>
        <w:tc>
          <w:tcPr>
            <w:tcW w:w="764" w:type="dxa"/>
            <w:tcBorders>
              <w:top w:val="nil" w:sz="6" w:space="0" w:color="auto"/>
              <w:left w:val="single" w:sz="4" w:space="0" w:color="000000"/>
              <w:bottom w:val="single" w:sz="4" w:space="0" w:color="000000"/>
              <w:right w:val="single" w:sz="4" w:space="0" w:color="000000"/>
            </w:tcBorders>
            <w:shd w:val="clear" w:color="auto" w:fill="C7EDCC"/>
          </w:tcPr>
          <w:p>
            <w:pPr/>
          </w:p>
        </w:tc>
        <w:tc>
          <w:tcPr>
            <w:tcW w:w="966" w:type="dxa"/>
            <w:vMerge/>
            <w:tcBorders>
              <w:left w:val="single" w:sz="9" w:space="0" w:color="C7EDCC"/>
              <w:bottom w:val="single" w:sz="4" w:space="0" w:color="000000"/>
              <w:right w:val="single" w:sz="4" w:space="0" w:color="000000"/>
            </w:tcBorders>
          </w:tcPr>
          <w:p>
            <w:pPr/>
          </w:p>
        </w:tc>
        <w:tc>
          <w:tcPr>
            <w:tcW w:w="1037" w:type="dxa"/>
            <w:vMerge/>
            <w:tcBorders>
              <w:left w:val="single" w:sz="4" w:space="0" w:color="000000"/>
              <w:bottom w:val="single" w:sz="4" w:space="0" w:color="000000"/>
              <w:right w:val="single" w:sz="4" w:space="0" w:color="000000"/>
            </w:tcBorders>
          </w:tcPr>
          <w:p>
            <w:pPr/>
          </w:p>
        </w:tc>
        <w:tc>
          <w:tcPr>
            <w:tcW w:w="1111" w:type="dxa"/>
            <w:vMerge/>
            <w:tcBorders>
              <w:left w:val="single" w:sz="4" w:space="0" w:color="000000"/>
              <w:bottom w:val="single" w:sz="4" w:space="0" w:color="000000"/>
              <w:right w:val="single" w:sz="4" w:space="0" w:color="000000"/>
            </w:tcBorders>
          </w:tcPr>
          <w:p>
            <w:pPr/>
          </w:p>
        </w:tc>
        <w:tc>
          <w:tcPr>
            <w:tcW w:w="1168" w:type="dxa"/>
            <w:vMerge/>
            <w:tcBorders>
              <w:left w:val="single" w:sz="4" w:space="0" w:color="000000"/>
              <w:bottom w:val="single" w:sz="4" w:space="0" w:color="000000"/>
              <w:right w:val="single" w:sz="4" w:space="0" w:color="000000"/>
            </w:tcBorders>
          </w:tcPr>
          <w:p>
            <w:pPr/>
          </w:p>
        </w:tc>
        <w:tc>
          <w:tcPr>
            <w:tcW w:w="521" w:type="dxa"/>
            <w:vMerge/>
            <w:tcBorders>
              <w:left w:val="single" w:sz="4" w:space="0" w:color="000000"/>
              <w:bottom w:val="single" w:sz="4" w:space="0" w:color="000000"/>
              <w:right w:val="single" w:sz="4" w:space="0" w:color="000000"/>
            </w:tcBorders>
          </w:tcPr>
          <w:p>
            <w:pPr/>
          </w:p>
        </w:tc>
        <w:tc>
          <w:tcPr>
            <w:tcW w:w="808" w:type="dxa"/>
            <w:vMerge/>
            <w:tcBorders>
              <w:left w:val="single" w:sz="4" w:space="0" w:color="000000"/>
              <w:bottom w:val="single" w:sz="4" w:space="0" w:color="000000"/>
              <w:right w:val="single" w:sz="4" w:space="0" w:color="000000"/>
            </w:tcBorders>
          </w:tcPr>
          <w:p>
            <w:pPr/>
          </w:p>
        </w:tc>
        <w:tc>
          <w:tcPr>
            <w:tcW w:w="980" w:type="dxa"/>
            <w:vMerge/>
            <w:tcBorders>
              <w:left w:val="single" w:sz="4" w:space="0" w:color="000000"/>
              <w:bottom w:val="single" w:sz="4" w:space="0" w:color="000000"/>
              <w:right w:val="single" w:sz="4" w:space="0" w:color="000000"/>
            </w:tcBorders>
          </w:tcPr>
          <w:p>
            <w:pPr/>
          </w:p>
        </w:tc>
      </w:tr>
      <w:tr>
        <w:trPr>
          <w:trHeight w:val="714" w:hRule="exact"/>
        </w:trPr>
        <w:tc>
          <w:tcPr>
            <w:tcW w:w="2300" w:type="dxa"/>
            <w:gridSpan w:val="2"/>
            <w:tcBorders>
              <w:top w:val="single" w:sz="4" w:space="0" w:color="000000"/>
              <w:left w:val="single" w:sz="4" w:space="0" w:color="000000"/>
              <w:bottom w:val="single" w:sz="4" w:space="0" w:color="000000"/>
              <w:right w:val="single" w:sz="9" w:space="0" w:color="C7EDCC"/>
            </w:tcBorders>
            <w:shd w:val="clear" w:color="auto" w:fill="D3D3D3"/>
          </w:tcPr>
          <w:p>
            <w:pPr>
              <w:pStyle w:val="TableParagraph"/>
              <w:spacing w:line="319" w:lineRule="auto" w:before="51"/>
              <w:ind w:left="11" w:right="110"/>
              <w:jc w:val="left"/>
              <w:rPr>
                <w:rFonts w:ascii="宋体" w:hAnsi="宋体" w:cs="宋体" w:eastAsia="宋体" w:hint="default"/>
                <w:sz w:val="18"/>
                <w:szCs w:val="18"/>
              </w:rPr>
            </w:pPr>
            <w:r>
              <w:rPr>
                <w:rFonts w:ascii="宋体" w:hAnsi="宋体" w:cs="宋体" w:eastAsia="宋体" w:hint="default"/>
                <w:sz w:val="18"/>
                <w:szCs w:val="18"/>
              </w:rPr>
              <w:t>关联债权对公司经营成果及 财务状况的影响</w:t>
            </w:r>
          </w:p>
        </w:tc>
        <w:tc>
          <w:tcPr>
            <w:tcW w:w="7354" w:type="dxa"/>
            <w:gridSpan w:val="8"/>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302" w:lineRule="auto" w:before="51"/>
              <w:ind w:left="27" w:right="23"/>
              <w:jc w:val="left"/>
              <w:rPr>
                <w:rFonts w:ascii="宋体" w:hAnsi="宋体" w:cs="宋体" w:eastAsia="宋体" w:hint="default"/>
                <w:sz w:val="18"/>
                <w:szCs w:val="18"/>
              </w:rPr>
            </w:pPr>
            <w:r>
              <w:rPr>
                <w:rFonts w:ascii="宋体" w:hAnsi="宋体" w:cs="宋体" w:eastAsia="宋体" w:hint="default"/>
                <w:sz w:val="18"/>
                <w:szCs w:val="18"/>
              </w:rPr>
              <w:t>与华立集团股份有限公司的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38,378.05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万元资金往来已收回，对公司经营成果及财务状况无重 大影响。</w:t>
            </w:r>
          </w:p>
        </w:tc>
      </w:tr>
    </w:tbl>
    <w:p>
      <w:pPr>
        <w:spacing w:line="360" w:lineRule="auto" w:before="51"/>
        <w:ind w:left="154" w:right="8510" w:firstLine="0"/>
        <w:jc w:val="left"/>
        <w:rPr>
          <w:rFonts w:ascii="宋体" w:hAnsi="宋体" w:cs="宋体" w:eastAsia="宋体" w:hint="default"/>
          <w:sz w:val="18"/>
          <w:szCs w:val="18"/>
        </w:rPr>
      </w:pPr>
      <w:r>
        <w:rPr>
          <w:rFonts w:ascii="宋体" w:hAnsi="宋体" w:cs="宋体" w:eastAsia="宋体" w:hint="default"/>
          <w:sz w:val="18"/>
          <w:szCs w:val="18"/>
        </w:rPr>
        <w:t>应付关联方债务 不适用</w:t>
      </w:r>
    </w:p>
    <w:p>
      <w:pPr>
        <w:spacing w:line="240" w:lineRule="auto" w:before="11"/>
        <w:rPr>
          <w:rFonts w:ascii="宋体" w:hAnsi="宋体" w:cs="宋体" w:eastAsia="宋体" w:hint="default"/>
          <w:sz w:val="19"/>
          <w:szCs w:val="19"/>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4" w:right="70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公司报告期无其他重大关联交易。</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十七、重大合同及其履行情况</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38" w:lineRule="auto" w:before="0"/>
        <w:ind w:left="154" w:right="74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1"/>
        <w:rPr>
          <w:rFonts w:ascii="宋体" w:hAnsi="宋体" w:cs="宋体" w:eastAsia="宋体" w:hint="default"/>
          <w:sz w:val="21"/>
          <w:szCs w:val="21"/>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4" w:right="74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2"/>
        <w:rPr>
          <w:rFonts w:ascii="宋体" w:hAnsi="宋体" w:cs="宋体" w:eastAsia="宋体" w:hint="default"/>
          <w:sz w:val="21"/>
          <w:szCs w:val="21"/>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40" w:lineRule="auto" w:before="0"/>
        <w:ind w:left="154" w:right="74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公司报告期不存在租赁情况。</w:t>
      </w:r>
    </w:p>
    <w:p>
      <w:pPr>
        <w:spacing w:line="240" w:lineRule="auto" w:before="1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、重大担保</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）担保情况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701"/>
        <w:gridCol w:w="913"/>
        <w:gridCol w:w="931"/>
        <w:gridCol w:w="1301"/>
        <w:gridCol w:w="1054"/>
        <w:gridCol w:w="1035"/>
        <w:gridCol w:w="1053"/>
        <w:gridCol w:w="790"/>
        <w:gridCol w:w="783"/>
      </w:tblGrid>
      <w:tr>
        <w:trPr>
          <w:trHeight w:val="402" w:hRule="exact"/>
        </w:trPr>
        <w:tc>
          <w:tcPr>
            <w:tcW w:w="956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19"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5"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5"/>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5" w:right="8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2"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44"/>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5"/>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24"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3" w:hRule="exact"/>
        </w:trPr>
        <w:tc>
          <w:tcPr>
            <w:tcW w:w="956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1025"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5"/>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 w:right="8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2"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44"/>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0"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11" w:right="58"/>
              <w:jc w:val="left"/>
              <w:rPr>
                <w:rFonts w:ascii="宋体" w:hAnsi="宋体" w:cs="宋体" w:eastAsia="宋体" w:hint="default"/>
                <w:sz w:val="18"/>
                <w:szCs w:val="18"/>
              </w:rPr>
            </w:pPr>
            <w:r>
              <w:rPr>
                <w:rFonts w:ascii="宋体" w:hAnsi="宋体" w:cs="宋体" w:eastAsia="宋体" w:hint="default"/>
                <w:sz w:val="18"/>
                <w:szCs w:val="18"/>
              </w:rPr>
              <w:t>北京精典博维文化传 媒有限公司</w:t>
            </w:r>
          </w:p>
        </w:tc>
        <w:tc>
          <w:tcPr>
            <w:tcW w:w="91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52"/>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96" w:right="0"/>
              <w:jc w:val="left"/>
              <w:rPr>
                <w:rFonts w:ascii="Times New Roman" w:hAnsi="Times New Roman" w:cs="Times New Roman" w:eastAsia="Times New Roman" w:hint="default"/>
                <w:sz w:val="18"/>
                <w:szCs w:val="18"/>
              </w:rPr>
            </w:pPr>
            <w:r>
              <w:rPr>
                <w:rFonts w:ascii="Times New Roman"/>
                <w:sz w:val="18"/>
              </w:rPr>
              <w:t>1,750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22" w:right="0"/>
              <w:jc w:val="left"/>
              <w:rPr>
                <w:rFonts w:ascii="Times New Roman" w:hAnsi="Times New Roman" w:cs="Times New Roman" w:eastAsia="Times New Roman" w:hint="default"/>
                <w:sz w:val="18"/>
                <w:szCs w:val="18"/>
              </w:rPr>
            </w:pPr>
            <w:r>
              <w:rPr>
                <w:rFonts w:ascii="Times New Roman"/>
                <w:sz w:val="18"/>
              </w:rPr>
              <w:t>676.5</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5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61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7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2" w:type="dxa"/>
            <w:gridSpan w:val="2"/>
            <w:tcBorders>
              <w:top w:val="single" w:sz="4" w:space="0" w:color="000000"/>
              <w:left w:val="single" w:sz="13" w:space="0" w:color="D3D3D3"/>
              <w:bottom w:val="single" w:sz="4" w:space="0" w:color="000000"/>
              <w:right w:val="single" w:sz="9" w:space="0" w:color="D3D3D3"/>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1,750</w:t>
            </w:r>
          </w:p>
        </w:tc>
        <w:tc>
          <w:tcPr>
            <w:tcW w:w="208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9" w:right="77"/>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6"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676.5</w:t>
            </w:r>
          </w:p>
        </w:tc>
      </w:tr>
      <w:tr>
        <w:trPr>
          <w:trHeight w:val="715" w:hRule="exact"/>
        </w:trPr>
        <w:tc>
          <w:tcPr>
            <w:tcW w:w="261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7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2" w:type="dxa"/>
            <w:gridSpan w:val="2"/>
            <w:tcBorders>
              <w:top w:val="single" w:sz="4" w:space="0" w:color="000000"/>
              <w:left w:val="single" w:sz="13" w:space="0" w:color="D3D3D3"/>
              <w:bottom w:val="single" w:sz="4" w:space="0" w:color="000000"/>
              <w:right w:val="single" w:sz="9" w:space="0" w:color="D3D3D3"/>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1,750</w:t>
            </w:r>
          </w:p>
        </w:tc>
        <w:tc>
          <w:tcPr>
            <w:tcW w:w="208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9" w:right="77"/>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6"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676.5</w:t>
            </w:r>
          </w:p>
        </w:tc>
      </w:tr>
      <w:tr>
        <w:trPr>
          <w:trHeight w:val="402" w:hRule="exact"/>
        </w:trPr>
        <w:tc>
          <w:tcPr>
            <w:tcW w:w="956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2" w:hRule="exact"/>
        </w:trPr>
        <w:tc>
          <w:tcPr>
            <w:tcW w:w="1701" w:type="dxa"/>
            <w:vMerge w:val="restart"/>
            <w:tcBorders>
              <w:top w:val="single" w:sz="4" w:space="0" w:color="000000"/>
              <w:left w:val="single" w:sz="4" w:space="0" w:color="000000"/>
              <w:right w:val="single" w:sz="4" w:space="0" w:color="000000"/>
            </w:tcBorders>
            <w:shd w:val="clear" w:color="auto" w:fill="D3D3D3"/>
          </w:tcPr>
          <w:p>
            <w:pPr/>
          </w:p>
        </w:tc>
        <w:tc>
          <w:tcPr>
            <w:tcW w:w="91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88" w:right="9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1" w:type="dxa"/>
            <w:vMerge w:val="restart"/>
            <w:tcBorders>
              <w:top w:val="single" w:sz="4" w:space="0" w:color="000000"/>
              <w:left w:val="single" w:sz="4" w:space="0" w:color="000000"/>
              <w:right w:val="single" w:sz="4" w:space="0" w:color="000000"/>
            </w:tcBorders>
            <w:shd w:val="clear" w:color="auto" w:fill="D3D3D3"/>
          </w:tcPr>
          <w:p>
            <w:pPr/>
          </w:p>
        </w:tc>
        <w:tc>
          <w:tcPr>
            <w:tcW w:w="1301" w:type="dxa"/>
            <w:tcBorders>
              <w:top w:val="single" w:sz="4" w:space="0" w:color="000000"/>
              <w:left w:val="single" w:sz="4" w:space="0" w:color="000000"/>
              <w:bottom w:val="nil" w:sz="6" w:space="0" w:color="auto"/>
              <w:right w:val="single" w:sz="4" w:space="0" w:color="000000"/>
            </w:tcBorders>
            <w:shd w:val="clear" w:color="auto" w:fill="D3D3D3"/>
          </w:tcPr>
          <w:p>
            <w:pPr/>
          </w:p>
        </w:tc>
        <w:tc>
          <w:tcPr>
            <w:tcW w:w="1054" w:type="dxa"/>
            <w:tcBorders>
              <w:top w:val="single" w:sz="4" w:space="0" w:color="000000"/>
              <w:left w:val="single" w:sz="4" w:space="0" w:color="000000"/>
              <w:bottom w:val="nil" w:sz="6" w:space="0" w:color="auto"/>
              <w:right w:val="single" w:sz="4" w:space="0" w:color="000000"/>
            </w:tcBorders>
            <w:shd w:val="clear" w:color="auto" w:fill="D3D3D3"/>
          </w:tcPr>
          <w:p>
            <w:pPr/>
          </w:p>
        </w:tc>
        <w:tc>
          <w:tcPr>
            <w:tcW w:w="1035" w:type="dxa"/>
            <w:vMerge w:val="restart"/>
            <w:tcBorders>
              <w:top w:val="single" w:sz="4" w:space="0" w:color="000000"/>
              <w:left w:val="single" w:sz="4" w:space="0" w:color="000000"/>
              <w:right w:val="single" w:sz="4" w:space="0" w:color="000000"/>
            </w:tcBorders>
            <w:shd w:val="clear" w:color="auto" w:fill="D3D3D3"/>
          </w:tcPr>
          <w:p>
            <w:pPr/>
          </w:p>
        </w:tc>
        <w:tc>
          <w:tcPr>
            <w:tcW w:w="1053" w:type="dxa"/>
            <w:vMerge w:val="restart"/>
            <w:tcBorders>
              <w:top w:val="single" w:sz="4" w:space="0" w:color="000000"/>
              <w:left w:val="single" w:sz="4" w:space="0" w:color="000000"/>
              <w:right w:val="single" w:sz="4" w:space="0" w:color="000000"/>
            </w:tcBorders>
            <w:shd w:val="clear" w:color="auto" w:fill="D3D3D3"/>
          </w:tcPr>
          <w:p>
            <w:pPr/>
          </w:p>
        </w:tc>
        <w:tc>
          <w:tcPr>
            <w:tcW w:w="790" w:type="dxa"/>
            <w:tcBorders>
              <w:top w:val="single" w:sz="4" w:space="0" w:color="000000"/>
              <w:left w:val="single" w:sz="4" w:space="0" w:color="000000"/>
              <w:bottom w:val="nil" w:sz="6" w:space="0" w:color="auto"/>
              <w:right w:val="single" w:sz="4" w:space="0" w:color="000000"/>
            </w:tcBorders>
            <w:shd w:val="clear" w:color="auto" w:fill="D3D3D3"/>
          </w:tcPr>
          <w:p>
            <w:pPr/>
          </w:p>
        </w:tc>
        <w:tc>
          <w:tcPr>
            <w:tcW w:w="783"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6" w:hRule="exact"/>
        </w:trPr>
        <w:tc>
          <w:tcPr>
            <w:tcW w:w="1701" w:type="dxa"/>
            <w:vMerge/>
            <w:tcBorders>
              <w:left w:val="single" w:sz="4" w:space="0" w:color="000000"/>
              <w:bottom w:val="nil" w:sz="6" w:space="0" w:color="auto"/>
              <w:right w:val="single" w:sz="4" w:space="0" w:color="000000"/>
            </w:tcBorders>
            <w:shd w:val="clear" w:color="auto" w:fill="D3D3D3"/>
          </w:tcPr>
          <w:p>
            <w:pPr/>
          </w:p>
        </w:tc>
        <w:tc>
          <w:tcPr>
            <w:tcW w:w="913" w:type="dxa"/>
            <w:vMerge/>
            <w:tcBorders>
              <w:left w:val="single" w:sz="4" w:space="0" w:color="000000"/>
              <w:right w:val="single" w:sz="4" w:space="0" w:color="000000"/>
            </w:tcBorders>
            <w:shd w:val="clear" w:color="auto" w:fill="D3D3D3"/>
          </w:tcPr>
          <w:p>
            <w:pPr/>
          </w:p>
        </w:tc>
        <w:tc>
          <w:tcPr>
            <w:tcW w:w="931" w:type="dxa"/>
            <w:vMerge/>
            <w:tcBorders>
              <w:left w:val="single" w:sz="4" w:space="0" w:color="000000"/>
              <w:bottom w:val="nil" w:sz="6" w:space="0" w:color="auto"/>
              <w:right w:val="single" w:sz="4" w:space="0" w:color="000000"/>
            </w:tcBorders>
            <w:shd w:val="clear" w:color="auto" w:fill="D3D3D3"/>
          </w:tcPr>
          <w:p>
            <w:pPr/>
          </w:p>
        </w:tc>
        <w:tc>
          <w:tcPr>
            <w:tcW w:w="130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7"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423" w:right="7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5" w:type="dxa"/>
            <w:vMerge/>
            <w:tcBorders>
              <w:left w:val="single" w:sz="4" w:space="0" w:color="000000"/>
              <w:bottom w:val="nil" w:sz="6" w:space="0" w:color="auto"/>
              <w:right w:val="single" w:sz="4" w:space="0" w:color="000000"/>
            </w:tcBorders>
            <w:shd w:val="clear" w:color="auto" w:fill="D3D3D3"/>
          </w:tcPr>
          <w:p>
            <w:pPr/>
          </w:p>
        </w:tc>
        <w:tc>
          <w:tcPr>
            <w:tcW w:w="1053" w:type="dxa"/>
            <w:vMerge/>
            <w:tcBorders>
              <w:left w:val="single" w:sz="4" w:space="0" w:color="000000"/>
              <w:bottom w:val="nil" w:sz="6" w:space="0" w:color="auto"/>
              <w:right w:val="single" w:sz="4" w:space="0" w:color="000000"/>
            </w:tcBorders>
            <w:shd w:val="clear" w:color="auto" w:fill="D3D3D3"/>
          </w:tcPr>
          <w:p>
            <w:pPr/>
          </w:p>
        </w:tc>
        <w:tc>
          <w:tcPr>
            <w:tcW w:w="790"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05"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0" w:hRule="exact"/>
        </w:trPr>
        <w:tc>
          <w:tcPr>
            <w:tcW w:w="17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5"/>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3" w:type="dxa"/>
            <w:vMerge/>
            <w:tcBorders>
              <w:left w:val="single" w:sz="4" w:space="0" w:color="000000"/>
              <w:right w:val="single" w:sz="4" w:space="0" w:color="000000"/>
            </w:tcBorders>
            <w:shd w:val="clear" w:color="auto" w:fill="D3D3D3"/>
          </w:tcPr>
          <w:p>
            <w:pPr/>
          </w:p>
        </w:tc>
        <w:tc>
          <w:tcPr>
            <w:tcW w:w="93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1" w:type="dxa"/>
            <w:vMerge/>
            <w:tcBorders>
              <w:left w:val="single" w:sz="4" w:space="0" w:color="000000"/>
              <w:right w:val="single" w:sz="4" w:space="0" w:color="000000"/>
            </w:tcBorders>
            <w:shd w:val="clear" w:color="auto" w:fill="D3D3D3"/>
          </w:tcPr>
          <w:p>
            <w:pPr/>
          </w:p>
        </w:tc>
        <w:tc>
          <w:tcPr>
            <w:tcW w:w="1054" w:type="dxa"/>
            <w:vMerge/>
            <w:tcBorders>
              <w:left w:val="single" w:sz="4" w:space="0" w:color="000000"/>
              <w:right w:val="single" w:sz="4" w:space="0" w:color="000000"/>
            </w:tcBorders>
            <w:shd w:val="clear" w:color="auto" w:fill="D3D3D3"/>
          </w:tcPr>
          <w:p>
            <w:pPr/>
          </w:p>
        </w:tc>
        <w:tc>
          <w:tcPr>
            <w:tcW w:w="10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248"/>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0" w:type="dxa"/>
            <w:vMerge/>
            <w:tcBorders>
              <w:left w:val="single" w:sz="4" w:space="0" w:color="000000"/>
              <w:right w:val="single" w:sz="4" w:space="0" w:color="000000"/>
            </w:tcBorders>
            <w:shd w:val="clear" w:color="auto" w:fill="D3D3D3"/>
          </w:tcPr>
          <w:p>
            <w:pPr/>
          </w:p>
        </w:tc>
        <w:tc>
          <w:tcPr>
            <w:tcW w:w="783" w:type="dxa"/>
            <w:vMerge/>
            <w:tcBorders>
              <w:left w:val="single" w:sz="4" w:space="0" w:color="000000"/>
              <w:right w:val="single" w:sz="4" w:space="0" w:color="000000"/>
            </w:tcBorders>
            <w:shd w:val="clear" w:color="auto" w:fill="D3D3D3"/>
          </w:tcPr>
          <w:p>
            <w:pPr/>
          </w:p>
        </w:tc>
      </w:tr>
      <w:tr>
        <w:trPr>
          <w:trHeight w:val="156" w:hRule="exact"/>
        </w:trPr>
        <w:tc>
          <w:tcPr>
            <w:tcW w:w="1701" w:type="dxa"/>
            <w:vMerge w:val="restart"/>
            <w:tcBorders>
              <w:top w:val="nil" w:sz="6" w:space="0" w:color="auto"/>
              <w:left w:val="single" w:sz="4" w:space="0" w:color="000000"/>
              <w:right w:val="single" w:sz="4" w:space="0" w:color="000000"/>
            </w:tcBorders>
            <w:shd w:val="clear" w:color="auto" w:fill="D3D3D3"/>
          </w:tcPr>
          <w:p>
            <w:pPr/>
          </w:p>
        </w:tc>
        <w:tc>
          <w:tcPr>
            <w:tcW w:w="913" w:type="dxa"/>
            <w:vMerge/>
            <w:tcBorders>
              <w:left w:val="single" w:sz="4" w:space="0" w:color="000000"/>
              <w:right w:val="single" w:sz="4" w:space="0" w:color="000000"/>
            </w:tcBorders>
            <w:shd w:val="clear" w:color="auto" w:fill="D3D3D3"/>
          </w:tcPr>
          <w:p>
            <w:pPr/>
          </w:p>
        </w:tc>
        <w:tc>
          <w:tcPr>
            <w:tcW w:w="931" w:type="dxa"/>
            <w:vMerge w:val="restart"/>
            <w:tcBorders>
              <w:top w:val="nil" w:sz="6" w:space="0" w:color="auto"/>
              <w:left w:val="single" w:sz="4" w:space="0" w:color="000000"/>
              <w:right w:val="single" w:sz="4" w:space="0" w:color="000000"/>
            </w:tcBorders>
            <w:shd w:val="clear" w:color="auto" w:fill="D3D3D3"/>
          </w:tcPr>
          <w:p>
            <w:pPr/>
          </w:p>
        </w:tc>
        <w:tc>
          <w:tcPr>
            <w:tcW w:w="1301" w:type="dxa"/>
            <w:vMerge/>
            <w:tcBorders>
              <w:left w:val="single" w:sz="4" w:space="0" w:color="000000"/>
              <w:bottom w:val="nil" w:sz="6" w:space="0" w:color="auto"/>
              <w:right w:val="single" w:sz="4" w:space="0" w:color="000000"/>
            </w:tcBorders>
            <w:shd w:val="clear" w:color="auto" w:fill="D3D3D3"/>
          </w:tcPr>
          <w:p>
            <w:pPr/>
          </w:p>
        </w:tc>
        <w:tc>
          <w:tcPr>
            <w:tcW w:w="1054" w:type="dxa"/>
            <w:vMerge/>
            <w:tcBorders>
              <w:left w:val="single" w:sz="4" w:space="0" w:color="000000"/>
              <w:bottom w:val="nil" w:sz="6" w:space="0" w:color="auto"/>
              <w:right w:val="single" w:sz="4" w:space="0" w:color="000000"/>
            </w:tcBorders>
            <w:shd w:val="clear" w:color="auto" w:fill="D3D3D3"/>
          </w:tcPr>
          <w:p>
            <w:pPr/>
          </w:p>
        </w:tc>
        <w:tc>
          <w:tcPr>
            <w:tcW w:w="1035" w:type="dxa"/>
            <w:vMerge w:val="restart"/>
            <w:tcBorders>
              <w:top w:val="nil" w:sz="6" w:space="0" w:color="auto"/>
              <w:left w:val="single" w:sz="4" w:space="0" w:color="000000"/>
              <w:right w:val="single" w:sz="4" w:space="0" w:color="000000"/>
            </w:tcBorders>
            <w:shd w:val="clear" w:color="auto" w:fill="D3D3D3"/>
          </w:tcPr>
          <w:p>
            <w:pPr/>
          </w:p>
        </w:tc>
        <w:tc>
          <w:tcPr>
            <w:tcW w:w="1053" w:type="dxa"/>
            <w:vMerge w:val="restart"/>
            <w:tcBorders>
              <w:top w:val="nil" w:sz="6" w:space="0" w:color="auto"/>
              <w:left w:val="single" w:sz="4" w:space="0" w:color="000000"/>
              <w:right w:val="single" w:sz="4" w:space="0" w:color="000000"/>
            </w:tcBorders>
            <w:shd w:val="clear" w:color="auto" w:fill="D3D3D3"/>
          </w:tcPr>
          <w:p>
            <w:pPr/>
          </w:p>
        </w:tc>
        <w:tc>
          <w:tcPr>
            <w:tcW w:w="790" w:type="dxa"/>
            <w:vMerge/>
            <w:tcBorders>
              <w:left w:val="single" w:sz="4" w:space="0" w:color="000000"/>
              <w:bottom w:val="nil" w:sz="6" w:space="0" w:color="auto"/>
              <w:right w:val="single" w:sz="4" w:space="0" w:color="000000"/>
            </w:tcBorders>
            <w:shd w:val="clear" w:color="auto" w:fill="D3D3D3"/>
          </w:tcPr>
          <w:p>
            <w:pPr/>
          </w:p>
        </w:tc>
        <w:tc>
          <w:tcPr>
            <w:tcW w:w="783" w:type="dxa"/>
            <w:vMerge/>
            <w:tcBorders>
              <w:left w:val="single" w:sz="4" w:space="0" w:color="000000"/>
              <w:bottom w:val="nil" w:sz="6" w:space="0" w:color="auto"/>
              <w:right w:val="single" w:sz="4" w:space="0" w:color="000000"/>
            </w:tcBorders>
            <w:shd w:val="clear" w:color="auto" w:fill="D3D3D3"/>
          </w:tcPr>
          <w:p>
            <w:pPr/>
          </w:p>
        </w:tc>
      </w:tr>
      <w:tr>
        <w:trPr>
          <w:trHeight w:val="162" w:hRule="exact"/>
        </w:trPr>
        <w:tc>
          <w:tcPr>
            <w:tcW w:w="1701" w:type="dxa"/>
            <w:vMerge/>
            <w:tcBorders>
              <w:left w:val="single" w:sz="4" w:space="0" w:color="000000"/>
              <w:bottom w:val="single" w:sz="4" w:space="0" w:color="000000"/>
              <w:right w:val="single" w:sz="4" w:space="0" w:color="000000"/>
            </w:tcBorders>
            <w:shd w:val="clear" w:color="auto" w:fill="D3D3D3"/>
          </w:tcPr>
          <w:p>
            <w:pPr/>
          </w:p>
        </w:tc>
        <w:tc>
          <w:tcPr>
            <w:tcW w:w="913" w:type="dxa"/>
            <w:vMerge/>
            <w:tcBorders>
              <w:left w:val="single" w:sz="4" w:space="0" w:color="000000"/>
              <w:bottom w:val="single" w:sz="4" w:space="0" w:color="000000"/>
              <w:right w:val="single" w:sz="4" w:space="0" w:color="000000"/>
            </w:tcBorders>
            <w:shd w:val="clear" w:color="auto" w:fill="D3D3D3"/>
          </w:tcPr>
          <w:p>
            <w:pPr/>
          </w:p>
        </w:tc>
        <w:tc>
          <w:tcPr>
            <w:tcW w:w="931" w:type="dxa"/>
            <w:vMerge/>
            <w:tcBorders>
              <w:left w:val="single" w:sz="4" w:space="0" w:color="000000"/>
              <w:bottom w:val="single" w:sz="4" w:space="0" w:color="000000"/>
              <w:right w:val="single" w:sz="4" w:space="0" w:color="000000"/>
            </w:tcBorders>
            <w:shd w:val="clear" w:color="auto" w:fill="D3D3D3"/>
          </w:tcPr>
          <w:p>
            <w:pPr/>
          </w:p>
        </w:tc>
        <w:tc>
          <w:tcPr>
            <w:tcW w:w="1301" w:type="dxa"/>
            <w:tcBorders>
              <w:top w:val="nil" w:sz="6" w:space="0" w:color="auto"/>
              <w:left w:val="single" w:sz="4" w:space="0" w:color="000000"/>
              <w:bottom w:val="single" w:sz="4" w:space="0" w:color="000000"/>
              <w:right w:val="single" w:sz="4" w:space="0" w:color="000000"/>
            </w:tcBorders>
            <w:shd w:val="clear" w:color="auto" w:fill="D3D3D3"/>
          </w:tcPr>
          <w:p>
            <w:pPr/>
          </w:p>
        </w:tc>
        <w:tc>
          <w:tcPr>
            <w:tcW w:w="1054" w:type="dxa"/>
            <w:tcBorders>
              <w:top w:val="nil" w:sz="6" w:space="0" w:color="auto"/>
              <w:left w:val="single" w:sz="4" w:space="0" w:color="000000"/>
              <w:bottom w:val="single" w:sz="4" w:space="0" w:color="000000"/>
              <w:right w:val="single" w:sz="4" w:space="0" w:color="000000"/>
            </w:tcBorders>
            <w:shd w:val="clear" w:color="auto" w:fill="D3D3D3"/>
          </w:tcPr>
          <w:p>
            <w:pPr/>
          </w:p>
        </w:tc>
        <w:tc>
          <w:tcPr>
            <w:tcW w:w="1035" w:type="dxa"/>
            <w:vMerge/>
            <w:tcBorders>
              <w:left w:val="single" w:sz="4" w:space="0" w:color="000000"/>
              <w:bottom w:val="single" w:sz="4" w:space="0" w:color="000000"/>
              <w:right w:val="single" w:sz="4" w:space="0" w:color="000000"/>
            </w:tcBorders>
            <w:shd w:val="clear" w:color="auto" w:fill="D3D3D3"/>
          </w:tcPr>
          <w:p>
            <w:pPr/>
          </w:p>
        </w:tc>
        <w:tc>
          <w:tcPr>
            <w:tcW w:w="1053" w:type="dxa"/>
            <w:vMerge/>
            <w:tcBorders>
              <w:left w:val="single" w:sz="4" w:space="0" w:color="000000"/>
              <w:bottom w:val="single" w:sz="4" w:space="0" w:color="000000"/>
              <w:right w:val="single" w:sz="4" w:space="0" w:color="000000"/>
            </w:tcBorders>
            <w:shd w:val="clear" w:color="auto" w:fill="D3D3D3"/>
          </w:tcPr>
          <w:p>
            <w:pPr/>
          </w:p>
        </w:tc>
        <w:tc>
          <w:tcPr>
            <w:tcW w:w="790" w:type="dxa"/>
            <w:tcBorders>
              <w:top w:val="nil" w:sz="6" w:space="0" w:color="auto"/>
              <w:left w:val="single" w:sz="4" w:space="0" w:color="000000"/>
              <w:bottom w:val="single" w:sz="4" w:space="0" w:color="000000"/>
              <w:right w:val="single" w:sz="4" w:space="0" w:color="000000"/>
            </w:tcBorders>
            <w:shd w:val="clear" w:color="auto" w:fill="D3D3D3"/>
          </w:tcPr>
          <w:p>
            <w:pPr/>
          </w:p>
        </w:tc>
        <w:tc>
          <w:tcPr>
            <w:tcW w:w="783"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956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4" w:hRule="exact"/>
        </w:trPr>
        <w:tc>
          <w:tcPr>
            <w:tcW w:w="261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2" w:type="dxa"/>
            <w:gridSpan w:val="2"/>
            <w:tcBorders>
              <w:top w:val="single" w:sz="4" w:space="0" w:color="000000"/>
              <w:left w:val="single" w:sz="13" w:space="0" w:color="D3D3D3"/>
              <w:bottom w:val="single" w:sz="4" w:space="0" w:color="000000"/>
              <w:right w:val="single" w:sz="9" w:space="0" w:color="D3D3D3"/>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1,750</w:t>
            </w:r>
          </w:p>
        </w:tc>
        <w:tc>
          <w:tcPr>
            <w:tcW w:w="208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9" w:right="77"/>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6"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676.5</w:t>
            </w:r>
          </w:p>
        </w:tc>
      </w:tr>
      <w:tr>
        <w:trPr>
          <w:trHeight w:val="714" w:hRule="exact"/>
        </w:trPr>
        <w:tc>
          <w:tcPr>
            <w:tcW w:w="261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2" w:type="dxa"/>
            <w:gridSpan w:val="2"/>
            <w:tcBorders>
              <w:top w:val="single" w:sz="4" w:space="0" w:color="000000"/>
              <w:left w:val="single" w:sz="13" w:space="0" w:color="D3D3D3"/>
              <w:bottom w:val="single" w:sz="4" w:space="0" w:color="000000"/>
              <w:right w:val="single" w:sz="9" w:space="0" w:color="D3D3D3"/>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1,750</w:t>
            </w:r>
          </w:p>
        </w:tc>
        <w:tc>
          <w:tcPr>
            <w:tcW w:w="208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9" w:right="77"/>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6"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676.5</w:t>
            </w:r>
          </w:p>
        </w:tc>
      </w:tr>
      <w:tr>
        <w:trPr>
          <w:trHeight w:val="403" w:hRule="exact"/>
        </w:trPr>
        <w:tc>
          <w:tcPr>
            <w:tcW w:w="484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6"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0.44%</w:t>
            </w:r>
          </w:p>
        </w:tc>
      </w:tr>
      <w:tr>
        <w:trPr>
          <w:trHeight w:val="402" w:hRule="exact"/>
        </w:trPr>
        <w:tc>
          <w:tcPr>
            <w:tcW w:w="956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line="357" w:lineRule="auto" w:before="52"/>
        <w:ind w:left="153" w:right="7071" w:firstLine="0"/>
        <w:jc w:val="left"/>
        <w:rPr>
          <w:rFonts w:ascii="宋体" w:hAnsi="宋体" w:cs="宋体" w:eastAsia="宋体" w:hint="default"/>
          <w:sz w:val="18"/>
          <w:szCs w:val="18"/>
        </w:rPr>
      </w:pPr>
      <w:r>
        <w:rPr>
          <w:rFonts w:ascii="宋体" w:hAnsi="宋体" w:cs="宋体" w:eastAsia="宋体" w:hint="default"/>
          <w:sz w:val="18"/>
          <w:szCs w:val="18"/>
        </w:rPr>
        <w:t>采用复合方式担保的具体情况说明 不适用</w:t>
      </w:r>
    </w:p>
    <w:p>
      <w:pPr>
        <w:spacing w:line="240" w:lineRule="auto" w:before="1"/>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）违规对外担保情况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40" w:lineRule="auto" w:before="0"/>
        <w:ind w:left="154" w:right="70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公司报告期无违规对外担保情况。</w:t>
      </w:r>
    </w:p>
    <w:p>
      <w:pPr>
        <w:spacing w:after="0" w:line="3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、委托他人进行现金资产管理情况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0"/>
        <w:gridCol w:w="832"/>
        <w:gridCol w:w="838"/>
        <w:gridCol w:w="876"/>
        <w:gridCol w:w="804"/>
        <w:gridCol w:w="804"/>
        <w:gridCol w:w="803"/>
        <w:gridCol w:w="804"/>
        <w:gridCol w:w="804"/>
        <w:gridCol w:w="802"/>
        <w:gridCol w:w="804"/>
        <w:gridCol w:w="599"/>
      </w:tblGrid>
      <w:tr>
        <w:trPr>
          <w:trHeight w:val="1338" w:hRule="exact"/>
        </w:trPr>
        <w:tc>
          <w:tcPr>
            <w:tcW w:w="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4" w:right="33" w:hanging="270"/>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0" w:right="49"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8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1"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8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7" w:right="35"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5" w:right="36"/>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5"/>
              <w:jc w:val="right"/>
              <w:rPr>
                <w:rFonts w:ascii="宋体" w:hAnsi="宋体" w:cs="宋体" w:eastAsia="宋体" w:hint="default"/>
                <w:sz w:val="18"/>
                <w:szCs w:val="18"/>
              </w:rPr>
            </w:pPr>
            <w:r>
              <w:rPr>
                <w:rFonts w:ascii="宋体" w:hAnsi="宋体" w:cs="宋体" w:eastAsia="宋体" w:hint="default"/>
                <w:sz w:val="18"/>
                <w:szCs w:val="18"/>
              </w:rPr>
              <w:t>预计收益</w:t>
            </w:r>
          </w:p>
        </w:tc>
        <w:tc>
          <w:tcPr>
            <w:tcW w:w="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5" w:right="36"/>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c>
          <w:tcPr>
            <w:tcW w:w="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23"/>
              <w:jc w:val="both"/>
              <w:rPr>
                <w:rFonts w:ascii="宋体" w:hAnsi="宋体" w:cs="宋体" w:eastAsia="宋体" w:hint="default"/>
                <w:sz w:val="18"/>
                <w:szCs w:val="18"/>
              </w:rPr>
            </w:pPr>
            <w:r>
              <w:rPr>
                <w:rFonts w:ascii="宋体" w:hAnsi="宋体" w:cs="宋体" w:eastAsia="宋体" w:hint="default"/>
                <w:sz w:val="18"/>
                <w:szCs w:val="18"/>
              </w:rPr>
              <w:t>报告期 损益实 际收回 情况</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5"/>
              <w:jc w:val="left"/>
              <w:rPr>
                <w:rFonts w:ascii="宋体" w:hAnsi="宋体" w:cs="宋体" w:eastAsia="宋体" w:hint="default"/>
                <w:sz w:val="18"/>
                <w:szCs w:val="18"/>
              </w:rPr>
            </w:pPr>
            <w:r>
              <w:rPr>
                <w:rFonts w:ascii="宋体" w:hAnsi="宋体" w:cs="宋体" w:eastAsia="宋体" w:hint="default"/>
                <w:sz w:val="18"/>
                <w:szCs w:val="18"/>
              </w:rPr>
              <w:t>农行城东 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保本浮动 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10.78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10.78</w:t>
            </w:r>
          </w:p>
        </w:tc>
        <w:tc>
          <w:tcPr>
            <w:tcW w:w="5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5"/>
              <w:jc w:val="left"/>
              <w:rPr>
                <w:rFonts w:ascii="宋体" w:hAnsi="宋体" w:cs="宋体" w:eastAsia="宋体" w:hint="default"/>
                <w:sz w:val="18"/>
                <w:szCs w:val="18"/>
              </w:rPr>
            </w:pPr>
            <w:r>
              <w:rPr>
                <w:rFonts w:ascii="宋体" w:hAnsi="宋体" w:cs="宋体" w:eastAsia="宋体" w:hint="default"/>
                <w:sz w:val="18"/>
                <w:szCs w:val="18"/>
              </w:rPr>
              <w:t>中国银行 开元支行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非保本浮 动收益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440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5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5"/>
              <w:jc w:val="left"/>
              <w:rPr>
                <w:rFonts w:ascii="宋体" w:hAnsi="宋体" w:cs="宋体" w:eastAsia="宋体" w:hint="default"/>
                <w:sz w:val="18"/>
                <w:szCs w:val="18"/>
              </w:rPr>
            </w:pPr>
            <w:r>
              <w:rPr>
                <w:rFonts w:ascii="宋体" w:hAnsi="宋体" w:cs="宋体" w:eastAsia="宋体" w:hint="default"/>
                <w:sz w:val="18"/>
                <w:szCs w:val="18"/>
              </w:rPr>
              <w:t>中国银行 开元支行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非保本浮 动收益</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460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11.55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11.55</w:t>
            </w:r>
          </w:p>
        </w:tc>
        <w:tc>
          <w:tcPr>
            <w:tcW w:w="5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357" w:hRule="exact"/>
        </w:trPr>
        <w:tc>
          <w:tcPr>
            <w:tcW w:w="800" w:type="dxa"/>
            <w:tcBorders>
              <w:top w:val="single" w:sz="4" w:space="0" w:color="000000"/>
              <w:left w:val="single" w:sz="4" w:space="0" w:color="000000"/>
              <w:bottom w:val="nil" w:sz="6" w:space="0" w:color="auto"/>
              <w:right w:val="single" w:sz="4" w:space="0" w:color="000000"/>
            </w:tcBorders>
            <w:shd w:val="clear" w:color="auto" w:fill="C7EDCC"/>
          </w:tcPr>
          <w:p>
            <w:pPr/>
          </w:p>
        </w:tc>
        <w:tc>
          <w:tcPr>
            <w:tcW w:w="83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中国工商</w:t>
            </w:r>
          </w:p>
        </w:tc>
        <w:tc>
          <w:tcPr>
            <w:tcW w:w="876"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3" w:type="dxa"/>
            <w:tcBorders>
              <w:top w:val="single" w:sz="4" w:space="0" w:color="000000"/>
              <w:left w:val="single" w:sz="4" w:space="0" w:color="000000"/>
              <w:bottom w:val="nil" w:sz="6" w:space="0" w:color="auto"/>
              <w:right w:val="single" w:sz="4" w:space="0" w:color="000000"/>
            </w:tcBorders>
            <w:shd w:val="clear" w:color="auto" w:fill="C7EDCC"/>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599"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1248" w:hRule="exact"/>
        </w:trPr>
        <w:tc>
          <w:tcPr>
            <w:tcW w:w="8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2" w:right="45"/>
              <w:jc w:val="left"/>
              <w:rPr>
                <w:rFonts w:ascii="宋体" w:hAnsi="宋体" w:cs="宋体" w:eastAsia="宋体" w:hint="default"/>
                <w:sz w:val="18"/>
                <w:szCs w:val="18"/>
              </w:rPr>
            </w:pPr>
            <w:r>
              <w:rPr>
                <w:rFonts w:ascii="宋体" w:hAnsi="宋体" w:cs="宋体" w:eastAsia="宋体" w:hint="default"/>
                <w:sz w:val="18"/>
                <w:szCs w:val="18"/>
              </w:rPr>
              <w:t>工行萧山 支行</w:t>
            </w: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2" w:lineRule="auto" w:before="10"/>
              <w:ind w:left="22" w:right="83"/>
              <w:jc w:val="left"/>
              <w:rPr>
                <w:rFonts w:ascii="宋体" w:hAnsi="宋体" w:cs="宋体" w:eastAsia="宋体" w:hint="default"/>
                <w:sz w:val="18"/>
                <w:szCs w:val="18"/>
              </w:rPr>
            </w:pPr>
            <w:r>
              <w:rPr>
                <w:rFonts w:ascii="宋体" w:hAnsi="宋体" w:cs="宋体" w:eastAsia="宋体" w:hint="default"/>
                <w:sz w:val="18"/>
                <w:szCs w:val="18"/>
              </w:rPr>
              <w:t>银行保本 型法人 </w:t>
            </w:r>
            <w:r>
              <w:rPr>
                <w:rFonts w:ascii="Times New Roman" w:hAnsi="Times New Roman" w:cs="Times New Roman" w:eastAsia="Times New Roman" w:hint="default"/>
                <w:sz w:val="18"/>
                <w:szCs w:val="18"/>
              </w:rPr>
              <w:t>182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天稳 利人民币</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10.22</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10.22</w:t>
            </w:r>
          </w:p>
        </w:tc>
        <w:tc>
          <w:tcPr>
            <w:tcW w:w="59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357" w:hRule="exact"/>
        </w:trPr>
        <w:tc>
          <w:tcPr>
            <w:tcW w:w="800" w:type="dxa"/>
            <w:tcBorders>
              <w:top w:val="nil" w:sz="6" w:space="0" w:color="auto"/>
              <w:left w:val="single" w:sz="4" w:space="0" w:color="000000"/>
              <w:bottom w:val="single" w:sz="4" w:space="0" w:color="000000"/>
              <w:right w:val="single" w:sz="4" w:space="0" w:color="000000"/>
            </w:tcBorders>
            <w:shd w:val="clear" w:color="auto" w:fill="C7EDCC"/>
          </w:tcPr>
          <w:p>
            <w:pPr/>
          </w:p>
        </w:tc>
        <w:tc>
          <w:tcPr>
            <w:tcW w:w="83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3" w:type="dxa"/>
            <w:tcBorders>
              <w:top w:val="nil" w:sz="6" w:space="0" w:color="auto"/>
              <w:left w:val="single" w:sz="4" w:space="0" w:color="000000"/>
              <w:bottom w:val="single" w:sz="4" w:space="0" w:color="000000"/>
              <w:right w:val="single" w:sz="4" w:space="0" w:color="000000"/>
            </w:tcBorders>
            <w:shd w:val="clear" w:color="auto" w:fill="C7EDCC"/>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357" w:hRule="exact"/>
        </w:trPr>
        <w:tc>
          <w:tcPr>
            <w:tcW w:w="800" w:type="dxa"/>
            <w:tcBorders>
              <w:top w:val="single" w:sz="4" w:space="0" w:color="000000"/>
              <w:left w:val="single" w:sz="4" w:space="0" w:color="000000"/>
              <w:bottom w:val="nil" w:sz="6" w:space="0" w:color="auto"/>
              <w:right w:val="single" w:sz="4" w:space="0" w:color="000000"/>
            </w:tcBorders>
            <w:shd w:val="clear" w:color="auto" w:fill="C7EDCC"/>
          </w:tcPr>
          <w:p>
            <w:pPr/>
          </w:p>
        </w:tc>
        <w:tc>
          <w:tcPr>
            <w:tcW w:w="83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中国工商</w:t>
            </w:r>
          </w:p>
        </w:tc>
        <w:tc>
          <w:tcPr>
            <w:tcW w:w="876"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3" w:type="dxa"/>
            <w:tcBorders>
              <w:top w:val="single" w:sz="4" w:space="0" w:color="000000"/>
              <w:left w:val="single" w:sz="4" w:space="0" w:color="000000"/>
              <w:bottom w:val="nil" w:sz="6" w:space="0" w:color="auto"/>
              <w:right w:val="single" w:sz="4" w:space="0" w:color="000000"/>
            </w:tcBorders>
            <w:shd w:val="clear" w:color="auto" w:fill="C7EDCC"/>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599"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1248" w:hRule="exact"/>
        </w:trPr>
        <w:tc>
          <w:tcPr>
            <w:tcW w:w="8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2" w:right="45"/>
              <w:jc w:val="left"/>
              <w:rPr>
                <w:rFonts w:ascii="宋体" w:hAnsi="宋体" w:cs="宋体" w:eastAsia="宋体" w:hint="default"/>
                <w:sz w:val="18"/>
                <w:szCs w:val="18"/>
              </w:rPr>
            </w:pPr>
            <w:r>
              <w:rPr>
                <w:rFonts w:ascii="宋体" w:hAnsi="宋体" w:cs="宋体" w:eastAsia="宋体" w:hint="default"/>
                <w:sz w:val="18"/>
                <w:szCs w:val="18"/>
              </w:rPr>
              <w:t>工行萧山 支行</w:t>
            </w: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2" w:lineRule="auto" w:before="10"/>
              <w:ind w:left="22" w:right="83"/>
              <w:jc w:val="left"/>
              <w:rPr>
                <w:rFonts w:ascii="宋体" w:hAnsi="宋体" w:cs="宋体" w:eastAsia="宋体" w:hint="default"/>
                <w:sz w:val="18"/>
                <w:szCs w:val="18"/>
              </w:rPr>
            </w:pPr>
            <w:r>
              <w:rPr>
                <w:rFonts w:ascii="宋体" w:hAnsi="宋体" w:cs="宋体" w:eastAsia="宋体" w:hint="default"/>
                <w:sz w:val="18"/>
                <w:szCs w:val="18"/>
              </w:rPr>
              <w:t>银行保本 型法人 </w:t>
            </w:r>
            <w:r>
              <w:rPr>
                <w:rFonts w:ascii="Times New Roman" w:hAnsi="Times New Roman" w:cs="Times New Roman" w:eastAsia="Times New Roman" w:hint="default"/>
                <w:sz w:val="18"/>
                <w:szCs w:val="18"/>
              </w:rPr>
              <w:t>182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天稳 利人民币</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240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240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4.55</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4.47</w:t>
            </w:r>
          </w:p>
        </w:tc>
        <w:tc>
          <w:tcPr>
            <w:tcW w:w="59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357" w:hRule="exact"/>
        </w:trPr>
        <w:tc>
          <w:tcPr>
            <w:tcW w:w="800" w:type="dxa"/>
            <w:tcBorders>
              <w:top w:val="nil" w:sz="6" w:space="0" w:color="auto"/>
              <w:left w:val="single" w:sz="4" w:space="0" w:color="000000"/>
              <w:bottom w:val="single" w:sz="4" w:space="0" w:color="000000"/>
              <w:right w:val="single" w:sz="4" w:space="0" w:color="000000"/>
            </w:tcBorders>
            <w:shd w:val="clear" w:color="auto" w:fill="C7EDCC"/>
          </w:tcPr>
          <w:p>
            <w:pPr/>
          </w:p>
        </w:tc>
        <w:tc>
          <w:tcPr>
            <w:tcW w:w="83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876"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3" w:type="dxa"/>
            <w:tcBorders>
              <w:top w:val="nil" w:sz="6" w:space="0" w:color="auto"/>
              <w:left w:val="single" w:sz="4" w:space="0" w:color="000000"/>
              <w:bottom w:val="single" w:sz="4" w:space="0" w:color="000000"/>
              <w:right w:val="single" w:sz="4" w:space="0" w:color="000000"/>
            </w:tcBorders>
            <w:shd w:val="clear" w:color="auto" w:fill="C7EDCC"/>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362" w:hRule="exact"/>
        </w:trPr>
        <w:tc>
          <w:tcPr>
            <w:tcW w:w="80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杭州工商</w:t>
            </w:r>
          </w:p>
        </w:tc>
        <w:tc>
          <w:tcPr>
            <w:tcW w:w="83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工商信托</w:t>
            </w:r>
          </w:p>
        </w:tc>
        <w:tc>
          <w:tcPr>
            <w:tcW w:w="876"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nil" w:sz="6" w:space="0" w:color="auto"/>
              <w:right w:val="single" w:sz="4" w:space="0" w:color="000000"/>
            </w:tcBorders>
            <w:shd w:val="clear" w:color="auto" w:fill="C7EDCC"/>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599"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信托股份</w:t>
            </w: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理财</w:t>
            </w:r>
            <w:r>
              <w:rPr>
                <w:rFonts w:ascii="Times New Roman" w:hAnsi="Times New Roman" w:cs="Times New Roman" w:eastAsia="Times New Roman" w:hint="default"/>
                <w:sz w:val="18"/>
                <w:szCs w:val="18"/>
              </w:rPr>
              <w:t>-</w:t>
            </w:r>
            <w:r>
              <w:rPr>
                <w:rFonts w:ascii="宋体" w:hAnsi="宋体" w:cs="宋体" w:eastAsia="宋体" w:hint="default"/>
                <w:sz w:val="18"/>
                <w:szCs w:val="18"/>
              </w:rPr>
              <w:t>丰利</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tc>
        <w:tc>
          <w:tcPr>
            <w:tcW w:w="80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35.4</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35.4</w:t>
            </w:r>
          </w:p>
        </w:tc>
        <w:tc>
          <w:tcPr>
            <w:tcW w:w="59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352" w:hRule="exact"/>
        </w:trPr>
        <w:tc>
          <w:tcPr>
            <w:tcW w:w="80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3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876"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nil" w:sz="6" w:space="0" w:color="auto"/>
              <w:left w:val="single" w:sz="4" w:space="0" w:color="000000"/>
              <w:bottom w:val="single" w:sz="4" w:space="0" w:color="000000"/>
              <w:right w:val="single" w:sz="4" w:space="0" w:color="000000"/>
            </w:tcBorders>
            <w:shd w:val="clear" w:color="auto" w:fill="C7EDCC"/>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362" w:hRule="exact"/>
        </w:trPr>
        <w:tc>
          <w:tcPr>
            <w:tcW w:w="80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杭州工商</w:t>
            </w:r>
          </w:p>
        </w:tc>
        <w:tc>
          <w:tcPr>
            <w:tcW w:w="83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工商信托</w:t>
            </w:r>
          </w:p>
        </w:tc>
        <w:tc>
          <w:tcPr>
            <w:tcW w:w="876"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nil" w:sz="6" w:space="0" w:color="auto"/>
              <w:right w:val="single" w:sz="4" w:space="0" w:color="000000"/>
            </w:tcBorders>
            <w:shd w:val="clear" w:color="auto" w:fill="C7EDCC"/>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599"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信托股份</w:t>
            </w: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理财</w:t>
            </w:r>
            <w:r>
              <w:rPr>
                <w:rFonts w:ascii="Times New Roman" w:hAnsi="Times New Roman" w:cs="Times New Roman" w:eastAsia="Times New Roman" w:hint="default"/>
                <w:sz w:val="18"/>
                <w:szCs w:val="18"/>
              </w:rPr>
              <w:t>-</w:t>
            </w:r>
            <w:r>
              <w:rPr>
                <w:rFonts w:ascii="宋体" w:hAnsi="宋体" w:cs="宋体" w:eastAsia="宋体" w:hint="default"/>
                <w:sz w:val="18"/>
                <w:szCs w:val="18"/>
              </w:rPr>
              <w:t>飞鹰</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tc>
        <w:tc>
          <w:tcPr>
            <w:tcW w:w="80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30.65</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30.65</w:t>
            </w:r>
          </w:p>
        </w:tc>
        <w:tc>
          <w:tcPr>
            <w:tcW w:w="59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352" w:hRule="exact"/>
        </w:trPr>
        <w:tc>
          <w:tcPr>
            <w:tcW w:w="80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3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876"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nil" w:sz="6" w:space="0" w:color="auto"/>
              <w:left w:val="single" w:sz="4" w:space="0" w:color="000000"/>
              <w:bottom w:val="single" w:sz="4" w:space="0" w:color="000000"/>
              <w:right w:val="single" w:sz="4" w:space="0" w:color="000000"/>
            </w:tcBorders>
            <w:shd w:val="clear" w:color="auto" w:fill="C7EDCC"/>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362" w:hRule="exact"/>
        </w:trPr>
        <w:tc>
          <w:tcPr>
            <w:tcW w:w="80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83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AMZYJ</w:t>
            </w:r>
          </w:p>
        </w:tc>
        <w:tc>
          <w:tcPr>
            <w:tcW w:w="876"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nil" w:sz="6" w:space="0" w:color="auto"/>
              <w:right w:val="single" w:sz="4" w:space="0" w:color="000000"/>
            </w:tcBorders>
            <w:shd w:val="clear" w:color="auto" w:fill="C7EDCC"/>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599"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杭州市开</w:t>
            </w: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44"/>
              <w:ind w:left="22" w:right="0"/>
              <w:jc w:val="left"/>
              <w:rPr>
                <w:rFonts w:ascii="Times New Roman" w:hAnsi="Times New Roman" w:cs="Times New Roman" w:eastAsia="Times New Roman" w:hint="default"/>
                <w:sz w:val="18"/>
                <w:szCs w:val="18"/>
              </w:rPr>
            </w:pPr>
            <w:r>
              <w:rPr>
                <w:rFonts w:ascii="Times New Roman"/>
                <w:spacing w:val="-5"/>
                <w:sz w:val="18"/>
              </w:rPr>
              <w:t>ZT-LPA14</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1,500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tc>
        <w:tc>
          <w:tcPr>
            <w:tcW w:w="80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1,500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8.66</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8.66</w:t>
            </w:r>
          </w:p>
        </w:tc>
        <w:tc>
          <w:tcPr>
            <w:tcW w:w="59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352" w:hRule="exact"/>
        </w:trPr>
        <w:tc>
          <w:tcPr>
            <w:tcW w:w="80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元支行</w:t>
            </w:r>
          </w:p>
        </w:tc>
        <w:tc>
          <w:tcPr>
            <w:tcW w:w="83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420)</w:t>
            </w:r>
          </w:p>
        </w:tc>
        <w:tc>
          <w:tcPr>
            <w:tcW w:w="876"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nil" w:sz="6" w:space="0" w:color="auto"/>
              <w:left w:val="single" w:sz="4" w:space="0" w:color="000000"/>
              <w:bottom w:val="single" w:sz="4" w:space="0" w:color="000000"/>
              <w:right w:val="single" w:sz="4" w:space="0" w:color="000000"/>
            </w:tcBorders>
            <w:shd w:val="clear" w:color="auto" w:fill="C7EDCC"/>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C7EDCC"/>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800"/>
        <w:gridCol w:w="832"/>
        <w:gridCol w:w="838"/>
        <w:gridCol w:w="876"/>
        <w:gridCol w:w="804"/>
        <w:gridCol w:w="804"/>
        <w:gridCol w:w="803"/>
        <w:gridCol w:w="804"/>
        <w:gridCol w:w="804"/>
        <w:gridCol w:w="802"/>
        <w:gridCol w:w="804"/>
        <w:gridCol w:w="599"/>
      </w:tblGrid>
      <w:tr>
        <w:trPr>
          <w:trHeight w:val="1135" w:hRule="exact"/>
        </w:trPr>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106"/>
              <w:ind w:left="22" w:right="45"/>
              <w:jc w:val="both"/>
              <w:rPr>
                <w:rFonts w:ascii="宋体" w:hAnsi="宋体" w:cs="宋体" w:eastAsia="宋体" w:hint="default"/>
                <w:sz w:val="18"/>
                <w:szCs w:val="18"/>
              </w:rPr>
            </w:pPr>
            <w:r>
              <w:rPr>
                <w:rFonts w:ascii="宋体" w:hAnsi="宋体" w:cs="宋体" w:eastAsia="宋体" w:hint="default"/>
                <w:sz w:val="18"/>
                <w:szCs w:val="18"/>
              </w:rPr>
              <w:t>中国银行 杭州市开 元支行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362" w:lineRule="auto"/>
              <w:ind w:left="22" w:right="33"/>
              <w:jc w:val="left"/>
              <w:rPr>
                <w:rFonts w:ascii="Times New Roman" w:hAnsi="Times New Roman" w:cs="Times New Roman" w:eastAsia="Times New Roman" w:hint="default"/>
                <w:sz w:val="18"/>
                <w:szCs w:val="18"/>
              </w:rPr>
            </w:pPr>
            <w:r>
              <w:rPr>
                <w:rFonts w:ascii="Times New Roman"/>
                <w:sz w:val="18"/>
              </w:rPr>
              <w:t>AMZYZH 14296</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3.19</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3.19</w:t>
            </w:r>
          </w:p>
        </w:tc>
        <w:tc>
          <w:tcPr>
            <w:tcW w:w="5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中国银行 杭州市开 元支行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22" w:right="33"/>
              <w:jc w:val="left"/>
              <w:rPr>
                <w:rFonts w:ascii="Times New Roman" w:hAnsi="Times New Roman" w:cs="Times New Roman" w:eastAsia="Times New Roman" w:hint="default"/>
                <w:sz w:val="18"/>
                <w:szCs w:val="18"/>
              </w:rPr>
            </w:pPr>
            <w:r>
              <w:rPr>
                <w:rFonts w:ascii="Times New Roman"/>
                <w:sz w:val="18"/>
              </w:rPr>
              <w:t>AMZYZH 14296</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14.32</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14.32</w:t>
            </w:r>
          </w:p>
        </w:tc>
        <w:tc>
          <w:tcPr>
            <w:tcW w:w="5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362" w:hRule="exact"/>
        </w:trPr>
        <w:tc>
          <w:tcPr>
            <w:tcW w:w="80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83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AMZYP</w:t>
            </w:r>
          </w:p>
        </w:tc>
        <w:tc>
          <w:tcPr>
            <w:tcW w:w="876"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nil" w:sz="6" w:space="0" w:color="auto"/>
              <w:right w:val="single" w:sz="4" w:space="0" w:color="000000"/>
            </w:tcBorders>
            <w:shd w:val="clear" w:color="auto" w:fill="C7EDCC"/>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599"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杭州市开</w:t>
            </w: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44"/>
              <w:ind w:left="22" w:right="0"/>
              <w:jc w:val="left"/>
              <w:rPr>
                <w:rFonts w:ascii="Times New Roman" w:hAnsi="Times New Roman" w:cs="Times New Roman" w:eastAsia="Times New Roman" w:hint="default"/>
                <w:sz w:val="18"/>
                <w:szCs w:val="18"/>
              </w:rPr>
            </w:pPr>
            <w:r>
              <w:rPr>
                <w:rFonts w:ascii="Times New Roman"/>
                <w:sz w:val="18"/>
              </w:rPr>
              <w:t>WHQ146</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tc>
        <w:tc>
          <w:tcPr>
            <w:tcW w:w="80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4.89</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4.89</w:t>
            </w:r>
          </w:p>
        </w:tc>
        <w:tc>
          <w:tcPr>
            <w:tcW w:w="59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352" w:hRule="exact"/>
        </w:trPr>
        <w:tc>
          <w:tcPr>
            <w:tcW w:w="80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元支行</w:t>
            </w:r>
          </w:p>
        </w:tc>
        <w:tc>
          <w:tcPr>
            <w:tcW w:w="83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89</w:t>
            </w:r>
          </w:p>
        </w:tc>
        <w:tc>
          <w:tcPr>
            <w:tcW w:w="876"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nil" w:sz="6" w:space="0" w:color="auto"/>
              <w:left w:val="single" w:sz="4" w:space="0" w:color="000000"/>
              <w:bottom w:val="single" w:sz="4" w:space="0" w:color="000000"/>
              <w:right w:val="single" w:sz="4" w:space="0" w:color="000000"/>
            </w:tcBorders>
            <w:shd w:val="clear" w:color="auto" w:fill="C7EDCC"/>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362" w:hRule="exact"/>
        </w:trPr>
        <w:tc>
          <w:tcPr>
            <w:tcW w:w="80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83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AMXYP</w:t>
            </w:r>
          </w:p>
        </w:tc>
        <w:tc>
          <w:tcPr>
            <w:tcW w:w="876"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nil" w:sz="6" w:space="0" w:color="auto"/>
              <w:right w:val="single" w:sz="4" w:space="0" w:color="000000"/>
            </w:tcBorders>
            <w:shd w:val="clear" w:color="auto" w:fill="C7EDCC"/>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599"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杭州市开</w:t>
            </w: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44"/>
              <w:ind w:left="22" w:right="0"/>
              <w:jc w:val="left"/>
              <w:rPr>
                <w:rFonts w:ascii="Times New Roman" w:hAnsi="Times New Roman" w:cs="Times New Roman" w:eastAsia="Times New Roman" w:hint="default"/>
                <w:sz w:val="18"/>
                <w:szCs w:val="18"/>
              </w:rPr>
            </w:pPr>
            <w:r>
              <w:rPr>
                <w:rFonts w:ascii="Times New Roman"/>
                <w:sz w:val="18"/>
              </w:rPr>
              <w:t>WHQ150</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tc>
        <w:tc>
          <w:tcPr>
            <w:tcW w:w="80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4.3</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4.3</w:t>
            </w:r>
          </w:p>
        </w:tc>
        <w:tc>
          <w:tcPr>
            <w:tcW w:w="59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352" w:hRule="exact"/>
        </w:trPr>
        <w:tc>
          <w:tcPr>
            <w:tcW w:w="80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元支行</w:t>
            </w:r>
          </w:p>
        </w:tc>
        <w:tc>
          <w:tcPr>
            <w:tcW w:w="83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15</w:t>
            </w:r>
          </w:p>
        </w:tc>
        <w:tc>
          <w:tcPr>
            <w:tcW w:w="876"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nil" w:sz="6" w:space="0" w:color="auto"/>
              <w:left w:val="single" w:sz="4" w:space="0" w:color="000000"/>
              <w:bottom w:val="single" w:sz="4" w:space="0" w:color="000000"/>
              <w:right w:val="single" w:sz="4" w:space="0" w:color="000000"/>
            </w:tcBorders>
            <w:shd w:val="clear" w:color="auto" w:fill="C7EDCC"/>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362" w:hRule="exact"/>
        </w:trPr>
        <w:tc>
          <w:tcPr>
            <w:tcW w:w="80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83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AMZYJZ</w:t>
            </w:r>
          </w:p>
        </w:tc>
        <w:tc>
          <w:tcPr>
            <w:tcW w:w="876"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nil" w:sz="6" w:space="0" w:color="auto"/>
              <w:right w:val="single" w:sz="4" w:space="0" w:color="000000"/>
            </w:tcBorders>
            <w:shd w:val="clear" w:color="auto" w:fill="C7EDCC"/>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599"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杭州市开</w:t>
            </w: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44"/>
              <w:ind w:left="22" w:right="0"/>
              <w:jc w:val="left"/>
              <w:rPr>
                <w:rFonts w:ascii="Times New Roman" w:hAnsi="Times New Roman" w:cs="Times New Roman" w:eastAsia="Times New Roman" w:hint="default"/>
                <w:sz w:val="18"/>
                <w:szCs w:val="18"/>
              </w:rPr>
            </w:pPr>
            <w:r>
              <w:rPr>
                <w:rFonts w:ascii="Times New Roman"/>
                <w:spacing w:val="-5"/>
                <w:sz w:val="18"/>
              </w:rPr>
              <w:t>T-LPA150</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1,500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tc>
        <w:tc>
          <w:tcPr>
            <w:tcW w:w="80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1,500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2"/>
                <w:sz w:val="18"/>
              </w:rPr>
              <w:t>11.39</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pacing w:val="-2"/>
                <w:sz w:val="18"/>
              </w:rPr>
              <w:t>11.39</w:t>
            </w:r>
          </w:p>
        </w:tc>
        <w:tc>
          <w:tcPr>
            <w:tcW w:w="59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352" w:hRule="exact"/>
        </w:trPr>
        <w:tc>
          <w:tcPr>
            <w:tcW w:w="80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元支行</w:t>
            </w:r>
          </w:p>
        </w:tc>
        <w:tc>
          <w:tcPr>
            <w:tcW w:w="83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c>
          <w:tcPr>
            <w:tcW w:w="876"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nil" w:sz="6" w:space="0" w:color="auto"/>
              <w:left w:val="single" w:sz="4" w:space="0" w:color="000000"/>
              <w:bottom w:val="single" w:sz="4" w:space="0" w:color="000000"/>
              <w:right w:val="single" w:sz="4" w:space="0" w:color="000000"/>
            </w:tcBorders>
            <w:shd w:val="clear" w:color="auto" w:fill="C7EDCC"/>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362" w:hRule="exact"/>
        </w:trPr>
        <w:tc>
          <w:tcPr>
            <w:tcW w:w="80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83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AMZYJZ</w:t>
            </w:r>
          </w:p>
        </w:tc>
        <w:tc>
          <w:tcPr>
            <w:tcW w:w="876"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nil" w:sz="6" w:space="0" w:color="auto"/>
              <w:right w:val="single" w:sz="4" w:space="0" w:color="000000"/>
            </w:tcBorders>
            <w:shd w:val="clear" w:color="auto" w:fill="C7EDCC"/>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599"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杭州市开</w:t>
            </w: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44"/>
              <w:ind w:left="22" w:right="0"/>
              <w:jc w:val="left"/>
              <w:rPr>
                <w:rFonts w:ascii="Times New Roman" w:hAnsi="Times New Roman" w:cs="Times New Roman" w:eastAsia="Times New Roman" w:hint="default"/>
                <w:sz w:val="18"/>
                <w:szCs w:val="18"/>
              </w:rPr>
            </w:pPr>
            <w:r>
              <w:rPr>
                <w:rFonts w:ascii="Times New Roman"/>
                <w:spacing w:val="-5"/>
                <w:sz w:val="18"/>
              </w:rPr>
              <w:t>T-LPA150</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tc>
        <w:tc>
          <w:tcPr>
            <w:tcW w:w="80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12.05</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12.05</w:t>
            </w:r>
          </w:p>
        </w:tc>
        <w:tc>
          <w:tcPr>
            <w:tcW w:w="59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352" w:hRule="exact"/>
        </w:trPr>
        <w:tc>
          <w:tcPr>
            <w:tcW w:w="80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元支行</w:t>
            </w:r>
          </w:p>
        </w:tc>
        <w:tc>
          <w:tcPr>
            <w:tcW w:w="83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12</w:t>
            </w:r>
          </w:p>
        </w:tc>
        <w:tc>
          <w:tcPr>
            <w:tcW w:w="876"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nil" w:sz="6" w:space="0" w:color="auto"/>
              <w:left w:val="single" w:sz="4" w:space="0" w:color="000000"/>
              <w:bottom w:val="single" w:sz="4" w:space="0" w:color="000000"/>
              <w:right w:val="single" w:sz="4" w:space="0" w:color="000000"/>
            </w:tcBorders>
            <w:shd w:val="clear" w:color="auto" w:fill="C7EDCC"/>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中国银行 杭州市开 元支行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22" w:right="74"/>
              <w:jc w:val="left"/>
              <w:rPr>
                <w:rFonts w:ascii="Times New Roman" w:hAnsi="Times New Roman" w:cs="Times New Roman" w:eastAsia="Times New Roman" w:hint="default"/>
                <w:sz w:val="18"/>
                <w:szCs w:val="18"/>
              </w:rPr>
            </w:pPr>
            <w:r>
              <w:rPr>
                <w:rFonts w:ascii="Times New Roman"/>
                <w:sz w:val="18"/>
              </w:rPr>
              <w:t>GSSYLJ0 1</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w:t>
            </w:r>
          </w:p>
        </w:tc>
        <w:tc>
          <w:tcPr>
            <w:tcW w:w="5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中国银行 杭州市开 元支行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22" w:right="74"/>
              <w:jc w:val="left"/>
              <w:rPr>
                <w:rFonts w:ascii="Times New Roman" w:hAnsi="Times New Roman" w:cs="Times New Roman" w:eastAsia="Times New Roman" w:hint="default"/>
                <w:sz w:val="18"/>
                <w:szCs w:val="18"/>
              </w:rPr>
            </w:pPr>
            <w:r>
              <w:rPr>
                <w:rFonts w:ascii="Times New Roman"/>
                <w:sz w:val="18"/>
              </w:rPr>
              <w:t>GSSYLJ0 2</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1.58</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1.58</w:t>
            </w:r>
          </w:p>
        </w:tc>
        <w:tc>
          <w:tcPr>
            <w:tcW w:w="5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中国银行 杭州市开 元支行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22" w:right="74"/>
              <w:jc w:val="left"/>
              <w:rPr>
                <w:rFonts w:ascii="Times New Roman" w:hAnsi="Times New Roman" w:cs="Times New Roman" w:eastAsia="Times New Roman" w:hint="default"/>
                <w:sz w:val="18"/>
                <w:szCs w:val="18"/>
              </w:rPr>
            </w:pPr>
            <w:r>
              <w:rPr>
                <w:rFonts w:ascii="Times New Roman"/>
                <w:sz w:val="18"/>
              </w:rPr>
              <w:t>GSSYLJ0 3</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2.71</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2.71</w:t>
            </w:r>
          </w:p>
        </w:tc>
        <w:tc>
          <w:tcPr>
            <w:tcW w:w="5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362" w:hRule="exact"/>
        </w:trPr>
        <w:tc>
          <w:tcPr>
            <w:tcW w:w="80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83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AMZYJZJ</w:t>
            </w:r>
          </w:p>
        </w:tc>
        <w:tc>
          <w:tcPr>
            <w:tcW w:w="876"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nil" w:sz="6" w:space="0" w:color="auto"/>
              <w:right w:val="single" w:sz="4" w:space="0" w:color="000000"/>
            </w:tcBorders>
            <w:shd w:val="clear" w:color="auto" w:fill="C7EDCC"/>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599"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杭州市开</w:t>
            </w: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44"/>
              <w:ind w:left="22" w:right="0"/>
              <w:jc w:val="left"/>
              <w:rPr>
                <w:rFonts w:ascii="Times New Roman" w:hAnsi="Times New Roman" w:cs="Times New Roman" w:eastAsia="Times New Roman" w:hint="default"/>
                <w:sz w:val="18"/>
                <w:szCs w:val="18"/>
              </w:rPr>
            </w:pPr>
            <w:r>
              <w:rPr>
                <w:rFonts w:ascii="Times New Roman"/>
                <w:sz w:val="18"/>
              </w:rPr>
              <w:t>-LPB1516</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tc>
        <w:tc>
          <w:tcPr>
            <w:tcW w:w="80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8.73</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8.73</w:t>
            </w:r>
          </w:p>
        </w:tc>
        <w:tc>
          <w:tcPr>
            <w:tcW w:w="59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352" w:hRule="exact"/>
        </w:trPr>
        <w:tc>
          <w:tcPr>
            <w:tcW w:w="80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元支行</w:t>
            </w:r>
          </w:p>
        </w:tc>
        <w:tc>
          <w:tcPr>
            <w:tcW w:w="83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0</w:t>
            </w:r>
          </w:p>
        </w:tc>
        <w:tc>
          <w:tcPr>
            <w:tcW w:w="876"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nil" w:sz="6" w:space="0" w:color="auto"/>
              <w:left w:val="single" w:sz="4" w:space="0" w:color="000000"/>
              <w:bottom w:val="single" w:sz="4" w:space="0" w:color="000000"/>
              <w:right w:val="single" w:sz="4" w:space="0" w:color="000000"/>
            </w:tcBorders>
            <w:shd w:val="clear" w:color="auto" w:fill="C7EDCC"/>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362" w:hRule="exact"/>
        </w:trPr>
        <w:tc>
          <w:tcPr>
            <w:tcW w:w="80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83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AMZYP</w:t>
            </w:r>
          </w:p>
        </w:tc>
        <w:tc>
          <w:tcPr>
            <w:tcW w:w="876"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nil" w:sz="6" w:space="0" w:color="auto"/>
              <w:right w:val="single" w:sz="4" w:space="0" w:color="000000"/>
            </w:tcBorders>
            <w:shd w:val="clear" w:color="auto" w:fill="C7EDCC"/>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599"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杭州市开</w:t>
            </w: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44"/>
              <w:ind w:left="22" w:right="0"/>
              <w:jc w:val="left"/>
              <w:rPr>
                <w:rFonts w:ascii="Times New Roman" w:hAnsi="Times New Roman" w:cs="Times New Roman" w:eastAsia="Times New Roman" w:hint="default"/>
                <w:sz w:val="18"/>
                <w:szCs w:val="18"/>
              </w:rPr>
            </w:pPr>
            <w:r>
              <w:rPr>
                <w:rFonts w:ascii="Times New Roman"/>
                <w:sz w:val="18"/>
              </w:rPr>
              <w:t>WHQ153</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tc>
        <w:tc>
          <w:tcPr>
            <w:tcW w:w="80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10.59</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10.59</w:t>
            </w:r>
          </w:p>
        </w:tc>
        <w:tc>
          <w:tcPr>
            <w:tcW w:w="59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352" w:hRule="exact"/>
        </w:trPr>
        <w:tc>
          <w:tcPr>
            <w:tcW w:w="80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元支行</w:t>
            </w:r>
          </w:p>
        </w:tc>
        <w:tc>
          <w:tcPr>
            <w:tcW w:w="83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02</w:t>
            </w:r>
          </w:p>
        </w:tc>
        <w:tc>
          <w:tcPr>
            <w:tcW w:w="876"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nil" w:sz="6" w:space="0" w:color="auto"/>
              <w:left w:val="single" w:sz="4" w:space="0" w:color="000000"/>
              <w:bottom w:val="single" w:sz="4" w:space="0" w:color="000000"/>
              <w:right w:val="single" w:sz="4" w:space="0" w:color="000000"/>
            </w:tcBorders>
            <w:shd w:val="clear" w:color="auto" w:fill="C7EDCC"/>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362" w:hRule="exact"/>
        </w:trPr>
        <w:tc>
          <w:tcPr>
            <w:tcW w:w="80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83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shd w:val="clear" w:color="auto" w:fill="C7EDCC"/>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nil" w:sz="6" w:space="0" w:color="auto"/>
              <w:right w:val="single" w:sz="4" w:space="0" w:color="000000"/>
            </w:tcBorders>
            <w:shd w:val="clear" w:color="auto" w:fill="C7EDCC"/>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599"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杭州市开</w:t>
            </w: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日积月累</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tc>
        <w:tc>
          <w:tcPr>
            <w:tcW w:w="80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0.08</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0.08</w:t>
            </w:r>
          </w:p>
        </w:tc>
        <w:tc>
          <w:tcPr>
            <w:tcW w:w="59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352" w:hRule="exact"/>
        </w:trPr>
        <w:tc>
          <w:tcPr>
            <w:tcW w:w="80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元支行</w:t>
            </w:r>
          </w:p>
        </w:tc>
        <w:tc>
          <w:tcPr>
            <w:tcW w:w="83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shd w:val="clear" w:color="auto" w:fill="C7EDCC"/>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nil" w:sz="6" w:space="0" w:color="auto"/>
              <w:left w:val="single" w:sz="4" w:space="0" w:color="000000"/>
              <w:bottom w:val="single" w:sz="4" w:space="0" w:color="000000"/>
              <w:right w:val="single" w:sz="4" w:space="0" w:color="000000"/>
            </w:tcBorders>
            <w:shd w:val="clear" w:color="auto" w:fill="C7EDCC"/>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362" w:hRule="exact"/>
        </w:trPr>
        <w:tc>
          <w:tcPr>
            <w:tcW w:w="80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83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shd w:val="clear" w:color="auto" w:fill="C7EDCC"/>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nil" w:sz="6" w:space="0" w:color="auto"/>
              <w:right w:val="single" w:sz="4" w:space="0" w:color="000000"/>
            </w:tcBorders>
            <w:shd w:val="clear" w:color="auto" w:fill="C7EDCC"/>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599"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杭州市开</w:t>
            </w: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日积月累</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2,500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tc>
        <w:tc>
          <w:tcPr>
            <w:tcW w:w="80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2,500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0.38</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0.38</w:t>
            </w:r>
          </w:p>
        </w:tc>
        <w:tc>
          <w:tcPr>
            <w:tcW w:w="59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352" w:hRule="exact"/>
        </w:trPr>
        <w:tc>
          <w:tcPr>
            <w:tcW w:w="80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元支行</w:t>
            </w:r>
          </w:p>
        </w:tc>
        <w:tc>
          <w:tcPr>
            <w:tcW w:w="83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shd w:val="clear" w:color="auto" w:fill="C7EDCC"/>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nil" w:sz="6" w:space="0" w:color="auto"/>
              <w:left w:val="single" w:sz="4" w:space="0" w:color="000000"/>
              <w:bottom w:val="single" w:sz="4" w:space="0" w:color="000000"/>
              <w:right w:val="single" w:sz="4" w:space="0" w:color="000000"/>
            </w:tcBorders>
            <w:shd w:val="clear" w:color="auto" w:fill="C7EDCC"/>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C7EDCC"/>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800"/>
        <w:gridCol w:w="832"/>
        <w:gridCol w:w="838"/>
        <w:gridCol w:w="876"/>
        <w:gridCol w:w="804"/>
        <w:gridCol w:w="804"/>
        <w:gridCol w:w="803"/>
        <w:gridCol w:w="804"/>
        <w:gridCol w:w="804"/>
        <w:gridCol w:w="802"/>
        <w:gridCol w:w="804"/>
        <w:gridCol w:w="599"/>
      </w:tblGrid>
      <w:tr>
        <w:trPr>
          <w:trHeight w:val="1026" w:hRule="exact"/>
        </w:trPr>
        <w:tc>
          <w:tcPr>
            <w:tcW w:w="80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45"/>
              <w:jc w:val="both"/>
              <w:rPr>
                <w:rFonts w:ascii="宋体" w:hAnsi="宋体" w:cs="宋体" w:eastAsia="宋体" w:hint="default"/>
                <w:sz w:val="18"/>
                <w:szCs w:val="18"/>
              </w:rPr>
            </w:pPr>
            <w:r>
              <w:rPr>
                <w:rFonts w:ascii="宋体" w:hAnsi="宋体" w:cs="宋体" w:eastAsia="宋体" w:hint="default"/>
                <w:sz w:val="18"/>
                <w:szCs w:val="18"/>
              </w:rPr>
              <w:t>中国银行 杭州市开 元支行</w:t>
            </w:r>
          </w:p>
        </w:tc>
        <w:tc>
          <w:tcPr>
            <w:tcW w:w="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日积月累</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0.65</w:t>
            </w:r>
          </w:p>
        </w:tc>
        <w:tc>
          <w:tcPr>
            <w:tcW w:w="59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363" w:hRule="exact"/>
        </w:trPr>
        <w:tc>
          <w:tcPr>
            <w:tcW w:w="80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83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shd w:val="clear" w:color="auto" w:fill="C7EDCC"/>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nil" w:sz="6" w:space="0" w:color="auto"/>
              <w:right w:val="single" w:sz="4" w:space="0" w:color="000000"/>
            </w:tcBorders>
            <w:shd w:val="clear" w:color="auto" w:fill="C7EDCC"/>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599"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3" w:hRule="exact"/>
        </w:trPr>
        <w:tc>
          <w:tcPr>
            <w:tcW w:w="8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杭州市开</w:t>
            </w: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日积月累</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tc>
        <w:tc>
          <w:tcPr>
            <w:tcW w:w="80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2.19</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2.19</w:t>
            </w:r>
          </w:p>
        </w:tc>
        <w:tc>
          <w:tcPr>
            <w:tcW w:w="59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351" w:hRule="exact"/>
        </w:trPr>
        <w:tc>
          <w:tcPr>
            <w:tcW w:w="80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元支行</w:t>
            </w:r>
          </w:p>
        </w:tc>
        <w:tc>
          <w:tcPr>
            <w:tcW w:w="83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shd w:val="clear" w:color="auto" w:fill="C7EDCC"/>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nil" w:sz="6" w:space="0" w:color="auto"/>
              <w:left w:val="single" w:sz="4" w:space="0" w:color="000000"/>
              <w:bottom w:val="single" w:sz="4" w:space="0" w:color="000000"/>
              <w:right w:val="single" w:sz="4" w:space="0" w:color="000000"/>
            </w:tcBorders>
            <w:shd w:val="clear" w:color="auto" w:fill="C7EDCC"/>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363" w:hRule="exact"/>
        </w:trPr>
        <w:tc>
          <w:tcPr>
            <w:tcW w:w="80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83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shd w:val="clear" w:color="auto" w:fill="C7EDCC"/>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nil" w:sz="6" w:space="0" w:color="auto"/>
              <w:right w:val="single" w:sz="4" w:space="0" w:color="000000"/>
            </w:tcBorders>
            <w:shd w:val="clear" w:color="auto" w:fill="C7EDCC"/>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599"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3" w:hRule="exact"/>
        </w:trPr>
        <w:tc>
          <w:tcPr>
            <w:tcW w:w="8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杭州市开</w:t>
            </w: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日积月累</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tc>
        <w:tc>
          <w:tcPr>
            <w:tcW w:w="80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3.07</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3.07</w:t>
            </w:r>
          </w:p>
        </w:tc>
        <w:tc>
          <w:tcPr>
            <w:tcW w:w="59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351" w:hRule="exact"/>
        </w:trPr>
        <w:tc>
          <w:tcPr>
            <w:tcW w:w="80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元支行</w:t>
            </w:r>
          </w:p>
        </w:tc>
        <w:tc>
          <w:tcPr>
            <w:tcW w:w="83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shd w:val="clear" w:color="auto" w:fill="C7EDCC"/>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nil" w:sz="6" w:space="0" w:color="auto"/>
              <w:left w:val="single" w:sz="4" w:space="0" w:color="000000"/>
              <w:bottom w:val="single" w:sz="4" w:space="0" w:color="000000"/>
              <w:right w:val="single" w:sz="4" w:space="0" w:color="000000"/>
            </w:tcBorders>
            <w:shd w:val="clear" w:color="auto" w:fill="C7EDCC"/>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363" w:hRule="exact"/>
        </w:trPr>
        <w:tc>
          <w:tcPr>
            <w:tcW w:w="80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83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shd w:val="clear" w:color="auto" w:fill="C7EDCC"/>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nil" w:sz="6" w:space="0" w:color="auto"/>
              <w:right w:val="single" w:sz="4" w:space="0" w:color="000000"/>
            </w:tcBorders>
            <w:shd w:val="clear" w:color="auto" w:fill="C7EDCC"/>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599"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3" w:hRule="exact"/>
        </w:trPr>
        <w:tc>
          <w:tcPr>
            <w:tcW w:w="8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杭州市开</w:t>
            </w: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日积月累</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1,500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tc>
        <w:tc>
          <w:tcPr>
            <w:tcW w:w="80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1,500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3.01</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3.01</w:t>
            </w:r>
          </w:p>
        </w:tc>
        <w:tc>
          <w:tcPr>
            <w:tcW w:w="59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351" w:hRule="exact"/>
        </w:trPr>
        <w:tc>
          <w:tcPr>
            <w:tcW w:w="80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元支行</w:t>
            </w:r>
          </w:p>
        </w:tc>
        <w:tc>
          <w:tcPr>
            <w:tcW w:w="83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shd w:val="clear" w:color="auto" w:fill="C7EDCC"/>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nil" w:sz="6" w:space="0" w:color="auto"/>
              <w:left w:val="single" w:sz="4" w:space="0" w:color="000000"/>
              <w:bottom w:val="single" w:sz="4" w:space="0" w:color="000000"/>
              <w:right w:val="single" w:sz="4" w:space="0" w:color="000000"/>
            </w:tcBorders>
            <w:shd w:val="clear" w:color="auto" w:fill="C7EDCC"/>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363" w:hRule="exact"/>
        </w:trPr>
        <w:tc>
          <w:tcPr>
            <w:tcW w:w="80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83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shd w:val="clear" w:color="auto" w:fill="C7EDCC"/>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nil" w:sz="6" w:space="0" w:color="auto"/>
              <w:right w:val="single" w:sz="4" w:space="0" w:color="000000"/>
            </w:tcBorders>
            <w:shd w:val="clear" w:color="auto" w:fill="C7EDCC"/>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599"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3" w:hRule="exact"/>
        </w:trPr>
        <w:tc>
          <w:tcPr>
            <w:tcW w:w="8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杭州市开</w:t>
            </w: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日积月累</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2,500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tc>
        <w:tc>
          <w:tcPr>
            <w:tcW w:w="80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2,500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3.24</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3.24</w:t>
            </w:r>
          </w:p>
        </w:tc>
        <w:tc>
          <w:tcPr>
            <w:tcW w:w="59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351" w:hRule="exact"/>
        </w:trPr>
        <w:tc>
          <w:tcPr>
            <w:tcW w:w="80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元支行</w:t>
            </w:r>
          </w:p>
        </w:tc>
        <w:tc>
          <w:tcPr>
            <w:tcW w:w="83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shd w:val="clear" w:color="auto" w:fill="C7EDCC"/>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nil" w:sz="6" w:space="0" w:color="auto"/>
              <w:left w:val="single" w:sz="4" w:space="0" w:color="000000"/>
              <w:bottom w:val="single" w:sz="4" w:space="0" w:color="000000"/>
              <w:right w:val="single" w:sz="4" w:space="0" w:color="000000"/>
            </w:tcBorders>
            <w:shd w:val="clear" w:color="auto" w:fill="C7EDCC"/>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363" w:hRule="exact"/>
        </w:trPr>
        <w:tc>
          <w:tcPr>
            <w:tcW w:w="80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83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shd w:val="clear" w:color="auto" w:fill="C7EDCC"/>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nil" w:sz="6" w:space="0" w:color="auto"/>
              <w:right w:val="single" w:sz="4" w:space="0" w:color="000000"/>
            </w:tcBorders>
            <w:shd w:val="clear" w:color="auto" w:fill="C7EDCC"/>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599"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3" w:hRule="exact"/>
        </w:trPr>
        <w:tc>
          <w:tcPr>
            <w:tcW w:w="8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杭州市开</w:t>
            </w: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日积月累</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tc>
        <w:tc>
          <w:tcPr>
            <w:tcW w:w="80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1,000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1</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z w:val="18"/>
              </w:rPr>
              <w:t>1</w:t>
            </w:r>
          </w:p>
        </w:tc>
        <w:tc>
          <w:tcPr>
            <w:tcW w:w="59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351" w:hRule="exact"/>
        </w:trPr>
        <w:tc>
          <w:tcPr>
            <w:tcW w:w="80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元支行</w:t>
            </w:r>
          </w:p>
        </w:tc>
        <w:tc>
          <w:tcPr>
            <w:tcW w:w="83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shd w:val="clear" w:color="auto" w:fill="C7EDCC"/>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nil" w:sz="6" w:space="0" w:color="auto"/>
              <w:left w:val="single" w:sz="4" w:space="0" w:color="000000"/>
              <w:bottom w:val="single" w:sz="4" w:space="0" w:color="000000"/>
              <w:right w:val="single" w:sz="4" w:space="0" w:color="000000"/>
            </w:tcBorders>
            <w:shd w:val="clear" w:color="auto" w:fill="C7EDCC"/>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363" w:hRule="exact"/>
        </w:trPr>
        <w:tc>
          <w:tcPr>
            <w:tcW w:w="80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83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shd w:val="clear" w:color="auto" w:fill="C7EDCC"/>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nil" w:sz="6" w:space="0" w:color="auto"/>
              <w:right w:val="single" w:sz="4" w:space="0" w:color="000000"/>
            </w:tcBorders>
            <w:shd w:val="clear" w:color="auto" w:fill="C7EDCC"/>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599"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3" w:hRule="exact"/>
        </w:trPr>
        <w:tc>
          <w:tcPr>
            <w:tcW w:w="8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杭州市开</w:t>
            </w: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日积月累</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p>
        </w:tc>
        <w:tc>
          <w:tcPr>
            <w:tcW w:w="80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2,000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3.68</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3.68</w:t>
            </w:r>
          </w:p>
        </w:tc>
        <w:tc>
          <w:tcPr>
            <w:tcW w:w="59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351" w:hRule="exact"/>
        </w:trPr>
        <w:tc>
          <w:tcPr>
            <w:tcW w:w="80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元支行</w:t>
            </w:r>
          </w:p>
        </w:tc>
        <w:tc>
          <w:tcPr>
            <w:tcW w:w="83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shd w:val="clear" w:color="auto" w:fill="C7EDCC"/>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nil" w:sz="6" w:space="0" w:color="auto"/>
              <w:left w:val="single" w:sz="4" w:space="0" w:color="000000"/>
              <w:bottom w:val="single" w:sz="4" w:space="0" w:color="000000"/>
              <w:right w:val="single" w:sz="4" w:space="0" w:color="000000"/>
            </w:tcBorders>
            <w:shd w:val="clear" w:color="auto" w:fill="C7EDCC"/>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363" w:hRule="exact"/>
        </w:trPr>
        <w:tc>
          <w:tcPr>
            <w:tcW w:w="80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83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shd w:val="clear" w:color="auto" w:fill="C7EDCC"/>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nil" w:sz="6" w:space="0" w:color="auto"/>
              <w:right w:val="single" w:sz="4" w:space="0" w:color="000000"/>
            </w:tcBorders>
            <w:shd w:val="clear" w:color="auto" w:fill="C7EDCC"/>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599"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3" w:hRule="exact"/>
        </w:trPr>
        <w:tc>
          <w:tcPr>
            <w:tcW w:w="8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杭州市开</w:t>
            </w: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日积月累</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tc>
        <w:tc>
          <w:tcPr>
            <w:tcW w:w="80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0.06</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0.06</w:t>
            </w:r>
          </w:p>
        </w:tc>
        <w:tc>
          <w:tcPr>
            <w:tcW w:w="59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351" w:hRule="exact"/>
        </w:trPr>
        <w:tc>
          <w:tcPr>
            <w:tcW w:w="80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元支行</w:t>
            </w:r>
          </w:p>
        </w:tc>
        <w:tc>
          <w:tcPr>
            <w:tcW w:w="83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shd w:val="clear" w:color="auto" w:fill="C7EDCC"/>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nil" w:sz="6" w:space="0" w:color="auto"/>
              <w:left w:val="single" w:sz="4" w:space="0" w:color="000000"/>
              <w:bottom w:val="single" w:sz="4" w:space="0" w:color="000000"/>
              <w:right w:val="single" w:sz="4" w:space="0" w:color="000000"/>
            </w:tcBorders>
            <w:shd w:val="clear" w:color="auto" w:fill="C7EDCC"/>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363" w:hRule="exact"/>
        </w:trPr>
        <w:tc>
          <w:tcPr>
            <w:tcW w:w="80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83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shd w:val="clear" w:color="auto" w:fill="C7EDCC"/>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nil" w:sz="6" w:space="0" w:color="auto"/>
              <w:right w:val="single" w:sz="4" w:space="0" w:color="000000"/>
            </w:tcBorders>
            <w:shd w:val="clear" w:color="auto" w:fill="C7EDCC"/>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599"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3" w:hRule="exact"/>
        </w:trPr>
        <w:tc>
          <w:tcPr>
            <w:tcW w:w="8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杭州市开</w:t>
            </w: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日积月累</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z w:val="18"/>
              </w:rPr>
              <w:t>300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tc>
        <w:tc>
          <w:tcPr>
            <w:tcW w:w="80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300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0.4</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0.4</w:t>
            </w:r>
          </w:p>
        </w:tc>
        <w:tc>
          <w:tcPr>
            <w:tcW w:w="59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351" w:hRule="exact"/>
        </w:trPr>
        <w:tc>
          <w:tcPr>
            <w:tcW w:w="80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元支行</w:t>
            </w:r>
          </w:p>
        </w:tc>
        <w:tc>
          <w:tcPr>
            <w:tcW w:w="83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shd w:val="clear" w:color="auto" w:fill="C7EDCC"/>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nil" w:sz="6" w:space="0" w:color="auto"/>
              <w:left w:val="single" w:sz="4" w:space="0" w:color="000000"/>
              <w:bottom w:val="single" w:sz="4" w:space="0" w:color="000000"/>
              <w:right w:val="single" w:sz="4" w:space="0" w:color="000000"/>
            </w:tcBorders>
            <w:shd w:val="clear" w:color="auto" w:fill="C7EDCC"/>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363" w:hRule="exact"/>
        </w:trPr>
        <w:tc>
          <w:tcPr>
            <w:tcW w:w="80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中国工商</w:t>
            </w:r>
          </w:p>
        </w:tc>
        <w:tc>
          <w:tcPr>
            <w:tcW w:w="83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shd w:val="clear" w:color="auto" w:fill="C7EDCC"/>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single" w:sz="4" w:space="0" w:color="000000"/>
              <w:left w:val="single" w:sz="4" w:space="0" w:color="000000"/>
              <w:bottom w:val="nil" w:sz="6" w:space="0" w:color="auto"/>
              <w:right w:val="single" w:sz="4" w:space="0" w:color="000000"/>
            </w:tcBorders>
            <w:shd w:val="clear" w:color="auto" w:fill="C7EDCC"/>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599"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3" w:hRule="exact"/>
        </w:trPr>
        <w:tc>
          <w:tcPr>
            <w:tcW w:w="8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银行宁波</w:t>
            </w: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日升月恒</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z w:val="18"/>
              </w:rPr>
              <w:t>400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c>
          <w:tcPr>
            <w:tcW w:w="80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400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7.61</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7.61</w:t>
            </w:r>
          </w:p>
        </w:tc>
        <w:tc>
          <w:tcPr>
            <w:tcW w:w="59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351" w:hRule="exact"/>
        </w:trPr>
        <w:tc>
          <w:tcPr>
            <w:tcW w:w="80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市镇海骆</w:t>
            </w:r>
          </w:p>
        </w:tc>
        <w:tc>
          <w:tcPr>
            <w:tcW w:w="83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shd w:val="clear" w:color="auto" w:fill="C7EDCC"/>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nil" w:sz="6" w:space="0" w:color="auto"/>
              <w:left w:val="single" w:sz="4" w:space="0" w:color="000000"/>
              <w:bottom w:val="single" w:sz="4" w:space="0" w:color="000000"/>
              <w:right w:val="single" w:sz="4" w:space="0" w:color="000000"/>
            </w:tcBorders>
            <w:shd w:val="clear" w:color="auto" w:fill="C7EDCC"/>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358" w:hRule="exact"/>
        </w:trPr>
        <w:tc>
          <w:tcPr>
            <w:tcW w:w="80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中国工商</w:t>
            </w:r>
          </w:p>
        </w:tc>
        <w:tc>
          <w:tcPr>
            <w:tcW w:w="83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shd w:val="clear" w:color="auto" w:fill="C7EDCC"/>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3" w:type="dxa"/>
            <w:tcBorders>
              <w:top w:val="single" w:sz="4" w:space="0" w:color="000000"/>
              <w:left w:val="single" w:sz="4" w:space="0" w:color="000000"/>
              <w:bottom w:val="nil" w:sz="6" w:space="0" w:color="auto"/>
              <w:right w:val="single" w:sz="4" w:space="0" w:color="000000"/>
            </w:tcBorders>
            <w:shd w:val="clear" w:color="auto" w:fill="C7EDCC"/>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599"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7" w:hRule="exact"/>
        </w:trPr>
        <w:tc>
          <w:tcPr>
            <w:tcW w:w="8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银行宁波</w:t>
            </w:r>
          </w:p>
        </w:tc>
        <w:tc>
          <w:tcPr>
            <w:tcW w:w="832"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shd w:val="clear" w:color="auto" w:fill="C7EDCC"/>
          </w:tcPr>
          <w:p>
            <w:pPr/>
          </w:p>
        </w:tc>
        <w:tc>
          <w:tcPr>
            <w:tcW w:w="876" w:type="dxa"/>
            <w:tcBorders>
              <w:top w:val="nil" w:sz="6" w:space="0" w:color="auto"/>
              <w:left w:val="single" w:sz="4" w:space="0" w:color="000000"/>
              <w:bottom w:val="nil" w:sz="6" w:space="0" w:color="auto"/>
              <w:right w:val="single" w:sz="4" w:space="0" w:color="000000"/>
            </w:tcBorders>
          </w:tcPr>
          <w:p>
            <w:pP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nil" w:sz="6" w:space="0" w:color="auto"/>
              <w:left w:val="single" w:sz="4" w:space="0" w:color="000000"/>
              <w:bottom w:val="nil" w:sz="6" w:space="0" w:color="auto"/>
              <w:right w:val="single" w:sz="4" w:space="0" w:color="000000"/>
            </w:tcBorders>
            <w:shd w:val="clear" w:color="auto" w:fill="C7EDCC"/>
          </w:tcPr>
          <w:p>
            <w:pPr/>
          </w:p>
        </w:tc>
        <w:tc>
          <w:tcPr>
            <w:tcW w:w="804" w:type="dxa"/>
            <w:tcBorders>
              <w:top w:val="nil" w:sz="6" w:space="0" w:color="auto"/>
              <w:left w:val="single" w:sz="4" w:space="0" w:color="000000"/>
              <w:bottom w:val="nil" w:sz="6" w:space="0" w:color="auto"/>
              <w:right w:val="single" w:sz="4" w:space="0" w:color="000000"/>
            </w:tcBorders>
          </w:tcPr>
          <w:p>
            <w:pPr/>
          </w:p>
        </w:tc>
        <w:tc>
          <w:tcPr>
            <w:tcW w:w="804" w:type="dxa"/>
            <w:tcBorders>
              <w:top w:val="nil" w:sz="6" w:space="0" w:color="auto"/>
              <w:left w:val="single" w:sz="4" w:space="0" w:color="000000"/>
              <w:bottom w:val="nil" w:sz="6" w:space="0" w:color="auto"/>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
        </w:tc>
        <w:tc>
          <w:tcPr>
            <w:tcW w:w="804" w:type="dxa"/>
            <w:tcBorders>
              <w:top w:val="nil" w:sz="6" w:space="0" w:color="auto"/>
              <w:left w:val="single" w:sz="4" w:space="0" w:color="000000"/>
              <w:bottom w:val="nil" w:sz="6" w:space="0" w:color="auto"/>
              <w:right w:val="single" w:sz="4" w:space="0" w:color="000000"/>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市镇海骆</w:t>
            </w: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日升月恒</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z w:val="18"/>
              </w:rPr>
              <w:t>100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tc>
        <w:tc>
          <w:tcPr>
            <w:tcW w:w="80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100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1.41</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1.41</w:t>
            </w:r>
          </w:p>
        </w:tc>
        <w:tc>
          <w:tcPr>
            <w:tcW w:w="59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308" w:hRule="exact"/>
        </w:trPr>
        <w:tc>
          <w:tcPr>
            <w:tcW w:w="8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驼支行驼</w:t>
            </w:r>
          </w:p>
        </w:tc>
        <w:tc>
          <w:tcPr>
            <w:tcW w:w="832"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shd w:val="clear" w:color="auto" w:fill="C7EDCC"/>
          </w:tcPr>
          <w:p>
            <w:pPr/>
          </w:p>
        </w:tc>
        <w:tc>
          <w:tcPr>
            <w:tcW w:w="876" w:type="dxa"/>
            <w:tcBorders>
              <w:top w:val="nil" w:sz="6" w:space="0" w:color="auto"/>
              <w:left w:val="single" w:sz="4" w:space="0" w:color="000000"/>
              <w:bottom w:val="nil" w:sz="6" w:space="0" w:color="auto"/>
              <w:right w:val="single" w:sz="4" w:space="0" w:color="000000"/>
            </w:tcBorders>
          </w:tcPr>
          <w:p>
            <w:pP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nil" w:sz="6" w:space="0" w:color="auto"/>
              <w:left w:val="single" w:sz="4" w:space="0" w:color="000000"/>
              <w:bottom w:val="nil" w:sz="6" w:space="0" w:color="auto"/>
              <w:right w:val="single" w:sz="4" w:space="0" w:color="000000"/>
            </w:tcBorders>
            <w:shd w:val="clear" w:color="auto" w:fill="C7EDCC"/>
          </w:tcPr>
          <w:p>
            <w:pPr/>
          </w:p>
        </w:tc>
        <w:tc>
          <w:tcPr>
            <w:tcW w:w="804" w:type="dxa"/>
            <w:tcBorders>
              <w:top w:val="nil" w:sz="6" w:space="0" w:color="auto"/>
              <w:left w:val="single" w:sz="4" w:space="0" w:color="000000"/>
              <w:bottom w:val="nil" w:sz="6" w:space="0" w:color="auto"/>
              <w:right w:val="single" w:sz="4" w:space="0" w:color="000000"/>
            </w:tcBorders>
          </w:tcPr>
          <w:p>
            <w:pPr/>
          </w:p>
        </w:tc>
        <w:tc>
          <w:tcPr>
            <w:tcW w:w="804" w:type="dxa"/>
            <w:tcBorders>
              <w:top w:val="nil" w:sz="6" w:space="0" w:color="auto"/>
              <w:left w:val="single" w:sz="4" w:space="0" w:color="000000"/>
              <w:bottom w:val="nil" w:sz="6" w:space="0" w:color="auto"/>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
        </w:tc>
        <w:tc>
          <w:tcPr>
            <w:tcW w:w="804" w:type="dxa"/>
            <w:tcBorders>
              <w:top w:val="nil" w:sz="6" w:space="0" w:color="auto"/>
              <w:left w:val="single" w:sz="4" w:space="0" w:color="000000"/>
              <w:bottom w:val="nil" w:sz="6" w:space="0" w:color="auto"/>
              <w:right w:val="single" w:sz="4" w:space="0" w:color="000000"/>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55" w:hRule="exact"/>
        </w:trPr>
        <w:tc>
          <w:tcPr>
            <w:tcW w:w="80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83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shd w:val="clear" w:color="auto" w:fill="C7EDCC"/>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3" w:type="dxa"/>
            <w:tcBorders>
              <w:top w:val="nil" w:sz="6" w:space="0" w:color="auto"/>
              <w:left w:val="single" w:sz="4" w:space="0" w:color="000000"/>
              <w:bottom w:val="single" w:sz="4" w:space="0" w:color="000000"/>
              <w:right w:val="single" w:sz="4" w:space="0" w:color="000000"/>
            </w:tcBorders>
            <w:shd w:val="clear" w:color="auto" w:fill="C7EDCC"/>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C7EDCC"/>
          </w:tcPr>
          <w:p>
            <w:pPr/>
          </w:p>
        </w:tc>
      </w:tr>
      <w:tr>
        <w:trPr>
          <w:trHeight w:val="358" w:hRule="exact"/>
        </w:trPr>
        <w:tc>
          <w:tcPr>
            <w:tcW w:w="80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中国工商</w:t>
            </w:r>
          </w:p>
        </w:tc>
        <w:tc>
          <w:tcPr>
            <w:tcW w:w="832" w:type="dxa"/>
            <w:tcBorders>
              <w:top w:val="single" w:sz="4" w:space="0" w:color="000000"/>
              <w:left w:val="single" w:sz="4" w:space="0" w:color="000000"/>
              <w:bottom w:val="nil" w:sz="6" w:space="0" w:color="auto"/>
              <w:right w:val="single" w:sz="4" w:space="0" w:color="000000"/>
            </w:tcBorders>
          </w:tcPr>
          <w:p>
            <w:pPr/>
          </w:p>
        </w:tc>
        <w:tc>
          <w:tcPr>
            <w:tcW w:w="838" w:type="dxa"/>
            <w:tcBorders>
              <w:top w:val="single" w:sz="4" w:space="0" w:color="000000"/>
              <w:left w:val="single" w:sz="4" w:space="0" w:color="000000"/>
              <w:bottom w:val="nil" w:sz="6" w:space="0" w:color="auto"/>
              <w:right w:val="single" w:sz="4" w:space="0" w:color="000000"/>
            </w:tcBorders>
            <w:shd w:val="clear" w:color="auto" w:fill="C7EDCC"/>
          </w:tcPr>
          <w:p>
            <w:pPr/>
          </w:p>
        </w:tc>
        <w:tc>
          <w:tcPr>
            <w:tcW w:w="876"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3" w:type="dxa"/>
            <w:tcBorders>
              <w:top w:val="single" w:sz="4" w:space="0" w:color="000000"/>
              <w:left w:val="single" w:sz="4" w:space="0" w:color="000000"/>
              <w:bottom w:val="nil" w:sz="6" w:space="0" w:color="auto"/>
              <w:right w:val="single" w:sz="4" w:space="0" w:color="000000"/>
            </w:tcBorders>
            <w:shd w:val="clear" w:color="auto" w:fill="C7EDCC"/>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802" w:type="dxa"/>
            <w:tcBorders>
              <w:top w:val="single" w:sz="4" w:space="0" w:color="000000"/>
              <w:left w:val="single" w:sz="4" w:space="0" w:color="000000"/>
              <w:bottom w:val="nil" w:sz="6" w:space="0" w:color="auto"/>
              <w:right w:val="single" w:sz="4" w:space="0" w:color="000000"/>
            </w:tcBorders>
          </w:tcPr>
          <w:p>
            <w:pPr/>
          </w:p>
        </w:tc>
        <w:tc>
          <w:tcPr>
            <w:tcW w:w="804" w:type="dxa"/>
            <w:tcBorders>
              <w:top w:val="single" w:sz="4" w:space="0" w:color="000000"/>
              <w:left w:val="single" w:sz="4" w:space="0" w:color="000000"/>
              <w:bottom w:val="nil" w:sz="6" w:space="0" w:color="auto"/>
              <w:right w:val="single" w:sz="4" w:space="0" w:color="000000"/>
            </w:tcBorders>
          </w:tcPr>
          <w:p>
            <w:pPr/>
          </w:p>
        </w:tc>
        <w:tc>
          <w:tcPr>
            <w:tcW w:w="599" w:type="dxa"/>
            <w:tcBorders>
              <w:top w:val="single" w:sz="4" w:space="0" w:color="000000"/>
              <w:left w:val="single" w:sz="4" w:space="0" w:color="000000"/>
              <w:bottom w:val="nil" w:sz="6" w:space="0" w:color="auto"/>
              <w:right w:val="single" w:sz="4" w:space="0" w:color="000000"/>
            </w:tcBorders>
            <w:shd w:val="clear" w:color="auto" w:fill="C7EDCC"/>
          </w:tcPr>
          <w:p>
            <w:pPr/>
          </w:p>
        </w:tc>
      </w:tr>
      <w:tr>
        <w:trPr>
          <w:trHeight w:val="317" w:hRule="exact"/>
        </w:trPr>
        <w:tc>
          <w:tcPr>
            <w:tcW w:w="8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银行宁波</w:t>
            </w:r>
          </w:p>
        </w:tc>
        <w:tc>
          <w:tcPr>
            <w:tcW w:w="832"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shd w:val="clear" w:color="auto" w:fill="C7EDCC"/>
          </w:tcPr>
          <w:p>
            <w:pPr/>
          </w:p>
        </w:tc>
        <w:tc>
          <w:tcPr>
            <w:tcW w:w="876" w:type="dxa"/>
            <w:tcBorders>
              <w:top w:val="nil" w:sz="6" w:space="0" w:color="auto"/>
              <w:left w:val="single" w:sz="4" w:space="0" w:color="000000"/>
              <w:bottom w:val="nil" w:sz="6" w:space="0" w:color="auto"/>
              <w:right w:val="single" w:sz="4" w:space="0" w:color="000000"/>
            </w:tcBorders>
          </w:tcPr>
          <w:p>
            <w:pP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3" w:type="dxa"/>
            <w:tcBorders>
              <w:top w:val="nil" w:sz="6" w:space="0" w:color="auto"/>
              <w:left w:val="single" w:sz="4" w:space="0" w:color="000000"/>
              <w:bottom w:val="nil" w:sz="6" w:space="0" w:color="auto"/>
              <w:right w:val="single" w:sz="4" w:space="0" w:color="000000"/>
            </w:tcBorders>
            <w:shd w:val="clear" w:color="auto" w:fill="C7EDCC"/>
          </w:tcPr>
          <w:p>
            <w:pPr/>
          </w:p>
        </w:tc>
        <w:tc>
          <w:tcPr>
            <w:tcW w:w="804" w:type="dxa"/>
            <w:tcBorders>
              <w:top w:val="nil" w:sz="6" w:space="0" w:color="auto"/>
              <w:left w:val="single" w:sz="4" w:space="0" w:color="000000"/>
              <w:bottom w:val="nil" w:sz="6" w:space="0" w:color="auto"/>
              <w:right w:val="single" w:sz="4" w:space="0" w:color="000000"/>
            </w:tcBorders>
          </w:tcPr>
          <w:p>
            <w:pPr/>
          </w:p>
        </w:tc>
        <w:tc>
          <w:tcPr>
            <w:tcW w:w="804" w:type="dxa"/>
            <w:tcBorders>
              <w:top w:val="nil" w:sz="6" w:space="0" w:color="auto"/>
              <w:left w:val="single" w:sz="4" w:space="0" w:color="000000"/>
              <w:bottom w:val="nil" w:sz="6" w:space="0" w:color="auto"/>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
        </w:tc>
        <w:tc>
          <w:tcPr>
            <w:tcW w:w="804" w:type="dxa"/>
            <w:tcBorders>
              <w:top w:val="nil" w:sz="6" w:space="0" w:color="auto"/>
              <w:left w:val="single" w:sz="4" w:space="0" w:color="000000"/>
              <w:bottom w:val="nil" w:sz="6" w:space="0" w:color="auto"/>
              <w:right w:val="single" w:sz="4" w:space="0" w:color="000000"/>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市镇海骆</w:t>
            </w:r>
          </w:p>
        </w:tc>
        <w:tc>
          <w:tcPr>
            <w:tcW w:w="8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3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日升月恒</w:t>
            </w:r>
          </w:p>
        </w:tc>
        <w:tc>
          <w:tcPr>
            <w:tcW w:w="87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c>
          <w:tcPr>
            <w:tcW w:w="80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200</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0.61</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0.61</w:t>
            </w:r>
          </w:p>
        </w:tc>
        <w:tc>
          <w:tcPr>
            <w:tcW w:w="59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已收回</w:t>
            </w:r>
          </w:p>
        </w:tc>
      </w:tr>
      <w:tr>
        <w:trPr>
          <w:trHeight w:val="308" w:hRule="exact"/>
        </w:trPr>
        <w:tc>
          <w:tcPr>
            <w:tcW w:w="80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驼支行驼</w:t>
            </w:r>
          </w:p>
        </w:tc>
        <w:tc>
          <w:tcPr>
            <w:tcW w:w="832" w:type="dxa"/>
            <w:tcBorders>
              <w:top w:val="nil" w:sz="6" w:space="0" w:color="auto"/>
              <w:left w:val="single" w:sz="4" w:space="0" w:color="000000"/>
              <w:bottom w:val="nil" w:sz="6" w:space="0" w:color="auto"/>
              <w:right w:val="single" w:sz="4" w:space="0" w:color="000000"/>
            </w:tcBorders>
          </w:tcPr>
          <w:p>
            <w:pPr/>
          </w:p>
        </w:tc>
        <w:tc>
          <w:tcPr>
            <w:tcW w:w="838" w:type="dxa"/>
            <w:tcBorders>
              <w:top w:val="nil" w:sz="6" w:space="0" w:color="auto"/>
              <w:left w:val="single" w:sz="4" w:space="0" w:color="000000"/>
              <w:bottom w:val="nil" w:sz="6" w:space="0" w:color="auto"/>
              <w:right w:val="single" w:sz="4" w:space="0" w:color="000000"/>
            </w:tcBorders>
            <w:shd w:val="clear" w:color="auto" w:fill="C7EDCC"/>
          </w:tcPr>
          <w:p>
            <w:pPr/>
          </w:p>
        </w:tc>
        <w:tc>
          <w:tcPr>
            <w:tcW w:w="876" w:type="dxa"/>
            <w:tcBorders>
              <w:top w:val="nil" w:sz="6" w:space="0" w:color="auto"/>
              <w:left w:val="single" w:sz="4" w:space="0" w:color="000000"/>
              <w:bottom w:val="nil" w:sz="6" w:space="0" w:color="auto"/>
              <w:right w:val="single" w:sz="4" w:space="0" w:color="000000"/>
            </w:tcBorders>
          </w:tcPr>
          <w:p>
            <w:pP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3" w:type="dxa"/>
            <w:tcBorders>
              <w:top w:val="nil" w:sz="6" w:space="0" w:color="auto"/>
              <w:left w:val="single" w:sz="4" w:space="0" w:color="000000"/>
              <w:bottom w:val="nil" w:sz="6" w:space="0" w:color="auto"/>
              <w:right w:val="single" w:sz="4" w:space="0" w:color="000000"/>
            </w:tcBorders>
            <w:shd w:val="clear" w:color="auto" w:fill="C7EDCC"/>
          </w:tcPr>
          <w:p>
            <w:pPr/>
          </w:p>
        </w:tc>
        <w:tc>
          <w:tcPr>
            <w:tcW w:w="804" w:type="dxa"/>
            <w:tcBorders>
              <w:top w:val="nil" w:sz="6" w:space="0" w:color="auto"/>
              <w:left w:val="single" w:sz="4" w:space="0" w:color="000000"/>
              <w:bottom w:val="nil" w:sz="6" w:space="0" w:color="auto"/>
              <w:right w:val="single" w:sz="4" w:space="0" w:color="000000"/>
            </w:tcBorders>
          </w:tcPr>
          <w:p>
            <w:pPr/>
          </w:p>
        </w:tc>
        <w:tc>
          <w:tcPr>
            <w:tcW w:w="804" w:type="dxa"/>
            <w:tcBorders>
              <w:top w:val="nil" w:sz="6" w:space="0" w:color="auto"/>
              <w:left w:val="single" w:sz="4" w:space="0" w:color="000000"/>
              <w:bottom w:val="nil" w:sz="6" w:space="0" w:color="auto"/>
              <w:right w:val="single" w:sz="4" w:space="0" w:color="000000"/>
            </w:tcBorders>
          </w:tcPr>
          <w:p>
            <w:pPr/>
          </w:p>
        </w:tc>
        <w:tc>
          <w:tcPr>
            <w:tcW w:w="802" w:type="dxa"/>
            <w:tcBorders>
              <w:top w:val="nil" w:sz="6" w:space="0" w:color="auto"/>
              <w:left w:val="single" w:sz="4" w:space="0" w:color="000000"/>
              <w:bottom w:val="nil" w:sz="6" w:space="0" w:color="auto"/>
              <w:right w:val="single" w:sz="4" w:space="0" w:color="000000"/>
            </w:tcBorders>
          </w:tcPr>
          <w:p>
            <w:pPr/>
          </w:p>
        </w:tc>
        <w:tc>
          <w:tcPr>
            <w:tcW w:w="804" w:type="dxa"/>
            <w:tcBorders>
              <w:top w:val="nil" w:sz="6" w:space="0" w:color="auto"/>
              <w:left w:val="single" w:sz="4" w:space="0" w:color="000000"/>
              <w:bottom w:val="nil" w:sz="6" w:space="0" w:color="auto"/>
              <w:right w:val="single" w:sz="4" w:space="0" w:color="000000"/>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C7EDCC"/>
          </w:tcPr>
          <w:p>
            <w:pPr/>
          </w:p>
        </w:tc>
      </w:tr>
      <w:tr>
        <w:trPr>
          <w:trHeight w:val="355" w:hRule="exact"/>
        </w:trPr>
        <w:tc>
          <w:tcPr>
            <w:tcW w:w="80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832" w:type="dxa"/>
            <w:tcBorders>
              <w:top w:val="nil" w:sz="6" w:space="0" w:color="auto"/>
              <w:left w:val="single" w:sz="4" w:space="0" w:color="000000"/>
              <w:bottom w:val="single" w:sz="4" w:space="0" w:color="000000"/>
              <w:right w:val="single" w:sz="4" w:space="0" w:color="000000"/>
            </w:tcBorders>
          </w:tcPr>
          <w:p>
            <w:pPr/>
          </w:p>
        </w:tc>
        <w:tc>
          <w:tcPr>
            <w:tcW w:w="838" w:type="dxa"/>
            <w:tcBorders>
              <w:top w:val="nil" w:sz="6" w:space="0" w:color="auto"/>
              <w:left w:val="single" w:sz="4" w:space="0" w:color="000000"/>
              <w:bottom w:val="single" w:sz="4" w:space="0" w:color="000000"/>
              <w:right w:val="single" w:sz="4" w:space="0" w:color="000000"/>
            </w:tcBorders>
            <w:shd w:val="clear" w:color="auto" w:fill="C7EDCC"/>
          </w:tcPr>
          <w:p>
            <w:pPr/>
          </w:p>
        </w:tc>
        <w:tc>
          <w:tcPr>
            <w:tcW w:w="876"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3" w:type="dxa"/>
            <w:tcBorders>
              <w:top w:val="nil" w:sz="6" w:space="0" w:color="auto"/>
              <w:left w:val="single" w:sz="4" w:space="0" w:color="000000"/>
              <w:bottom w:val="single" w:sz="4" w:space="0" w:color="000000"/>
              <w:right w:val="single" w:sz="4" w:space="0" w:color="000000"/>
            </w:tcBorders>
            <w:shd w:val="clear" w:color="auto" w:fill="C7EDCC"/>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802" w:type="dxa"/>
            <w:tcBorders>
              <w:top w:val="nil" w:sz="6" w:space="0" w:color="auto"/>
              <w:left w:val="single" w:sz="4" w:space="0" w:color="000000"/>
              <w:bottom w:val="single" w:sz="4" w:space="0" w:color="000000"/>
              <w:right w:val="single" w:sz="4" w:space="0" w:color="000000"/>
            </w:tcBorders>
          </w:tcPr>
          <w:p>
            <w:pPr/>
          </w:p>
        </w:tc>
        <w:tc>
          <w:tcPr>
            <w:tcW w:w="804" w:type="dxa"/>
            <w:tcBorders>
              <w:top w:val="nil" w:sz="6" w:space="0" w:color="auto"/>
              <w:left w:val="single" w:sz="4" w:space="0" w:color="000000"/>
              <w:bottom w:val="single" w:sz="4" w:space="0" w:color="000000"/>
              <w:right w:val="single" w:sz="4" w:space="0" w:color="000000"/>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C7EDCC"/>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470"/>
        <w:gridCol w:w="876"/>
        <w:gridCol w:w="804"/>
        <w:gridCol w:w="804"/>
        <w:gridCol w:w="803"/>
        <w:gridCol w:w="804"/>
        <w:gridCol w:w="804"/>
        <w:gridCol w:w="802"/>
        <w:gridCol w:w="804"/>
        <w:gridCol w:w="599"/>
      </w:tblGrid>
      <w:tr>
        <w:trPr>
          <w:trHeight w:val="402" w:hRule="exact"/>
        </w:trPr>
        <w:tc>
          <w:tcPr>
            <w:tcW w:w="24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7" w:right="0"/>
              <w:jc w:val="left"/>
              <w:rPr>
                <w:rFonts w:ascii="Times New Roman" w:hAnsi="Times New Roman" w:cs="Times New Roman" w:eastAsia="Times New Roman" w:hint="default"/>
                <w:sz w:val="18"/>
                <w:szCs w:val="18"/>
              </w:rPr>
            </w:pPr>
            <w:r>
              <w:rPr>
                <w:rFonts w:ascii="Times New Roman"/>
                <w:sz w:val="18"/>
              </w:rPr>
              <w:t>34,340</w:t>
            </w:r>
          </w:p>
        </w:tc>
        <w:tc>
          <w:tcPr>
            <w:tcW w:w="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5" w:right="0"/>
              <w:jc w:val="left"/>
              <w:rPr>
                <w:rFonts w:ascii="Times New Roman" w:hAnsi="Times New Roman" w:cs="Times New Roman" w:eastAsia="Times New Roman" w:hint="default"/>
                <w:sz w:val="18"/>
                <w:szCs w:val="18"/>
              </w:rPr>
            </w:pPr>
            <w:r>
              <w:rPr>
                <w:rFonts w:ascii="Times New Roman"/>
                <w:sz w:val="18"/>
              </w:rPr>
              <w:t>34,340</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4" w:right="0"/>
              <w:jc w:val="left"/>
              <w:rPr>
                <w:rFonts w:ascii="Times New Roman" w:hAnsi="Times New Roman" w:cs="Times New Roman" w:eastAsia="Times New Roman" w:hint="default"/>
                <w:sz w:val="18"/>
                <w:szCs w:val="18"/>
              </w:rPr>
            </w:pPr>
            <w:r>
              <w:rPr>
                <w:rFonts w:ascii="Times New Roman"/>
                <w:sz w:val="18"/>
              </w:rPr>
              <w:t>221.25</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5" w:right="0"/>
              <w:jc w:val="left"/>
              <w:rPr>
                <w:rFonts w:ascii="Times New Roman" w:hAnsi="Times New Roman" w:cs="Times New Roman" w:eastAsia="Times New Roman" w:hint="default"/>
                <w:sz w:val="18"/>
                <w:szCs w:val="18"/>
              </w:rPr>
            </w:pPr>
            <w:r>
              <w:rPr>
                <w:rFonts w:ascii="Times New Roman"/>
                <w:sz w:val="18"/>
              </w:rPr>
              <w:t>221.17</w:t>
            </w:r>
          </w:p>
        </w:tc>
        <w:tc>
          <w:tcPr>
            <w:tcW w:w="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4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7099" w:type="dxa"/>
            <w:gridSpan w:val="9"/>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4" w:hRule="exact"/>
        </w:trPr>
        <w:tc>
          <w:tcPr>
            <w:tcW w:w="24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逾期未收回的本金和收益累计 金额</w:t>
            </w:r>
          </w:p>
        </w:tc>
        <w:tc>
          <w:tcPr>
            <w:tcW w:w="709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4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7099" w:type="dxa"/>
            <w:gridSpan w:val="9"/>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4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委托理财审批董事会公告披露 日期（如有</w:t>
            </w:r>
            <w:r>
              <w:rPr>
                <w:rFonts w:ascii="Times New Roman" w:hAnsi="Times New Roman" w:cs="Times New Roman" w:eastAsia="Times New Roman" w:hint="default"/>
                <w:sz w:val="18"/>
                <w:szCs w:val="18"/>
              </w:rPr>
              <w:t>)</w:t>
            </w:r>
          </w:p>
        </w:tc>
        <w:tc>
          <w:tcPr>
            <w:tcW w:w="709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4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委托理财审批股东会公告披露 日期（如有</w:t>
            </w:r>
            <w:r>
              <w:rPr>
                <w:rFonts w:ascii="Times New Roman" w:hAnsi="Times New Roman" w:cs="Times New Roman" w:eastAsia="Times New Roman" w:hint="default"/>
                <w:sz w:val="18"/>
                <w:szCs w:val="18"/>
              </w:rPr>
              <w:t>)</w:t>
            </w:r>
          </w:p>
        </w:tc>
        <w:tc>
          <w:tcPr>
            <w:tcW w:w="7099" w:type="dxa"/>
            <w:gridSpan w:val="9"/>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未来是否还有委托理财计划</w:t>
            </w:r>
          </w:p>
        </w:tc>
        <w:tc>
          <w:tcPr>
            <w:tcW w:w="7099" w:type="dxa"/>
            <w:gridSpan w:val="9"/>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0"/>
        <w:rPr>
          <w:rFonts w:ascii="Times New Roman" w:hAnsi="Times New Roman" w:cs="Times New Roman" w:eastAsia="Times New Roman" w:hint="default"/>
          <w:sz w:val="21"/>
          <w:szCs w:val="21"/>
        </w:rPr>
      </w:pPr>
    </w:p>
    <w:p>
      <w:pPr>
        <w:spacing w:before="35"/>
        <w:ind w:left="15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）委托贷款情况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40" w:lineRule="auto" w:before="0"/>
        <w:ind w:left="154" w:right="74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12"/>
        <w:rPr>
          <w:rFonts w:ascii="宋体" w:hAnsi="宋体" w:cs="宋体" w:eastAsia="宋体" w:hint="default"/>
          <w:sz w:val="20"/>
          <w:szCs w:val="20"/>
        </w:rPr>
      </w:pPr>
    </w:p>
    <w:p>
      <w:pPr>
        <w:spacing w:before="0"/>
        <w:ind w:left="15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4" w:right="70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line="240" w:lineRule="auto" w:before="4"/>
        <w:rPr>
          <w:rFonts w:ascii="宋体" w:hAnsi="宋体" w:cs="宋体" w:eastAsia="宋体" w:hint="default"/>
          <w:sz w:val="19"/>
          <w:szCs w:val="19"/>
        </w:rPr>
      </w:pPr>
    </w:p>
    <w:p>
      <w:pPr>
        <w:pStyle w:val="Heading3"/>
        <w:spacing w:line="240" w:lineRule="auto"/>
        <w:ind w:right="0"/>
        <w:jc w:val="both"/>
        <w:rPr>
          <w:b w:val="0"/>
          <w:bCs w:val="0"/>
        </w:rPr>
      </w:pPr>
      <w:r>
        <w:rPr/>
        <w:t>十八、其他重大事项的说明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tabs>
          <w:tab w:pos="993" w:val="left" w:leader="none"/>
        </w:tabs>
        <w:spacing w:before="155"/>
        <w:ind w:left="57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tab/>
      </w:r>
      <w:r>
        <w:rPr>
          <w:rFonts w:ascii="宋体" w:hAnsi="宋体" w:cs="宋体" w:eastAsia="宋体" w:hint="default"/>
          <w:sz w:val="21"/>
          <w:szCs w:val="21"/>
        </w:rPr>
        <w:t>变更公司名称和证券简称</w:t>
      </w:r>
    </w:p>
    <w:p>
      <w:pPr>
        <w:spacing w:line="386" w:lineRule="auto" w:before="177"/>
        <w:ind w:left="154" w:right="164" w:firstLine="419"/>
        <w:jc w:val="both"/>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14</w:t>
      </w:r>
      <w:r>
        <w:rPr>
          <w:rFonts w:ascii="宋体" w:hAnsi="宋体" w:cs="宋体" w:eastAsia="宋体" w:hint="default"/>
          <w:sz w:val="21"/>
          <w:szCs w:val="21"/>
        </w:rPr>
        <w:t>日，经浙江省工商局核准，公司名称变更为：浙江华媒控股股份有限公司。经申请，公 </w:t>
      </w:r>
      <w:r>
        <w:rPr>
          <w:rFonts w:ascii="宋体" w:hAnsi="宋体" w:cs="宋体" w:eastAsia="宋体" w:hint="default"/>
          <w:spacing w:val="-1"/>
          <w:sz w:val="21"/>
          <w:szCs w:val="21"/>
        </w:rPr>
        <w:t>司证券简称自</w:t>
      </w:r>
      <w:r>
        <w:rPr>
          <w:rFonts w:ascii="Times New Roman" w:hAnsi="Times New Roman" w:cs="Times New Roman" w:eastAsia="Times New Roman" w:hint="default"/>
          <w:spacing w:val="-1"/>
          <w:sz w:val="21"/>
          <w:szCs w:val="21"/>
        </w:rPr>
        <w:t>2015</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19</w:t>
      </w:r>
      <w:r>
        <w:rPr>
          <w:rFonts w:ascii="宋体" w:hAnsi="宋体" w:cs="宋体" w:eastAsia="宋体" w:hint="default"/>
          <w:spacing w:val="-1"/>
          <w:sz w:val="21"/>
          <w:szCs w:val="21"/>
        </w:rPr>
        <w:t>日起变更为：华媒控股。详见</w:t>
      </w:r>
      <w:r>
        <w:rPr>
          <w:rFonts w:ascii="Times New Roman" w:hAnsi="Times New Roman" w:cs="Times New Roman" w:eastAsia="Times New Roman" w:hint="default"/>
          <w:spacing w:val="-1"/>
          <w:sz w:val="21"/>
          <w:szCs w:val="21"/>
        </w:rPr>
        <w:t>2015</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19</w:t>
      </w:r>
      <w:r>
        <w:rPr>
          <w:rFonts w:ascii="宋体" w:hAnsi="宋体" w:cs="宋体" w:eastAsia="宋体" w:hint="default"/>
          <w:spacing w:val="-1"/>
          <w:sz w:val="21"/>
          <w:szCs w:val="21"/>
        </w:rPr>
        <w:t>日披露的</w:t>
      </w:r>
      <w:r>
        <w:rPr>
          <w:rFonts w:ascii="Times New Roman" w:hAnsi="Times New Roman" w:cs="Times New Roman" w:eastAsia="Times New Roman" w:hint="default"/>
          <w:spacing w:val="-1"/>
          <w:sz w:val="21"/>
          <w:szCs w:val="21"/>
        </w:rPr>
        <w:t>2015-005</w:t>
      </w:r>
      <w:r>
        <w:rPr>
          <w:rFonts w:ascii="宋体" w:hAnsi="宋体" w:cs="宋体" w:eastAsia="宋体" w:hint="default"/>
          <w:spacing w:val="-1"/>
          <w:sz w:val="21"/>
          <w:szCs w:val="21"/>
        </w:rPr>
        <w:t>号《关于变更公司</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名称、证券简称的公告》。</w:t>
      </w:r>
    </w:p>
    <w:p>
      <w:pPr>
        <w:tabs>
          <w:tab w:pos="993" w:val="left" w:leader="none"/>
        </w:tabs>
        <w:spacing w:line="386" w:lineRule="auto" w:before="65"/>
        <w:ind w:left="574" w:right="14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tab/>
      </w:r>
      <w:r>
        <w:rPr>
          <w:rFonts w:ascii="宋体" w:hAnsi="宋体" w:cs="宋体" w:eastAsia="宋体" w:hint="default"/>
          <w:sz w:val="21"/>
          <w:szCs w:val="21"/>
        </w:rPr>
        <w:t>董事会、监事会、管理层、各专门委员会换届选举 </w:t>
      </w:r>
      <w:r>
        <w:rPr>
          <w:rFonts w:ascii="宋体" w:hAnsi="宋体" w:cs="宋体" w:eastAsia="宋体" w:hint="default"/>
          <w:spacing w:val="-1"/>
          <w:sz w:val="21"/>
          <w:szCs w:val="21"/>
        </w:rPr>
        <w:t>因公司第七届董事会、监事会、管理层、各专门委员会任期届满，分别进行了换届选举。详见</w:t>
      </w:r>
      <w:r>
        <w:rPr>
          <w:rFonts w:ascii="Times New Roman" w:hAnsi="Times New Roman" w:cs="Times New Roman" w:eastAsia="Times New Roman" w:hint="default"/>
          <w:spacing w:val="-1"/>
          <w:sz w:val="21"/>
          <w:szCs w:val="21"/>
        </w:rPr>
        <w:t>2015</w:t>
      </w:r>
      <w:r>
        <w:rPr>
          <w:rFonts w:ascii="宋体" w:hAnsi="宋体" w:cs="宋体" w:eastAsia="宋体" w:hint="default"/>
          <w:spacing w:val="-1"/>
          <w:sz w:val="21"/>
          <w:szCs w:val="21"/>
        </w:rPr>
        <w:t>年</w:t>
      </w:r>
    </w:p>
    <w:p>
      <w:pPr>
        <w:spacing w:line="386" w:lineRule="auto" w:before="35"/>
        <w:ind w:left="154" w:right="150" w:firstLine="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28</w:t>
      </w:r>
      <w:r>
        <w:rPr>
          <w:rFonts w:ascii="宋体" w:hAnsi="宋体" w:cs="宋体" w:eastAsia="宋体" w:hint="default"/>
          <w:spacing w:val="-2"/>
          <w:sz w:val="21"/>
          <w:szCs w:val="21"/>
        </w:rPr>
        <w:t>日披露的</w:t>
      </w:r>
      <w:r>
        <w:rPr>
          <w:rFonts w:ascii="Times New Roman" w:hAnsi="Times New Roman" w:cs="Times New Roman" w:eastAsia="Times New Roman" w:hint="default"/>
          <w:spacing w:val="-2"/>
          <w:sz w:val="21"/>
          <w:szCs w:val="21"/>
        </w:rPr>
        <w:t>2015-052</w:t>
      </w:r>
      <w:r>
        <w:rPr>
          <w:rFonts w:ascii="宋体" w:hAnsi="宋体" w:cs="宋体" w:eastAsia="宋体" w:hint="default"/>
          <w:spacing w:val="-2"/>
          <w:sz w:val="21"/>
          <w:szCs w:val="21"/>
        </w:rPr>
        <w:t>号《</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年年度股东大会决议公告》，</w:t>
      </w:r>
      <w:r>
        <w:rPr>
          <w:rFonts w:ascii="Times New Roman" w:hAnsi="Times New Roman" w:cs="Times New Roman" w:eastAsia="Times New Roman" w:hint="default"/>
          <w:spacing w:val="-2"/>
          <w:sz w:val="21"/>
          <w:szCs w:val="21"/>
        </w:rPr>
        <w:t>2015-053</w:t>
      </w:r>
      <w:r>
        <w:rPr>
          <w:rFonts w:ascii="宋体" w:hAnsi="宋体" w:cs="宋体" w:eastAsia="宋体" w:hint="default"/>
          <w:spacing w:val="-2"/>
          <w:sz w:val="21"/>
          <w:szCs w:val="21"/>
        </w:rPr>
        <w:t>号《关于选举产生第八届监事会职</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2"/>
          <w:sz w:val="21"/>
          <w:szCs w:val="21"/>
        </w:rPr>
        <w:t>工代表监事的公告》，</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29</w:t>
      </w:r>
      <w:r>
        <w:rPr>
          <w:rFonts w:ascii="宋体" w:hAnsi="宋体" w:cs="宋体" w:eastAsia="宋体" w:hint="default"/>
          <w:spacing w:val="-2"/>
          <w:sz w:val="21"/>
          <w:szCs w:val="21"/>
        </w:rPr>
        <w:t>日披露的</w:t>
      </w:r>
      <w:r>
        <w:rPr>
          <w:rFonts w:ascii="Times New Roman" w:hAnsi="Times New Roman" w:cs="Times New Roman" w:eastAsia="Times New Roman" w:hint="default"/>
          <w:spacing w:val="-2"/>
          <w:sz w:val="21"/>
          <w:szCs w:val="21"/>
        </w:rPr>
        <w:t>2015-054</w:t>
      </w:r>
      <w:r>
        <w:rPr>
          <w:rFonts w:ascii="宋体" w:hAnsi="宋体" w:cs="宋体" w:eastAsia="宋体" w:hint="default"/>
          <w:spacing w:val="-2"/>
          <w:sz w:val="21"/>
          <w:szCs w:val="21"/>
        </w:rPr>
        <w:t>号《第八届董事会第一次会议决议公告》，</w:t>
      </w:r>
      <w:r>
        <w:rPr>
          <w:rFonts w:ascii="Times New Roman" w:hAnsi="Times New Roman" w:cs="Times New Roman" w:eastAsia="Times New Roman" w:hint="default"/>
          <w:spacing w:val="-2"/>
          <w:sz w:val="21"/>
          <w:szCs w:val="21"/>
        </w:rPr>
        <w:t>2015-055</w:t>
      </w:r>
      <w:r>
        <w:rPr>
          <w:rFonts w:ascii="Times New Roman" w:hAnsi="Times New Roman" w:cs="Times New Roman" w:eastAsia="Times New Roman" w:hint="default"/>
          <w:spacing w:val="-8"/>
          <w:sz w:val="21"/>
          <w:szCs w:val="21"/>
        </w:rPr>
        <w:t> </w:t>
      </w:r>
      <w:r>
        <w:rPr>
          <w:rFonts w:ascii="Times New Roman" w:hAnsi="Times New Roman" w:cs="Times New Roman" w:eastAsia="Times New Roman" w:hint="default"/>
          <w:spacing w:val="-8"/>
          <w:sz w:val="21"/>
          <w:szCs w:val="21"/>
        </w:rPr>
      </w:r>
      <w:r>
        <w:rPr>
          <w:rFonts w:ascii="宋体" w:hAnsi="宋体" w:cs="宋体" w:eastAsia="宋体" w:hint="default"/>
          <w:sz w:val="21"/>
          <w:szCs w:val="21"/>
        </w:rPr>
        <w:t>号《第八届监事会第一次会议决议公告》。</w:t>
      </w:r>
    </w:p>
    <w:p>
      <w:pPr>
        <w:tabs>
          <w:tab w:pos="993" w:val="left" w:leader="none"/>
        </w:tabs>
        <w:spacing w:line="386" w:lineRule="auto" w:before="65"/>
        <w:ind w:left="574" w:right="233"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w:t>
        <w:tab/>
      </w:r>
      <w:r>
        <w:rPr>
          <w:rFonts w:ascii="宋体" w:hAnsi="宋体" w:cs="宋体" w:eastAsia="宋体" w:hint="default"/>
          <w:sz w:val="21"/>
          <w:szCs w:val="21"/>
        </w:rPr>
        <w:t>持股</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以上股东、高级管理人员持有本公司股份变动情况 华立集团股份有限公司通过深圳证券交易所交易平台减持其所持有的部分本公司股份。详见</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p>
    <w:p>
      <w:pPr>
        <w:spacing w:before="35"/>
        <w:ind w:left="154" w:right="0" w:firstLine="0"/>
        <w:jc w:val="both"/>
        <w:rPr>
          <w:rFonts w:ascii="宋体" w:hAnsi="宋体" w:cs="宋体" w:eastAsia="宋体" w:hint="default"/>
          <w:sz w:val="21"/>
          <w:szCs w:val="21"/>
        </w:rPr>
      </w:pPr>
      <w:r>
        <w:rPr>
          <w:rFonts w:ascii="宋体" w:hAnsi="宋体" w:cs="宋体" w:eastAsia="宋体" w:hint="default"/>
          <w:sz w:val="21"/>
          <w:szCs w:val="21"/>
        </w:rPr>
        <w:t>月</w:t>
      </w:r>
      <w:r>
        <w:rPr>
          <w:rFonts w:ascii="Times New Roman" w:hAnsi="Times New Roman" w:cs="Times New Roman" w:eastAsia="Times New Roman" w:hint="default"/>
          <w:sz w:val="21"/>
          <w:szCs w:val="21"/>
        </w:rPr>
        <w:t>19</w:t>
      </w:r>
      <w:r>
        <w:rPr>
          <w:rFonts w:ascii="宋体" w:hAnsi="宋体" w:cs="宋体" w:eastAsia="宋体" w:hint="default"/>
          <w:sz w:val="21"/>
          <w:szCs w:val="21"/>
        </w:rPr>
        <w:t>日披露的</w:t>
      </w:r>
      <w:r>
        <w:rPr>
          <w:rFonts w:ascii="Times New Roman" w:hAnsi="Times New Roman" w:cs="Times New Roman" w:eastAsia="Times New Roman" w:hint="default"/>
          <w:sz w:val="21"/>
          <w:szCs w:val="21"/>
        </w:rPr>
        <w:t>2015-056</w:t>
      </w:r>
      <w:r>
        <w:rPr>
          <w:rFonts w:ascii="宋体" w:hAnsi="宋体" w:cs="宋体" w:eastAsia="宋体" w:hint="default"/>
          <w:sz w:val="21"/>
          <w:szCs w:val="21"/>
        </w:rPr>
        <w:t>号《关于股东减持解除限售存量股份的公告》。</w:t>
      </w:r>
    </w:p>
    <w:p>
      <w:pPr>
        <w:spacing w:after="0"/>
        <w:jc w:val="both"/>
        <w:rPr>
          <w:rFonts w:ascii="宋体" w:hAnsi="宋体" w:cs="宋体" w:eastAsia="宋体" w:hint="default"/>
          <w:sz w:val="21"/>
          <w:szCs w:val="21"/>
        </w:rPr>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spacing w:line="386" w:lineRule="auto" w:before="35"/>
        <w:ind w:left="154" w:right="150" w:firstLine="420"/>
        <w:jc w:val="both"/>
        <w:rPr>
          <w:rFonts w:ascii="宋体" w:hAnsi="宋体" w:cs="宋体" w:eastAsia="宋体" w:hint="default"/>
          <w:sz w:val="21"/>
          <w:szCs w:val="21"/>
        </w:rPr>
      </w:pPr>
      <w:r>
        <w:rPr>
          <w:rFonts w:ascii="宋体" w:hAnsi="宋体" w:cs="宋体" w:eastAsia="宋体" w:hint="default"/>
          <w:spacing w:val="-2"/>
          <w:sz w:val="21"/>
          <w:szCs w:val="21"/>
        </w:rPr>
        <w:t>华立集团股份有限公司通过资产管理计划增资本公司股份。详见</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7</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17</w:t>
      </w:r>
      <w:r>
        <w:rPr>
          <w:rFonts w:ascii="宋体" w:hAnsi="宋体" w:cs="宋体" w:eastAsia="宋体" w:hint="default"/>
          <w:spacing w:val="-2"/>
          <w:sz w:val="21"/>
          <w:szCs w:val="21"/>
        </w:rPr>
        <w:t>日披露的</w:t>
      </w:r>
      <w:r>
        <w:rPr>
          <w:rFonts w:ascii="Times New Roman" w:hAnsi="Times New Roman" w:cs="Times New Roman" w:eastAsia="Times New Roman" w:hint="default"/>
          <w:spacing w:val="-2"/>
          <w:sz w:val="21"/>
          <w:szCs w:val="21"/>
        </w:rPr>
        <w:t>2015-065</w:t>
      </w:r>
      <w:r>
        <w:rPr>
          <w:rFonts w:ascii="宋体" w:hAnsi="宋体" w:cs="宋体" w:eastAsia="宋体" w:hint="default"/>
          <w:spacing w:val="-2"/>
          <w:sz w:val="21"/>
          <w:szCs w:val="21"/>
        </w:rPr>
        <w:t>号《关</w:t>
      </w:r>
      <w:r>
        <w:rPr>
          <w:rFonts w:ascii="宋体" w:hAnsi="宋体" w:cs="宋体" w:eastAsia="宋体" w:hint="default"/>
          <w:sz w:val="21"/>
          <w:szCs w:val="21"/>
        </w:rPr>
        <w:t> 于持股</w:t>
      </w:r>
      <w:r>
        <w:rPr>
          <w:rFonts w:ascii="Times New Roman" w:hAnsi="Times New Roman" w:cs="Times New Roman" w:eastAsia="Times New Roman" w:hint="default"/>
          <w:sz w:val="21"/>
          <w:szCs w:val="21"/>
        </w:rPr>
        <w:t>5%</w:t>
      </w:r>
      <w:r>
        <w:rPr>
          <w:rFonts w:ascii="宋体" w:hAnsi="宋体" w:cs="宋体" w:eastAsia="宋体" w:hint="default"/>
          <w:sz w:val="21"/>
          <w:szCs w:val="21"/>
        </w:rPr>
        <w:t>以上股东增持计划完成情况的公告》。</w:t>
      </w:r>
    </w:p>
    <w:p>
      <w:pPr>
        <w:spacing w:line="386" w:lineRule="auto" w:before="35"/>
        <w:ind w:left="154" w:right="164" w:firstLine="419"/>
        <w:jc w:val="both"/>
        <w:rPr>
          <w:rFonts w:ascii="宋体" w:hAnsi="宋体" w:cs="宋体" w:eastAsia="宋体" w:hint="default"/>
          <w:sz w:val="21"/>
          <w:szCs w:val="21"/>
        </w:rPr>
      </w:pPr>
      <w:r>
        <w:rPr>
          <w:rFonts w:ascii="宋体" w:hAnsi="宋体" w:cs="宋体" w:eastAsia="宋体" w:hint="default"/>
          <w:sz w:val="21"/>
          <w:szCs w:val="21"/>
        </w:rPr>
        <w:t>公司高级管理人员通过二级市场增持本公司股份。详见</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7</w:t>
      </w:r>
      <w:r>
        <w:rPr>
          <w:rFonts w:ascii="宋体" w:hAnsi="宋体" w:cs="宋体" w:eastAsia="宋体" w:hint="default"/>
          <w:sz w:val="21"/>
          <w:szCs w:val="21"/>
        </w:rPr>
        <w:t>日披露的</w:t>
      </w:r>
      <w:r>
        <w:rPr>
          <w:rFonts w:ascii="Times New Roman" w:hAnsi="Times New Roman" w:cs="Times New Roman" w:eastAsia="Times New Roman" w:hint="default"/>
          <w:sz w:val="21"/>
          <w:szCs w:val="21"/>
        </w:rPr>
        <w:t>2015-061</w:t>
      </w:r>
      <w:r>
        <w:rPr>
          <w:rFonts w:ascii="宋体" w:hAnsi="宋体" w:cs="宋体" w:eastAsia="宋体" w:hint="default"/>
          <w:sz w:val="21"/>
          <w:szCs w:val="21"/>
        </w:rPr>
        <w:t>号《关于公司高 级管理人员增持公司股份的公告》。</w:t>
      </w:r>
    </w:p>
    <w:p>
      <w:pPr>
        <w:tabs>
          <w:tab w:pos="993" w:val="left" w:leader="none"/>
        </w:tabs>
        <w:spacing w:line="386" w:lineRule="auto" w:before="65"/>
        <w:ind w:left="574" w:right="15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tab/>
      </w:r>
      <w:r>
        <w:rPr>
          <w:rFonts w:ascii="宋体" w:hAnsi="宋体" w:cs="宋体" w:eastAsia="宋体" w:hint="default"/>
          <w:sz w:val="21"/>
          <w:szCs w:val="21"/>
        </w:rPr>
        <w:t>高级管理人员变动 </w:t>
      </w:r>
      <w:r>
        <w:rPr>
          <w:rFonts w:ascii="宋体" w:hAnsi="宋体" w:cs="宋体" w:eastAsia="宋体" w:hint="default"/>
          <w:spacing w:val="-1"/>
          <w:sz w:val="21"/>
          <w:szCs w:val="21"/>
        </w:rPr>
        <w:t>经公司第八届董事会第四次会议审议通过，聘任林鹭华为公司副总经理。详见</w:t>
      </w:r>
      <w:r>
        <w:rPr>
          <w:rFonts w:ascii="Times New Roman" w:hAnsi="Times New Roman" w:cs="Times New Roman" w:eastAsia="Times New Roman" w:hint="default"/>
          <w:spacing w:val="-1"/>
          <w:sz w:val="21"/>
          <w:szCs w:val="21"/>
        </w:rPr>
        <w:t>2015</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08</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13</w:t>
      </w:r>
      <w:r>
        <w:rPr>
          <w:rFonts w:ascii="宋体" w:hAnsi="宋体" w:cs="宋体" w:eastAsia="宋体" w:hint="default"/>
          <w:spacing w:val="-1"/>
          <w:sz w:val="21"/>
          <w:szCs w:val="21"/>
        </w:rPr>
        <w:t>日披露的</w:t>
      </w: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2015-076</w:t>
      </w:r>
      <w:r>
        <w:rPr>
          <w:rFonts w:ascii="宋体" w:hAnsi="宋体" w:cs="宋体" w:eastAsia="宋体" w:hint="default"/>
          <w:sz w:val="21"/>
          <w:szCs w:val="21"/>
        </w:rPr>
        <w:t>号《第八届董事会第四次会议决议公告》。</w:t>
      </w:r>
    </w:p>
    <w:p>
      <w:pPr>
        <w:tabs>
          <w:tab w:pos="993" w:val="left" w:leader="none"/>
        </w:tabs>
        <w:spacing w:line="386" w:lineRule="auto" w:before="177"/>
        <w:ind w:left="574" w:right="16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tab/>
      </w:r>
      <w:r>
        <w:rPr>
          <w:rFonts w:ascii="宋体" w:hAnsi="宋体" w:cs="宋体" w:eastAsia="宋体" w:hint="default"/>
          <w:sz w:val="21"/>
          <w:szCs w:val="21"/>
        </w:rPr>
        <w:t>战略合作协议 公司与杭州泰一指尚科技有限公司签署《战略合作框架协议》。详见</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w:t>
      </w:r>
      <w:r>
        <w:rPr>
          <w:rFonts w:ascii="Times New Roman" w:hAnsi="Times New Roman" w:cs="Times New Roman" w:eastAsia="Times New Roman" w:hint="default"/>
          <w:sz w:val="21"/>
          <w:szCs w:val="21"/>
        </w:rPr>
        <w:t>5</w:t>
      </w:r>
      <w:r>
        <w:rPr>
          <w:rFonts w:ascii="宋体" w:hAnsi="宋体" w:cs="宋体" w:eastAsia="宋体" w:hint="default"/>
          <w:sz w:val="21"/>
          <w:szCs w:val="21"/>
        </w:rPr>
        <w:t>日披露的</w:t>
      </w:r>
      <w:r>
        <w:rPr>
          <w:rFonts w:ascii="Times New Roman" w:hAnsi="Times New Roman" w:cs="Times New Roman" w:eastAsia="Times New Roman" w:hint="default"/>
          <w:sz w:val="21"/>
          <w:szCs w:val="21"/>
        </w:rPr>
        <w:t>2015-043</w:t>
      </w:r>
      <w:r>
        <w:rPr>
          <w:rFonts w:ascii="宋体" w:hAnsi="宋体" w:cs="宋体" w:eastAsia="宋体" w:hint="default"/>
          <w:sz w:val="21"/>
          <w:szCs w:val="21"/>
        </w:rPr>
        <w:t>号</w:t>
      </w:r>
    </w:p>
    <w:p>
      <w:pPr>
        <w:spacing w:line="408" w:lineRule="auto" w:before="35"/>
        <w:ind w:left="574" w:right="165" w:hanging="420"/>
        <w:jc w:val="left"/>
        <w:rPr>
          <w:rFonts w:ascii="Times New Roman" w:hAnsi="Times New Roman" w:cs="Times New Roman" w:eastAsia="Times New Roman" w:hint="default"/>
          <w:sz w:val="21"/>
          <w:szCs w:val="21"/>
        </w:rPr>
      </w:pPr>
      <w:r>
        <w:rPr>
          <w:rFonts w:ascii="宋体" w:hAnsi="宋体" w:cs="宋体" w:eastAsia="宋体" w:hint="default"/>
          <w:sz w:val="21"/>
          <w:szCs w:val="21"/>
        </w:rPr>
        <w:t>《关于公司与杭州泰一指尚科技有限公司签署&lt;战略合作框架协议&gt;的公告》。 公司与浙大网新科技股份有限公司签署《战略合作框架协议》。详见</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07</w:t>
      </w:r>
      <w:r>
        <w:rPr>
          <w:rFonts w:ascii="宋体" w:hAnsi="宋体" w:cs="宋体" w:eastAsia="宋体" w:hint="default"/>
          <w:sz w:val="21"/>
          <w:szCs w:val="21"/>
        </w:rPr>
        <w:t>月</w:t>
      </w:r>
      <w:r>
        <w:rPr>
          <w:rFonts w:ascii="Times New Roman" w:hAnsi="Times New Roman" w:cs="Times New Roman" w:eastAsia="Times New Roman" w:hint="default"/>
          <w:sz w:val="21"/>
          <w:szCs w:val="21"/>
        </w:rPr>
        <w:t>11</w:t>
      </w:r>
      <w:r>
        <w:rPr>
          <w:rFonts w:ascii="宋体" w:hAnsi="宋体" w:cs="宋体" w:eastAsia="宋体" w:hint="default"/>
          <w:sz w:val="21"/>
          <w:szCs w:val="21"/>
        </w:rPr>
        <w:t>日披露的</w:t>
      </w:r>
      <w:r>
        <w:rPr>
          <w:rFonts w:ascii="Times New Roman" w:hAnsi="Times New Roman" w:cs="Times New Roman" w:eastAsia="Times New Roman" w:hint="default"/>
          <w:sz w:val="21"/>
          <w:szCs w:val="21"/>
        </w:rPr>
        <w:t>2015-064</w:t>
      </w:r>
    </w:p>
    <w:p>
      <w:pPr>
        <w:spacing w:line="386" w:lineRule="auto" w:before="14"/>
        <w:ind w:left="574" w:right="149" w:hanging="420"/>
        <w:jc w:val="left"/>
        <w:rPr>
          <w:rFonts w:ascii="宋体" w:hAnsi="宋体" w:cs="宋体" w:eastAsia="宋体" w:hint="default"/>
          <w:sz w:val="21"/>
          <w:szCs w:val="21"/>
        </w:rPr>
      </w:pPr>
      <w:r>
        <w:rPr>
          <w:rFonts w:ascii="宋体" w:hAnsi="宋体" w:cs="宋体" w:eastAsia="宋体" w:hint="default"/>
          <w:sz w:val="21"/>
          <w:szCs w:val="21"/>
        </w:rPr>
        <w:t>号《关于公司与浙大网新科技股份有限公司签署</w:t>
      </w:r>
      <w:r>
        <w:rPr>
          <w:rFonts w:ascii="Times New Roman" w:hAnsi="Times New Roman" w:cs="Times New Roman" w:eastAsia="Times New Roman" w:hint="default"/>
          <w:sz w:val="21"/>
          <w:szCs w:val="21"/>
        </w:rPr>
        <w:t>&lt;</w:t>
      </w:r>
      <w:r>
        <w:rPr>
          <w:rFonts w:ascii="宋体" w:hAnsi="宋体" w:cs="宋体" w:eastAsia="宋体" w:hint="default"/>
          <w:sz w:val="21"/>
          <w:szCs w:val="21"/>
        </w:rPr>
        <w:t>战略合作框架协议</w:t>
      </w:r>
      <w:r>
        <w:rPr>
          <w:rFonts w:ascii="Times New Roman" w:hAnsi="Times New Roman" w:cs="Times New Roman" w:eastAsia="Times New Roman" w:hint="default"/>
          <w:sz w:val="21"/>
          <w:szCs w:val="21"/>
        </w:rPr>
        <w:t>&gt;</w:t>
      </w:r>
      <w:r>
        <w:rPr>
          <w:rFonts w:ascii="宋体" w:hAnsi="宋体" w:cs="宋体" w:eastAsia="宋体" w:hint="default"/>
          <w:sz w:val="21"/>
          <w:szCs w:val="21"/>
        </w:rPr>
        <w:t>的公告》。 </w:t>
      </w:r>
      <w:r>
        <w:rPr>
          <w:rFonts w:ascii="宋体" w:hAnsi="宋体" w:cs="宋体" w:eastAsia="宋体" w:hint="default"/>
          <w:spacing w:val="-4"/>
          <w:sz w:val="21"/>
          <w:szCs w:val="21"/>
        </w:rPr>
        <w:t>公司与阿里巴巴（中国）有限公司签署《战略合作协议》。详见</w:t>
      </w:r>
      <w:r>
        <w:rPr>
          <w:rFonts w:ascii="Times New Roman" w:hAnsi="Times New Roman" w:cs="Times New Roman" w:eastAsia="Times New Roman" w:hint="default"/>
          <w:spacing w:val="-4"/>
          <w:sz w:val="21"/>
          <w:szCs w:val="21"/>
        </w:rPr>
        <w:t>2015</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08</w:t>
      </w:r>
      <w:r>
        <w:rPr>
          <w:rFonts w:ascii="宋体" w:hAnsi="宋体" w:cs="宋体" w:eastAsia="宋体" w:hint="default"/>
          <w:spacing w:val="-4"/>
          <w:sz w:val="21"/>
          <w:szCs w:val="21"/>
        </w:rPr>
        <w:t>月</w:t>
      </w:r>
      <w:r>
        <w:rPr>
          <w:rFonts w:ascii="Times New Roman" w:hAnsi="Times New Roman" w:cs="Times New Roman" w:eastAsia="Times New Roman" w:hint="default"/>
          <w:spacing w:val="-4"/>
          <w:sz w:val="21"/>
          <w:szCs w:val="21"/>
        </w:rPr>
        <w:t>01</w:t>
      </w:r>
      <w:r>
        <w:rPr>
          <w:rFonts w:ascii="宋体" w:hAnsi="宋体" w:cs="宋体" w:eastAsia="宋体" w:hint="default"/>
          <w:spacing w:val="-4"/>
          <w:sz w:val="21"/>
          <w:szCs w:val="21"/>
        </w:rPr>
        <w:t>日披露的</w:t>
      </w:r>
      <w:r>
        <w:rPr>
          <w:rFonts w:ascii="Times New Roman" w:hAnsi="Times New Roman" w:cs="Times New Roman" w:eastAsia="Times New Roman" w:hint="default"/>
          <w:spacing w:val="-4"/>
          <w:sz w:val="21"/>
          <w:szCs w:val="21"/>
        </w:rPr>
        <w:t>2015-073</w:t>
      </w:r>
      <w:r>
        <w:rPr>
          <w:rFonts w:ascii="宋体" w:hAnsi="宋体" w:cs="宋体" w:eastAsia="宋体" w:hint="default"/>
          <w:spacing w:val="-4"/>
          <w:sz w:val="21"/>
          <w:szCs w:val="21"/>
        </w:rPr>
        <w:t>号《关</w:t>
      </w:r>
    </w:p>
    <w:p>
      <w:pPr>
        <w:spacing w:before="35"/>
        <w:ind w:left="154" w:right="0" w:firstLine="0"/>
        <w:jc w:val="left"/>
        <w:rPr>
          <w:rFonts w:ascii="宋体" w:hAnsi="宋体" w:cs="宋体" w:eastAsia="宋体" w:hint="default"/>
          <w:sz w:val="21"/>
          <w:szCs w:val="21"/>
        </w:rPr>
      </w:pPr>
      <w:r>
        <w:rPr>
          <w:rFonts w:ascii="宋体" w:hAnsi="宋体" w:cs="宋体" w:eastAsia="宋体" w:hint="default"/>
          <w:sz w:val="21"/>
          <w:szCs w:val="21"/>
        </w:rPr>
        <w:t>于公司与阿里巴巴（中国）有限公司签署</w:t>
      </w:r>
      <w:r>
        <w:rPr>
          <w:rFonts w:ascii="Times New Roman" w:hAnsi="Times New Roman" w:cs="Times New Roman" w:eastAsia="Times New Roman" w:hint="default"/>
          <w:sz w:val="21"/>
          <w:szCs w:val="21"/>
        </w:rPr>
        <w:t>&lt;</w:t>
      </w:r>
      <w:r>
        <w:rPr>
          <w:rFonts w:ascii="宋体" w:hAnsi="宋体" w:cs="宋体" w:eastAsia="宋体" w:hint="default"/>
          <w:sz w:val="21"/>
          <w:szCs w:val="21"/>
        </w:rPr>
        <w:t>战略合作协议</w:t>
      </w:r>
      <w:r>
        <w:rPr>
          <w:rFonts w:ascii="Times New Roman" w:hAnsi="Times New Roman" w:cs="Times New Roman" w:eastAsia="Times New Roman" w:hint="default"/>
          <w:sz w:val="21"/>
          <w:szCs w:val="21"/>
        </w:rPr>
        <w:t>&gt;</w:t>
      </w:r>
      <w:r>
        <w:rPr>
          <w:rFonts w:ascii="宋体" w:hAnsi="宋体" w:cs="宋体" w:eastAsia="宋体" w:hint="default"/>
          <w:sz w:val="21"/>
          <w:szCs w:val="21"/>
        </w:rPr>
        <w:t>的公告》。</w:t>
      </w:r>
    </w:p>
    <w:p>
      <w:pPr>
        <w:spacing w:line="240" w:lineRule="auto" w:before="11"/>
        <w:rPr>
          <w:rFonts w:ascii="宋体" w:hAnsi="宋体" w:cs="宋体" w:eastAsia="宋体" w:hint="default"/>
          <w:sz w:val="28"/>
          <w:szCs w:val="28"/>
        </w:rPr>
      </w:pPr>
    </w:p>
    <w:p>
      <w:pPr>
        <w:pStyle w:val="Heading3"/>
        <w:spacing w:line="240" w:lineRule="auto"/>
        <w:ind w:right="0"/>
        <w:jc w:val="left"/>
        <w:rPr>
          <w:b w:val="0"/>
          <w:bCs w:val="0"/>
        </w:rPr>
      </w:pPr>
      <w:r>
        <w:rPr/>
        <w:t>十九、公司子公司重大事项</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408" w:lineRule="auto" w:before="153"/>
        <w:ind w:left="153" w:right="147" w:firstLine="360"/>
        <w:jc w:val="both"/>
        <w:rPr>
          <w:rFonts w:ascii="宋体" w:hAnsi="宋体" w:cs="宋体" w:eastAsia="宋体" w:hint="default"/>
          <w:sz w:val="21"/>
          <w:szCs w:val="21"/>
        </w:rPr>
      </w:pPr>
      <w:r>
        <w:rPr>
          <w:rFonts w:ascii="宋体" w:hAnsi="宋体" w:cs="宋体" w:eastAsia="宋体" w:hint="default"/>
          <w:sz w:val="21"/>
          <w:szCs w:val="21"/>
        </w:rPr>
        <w:t>报告期内，公司全资子公司杭州每日传媒有限公司与重庆看看十度网络科技投资有限公司、杭州荣和 文化创意有限公司，共同投资设立杭州看看十度网络科技有限公司。详见2015年4月11日披露的2015-023</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5"/>
          <w:sz w:val="21"/>
          <w:szCs w:val="21"/>
        </w:rPr>
        <w:t>号《关于子公司杭州每日传媒有限公司对外投资成立合资公司的公告》，及本报告第二节“五、投资状况”</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中的“2、报告期内获取的重大的股权投资情况”。</w:t>
      </w:r>
    </w:p>
    <w:p>
      <w:pPr>
        <w:spacing w:line="408" w:lineRule="auto" w:before="46"/>
        <w:ind w:left="153" w:right="149" w:firstLine="360"/>
        <w:jc w:val="both"/>
        <w:rPr>
          <w:rFonts w:ascii="宋体" w:hAnsi="宋体" w:cs="宋体" w:eastAsia="宋体" w:hint="default"/>
          <w:sz w:val="21"/>
          <w:szCs w:val="21"/>
        </w:rPr>
      </w:pPr>
      <w:r>
        <w:rPr>
          <w:rFonts w:ascii="宋体" w:hAnsi="宋体" w:cs="宋体" w:eastAsia="宋体" w:hint="default"/>
          <w:spacing w:val="-2"/>
          <w:sz w:val="21"/>
          <w:szCs w:val="21"/>
        </w:rPr>
        <w:t>报告期内，公司全资子公司杭州网络传媒有限公司收购快点文化传播（上海）有限公司51%股权并对其</w:t>
      </w:r>
      <w:r>
        <w:rPr>
          <w:rFonts w:ascii="宋体" w:hAnsi="宋体" w:cs="宋体" w:eastAsia="宋体" w:hint="default"/>
          <w:sz w:val="21"/>
          <w:szCs w:val="21"/>
        </w:rPr>
        <w:t> 增资。详见2015年4月18日披露的2015-035号《关于子公司杭州网络传媒有限公司受让快点文化传播（上</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pacing w:val="-1"/>
          <w:sz w:val="21"/>
          <w:szCs w:val="21"/>
        </w:rPr>
        <w:t>海）有限公司51%股权并进行增资的公告》，及本报告第二节“五、投资状况”中的“2、报告期内获取的</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重大的股权投资情况”。</w:t>
      </w:r>
    </w:p>
    <w:p>
      <w:pPr>
        <w:spacing w:line="408" w:lineRule="auto" w:before="46"/>
        <w:ind w:left="153" w:right="147" w:firstLine="360"/>
        <w:jc w:val="both"/>
        <w:rPr>
          <w:rFonts w:ascii="宋体" w:hAnsi="宋体" w:cs="宋体" w:eastAsia="宋体" w:hint="default"/>
          <w:sz w:val="21"/>
          <w:szCs w:val="21"/>
        </w:rPr>
      </w:pPr>
      <w:r>
        <w:rPr>
          <w:rFonts w:ascii="宋体" w:hAnsi="宋体" w:cs="宋体" w:eastAsia="宋体" w:hint="default"/>
          <w:sz w:val="21"/>
          <w:szCs w:val="21"/>
        </w:rPr>
        <w:t>报告期内，公司全资子公司杭州日报报业集团盛元印务有限公司对上海合印包装服务有限公司进行增 资。详见2015年5月27日披露的2015-051号《关于盛元印务对上海合印包装服务有限公司增资的公告》，</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及本报告第二节“五、投资状况”中的“2、报告期内获取的重大的股权投资情况”。</w:t>
      </w:r>
    </w:p>
    <w:p>
      <w:pPr>
        <w:spacing w:line="408" w:lineRule="auto" w:before="46"/>
        <w:ind w:left="153" w:right="147" w:firstLine="360"/>
        <w:jc w:val="both"/>
        <w:rPr>
          <w:rFonts w:ascii="宋体" w:hAnsi="宋体" w:cs="宋体" w:eastAsia="宋体" w:hint="default"/>
          <w:sz w:val="21"/>
          <w:szCs w:val="21"/>
        </w:rPr>
      </w:pPr>
      <w:r>
        <w:rPr>
          <w:rFonts w:ascii="宋体" w:hAnsi="宋体" w:cs="宋体" w:eastAsia="宋体" w:hint="default"/>
          <w:sz w:val="21"/>
          <w:szCs w:val="21"/>
        </w:rPr>
        <w:t>报告期内，公司全资子公司杭州日报报业集团盛元印务有限公司参与竞拍一宗土地使用权及其上房屋 所有权，并成为最终受让方。详见2015年7月15日披露的2015-067号《关于拟参与竞拍土地使用权及房屋</w:t>
      </w:r>
    </w:p>
    <w:p>
      <w:pPr>
        <w:spacing w:after="0" w:line="408" w:lineRule="auto"/>
        <w:jc w:val="both"/>
        <w:rPr>
          <w:rFonts w:ascii="宋体" w:hAnsi="宋体" w:cs="宋体" w:eastAsia="宋体" w:hint="default"/>
          <w:sz w:val="21"/>
          <w:szCs w:val="21"/>
        </w:rPr>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spacing w:line="408" w:lineRule="auto" w:before="35"/>
        <w:ind w:left="154" w:right="206" w:firstLine="0"/>
        <w:jc w:val="both"/>
        <w:rPr>
          <w:rFonts w:ascii="宋体" w:hAnsi="宋体" w:cs="宋体" w:eastAsia="宋体" w:hint="default"/>
          <w:sz w:val="21"/>
          <w:szCs w:val="21"/>
        </w:rPr>
      </w:pPr>
      <w:r>
        <w:rPr>
          <w:rFonts w:ascii="宋体" w:hAnsi="宋体" w:cs="宋体" w:eastAsia="宋体" w:hint="default"/>
          <w:spacing w:val="-1"/>
          <w:sz w:val="21"/>
          <w:szCs w:val="21"/>
        </w:rPr>
        <w:t>所有权暨关联交易的提示性公告》，2015年8月7日披露的2015-074号《关于参与竞拍土地使用权及房屋所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有权暨关联交易的进展公告》，及本报告第五节“十六、重大关联交易”中的“2、资产或股权收购、出</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售发生的关联交易”。目前该产权已过户完毕。</w:t>
      </w:r>
    </w:p>
    <w:p>
      <w:pPr>
        <w:spacing w:line="408" w:lineRule="auto" w:before="46"/>
        <w:ind w:left="153" w:right="101" w:firstLine="405"/>
        <w:jc w:val="left"/>
        <w:rPr>
          <w:rFonts w:ascii="宋体" w:hAnsi="宋体" w:cs="宋体" w:eastAsia="宋体" w:hint="default"/>
          <w:sz w:val="21"/>
          <w:szCs w:val="21"/>
        </w:rPr>
      </w:pPr>
      <w:r>
        <w:rPr>
          <w:rFonts w:ascii="宋体" w:hAnsi="宋体" w:cs="宋体" w:eastAsia="宋体" w:hint="default"/>
          <w:spacing w:val="-3"/>
          <w:sz w:val="21"/>
          <w:szCs w:val="21"/>
        </w:rPr>
        <w:t>报告期内，子公司都快控股对外投资成立浙江饭美科技有限公司。详见2015年9月10日披露的2015-082</w:t>
      </w:r>
      <w:r>
        <w:rPr>
          <w:rFonts w:ascii="宋体" w:hAnsi="宋体" w:cs="宋体" w:eastAsia="宋体" w:hint="default"/>
          <w:sz w:val="21"/>
          <w:szCs w:val="21"/>
        </w:rPr>
        <w:t> 号《关于对外投资成立合资公司暨关联交易公告》，及本报告第四节“五、投资状况”中的“2、报告期 内获取的重大的股权投资情况”。</w:t>
      </w:r>
    </w:p>
    <w:p>
      <w:pPr>
        <w:spacing w:line="408" w:lineRule="auto" w:before="46"/>
        <w:ind w:left="153" w:right="210" w:firstLine="399"/>
        <w:jc w:val="left"/>
        <w:rPr>
          <w:rFonts w:ascii="宋体" w:hAnsi="宋体" w:cs="宋体" w:eastAsia="宋体" w:hint="default"/>
          <w:sz w:val="21"/>
          <w:szCs w:val="21"/>
        </w:rPr>
      </w:pPr>
      <w:r>
        <w:rPr>
          <w:rFonts w:ascii="宋体" w:hAnsi="宋体" w:cs="宋体" w:eastAsia="宋体" w:hint="default"/>
          <w:sz w:val="21"/>
          <w:szCs w:val="21"/>
        </w:rPr>
        <w:t>报告期内，全资子公司杭州网络传媒有限公司之控股子公司快点传播提供财务资助，详见2015年10月 29日的2015-093号《关于对控股子公司提供财务资助的公告》。</w:t>
      </w:r>
    </w:p>
    <w:p>
      <w:pPr>
        <w:spacing w:line="408" w:lineRule="auto" w:before="46"/>
        <w:ind w:left="153" w:right="211" w:firstLine="399"/>
        <w:jc w:val="left"/>
        <w:rPr>
          <w:rFonts w:ascii="宋体" w:hAnsi="宋体" w:cs="宋体" w:eastAsia="宋体" w:hint="default"/>
          <w:sz w:val="21"/>
          <w:szCs w:val="21"/>
        </w:rPr>
      </w:pPr>
      <w:r>
        <w:rPr>
          <w:rFonts w:ascii="宋体" w:hAnsi="宋体" w:cs="宋体" w:eastAsia="宋体" w:hint="default"/>
          <w:sz w:val="21"/>
          <w:szCs w:val="21"/>
        </w:rPr>
        <w:t>报告期内，公司全资子公司华媒投资、控股子公司华媒传播与无锡金晟影视投资管理有限公司共同投 </w:t>
      </w:r>
      <w:r>
        <w:rPr>
          <w:rFonts w:ascii="宋体" w:hAnsi="宋体" w:cs="宋体" w:eastAsia="宋体" w:hint="default"/>
          <w:spacing w:val="-1"/>
          <w:sz w:val="21"/>
          <w:szCs w:val="21"/>
        </w:rPr>
        <w:t>资设立合资公司：浙江华媒金晟文化资本管理有限公司。详见2015年10月29日披露的2015-094号《关于对</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外投资设立合资公司的公告》，及本报告第四节“五、投资状况”中的“2、报告期内获取的重大的股权</w:t>
      </w:r>
      <w:r>
        <w:rPr>
          <w:rFonts w:ascii="宋体" w:hAnsi="宋体" w:cs="宋体" w:eastAsia="宋体" w:hint="default"/>
          <w:sz w:val="21"/>
          <w:szCs w:val="21"/>
        </w:rPr>
        <w:t> 投资情况”。</w:t>
      </w:r>
    </w:p>
    <w:p>
      <w:pPr>
        <w:spacing w:line="240" w:lineRule="auto" w:before="11"/>
        <w:rPr>
          <w:rFonts w:ascii="宋体" w:hAnsi="宋体" w:cs="宋体" w:eastAsia="宋体" w:hint="default"/>
          <w:sz w:val="18"/>
          <w:szCs w:val="18"/>
        </w:rPr>
      </w:pPr>
    </w:p>
    <w:p>
      <w:pPr>
        <w:pStyle w:val="Heading3"/>
        <w:spacing w:line="240" w:lineRule="auto"/>
        <w:ind w:right="0"/>
        <w:jc w:val="both"/>
        <w:rPr>
          <w:b w:val="0"/>
          <w:bCs w:val="0"/>
        </w:rPr>
      </w:pPr>
      <w:r>
        <w:rPr/>
        <w:t>二十、社会责任情况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75"/>
        <w:ind w:left="574" w:right="0" w:firstLine="0"/>
        <w:jc w:val="left"/>
        <w:rPr>
          <w:rFonts w:ascii="宋体" w:hAnsi="宋体" w:cs="宋体" w:eastAsia="宋体" w:hint="default"/>
          <w:sz w:val="21"/>
          <w:szCs w:val="21"/>
        </w:rPr>
      </w:pPr>
      <w:r>
        <w:rPr>
          <w:rFonts w:ascii="宋体" w:hAnsi="宋体" w:cs="宋体" w:eastAsia="宋体" w:hint="default"/>
          <w:sz w:val="21"/>
          <w:szCs w:val="21"/>
        </w:rPr>
        <w:t>详见同日在</w:t>
      </w:r>
      <w:hyperlink r:id="rId16">
        <w:r>
          <w:rPr>
            <w:rFonts w:ascii="Times New Roman" w:hAnsi="Times New Roman" w:cs="Times New Roman" w:eastAsia="Times New Roman" w:hint="default"/>
            <w:sz w:val="21"/>
            <w:szCs w:val="21"/>
          </w:rPr>
          <w:t>h</w:t>
        </w:r>
        <w:r>
          <w:rPr>
            <w:rFonts w:ascii="Times New Roman" w:hAnsi="Times New Roman" w:cs="Times New Roman" w:eastAsia="Times New Roman" w:hint="default"/>
            <w:spacing w:val="-1"/>
            <w:sz w:val="21"/>
            <w:szCs w:val="21"/>
          </w:rPr>
          <w:t>t</w:t>
        </w:r>
        <w:r>
          <w:rPr>
            <w:rFonts w:ascii="Times New Roman" w:hAnsi="Times New Roman" w:cs="Times New Roman" w:eastAsia="Times New Roman" w:hint="default"/>
            <w:sz w:val="21"/>
            <w:szCs w:val="21"/>
          </w:rPr>
          <w:t>tp://www.cninfo.co</w:t>
        </w:r>
        <w:r>
          <w:rPr>
            <w:rFonts w:ascii="Times New Roman" w:hAnsi="Times New Roman" w:cs="Times New Roman" w:eastAsia="Times New Roman" w:hint="default"/>
            <w:spacing w:val="-3"/>
            <w:sz w:val="21"/>
            <w:szCs w:val="21"/>
          </w:rPr>
          <w:t>m</w:t>
        </w:r>
        <w:r>
          <w:rPr>
            <w:rFonts w:ascii="Times New Roman" w:hAnsi="Times New Roman" w:cs="Times New Roman" w:eastAsia="Times New Roman" w:hint="default"/>
            <w:sz w:val="21"/>
            <w:szCs w:val="21"/>
          </w:rPr>
          <w:t>.cn</w:t>
        </w:r>
        <w:r>
          <w:rPr>
            <w:rFonts w:ascii="宋体" w:hAnsi="宋体" w:cs="宋体" w:eastAsia="宋体" w:hint="default"/>
            <w:sz w:val="21"/>
            <w:szCs w:val="21"/>
          </w:rPr>
          <w:t>披露</w:t>
        </w:r>
        <w:r>
          <w:rPr>
            <w:rFonts w:ascii="宋体" w:hAnsi="宋体" w:cs="宋体" w:eastAsia="宋体" w:hint="default"/>
            <w:spacing w:val="-90"/>
            <w:sz w:val="21"/>
            <w:szCs w:val="21"/>
          </w:rPr>
          <w:t>的</w:t>
        </w:r>
      </w:hyperlink>
      <w:r>
        <w:rPr>
          <w:rFonts w:ascii="宋体" w:hAnsi="宋体" w:cs="宋体" w:eastAsia="宋体" w:hint="default"/>
          <w:sz w:val="21"/>
          <w:szCs w:val="21"/>
        </w:rPr>
        <w:t>《浙江华媒控股股份有限公司二</w:t>
      </w:r>
      <w:r>
        <w:rPr>
          <w:rFonts w:ascii="Times New Roman" w:hAnsi="Times New Roman" w:cs="Times New Roman" w:eastAsia="Times New Roman" w:hint="default"/>
          <w:spacing w:val="-1"/>
          <w:sz w:val="21"/>
          <w:szCs w:val="21"/>
        </w:rPr>
        <w:t>O</w:t>
      </w:r>
      <w:r>
        <w:rPr>
          <w:rFonts w:ascii="宋体" w:hAnsi="宋体" w:cs="宋体" w:eastAsia="宋体" w:hint="default"/>
          <w:sz w:val="21"/>
          <w:szCs w:val="21"/>
        </w:rPr>
        <w:t>一五年度社会责任报告</w:t>
      </w:r>
      <w:r>
        <w:rPr>
          <w:rFonts w:ascii="宋体" w:hAnsi="宋体" w:cs="宋体" w:eastAsia="宋体" w:hint="default"/>
          <w:spacing w:val="-89"/>
          <w:sz w:val="21"/>
          <w:szCs w:val="21"/>
        </w:rPr>
        <w:t>》</w:t>
      </w:r>
      <w:r>
        <w:rPr>
          <w:rFonts w:ascii="宋体" w:hAnsi="宋体" w:cs="宋体" w:eastAsia="宋体" w:hint="default"/>
          <w:sz w:val="21"/>
          <w:szCs w:val="21"/>
        </w:rPr>
        <w:t>。</w:t>
      </w:r>
    </w:p>
    <w:p>
      <w:pPr>
        <w:spacing w:before="87"/>
        <w:ind w:left="154" w:right="0" w:firstLine="0"/>
        <w:jc w:val="both"/>
        <w:rPr>
          <w:rFonts w:ascii="宋体" w:hAnsi="宋体" w:cs="宋体" w:eastAsia="宋体" w:hint="default"/>
          <w:sz w:val="18"/>
          <w:szCs w:val="18"/>
        </w:rPr>
      </w:pPr>
      <w:r>
        <w:rPr>
          <w:rFonts w:ascii="宋体" w:hAnsi="宋体" w:cs="宋体" w:eastAsia="宋体" w:hint="default"/>
          <w:sz w:val="18"/>
          <w:szCs w:val="18"/>
        </w:rPr>
        <w:t>上市公司及其子公司是否属于国家环境保护部门规定的重污染行业</w:t>
      </w:r>
    </w:p>
    <w:p>
      <w:pPr>
        <w:spacing w:before="117"/>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0"/>
        <w:jc w:val="both"/>
        <w:rPr>
          <w:b w:val="0"/>
          <w:bCs w:val="0"/>
        </w:rPr>
      </w:pPr>
      <w:r>
        <w:rPr/>
        <w:t>二十一、公司债券相关情况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1191"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877" w:footer="982" w:top="110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965" w:right="101"/>
        <w:jc w:val="left"/>
        <w:rPr>
          <w:b w:val="0"/>
          <w:bCs w:val="0"/>
        </w:rPr>
      </w:pPr>
      <w:bookmarkStart w:name="_TOC_250005" w:id="6"/>
      <w:r>
        <w:rPr/>
        <w:t>第六节</w:t>
      </w:r>
      <w:r>
        <w:rPr>
          <w:spacing w:val="-10"/>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101"/>
        <w:jc w:val="left"/>
        <w:rPr>
          <w:b w:val="0"/>
          <w:bCs w:val="0"/>
        </w:rPr>
      </w:pPr>
      <w:r>
        <w:rPr/>
        <w:t>一、股份变动情况</w:t>
      </w:r>
      <w:r>
        <w:rPr>
          <w:b w:val="0"/>
          <w:bCs w:val="0"/>
        </w:rPr>
      </w:r>
    </w:p>
    <w:p>
      <w:pPr>
        <w:spacing w:line="240" w:lineRule="auto" w:before="8"/>
        <w:rPr>
          <w:rFonts w:ascii="宋体" w:hAnsi="宋体" w:cs="宋体" w:eastAsia="宋体" w:hint="default"/>
          <w:b/>
          <w:bCs/>
          <w:sz w:val="24"/>
          <w:szCs w:val="24"/>
        </w:rPr>
      </w:pPr>
    </w:p>
    <w:p>
      <w:pPr>
        <w:spacing w:before="0"/>
        <w:ind w:left="154" w:right="10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、股份变动情况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162"/>
        <w:gridCol w:w="1103"/>
        <w:gridCol w:w="764"/>
        <w:gridCol w:w="766"/>
        <w:gridCol w:w="764"/>
        <w:gridCol w:w="764"/>
        <w:gridCol w:w="763"/>
        <w:gridCol w:w="767"/>
        <w:gridCol w:w="1091"/>
        <w:gridCol w:w="737"/>
      </w:tblGrid>
      <w:tr>
        <w:trPr>
          <w:trHeight w:val="402" w:hRule="exact"/>
        </w:trPr>
        <w:tc>
          <w:tcPr>
            <w:tcW w:w="2162" w:type="dxa"/>
            <w:tcBorders>
              <w:top w:val="single" w:sz="4" w:space="0" w:color="000000"/>
              <w:left w:val="single" w:sz="4" w:space="0" w:color="000000"/>
              <w:bottom w:val="nil" w:sz="6" w:space="0" w:color="auto"/>
              <w:right w:val="single" w:sz="4" w:space="0" w:color="000000"/>
            </w:tcBorders>
            <w:shd w:val="clear" w:color="auto" w:fill="D3D3D3"/>
          </w:tcPr>
          <w:p>
            <w:pPr/>
          </w:p>
        </w:tc>
        <w:tc>
          <w:tcPr>
            <w:tcW w:w="18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82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162" w:type="dxa"/>
            <w:vMerge w:val="restart"/>
            <w:tcBorders>
              <w:top w:val="nil" w:sz="6" w:space="0" w:color="auto"/>
              <w:left w:val="single" w:sz="4" w:space="0" w:color="000000"/>
              <w:right w:val="single" w:sz="4" w:space="0" w:color="000000"/>
            </w:tcBorders>
            <w:shd w:val="clear" w:color="auto" w:fill="D3D3D3"/>
          </w:tcPr>
          <w:p>
            <w:pPr/>
          </w:p>
        </w:tc>
        <w:tc>
          <w:tcPr>
            <w:tcW w:w="1103" w:type="dxa"/>
            <w:tcBorders>
              <w:top w:val="single" w:sz="4" w:space="0" w:color="000000"/>
              <w:left w:val="single" w:sz="4" w:space="0" w:color="000000"/>
              <w:bottom w:val="nil" w:sz="6" w:space="0" w:color="auto"/>
              <w:right w:val="single" w:sz="4" w:space="0" w:color="000000"/>
            </w:tcBorders>
            <w:shd w:val="clear" w:color="auto" w:fill="D3D3D3"/>
          </w:tcPr>
          <w:p>
            <w:pPr/>
          </w:p>
        </w:tc>
        <w:tc>
          <w:tcPr>
            <w:tcW w:w="764" w:type="dxa"/>
            <w:tcBorders>
              <w:top w:val="single" w:sz="4" w:space="0" w:color="000000"/>
              <w:left w:val="single" w:sz="4" w:space="0" w:color="000000"/>
              <w:bottom w:val="nil" w:sz="6" w:space="0" w:color="auto"/>
              <w:right w:val="single" w:sz="4" w:space="0" w:color="000000"/>
            </w:tcBorders>
            <w:shd w:val="clear" w:color="auto" w:fill="D3D3D3"/>
          </w:tcPr>
          <w:p>
            <w:pPr/>
          </w:p>
        </w:tc>
        <w:tc>
          <w:tcPr>
            <w:tcW w:w="76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87" w:right="107"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764" w:type="dxa"/>
            <w:tcBorders>
              <w:top w:val="single" w:sz="4" w:space="0" w:color="000000"/>
              <w:left w:val="single" w:sz="4" w:space="0" w:color="000000"/>
              <w:bottom w:val="nil" w:sz="6" w:space="0" w:color="auto"/>
              <w:right w:val="single" w:sz="4" w:space="0" w:color="000000"/>
            </w:tcBorders>
            <w:shd w:val="clear" w:color="auto" w:fill="D3D3D3"/>
          </w:tcPr>
          <w:p>
            <w:pPr/>
          </w:p>
        </w:tc>
        <w:tc>
          <w:tcPr>
            <w:tcW w:w="76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763" w:type="dxa"/>
            <w:tcBorders>
              <w:top w:val="single" w:sz="4" w:space="0" w:color="000000"/>
              <w:left w:val="single" w:sz="4" w:space="0" w:color="000000"/>
              <w:bottom w:val="nil" w:sz="6" w:space="0" w:color="auto"/>
              <w:right w:val="single" w:sz="4" w:space="0" w:color="000000"/>
            </w:tcBorders>
            <w:shd w:val="clear" w:color="auto" w:fill="D3D3D3"/>
          </w:tcPr>
          <w:p>
            <w:pPr/>
          </w:p>
        </w:tc>
        <w:tc>
          <w:tcPr>
            <w:tcW w:w="7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091"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0" w:hRule="exact"/>
        </w:trPr>
        <w:tc>
          <w:tcPr>
            <w:tcW w:w="2162" w:type="dxa"/>
            <w:vMerge/>
            <w:tcBorders>
              <w:left w:val="single" w:sz="4" w:space="0" w:color="000000"/>
              <w:bottom w:val="nil" w:sz="6" w:space="0" w:color="auto"/>
              <w:right w:val="single" w:sz="4" w:space="0" w:color="000000"/>
            </w:tcBorders>
            <w:shd w:val="clear" w:color="auto" w:fill="D3D3D3"/>
          </w:tcPr>
          <w:p>
            <w:pPr/>
          </w:p>
        </w:tc>
        <w:tc>
          <w:tcPr>
            <w:tcW w:w="110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6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6" w:type="dxa"/>
            <w:vMerge/>
            <w:tcBorders>
              <w:left w:val="single" w:sz="4" w:space="0" w:color="000000"/>
              <w:right w:val="single" w:sz="4" w:space="0" w:color="000000"/>
            </w:tcBorders>
            <w:shd w:val="clear" w:color="auto" w:fill="D3D3D3"/>
          </w:tcPr>
          <w:p>
            <w:pPr/>
          </w:p>
        </w:tc>
        <w:tc>
          <w:tcPr>
            <w:tcW w:w="76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64" w:type="dxa"/>
            <w:vMerge/>
            <w:tcBorders>
              <w:left w:val="single" w:sz="4" w:space="0" w:color="000000"/>
              <w:right w:val="single" w:sz="4" w:space="0" w:color="000000"/>
            </w:tcBorders>
            <w:shd w:val="clear" w:color="auto" w:fill="D3D3D3"/>
          </w:tcPr>
          <w:p>
            <w:pPr/>
          </w:p>
        </w:tc>
        <w:tc>
          <w:tcPr>
            <w:tcW w:w="76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6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9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6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3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83"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162" w:type="dxa"/>
            <w:vMerge w:val="restart"/>
            <w:tcBorders>
              <w:top w:val="nil" w:sz="6" w:space="0" w:color="auto"/>
              <w:left w:val="single" w:sz="4" w:space="0" w:color="000000"/>
              <w:right w:val="single" w:sz="4" w:space="0" w:color="000000"/>
            </w:tcBorders>
            <w:shd w:val="clear" w:color="auto" w:fill="D3D3D3"/>
          </w:tcPr>
          <w:p>
            <w:pPr/>
          </w:p>
        </w:tc>
        <w:tc>
          <w:tcPr>
            <w:tcW w:w="1103" w:type="dxa"/>
            <w:vMerge/>
            <w:tcBorders>
              <w:left w:val="single" w:sz="4" w:space="0" w:color="000000"/>
              <w:bottom w:val="nil" w:sz="6" w:space="0" w:color="auto"/>
              <w:right w:val="single" w:sz="4" w:space="0" w:color="000000"/>
            </w:tcBorders>
            <w:shd w:val="clear" w:color="auto" w:fill="D3D3D3"/>
          </w:tcPr>
          <w:p>
            <w:pPr/>
          </w:p>
        </w:tc>
        <w:tc>
          <w:tcPr>
            <w:tcW w:w="764" w:type="dxa"/>
            <w:vMerge/>
            <w:tcBorders>
              <w:left w:val="single" w:sz="4" w:space="0" w:color="000000"/>
              <w:bottom w:val="nil" w:sz="6" w:space="0" w:color="auto"/>
              <w:right w:val="single" w:sz="4" w:space="0" w:color="000000"/>
            </w:tcBorders>
            <w:shd w:val="clear" w:color="auto" w:fill="D3D3D3"/>
          </w:tcPr>
          <w:p>
            <w:pPr/>
          </w:p>
        </w:tc>
        <w:tc>
          <w:tcPr>
            <w:tcW w:w="766" w:type="dxa"/>
            <w:vMerge/>
            <w:tcBorders>
              <w:left w:val="single" w:sz="4" w:space="0" w:color="000000"/>
              <w:right w:val="single" w:sz="4" w:space="0" w:color="000000"/>
            </w:tcBorders>
            <w:shd w:val="clear" w:color="auto" w:fill="D3D3D3"/>
          </w:tcPr>
          <w:p>
            <w:pPr/>
          </w:p>
        </w:tc>
        <w:tc>
          <w:tcPr>
            <w:tcW w:w="764" w:type="dxa"/>
            <w:vMerge/>
            <w:tcBorders>
              <w:left w:val="single" w:sz="4" w:space="0" w:color="000000"/>
              <w:bottom w:val="nil" w:sz="6" w:space="0" w:color="auto"/>
              <w:right w:val="single" w:sz="4" w:space="0" w:color="000000"/>
            </w:tcBorders>
            <w:shd w:val="clear" w:color="auto" w:fill="D3D3D3"/>
          </w:tcPr>
          <w:p>
            <w:pPr/>
          </w:p>
        </w:tc>
        <w:tc>
          <w:tcPr>
            <w:tcW w:w="764" w:type="dxa"/>
            <w:vMerge/>
            <w:tcBorders>
              <w:left w:val="single" w:sz="4" w:space="0" w:color="000000"/>
              <w:right w:val="single" w:sz="4" w:space="0" w:color="000000"/>
            </w:tcBorders>
            <w:shd w:val="clear" w:color="auto" w:fill="D3D3D3"/>
          </w:tcPr>
          <w:p>
            <w:pPr/>
          </w:p>
        </w:tc>
        <w:tc>
          <w:tcPr>
            <w:tcW w:w="763" w:type="dxa"/>
            <w:vMerge/>
            <w:tcBorders>
              <w:left w:val="single" w:sz="4" w:space="0" w:color="000000"/>
              <w:bottom w:val="nil" w:sz="6" w:space="0" w:color="auto"/>
              <w:right w:val="single" w:sz="4" w:space="0" w:color="000000"/>
            </w:tcBorders>
            <w:shd w:val="clear" w:color="auto" w:fill="D3D3D3"/>
          </w:tcPr>
          <w:p>
            <w:pPr/>
          </w:p>
        </w:tc>
        <w:tc>
          <w:tcPr>
            <w:tcW w:w="767" w:type="dxa"/>
            <w:vMerge/>
            <w:tcBorders>
              <w:left w:val="single" w:sz="4" w:space="0" w:color="000000"/>
              <w:bottom w:val="nil" w:sz="6" w:space="0" w:color="auto"/>
              <w:right w:val="single" w:sz="4" w:space="0" w:color="000000"/>
            </w:tcBorders>
            <w:shd w:val="clear" w:color="auto" w:fill="D3D3D3"/>
          </w:tcPr>
          <w:p>
            <w:pPr/>
          </w:p>
        </w:tc>
        <w:tc>
          <w:tcPr>
            <w:tcW w:w="1091" w:type="dxa"/>
            <w:vMerge/>
            <w:tcBorders>
              <w:left w:val="single" w:sz="4" w:space="0" w:color="000000"/>
              <w:bottom w:val="nil" w:sz="6" w:space="0" w:color="auto"/>
              <w:right w:val="single" w:sz="4" w:space="0" w:color="000000"/>
            </w:tcBorders>
            <w:shd w:val="clear" w:color="auto" w:fill="D3D3D3"/>
          </w:tcPr>
          <w:p>
            <w:pPr/>
          </w:p>
        </w:tc>
        <w:tc>
          <w:tcPr>
            <w:tcW w:w="737" w:type="dxa"/>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2162" w:type="dxa"/>
            <w:vMerge/>
            <w:tcBorders>
              <w:left w:val="single" w:sz="4" w:space="0" w:color="000000"/>
              <w:bottom w:val="single" w:sz="4" w:space="0" w:color="000000"/>
              <w:right w:val="single" w:sz="4" w:space="0" w:color="000000"/>
            </w:tcBorders>
            <w:shd w:val="clear" w:color="auto" w:fill="D3D3D3"/>
          </w:tcPr>
          <w:p>
            <w:pPr/>
          </w:p>
        </w:tc>
        <w:tc>
          <w:tcPr>
            <w:tcW w:w="1103" w:type="dxa"/>
            <w:tcBorders>
              <w:top w:val="nil" w:sz="6" w:space="0" w:color="auto"/>
              <w:left w:val="single" w:sz="4" w:space="0" w:color="000000"/>
              <w:bottom w:val="single" w:sz="4" w:space="0" w:color="000000"/>
              <w:right w:val="single" w:sz="4" w:space="0" w:color="000000"/>
            </w:tcBorders>
            <w:shd w:val="clear" w:color="auto" w:fill="D3D3D3"/>
          </w:tcPr>
          <w:p>
            <w:pPr/>
          </w:p>
        </w:tc>
        <w:tc>
          <w:tcPr>
            <w:tcW w:w="764" w:type="dxa"/>
            <w:tcBorders>
              <w:top w:val="nil" w:sz="6" w:space="0" w:color="auto"/>
              <w:left w:val="single" w:sz="4" w:space="0" w:color="000000"/>
              <w:bottom w:val="single" w:sz="4" w:space="0" w:color="000000"/>
              <w:right w:val="single" w:sz="4" w:space="0" w:color="000000"/>
            </w:tcBorders>
            <w:shd w:val="clear" w:color="auto" w:fill="D3D3D3"/>
          </w:tcPr>
          <w:p>
            <w:pPr/>
          </w:p>
        </w:tc>
        <w:tc>
          <w:tcPr>
            <w:tcW w:w="766" w:type="dxa"/>
            <w:vMerge/>
            <w:tcBorders>
              <w:left w:val="single" w:sz="4" w:space="0" w:color="000000"/>
              <w:bottom w:val="single" w:sz="4" w:space="0" w:color="000000"/>
              <w:right w:val="single" w:sz="4" w:space="0" w:color="000000"/>
            </w:tcBorders>
            <w:shd w:val="clear" w:color="auto" w:fill="D3D3D3"/>
          </w:tcPr>
          <w:p>
            <w:pPr/>
          </w:p>
        </w:tc>
        <w:tc>
          <w:tcPr>
            <w:tcW w:w="764" w:type="dxa"/>
            <w:tcBorders>
              <w:top w:val="nil" w:sz="6" w:space="0" w:color="auto"/>
              <w:left w:val="single" w:sz="4" w:space="0" w:color="000000"/>
              <w:bottom w:val="single" w:sz="4" w:space="0" w:color="000000"/>
              <w:right w:val="single" w:sz="4" w:space="0" w:color="000000"/>
            </w:tcBorders>
            <w:shd w:val="clear" w:color="auto" w:fill="D3D3D3"/>
          </w:tcPr>
          <w:p>
            <w:pPr/>
          </w:p>
        </w:tc>
        <w:tc>
          <w:tcPr>
            <w:tcW w:w="76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nil" w:sz="6" w:space="0" w:color="auto"/>
              <w:left w:val="single" w:sz="4" w:space="0" w:color="000000"/>
              <w:bottom w:val="single" w:sz="4" w:space="0" w:color="000000"/>
              <w:right w:val="single" w:sz="4" w:space="0" w:color="000000"/>
            </w:tcBorders>
            <w:shd w:val="clear" w:color="auto" w:fill="D3D3D3"/>
          </w:tcPr>
          <w:p>
            <w:pPr/>
          </w:p>
        </w:tc>
        <w:tc>
          <w:tcPr>
            <w:tcW w:w="7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091"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529,967,815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52.08%</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461,050</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461,050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530,428,865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52.12%</w:t>
            </w:r>
          </w:p>
        </w:tc>
      </w:tr>
      <w:tr>
        <w:trPr>
          <w:trHeight w:val="402" w:hRule="exact"/>
        </w:trPr>
        <w:tc>
          <w:tcPr>
            <w:tcW w:w="2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529,966,415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52.07%</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529,966,415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52.07%</w:t>
            </w:r>
          </w:p>
        </w:tc>
      </w:tr>
      <w:tr>
        <w:trPr>
          <w:trHeight w:val="402" w:hRule="exact"/>
        </w:trPr>
        <w:tc>
          <w:tcPr>
            <w:tcW w:w="2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461,050</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461,050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462,450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r>
      <w:tr>
        <w:trPr>
          <w:trHeight w:val="402" w:hRule="exact"/>
        </w:trPr>
        <w:tc>
          <w:tcPr>
            <w:tcW w:w="2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39"/>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461,050</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461,050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462,450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r>
      <w:tr>
        <w:trPr>
          <w:trHeight w:val="402" w:hRule="exact"/>
        </w:trPr>
        <w:tc>
          <w:tcPr>
            <w:tcW w:w="2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39"/>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487,730,595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47.92%</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-461,050</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-461,050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487,269,545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47.87%</w:t>
            </w:r>
          </w:p>
        </w:tc>
      </w:tr>
      <w:tr>
        <w:trPr>
          <w:trHeight w:val="402" w:hRule="exact"/>
        </w:trPr>
        <w:tc>
          <w:tcPr>
            <w:tcW w:w="2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487,730,595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47.92%</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-461,050</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-461,050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487,269,545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47.87%</w:t>
            </w:r>
          </w:p>
        </w:tc>
      </w:tr>
      <w:tr>
        <w:trPr>
          <w:trHeight w:val="402" w:hRule="exact"/>
        </w:trPr>
        <w:tc>
          <w:tcPr>
            <w:tcW w:w="2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0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1,017,698,410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1,017,698,410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101"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4" w:right="1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86" w:lineRule="auto" w:before="153"/>
        <w:ind w:left="153" w:right="97" w:firstLine="420"/>
        <w:jc w:val="left"/>
        <w:rPr>
          <w:rFonts w:ascii="宋体" w:hAnsi="宋体" w:cs="宋体" w:eastAsia="宋体" w:hint="default"/>
          <w:sz w:val="21"/>
          <w:szCs w:val="21"/>
        </w:rPr>
      </w:pPr>
      <w:r>
        <w:rPr>
          <w:rFonts w:ascii="宋体" w:hAnsi="宋体" w:cs="宋体" w:eastAsia="宋体" w:hint="default"/>
          <w:spacing w:val="-1"/>
          <w:sz w:val="21"/>
          <w:szCs w:val="21"/>
        </w:rPr>
        <w:t>监事离任后半年内，其所持有的本公司股份</w:t>
      </w:r>
      <w:r>
        <w:rPr>
          <w:rFonts w:ascii="Times New Roman" w:hAnsi="Times New Roman" w:cs="Times New Roman" w:eastAsia="Times New Roman" w:hint="default"/>
          <w:spacing w:val="-1"/>
          <w:sz w:val="21"/>
          <w:szCs w:val="21"/>
        </w:rPr>
        <w:t>1,400</w:t>
      </w:r>
      <w:r>
        <w:rPr>
          <w:rFonts w:ascii="宋体" w:hAnsi="宋体" w:cs="宋体" w:eastAsia="宋体" w:hint="default"/>
          <w:spacing w:val="-1"/>
          <w:sz w:val="21"/>
          <w:szCs w:val="21"/>
        </w:rPr>
        <w:t>股</w:t>
      </w:r>
      <w:r>
        <w:rPr>
          <w:rFonts w:ascii="Times New Roman" w:hAnsi="Times New Roman" w:cs="Times New Roman" w:eastAsia="Times New Roman" w:hint="default"/>
          <w:spacing w:val="-1"/>
          <w:sz w:val="21"/>
          <w:szCs w:val="21"/>
        </w:rPr>
        <w:t>100%</w:t>
      </w:r>
      <w:r>
        <w:rPr>
          <w:rFonts w:ascii="宋体" w:hAnsi="宋体" w:cs="宋体" w:eastAsia="宋体" w:hint="default"/>
          <w:spacing w:val="-1"/>
          <w:sz w:val="21"/>
          <w:szCs w:val="21"/>
        </w:rPr>
        <w:t>锁定。报告期内，离任监事的持股锁定期满，</w:t>
      </w:r>
      <w:r>
        <w:rPr>
          <w:rFonts w:ascii="宋体" w:hAnsi="宋体" w:cs="宋体" w:eastAsia="宋体" w:hint="default"/>
          <w:sz w:val="21"/>
          <w:szCs w:val="21"/>
        </w:rPr>
        <w:t> 解除锁定。</w:t>
      </w:r>
    </w:p>
    <w:p>
      <w:pPr>
        <w:spacing w:line="398" w:lineRule="auto" w:before="65"/>
        <w:ind w:left="153" w:right="210" w:firstLine="42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2015</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7</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6</w:t>
      </w:r>
      <w:r>
        <w:rPr>
          <w:rFonts w:ascii="宋体" w:hAnsi="宋体" w:cs="宋体" w:eastAsia="宋体" w:hint="default"/>
          <w:spacing w:val="-1"/>
          <w:sz w:val="21"/>
          <w:szCs w:val="21"/>
        </w:rPr>
        <w:t>日公司总经理张剑秋、常务副总经理张韶衡、副总经理于国清、副总经理宋浩、财务总监</w:t>
      </w:r>
      <w:r>
        <w:rPr>
          <w:rFonts w:ascii="宋体" w:hAnsi="宋体" w:cs="宋体" w:eastAsia="宋体" w:hint="default"/>
          <w:sz w:val="21"/>
          <w:szCs w:val="21"/>
        </w:rPr>
        <w:t> </w:t>
      </w:r>
      <w:r>
        <w:rPr>
          <w:rFonts w:ascii="宋体" w:hAnsi="宋体" w:cs="宋体" w:eastAsia="宋体" w:hint="default"/>
          <w:spacing w:val="-1"/>
          <w:sz w:val="21"/>
          <w:szCs w:val="21"/>
        </w:rPr>
        <w:t>郭勤勇、董事会秘书高坚强通过深圳证券交易所证券交易系统在二级市场以集中竞价交易方式增持本公司</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股份</w:t>
      </w:r>
      <w:r>
        <w:rPr>
          <w:rFonts w:ascii="Times New Roman" w:hAnsi="Times New Roman" w:cs="Times New Roman" w:eastAsia="Times New Roman" w:hint="default"/>
          <w:sz w:val="21"/>
          <w:szCs w:val="21"/>
        </w:rPr>
        <w:t>616,600</w:t>
      </w:r>
      <w:r>
        <w:rPr>
          <w:rFonts w:ascii="宋体" w:hAnsi="宋体" w:cs="宋体" w:eastAsia="宋体" w:hint="default"/>
          <w:sz w:val="21"/>
          <w:szCs w:val="21"/>
        </w:rPr>
        <w:t>股，锁定</w:t>
      </w:r>
      <w:r>
        <w:rPr>
          <w:rFonts w:ascii="Times New Roman" w:hAnsi="Times New Roman" w:cs="Times New Roman" w:eastAsia="Times New Roman" w:hint="default"/>
          <w:sz w:val="21"/>
          <w:szCs w:val="21"/>
        </w:rPr>
        <w:t>75%</w:t>
      </w:r>
      <w:r>
        <w:rPr>
          <w:rFonts w:ascii="宋体" w:hAnsi="宋体" w:cs="宋体" w:eastAsia="宋体" w:hint="default"/>
          <w:sz w:val="21"/>
          <w:szCs w:val="21"/>
        </w:rPr>
        <w:t>，即锁定</w:t>
      </w:r>
      <w:r>
        <w:rPr>
          <w:rFonts w:ascii="Times New Roman" w:hAnsi="Times New Roman" w:cs="Times New Roman" w:eastAsia="Times New Roman" w:hint="default"/>
          <w:sz w:val="21"/>
          <w:szCs w:val="21"/>
        </w:rPr>
        <w:t>462,450</w:t>
      </w:r>
      <w:r>
        <w:rPr>
          <w:rFonts w:ascii="宋体" w:hAnsi="宋体" w:cs="宋体" w:eastAsia="宋体" w:hint="default"/>
          <w:sz w:val="21"/>
          <w:szCs w:val="21"/>
        </w:rPr>
        <w:t>股。</w:t>
      </w:r>
    </w:p>
    <w:p>
      <w:pPr>
        <w:spacing w:before="12"/>
        <w:ind w:left="154" w:right="101"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7"/>
        <w:ind w:left="153" w:right="1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20"/>
        </w:sectPr>
      </w:pPr>
    </w:p>
    <w:p>
      <w:pPr>
        <w:spacing w:line="240" w:lineRule="auto" w:before="13"/>
        <w:rPr>
          <w:rFonts w:ascii="宋体" w:hAnsi="宋体" w:cs="宋体" w:eastAsia="宋体" w:hint="default"/>
          <w:sz w:val="21"/>
          <w:szCs w:val="21"/>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股份变动的过户情况</w:t>
      </w:r>
    </w:p>
    <w:p>
      <w:pPr>
        <w:spacing w:line="340" w:lineRule="auto" w:before="116"/>
        <w:ind w:left="154" w:right="4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338" w:lineRule="auto" w:before="40"/>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公司认为必要或证券监管机构要求披露的其他内容</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、限售股份变动情况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272"/>
        <w:gridCol w:w="1050"/>
        <w:gridCol w:w="1002"/>
        <w:gridCol w:w="1087"/>
        <w:gridCol w:w="1050"/>
        <w:gridCol w:w="3228"/>
        <w:gridCol w:w="993"/>
      </w:tblGrid>
      <w:tr>
        <w:trPr>
          <w:trHeight w:val="713" w:hRule="exact"/>
        </w:trPr>
        <w:tc>
          <w:tcPr>
            <w:tcW w:w="1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29" w:right="68"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10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5" w:right="44"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0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68" w:right="86"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30" w:right="67"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07" w:right="33" w:hanging="360"/>
              <w:jc w:val="left"/>
              <w:rPr>
                <w:rFonts w:ascii="宋体" w:hAnsi="宋体" w:cs="宋体" w:eastAsia="宋体" w:hint="default"/>
                <w:sz w:val="18"/>
                <w:szCs w:val="18"/>
              </w:rPr>
            </w:pPr>
            <w:r>
              <w:rPr>
                <w:rFonts w:ascii="宋体" w:hAnsi="宋体" w:cs="宋体" w:eastAsia="宋体" w:hint="default"/>
                <w:sz w:val="18"/>
                <w:szCs w:val="18"/>
              </w:rPr>
              <w:t>解除限售日 期</w:t>
            </w:r>
          </w:p>
        </w:tc>
      </w:tr>
      <w:tr>
        <w:trPr>
          <w:trHeight w:val="714" w:hRule="exact"/>
        </w:trPr>
        <w:tc>
          <w:tcPr>
            <w:tcW w:w="12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57"/>
              <w:jc w:val="left"/>
              <w:rPr>
                <w:rFonts w:ascii="宋体" w:hAnsi="宋体" w:cs="宋体" w:eastAsia="宋体" w:hint="default"/>
                <w:sz w:val="18"/>
                <w:szCs w:val="18"/>
              </w:rPr>
            </w:pPr>
            <w:r>
              <w:rPr>
                <w:rFonts w:ascii="宋体" w:hAnsi="宋体" w:cs="宋体" w:eastAsia="宋体" w:hint="default"/>
                <w:sz w:val="18"/>
                <w:szCs w:val="18"/>
              </w:rPr>
              <w:t>杭州日报报业 集团有限公司</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489,771,977</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489,771,977</w:t>
            </w:r>
          </w:p>
        </w:tc>
        <w:tc>
          <w:tcPr>
            <w:tcW w:w="322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首发后机构类限售股</w:t>
            </w:r>
          </w:p>
        </w:tc>
        <w:tc>
          <w:tcPr>
            <w:tcW w:w="9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12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40,194,438</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40,194,438</w:t>
            </w:r>
          </w:p>
        </w:tc>
        <w:tc>
          <w:tcPr>
            <w:tcW w:w="322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首发后机构类限售股</w:t>
            </w:r>
          </w:p>
        </w:tc>
        <w:tc>
          <w:tcPr>
            <w:tcW w:w="9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12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陈森强</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322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监事所持本公司股份自离任后半年内</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锁定，锁定期届满解除锁定。</w:t>
            </w:r>
          </w:p>
        </w:tc>
        <w:tc>
          <w:tcPr>
            <w:tcW w:w="9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12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张剑秋</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76,275</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76,275</w:t>
            </w:r>
          </w:p>
        </w:tc>
        <w:tc>
          <w:tcPr>
            <w:tcW w:w="322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9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2"/>
              <w:ind w:left="23" w:right="44"/>
              <w:jc w:val="left"/>
              <w:rPr>
                <w:rFonts w:ascii="宋体" w:hAnsi="宋体" w:cs="宋体" w:eastAsia="宋体" w:hint="default"/>
                <w:sz w:val="18"/>
                <w:szCs w:val="18"/>
              </w:rPr>
            </w:pPr>
            <w:r>
              <w:rPr>
                <w:rFonts w:ascii="宋体" w:hAnsi="宋体" w:cs="宋体" w:eastAsia="宋体" w:hint="default"/>
                <w:sz w:val="18"/>
                <w:szCs w:val="18"/>
              </w:rPr>
              <w:t>每年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 除限售</w:t>
            </w:r>
          </w:p>
        </w:tc>
      </w:tr>
      <w:tr>
        <w:trPr>
          <w:trHeight w:val="714" w:hRule="exact"/>
        </w:trPr>
        <w:tc>
          <w:tcPr>
            <w:tcW w:w="12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张韶衡</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77,175</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77,175</w:t>
            </w:r>
          </w:p>
        </w:tc>
        <w:tc>
          <w:tcPr>
            <w:tcW w:w="322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9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2"/>
              <w:ind w:left="23" w:right="44"/>
              <w:jc w:val="left"/>
              <w:rPr>
                <w:rFonts w:ascii="宋体" w:hAnsi="宋体" w:cs="宋体" w:eastAsia="宋体" w:hint="default"/>
                <w:sz w:val="18"/>
                <w:szCs w:val="18"/>
              </w:rPr>
            </w:pPr>
            <w:r>
              <w:rPr>
                <w:rFonts w:ascii="宋体" w:hAnsi="宋体" w:cs="宋体" w:eastAsia="宋体" w:hint="default"/>
                <w:sz w:val="18"/>
                <w:szCs w:val="18"/>
              </w:rPr>
              <w:t>每年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 除限售</w:t>
            </w:r>
          </w:p>
        </w:tc>
      </w:tr>
      <w:tr>
        <w:trPr>
          <w:trHeight w:val="714" w:hRule="exact"/>
        </w:trPr>
        <w:tc>
          <w:tcPr>
            <w:tcW w:w="12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于国清</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77,325</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77,325</w:t>
            </w:r>
          </w:p>
        </w:tc>
        <w:tc>
          <w:tcPr>
            <w:tcW w:w="322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9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2"/>
              <w:ind w:left="23" w:right="44"/>
              <w:jc w:val="left"/>
              <w:rPr>
                <w:rFonts w:ascii="宋体" w:hAnsi="宋体" w:cs="宋体" w:eastAsia="宋体" w:hint="default"/>
                <w:sz w:val="18"/>
                <w:szCs w:val="18"/>
              </w:rPr>
            </w:pPr>
            <w:r>
              <w:rPr>
                <w:rFonts w:ascii="宋体" w:hAnsi="宋体" w:cs="宋体" w:eastAsia="宋体" w:hint="default"/>
                <w:sz w:val="18"/>
                <w:szCs w:val="18"/>
              </w:rPr>
              <w:t>每年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 除限售</w:t>
            </w:r>
          </w:p>
        </w:tc>
      </w:tr>
      <w:tr>
        <w:trPr>
          <w:trHeight w:val="714" w:hRule="exact"/>
        </w:trPr>
        <w:tc>
          <w:tcPr>
            <w:tcW w:w="12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宋浩</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77,100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77,100</w:t>
            </w:r>
          </w:p>
        </w:tc>
        <w:tc>
          <w:tcPr>
            <w:tcW w:w="322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9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2"/>
              <w:ind w:left="23" w:right="44"/>
              <w:jc w:val="left"/>
              <w:rPr>
                <w:rFonts w:ascii="宋体" w:hAnsi="宋体" w:cs="宋体" w:eastAsia="宋体" w:hint="default"/>
                <w:sz w:val="18"/>
                <w:szCs w:val="18"/>
              </w:rPr>
            </w:pPr>
            <w:r>
              <w:rPr>
                <w:rFonts w:ascii="宋体" w:hAnsi="宋体" w:cs="宋体" w:eastAsia="宋体" w:hint="default"/>
                <w:sz w:val="18"/>
                <w:szCs w:val="18"/>
              </w:rPr>
              <w:t>每年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 除限售</w:t>
            </w:r>
          </w:p>
        </w:tc>
      </w:tr>
      <w:tr>
        <w:trPr>
          <w:trHeight w:val="714" w:hRule="exact"/>
        </w:trPr>
        <w:tc>
          <w:tcPr>
            <w:tcW w:w="12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76,875</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76,875</w:t>
            </w:r>
          </w:p>
        </w:tc>
        <w:tc>
          <w:tcPr>
            <w:tcW w:w="322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9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2"/>
              <w:ind w:left="23" w:right="44"/>
              <w:jc w:val="left"/>
              <w:rPr>
                <w:rFonts w:ascii="宋体" w:hAnsi="宋体" w:cs="宋体" w:eastAsia="宋体" w:hint="default"/>
                <w:sz w:val="18"/>
                <w:szCs w:val="18"/>
              </w:rPr>
            </w:pPr>
            <w:r>
              <w:rPr>
                <w:rFonts w:ascii="宋体" w:hAnsi="宋体" w:cs="宋体" w:eastAsia="宋体" w:hint="default"/>
                <w:sz w:val="18"/>
                <w:szCs w:val="18"/>
              </w:rPr>
              <w:t>每年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 除限售</w:t>
            </w:r>
          </w:p>
        </w:tc>
      </w:tr>
      <w:tr>
        <w:trPr>
          <w:trHeight w:val="714" w:hRule="exact"/>
        </w:trPr>
        <w:tc>
          <w:tcPr>
            <w:tcW w:w="12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高坚强</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77,700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77,700</w:t>
            </w:r>
          </w:p>
        </w:tc>
        <w:tc>
          <w:tcPr>
            <w:tcW w:w="322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99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2"/>
              <w:ind w:left="23" w:right="44"/>
              <w:jc w:val="left"/>
              <w:rPr>
                <w:rFonts w:ascii="宋体" w:hAnsi="宋体" w:cs="宋体" w:eastAsia="宋体" w:hint="default"/>
                <w:sz w:val="18"/>
                <w:szCs w:val="18"/>
              </w:rPr>
            </w:pPr>
            <w:r>
              <w:rPr>
                <w:rFonts w:ascii="宋体" w:hAnsi="宋体" w:cs="宋体" w:eastAsia="宋体" w:hint="default"/>
                <w:sz w:val="18"/>
                <w:szCs w:val="18"/>
              </w:rPr>
              <w:t>每年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 除限售</w:t>
            </w:r>
          </w:p>
        </w:tc>
      </w:tr>
      <w:tr>
        <w:trPr>
          <w:trHeight w:val="403" w:hRule="exact"/>
        </w:trPr>
        <w:tc>
          <w:tcPr>
            <w:tcW w:w="1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529,967,815</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1,400</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462,450</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530,428,865</w:t>
            </w:r>
          </w:p>
        </w:tc>
        <w:tc>
          <w:tcPr>
            <w:tcW w:w="32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r>
        <w:rPr/>
        <w:t>二、证券发行与上市情况</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、报告期内证券发行（不含优先股）情况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165"/>
        <w:gridCol w:w="220"/>
        <w:gridCol w:w="901"/>
        <w:gridCol w:w="428"/>
        <w:gridCol w:w="776"/>
        <w:gridCol w:w="928"/>
        <w:gridCol w:w="390"/>
        <w:gridCol w:w="536"/>
        <w:gridCol w:w="956"/>
        <w:gridCol w:w="224"/>
        <w:gridCol w:w="641"/>
        <w:gridCol w:w="407"/>
        <w:gridCol w:w="859"/>
        <w:gridCol w:w="364"/>
        <w:gridCol w:w="899"/>
      </w:tblGrid>
      <w:tr>
        <w:trPr>
          <w:trHeight w:val="317" w:hRule="exact"/>
        </w:trPr>
        <w:tc>
          <w:tcPr>
            <w:tcW w:w="1165" w:type="dxa"/>
            <w:vMerge w:val="restart"/>
            <w:tcBorders>
              <w:top w:val="single" w:sz="4" w:space="0" w:color="000000"/>
              <w:left w:val="single" w:sz="4" w:space="0" w:color="000000"/>
              <w:right w:val="single" w:sz="4" w:space="0" w:color="000000"/>
            </w:tcBorders>
            <w:shd w:val="clear" w:color="auto" w:fill="D3D3D3"/>
          </w:tcPr>
          <w:p>
            <w:pPr/>
          </w:p>
        </w:tc>
        <w:tc>
          <w:tcPr>
            <w:tcW w:w="1120" w:type="dxa"/>
            <w:gridSpan w:val="2"/>
            <w:vMerge w:val="restart"/>
            <w:tcBorders>
              <w:top w:val="single" w:sz="4" w:space="0" w:color="000000"/>
              <w:left w:val="single" w:sz="9" w:space="0" w:color="D3D3D3"/>
              <w:right w:val="single" w:sz="9"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75" w:right="0"/>
              <w:jc w:val="left"/>
              <w:rPr>
                <w:rFonts w:ascii="Times New Roman" w:hAnsi="Times New Roman" w:cs="Times New Roman" w:eastAsia="Times New Roman" w:hint="default"/>
                <w:sz w:val="18"/>
                <w:szCs w:val="18"/>
              </w:rPr>
            </w:pPr>
            <w:r>
              <w:rPr>
                <w:rFonts w:ascii="Times New Roman"/>
                <w:sz w:val="18"/>
              </w:rPr>
              <w:t>38,039</w:t>
            </w:r>
          </w:p>
        </w:tc>
        <w:tc>
          <w:tcPr>
            <w:tcW w:w="1204"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1318" w:type="dxa"/>
            <w:gridSpan w:val="2"/>
            <w:vMerge w:val="restart"/>
            <w:tcBorders>
              <w:top w:val="single" w:sz="4" w:space="0" w:color="000000"/>
              <w:left w:val="single" w:sz="9" w:space="0" w:color="D3D3D3"/>
              <w:right w:val="single" w:sz="9"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82" w:right="0"/>
              <w:jc w:val="left"/>
              <w:rPr>
                <w:rFonts w:ascii="Times New Roman" w:hAnsi="Times New Roman" w:cs="Times New Roman" w:eastAsia="Times New Roman" w:hint="default"/>
                <w:sz w:val="18"/>
                <w:szCs w:val="18"/>
              </w:rPr>
            </w:pPr>
            <w:r>
              <w:rPr>
                <w:rFonts w:ascii="Times New Roman"/>
                <w:sz w:val="18"/>
              </w:rPr>
              <w:t>45,483</w:t>
            </w:r>
          </w:p>
        </w:tc>
        <w:tc>
          <w:tcPr>
            <w:tcW w:w="1717" w:type="dxa"/>
            <w:gridSpan w:val="3"/>
            <w:vMerge w:val="restart"/>
            <w:tcBorders>
              <w:top w:val="single" w:sz="4" w:space="0" w:color="000000"/>
              <w:left w:val="single" w:sz="4" w:space="0" w:color="000000"/>
              <w:right w:val="single" w:sz="4" w:space="0" w:color="000000"/>
            </w:tcBorders>
            <w:shd w:val="clear" w:color="auto" w:fill="D3D3D3"/>
          </w:tcPr>
          <w:p>
            <w:pPr/>
          </w:p>
        </w:tc>
        <w:tc>
          <w:tcPr>
            <w:tcW w:w="1048" w:type="dxa"/>
            <w:gridSpan w:val="2"/>
            <w:vMerge w:val="restart"/>
            <w:tcBorders>
              <w:top w:val="single" w:sz="4" w:space="0" w:color="000000"/>
              <w:left w:val="single" w:sz="9" w:space="0" w:color="D3D3D3"/>
              <w:right w:val="single" w:sz="9"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122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1" w:right="29"/>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3"/>
                <w:sz w:val="18"/>
                <w:szCs w:val="18"/>
              </w:rPr>
              <w:t>数（如有）（参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899" w:type="dxa"/>
            <w:vMerge w:val="restart"/>
            <w:tcBorders>
              <w:top w:val="single" w:sz="4" w:space="0" w:color="000000"/>
              <w:left w:val="single" w:sz="10"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65" w:type="dxa"/>
            <w:vMerge/>
            <w:tcBorders>
              <w:left w:val="single" w:sz="4" w:space="0" w:color="000000"/>
              <w:right w:val="single" w:sz="4" w:space="0" w:color="000000"/>
            </w:tcBorders>
            <w:shd w:val="clear" w:color="auto" w:fill="D3D3D3"/>
          </w:tcPr>
          <w:p>
            <w:pPr/>
          </w:p>
        </w:tc>
        <w:tc>
          <w:tcPr>
            <w:tcW w:w="1120" w:type="dxa"/>
            <w:gridSpan w:val="2"/>
            <w:vMerge/>
            <w:tcBorders>
              <w:left w:val="single" w:sz="9" w:space="0" w:color="D3D3D3"/>
              <w:right w:val="single" w:sz="9" w:space="0" w:color="D3D3D3"/>
            </w:tcBorders>
          </w:tcPr>
          <w:p>
            <w:pPr/>
          </w:p>
        </w:tc>
        <w:tc>
          <w:tcPr>
            <w:tcW w:w="1204"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11" w:right="101"/>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318" w:type="dxa"/>
            <w:gridSpan w:val="2"/>
            <w:vMerge/>
            <w:tcBorders>
              <w:left w:val="single" w:sz="9" w:space="0" w:color="D3D3D3"/>
              <w:right w:val="single" w:sz="9" w:space="0" w:color="D3D3D3"/>
            </w:tcBorders>
          </w:tcPr>
          <w:p>
            <w:pPr/>
          </w:p>
        </w:tc>
        <w:tc>
          <w:tcPr>
            <w:tcW w:w="1717" w:type="dxa"/>
            <w:gridSpan w:val="3"/>
            <w:vMerge/>
            <w:tcBorders>
              <w:left w:val="single" w:sz="4" w:space="0" w:color="000000"/>
              <w:bottom w:val="nil" w:sz="6" w:space="0" w:color="auto"/>
              <w:right w:val="single" w:sz="4" w:space="0" w:color="000000"/>
            </w:tcBorders>
            <w:shd w:val="clear" w:color="auto" w:fill="D3D3D3"/>
          </w:tcPr>
          <w:p>
            <w:pPr/>
          </w:p>
        </w:tc>
        <w:tc>
          <w:tcPr>
            <w:tcW w:w="1048" w:type="dxa"/>
            <w:gridSpan w:val="2"/>
            <w:vMerge/>
            <w:tcBorders>
              <w:left w:val="single" w:sz="9" w:space="0" w:color="D3D3D3"/>
              <w:right w:val="single" w:sz="9" w:space="0" w:color="D3D3D3"/>
            </w:tcBorders>
          </w:tcPr>
          <w:p>
            <w:pPr/>
          </w:p>
        </w:tc>
        <w:tc>
          <w:tcPr>
            <w:tcW w:w="1222" w:type="dxa"/>
            <w:gridSpan w:val="2"/>
            <w:vMerge/>
            <w:tcBorders>
              <w:left w:val="single" w:sz="4" w:space="0" w:color="000000"/>
              <w:right w:val="single" w:sz="4" w:space="0" w:color="000000"/>
            </w:tcBorders>
            <w:shd w:val="clear" w:color="auto" w:fill="D3D3D3"/>
          </w:tcPr>
          <w:p>
            <w:pPr/>
          </w:p>
        </w:tc>
        <w:tc>
          <w:tcPr>
            <w:tcW w:w="899" w:type="dxa"/>
            <w:vMerge/>
            <w:tcBorders>
              <w:left w:val="single" w:sz="10" w:space="0" w:color="D3D3D3"/>
              <w:right w:val="single" w:sz="4" w:space="0" w:color="000000"/>
            </w:tcBorders>
          </w:tcPr>
          <w:p>
            <w:pPr/>
          </w:p>
        </w:tc>
      </w:tr>
      <w:tr>
        <w:trPr>
          <w:trHeight w:val="156" w:hRule="exact"/>
        </w:trPr>
        <w:tc>
          <w:tcPr>
            <w:tcW w:w="1165" w:type="dxa"/>
            <w:vMerge/>
            <w:tcBorders>
              <w:left w:val="single" w:sz="4" w:space="0" w:color="000000"/>
              <w:bottom w:val="nil" w:sz="6" w:space="0" w:color="auto"/>
              <w:right w:val="single" w:sz="4" w:space="0" w:color="000000"/>
            </w:tcBorders>
            <w:shd w:val="clear" w:color="auto" w:fill="D3D3D3"/>
          </w:tcPr>
          <w:p>
            <w:pPr/>
          </w:p>
        </w:tc>
        <w:tc>
          <w:tcPr>
            <w:tcW w:w="1120" w:type="dxa"/>
            <w:gridSpan w:val="2"/>
            <w:vMerge/>
            <w:tcBorders>
              <w:left w:val="single" w:sz="9" w:space="0" w:color="D3D3D3"/>
              <w:right w:val="single" w:sz="9" w:space="0" w:color="D3D3D3"/>
            </w:tcBorders>
          </w:tcPr>
          <w:p>
            <w:pPr/>
          </w:p>
        </w:tc>
        <w:tc>
          <w:tcPr>
            <w:tcW w:w="1204" w:type="dxa"/>
            <w:gridSpan w:val="2"/>
            <w:vMerge/>
            <w:tcBorders>
              <w:left w:val="single" w:sz="4" w:space="0" w:color="000000"/>
              <w:right w:val="single" w:sz="4" w:space="0" w:color="000000"/>
            </w:tcBorders>
            <w:shd w:val="clear" w:color="auto" w:fill="D3D3D3"/>
          </w:tcPr>
          <w:p>
            <w:pPr/>
          </w:p>
        </w:tc>
        <w:tc>
          <w:tcPr>
            <w:tcW w:w="1318" w:type="dxa"/>
            <w:gridSpan w:val="2"/>
            <w:vMerge/>
            <w:tcBorders>
              <w:left w:val="single" w:sz="9" w:space="0" w:color="D3D3D3"/>
              <w:right w:val="single" w:sz="9" w:space="0" w:color="D3D3D3"/>
            </w:tcBorders>
          </w:tcPr>
          <w:p>
            <w:pPr/>
          </w:p>
        </w:tc>
        <w:tc>
          <w:tcPr>
            <w:tcW w:w="1717" w:type="dxa"/>
            <w:gridSpan w:val="3"/>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报告期末表决权恢复 的优先股股东总数</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048" w:type="dxa"/>
            <w:gridSpan w:val="2"/>
            <w:vMerge/>
            <w:tcBorders>
              <w:left w:val="single" w:sz="9" w:space="0" w:color="D3D3D3"/>
              <w:right w:val="single" w:sz="9" w:space="0" w:color="D3D3D3"/>
            </w:tcBorders>
          </w:tcPr>
          <w:p>
            <w:pPr/>
          </w:p>
        </w:tc>
        <w:tc>
          <w:tcPr>
            <w:tcW w:w="1222" w:type="dxa"/>
            <w:gridSpan w:val="2"/>
            <w:vMerge/>
            <w:tcBorders>
              <w:left w:val="single" w:sz="4" w:space="0" w:color="000000"/>
              <w:right w:val="single" w:sz="4" w:space="0" w:color="000000"/>
            </w:tcBorders>
            <w:shd w:val="clear" w:color="auto" w:fill="D3D3D3"/>
          </w:tcPr>
          <w:p>
            <w:pPr/>
          </w:p>
        </w:tc>
        <w:tc>
          <w:tcPr>
            <w:tcW w:w="899" w:type="dxa"/>
            <w:vMerge/>
            <w:tcBorders>
              <w:left w:val="single" w:sz="10" w:space="0" w:color="D3D3D3"/>
              <w:right w:val="single" w:sz="4" w:space="0" w:color="000000"/>
            </w:tcBorders>
          </w:tcPr>
          <w:p>
            <w:pPr/>
          </w:p>
        </w:tc>
      </w:tr>
      <w:tr>
        <w:trPr>
          <w:trHeight w:val="704" w:hRule="exact"/>
        </w:trPr>
        <w:tc>
          <w:tcPr>
            <w:tcW w:w="116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20" w:type="dxa"/>
            <w:gridSpan w:val="2"/>
            <w:vMerge/>
            <w:tcBorders>
              <w:left w:val="single" w:sz="9" w:space="0" w:color="D3D3D3"/>
              <w:right w:val="single" w:sz="9" w:space="0" w:color="D3D3D3"/>
            </w:tcBorders>
          </w:tcPr>
          <w:p>
            <w:pPr/>
          </w:p>
        </w:tc>
        <w:tc>
          <w:tcPr>
            <w:tcW w:w="1204" w:type="dxa"/>
            <w:gridSpan w:val="2"/>
            <w:vMerge/>
            <w:tcBorders>
              <w:left w:val="single" w:sz="4" w:space="0" w:color="000000"/>
              <w:right w:val="single" w:sz="4" w:space="0" w:color="000000"/>
            </w:tcBorders>
            <w:shd w:val="clear" w:color="auto" w:fill="D3D3D3"/>
          </w:tcPr>
          <w:p>
            <w:pPr/>
          </w:p>
        </w:tc>
        <w:tc>
          <w:tcPr>
            <w:tcW w:w="1318" w:type="dxa"/>
            <w:gridSpan w:val="2"/>
            <w:vMerge/>
            <w:tcBorders>
              <w:left w:val="single" w:sz="9" w:space="0" w:color="D3D3D3"/>
              <w:right w:val="single" w:sz="9" w:space="0" w:color="D3D3D3"/>
            </w:tcBorders>
          </w:tcPr>
          <w:p>
            <w:pPr/>
          </w:p>
        </w:tc>
        <w:tc>
          <w:tcPr>
            <w:tcW w:w="1717" w:type="dxa"/>
            <w:gridSpan w:val="3"/>
            <w:vMerge/>
            <w:tcBorders>
              <w:left w:val="single" w:sz="4" w:space="0" w:color="000000"/>
              <w:right w:val="single" w:sz="4" w:space="0" w:color="000000"/>
            </w:tcBorders>
            <w:shd w:val="clear" w:color="auto" w:fill="D3D3D3"/>
          </w:tcPr>
          <w:p>
            <w:pPr/>
          </w:p>
        </w:tc>
        <w:tc>
          <w:tcPr>
            <w:tcW w:w="1048" w:type="dxa"/>
            <w:gridSpan w:val="2"/>
            <w:vMerge/>
            <w:tcBorders>
              <w:left w:val="single" w:sz="9" w:space="0" w:color="D3D3D3"/>
              <w:right w:val="single" w:sz="9" w:space="0" w:color="D3D3D3"/>
            </w:tcBorders>
          </w:tcPr>
          <w:p>
            <w:pPr/>
          </w:p>
        </w:tc>
        <w:tc>
          <w:tcPr>
            <w:tcW w:w="1222" w:type="dxa"/>
            <w:gridSpan w:val="2"/>
            <w:vMerge/>
            <w:tcBorders>
              <w:left w:val="single" w:sz="4" w:space="0" w:color="000000"/>
              <w:right w:val="single" w:sz="4" w:space="0" w:color="000000"/>
            </w:tcBorders>
            <w:shd w:val="clear" w:color="auto" w:fill="D3D3D3"/>
          </w:tcPr>
          <w:p>
            <w:pPr/>
          </w:p>
        </w:tc>
        <w:tc>
          <w:tcPr>
            <w:tcW w:w="899" w:type="dxa"/>
            <w:vMerge/>
            <w:tcBorders>
              <w:left w:val="single" w:sz="10" w:space="0" w:color="D3D3D3"/>
              <w:right w:val="single" w:sz="4" w:space="0" w:color="000000"/>
            </w:tcBorders>
          </w:tcPr>
          <w:p>
            <w:pPr/>
          </w:p>
        </w:tc>
      </w:tr>
      <w:tr>
        <w:trPr>
          <w:trHeight w:val="156" w:hRule="exact"/>
        </w:trPr>
        <w:tc>
          <w:tcPr>
            <w:tcW w:w="1165" w:type="dxa"/>
            <w:vMerge w:val="restart"/>
            <w:tcBorders>
              <w:top w:val="nil" w:sz="6" w:space="0" w:color="auto"/>
              <w:left w:val="single" w:sz="4" w:space="0" w:color="000000"/>
              <w:right w:val="single" w:sz="4" w:space="0" w:color="000000"/>
            </w:tcBorders>
            <w:shd w:val="clear" w:color="auto" w:fill="D3D3D3"/>
          </w:tcPr>
          <w:p>
            <w:pPr/>
          </w:p>
        </w:tc>
        <w:tc>
          <w:tcPr>
            <w:tcW w:w="1120" w:type="dxa"/>
            <w:gridSpan w:val="2"/>
            <w:vMerge/>
            <w:tcBorders>
              <w:left w:val="single" w:sz="9" w:space="0" w:color="D3D3D3"/>
              <w:right w:val="single" w:sz="9" w:space="0" w:color="D3D3D3"/>
            </w:tcBorders>
          </w:tcPr>
          <w:p>
            <w:pPr/>
          </w:p>
        </w:tc>
        <w:tc>
          <w:tcPr>
            <w:tcW w:w="1204" w:type="dxa"/>
            <w:gridSpan w:val="2"/>
            <w:vMerge/>
            <w:tcBorders>
              <w:left w:val="single" w:sz="4" w:space="0" w:color="000000"/>
              <w:right w:val="single" w:sz="4" w:space="0" w:color="000000"/>
            </w:tcBorders>
            <w:shd w:val="clear" w:color="auto" w:fill="D3D3D3"/>
          </w:tcPr>
          <w:p>
            <w:pPr/>
          </w:p>
        </w:tc>
        <w:tc>
          <w:tcPr>
            <w:tcW w:w="1318" w:type="dxa"/>
            <w:gridSpan w:val="2"/>
            <w:vMerge/>
            <w:tcBorders>
              <w:left w:val="single" w:sz="9" w:space="0" w:color="D3D3D3"/>
              <w:right w:val="single" w:sz="9" w:space="0" w:color="D3D3D3"/>
            </w:tcBorders>
          </w:tcPr>
          <w:p>
            <w:pPr/>
          </w:p>
        </w:tc>
        <w:tc>
          <w:tcPr>
            <w:tcW w:w="1717" w:type="dxa"/>
            <w:gridSpan w:val="3"/>
            <w:vMerge/>
            <w:tcBorders>
              <w:left w:val="single" w:sz="4" w:space="0" w:color="000000"/>
              <w:bottom w:val="nil" w:sz="6" w:space="0" w:color="auto"/>
              <w:right w:val="single" w:sz="4" w:space="0" w:color="000000"/>
            </w:tcBorders>
            <w:shd w:val="clear" w:color="auto" w:fill="D3D3D3"/>
          </w:tcPr>
          <w:p>
            <w:pPr/>
          </w:p>
        </w:tc>
        <w:tc>
          <w:tcPr>
            <w:tcW w:w="1048" w:type="dxa"/>
            <w:gridSpan w:val="2"/>
            <w:vMerge/>
            <w:tcBorders>
              <w:left w:val="single" w:sz="9" w:space="0" w:color="D3D3D3"/>
              <w:right w:val="single" w:sz="9" w:space="0" w:color="D3D3D3"/>
            </w:tcBorders>
          </w:tcPr>
          <w:p>
            <w:pPr/>
          </w:p>
        </w:tc>
        <w:tc>
          <w:tcPr>
            <w:tcW w:w="1222" w:type="dxa"/>
            <w:gridSpan w:val="2"/>
            <w:vMerge/>
            <w:tcBorders>
              <w:left w:val="single" w:sz="4" w:space="0" w:color="000000"/>
              <w:right w:val="single" w:sz="4" w:space="0" w:color="000000"/>
            </w:tcBorders>
            <w:shd w:val="clear" w:color="auto" w:fill="D3D3D3"/>
          </w:tcPr>
          <w:p>
            <w:pPr/>
          </w:p>
        </w:tc>
        <w:tc>
          <w:tcPr>
            <w:tcW w:w="899" w:type="dxa"/>
            <w:vMerge/>
            <w:tcBorders>
              <w:left w:val="single" w:sz="10" w:space="0" w:color="D3D3D3"/>
              <w:right w:val="single" w:sz="4" w:space="0" w:color="000000"/>
            </w:tcBorders>
          </w:tcPr>
          <w:p>
            <w:pPr/>
          </w:p>
        </w:tc>
      </w:tr>
      <w:tr>
        <w:trPr>
          <w:trHeight w:val="156" w:hRule="exact"/>
        </w:trPr>
        <w:tc>
          <w:tcPr>
            <w:tcW w:w="1165" w:type="dxa"/>
            <w:vMerge/>
            <w:tcBorders>
              <w:left w:val="single" w:sz="4" w:space="0" w:color="000000"/>
              <w:right w:val="single" w:sz="4" w:space="0" w:color="000000"/>
            </w:tcBorders>
            <w:shd w:val="clear" w:color="auto" w:fill="D3D3D3"/>
          </w:tcPr>
          <w:p>
            <w:pPr/>
          </w:p>
        </w:tc>
        <w:tc>
          <w:tcPr>
            <w:tcW w:w="1120" w:type="dxa"/>
            <w:gridSpan w:val="2"/>
            <w:vMerge/>
            <w:tcBorders>
              <w:left w:val="single" w:sz="9" w:space="0" w:color="D3D3D3"/>
              <w:right w:val="single" w:sz="9" w:space="0" w:color="D3D3D3"/>
            </w:tcBorders>
          </w:tcPr>
          <w:p>
            <w:pPr/>
          </w:p>
        </w:tc>
        <w:tc>
          <w:tcPr>
            <w:tcW w:w="1204" w:type="dxa"/>
            <w:gridSpan w:val="2"/>
            <w:vMerge/>
            <w:tcBorders>
              <w:left w:val="single" w:sz="4" w:space="0" w:color="000000"/>
              <w:bottom w:val="nil" w:sz="6" w:space="0" w:color="auto"/>
              <w:right w:val="single" w:sz="4" w:space="0" w:color="000000"/>
            </w:tcBorders>
            <w:shd w:val="clear" w:color="auto" w:fill="D3D3D3"/>
          </w:tcPr>
          <w:p>
            <w:pPr/>
          </w:p>
        </w:tc>
        <w:tc>
          <w:tcPr>
            <w:tcW w:w="1318" w:type="dxa"/>
            <w:gridSpan w:val="2"/>
            <w:vMerge/>
            <w:tcBorders>
              <w:left w:val="single" w:sz="9" w:space="0" w:color="D3D3D3"/>
              <w:right w:val="single" w:sz="9" w:space="0" w:color="D3D3D3"/>
            </w:tcBorders>
          </w:tcPr>
          <w:p>
            <w:pPr/>
          </w:p>
        </w:tc>
        <w:tc>
          <w:tcPr>
            <w:tcW w:w="1717" w:type="dxa"/>
            <w:gridSpan w:val="3"/>
            <w:vMerge w:val="restart"/>
            <w:tcBorders>
              <w:top w:val="nil" w:sz="6" w:space="0" w:color="auto"/>
              <w:left w:val="single" w:sz="4" w:space="0" w:color="000000"/>
              <w:right w:val="single" w:sz="4" w:space="0" w:color="000000"/>
            </w:tcBorders>
            <w:shd w:val="clear" w:color="auto" w:fill="D3D3D3"/>
          </w:tcPr>
          <w:p>
            <w:pPr/>
          </w:p>
        </w:tc>
        <w:tc>
          <w:tcPr>
            <w:tcW w:w="1048" w:type="dxa"/>
            <w:gridSpan w:val="2"/>
            <w:vMerge/>
            <w:tcBorders>
              <w:left w:val="single" w:sz="9" w:space="0" w:color="D3D3D3"/>
              <w:right w:val="single" w:sz="9" w:space="0" w:color="D3D3D3"/>
            </w:tcBorders>
          </w:tcPr>
          <w:p>
            <w:pPr/>
          </w:p>
        </w:tc>
        <w:tc>
          <w:tcPr>
            <w:tcW w:w="1222" w:type="dxa"/>
            <w:gridSpan w:val="2"/>
            <w:vMerge/>
            <w:tcBorders>
              <w:left w:val="single" w:sz="4" w:space="0" w:color="000000"/>
              <w:right w:val="single" w:sz="4" w:space="0" w:color="000000"/>
            </w:tcBorders>
            <w:shd w:val="clear" w:color="auto" w:fill="D3D3D3"/>
          </w:tcPr>
          <w:p>
            <w:pPr/>
          </w:p>
        </w:tc>
        <w:tc>
          <w:tcPr>
            <w:tcW w:w="899" w:type="dxa"/>
            <w:vMerge/>
            <w:tcBorders>
              <w:left w:val="single" w:sz="10" w:space="0" w:color="D3D3D3"/>
              <w:right w:val="single" w:sz="4" w:space="0" w:color="000000"/>
            </w:tcBorders>
          </w:tcPr>
          <w:p>
            <w:pPr/>
          </w:p>
        </w:tc>
      </w:tr>
      <w:tr>
        <w:trPr>
          <w:trHeight w:val="317" w:hRule="exact"/>
        </w:trPr>
        <w:tc>
          <w:tcPr>
            <w:tcW w:w="1165" w:type="dxa"/>
            <w:vMerge/>
            <w:tcBorders>
              <w:left w:val="single" w:sz="4" w:space="0" w:color="000000"/>
              <w:bottom w:val="single" w:sz="4" w:space="0" w:color="000000"/>
              <w:right w:val="single" w:sz="4" w:space="0" w:color="000000"/>
            </w:tcBorders>
            <w:shd w:val="clear" w:color="auto" w:fill="D3D3D3"/>
          </w:tcPr>
          <w:p>
            <w:pPr/>
          </w:p>
        </w:tc>
        <w:tc>
          <w:tcPr>
            <w:tcW w:w="1120" w:type="dxa"/>
            <w:gridSpan w:val="2"/>
            <w:vMerge/>
            <w:tcBorders>
              <w:left w:val="single" w:sz="9" w:space="0" w:color="D3D3D3"/>
              <w:bottom w:val="single" w:sz="4" w:space="0" w:color="000000"/>
              <w:right w:val="single" w:sz="9" w:space="0" w:color="D3D3D3"/>
            </w:tcBorders>
          </w:tcPr>
          <w:p>
            <w:pPr/>
          </w:p>
        </w:tc>
        <w:tc>
          <w:tcPr>
            <w:tcW w:w="1204"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1318" w:type="dxa"/>
            <w:gridSpan w:val="2"/>
            <w:vMerge/>
            <w:tcBorders>
              <w:left w:val="single" w:sz="9" w:space="0" w:color="D3D3D3"/>
              <w:bottom w:val="single" w:sz="4" w:space="0" w:color="000000"/>
              <w:right w:val="single" w:sz="9" w:space="0" w:color="D3D3D3"/>
            </w:tcBorders>
          </w:tcPr>
          <w:p>
            <w:pPr/>
          </w:p>
        </w:tc>
        <w:tc>
          <w:tcPr>
            <w:tcW w:w="1717" w:type="dxa"/>
            <w:gridSpan w:val="3"/>
            <w:vMerge/>
            <w:tcBorders>
              <w:left w:val="single" w:sz="4" w:space="0" w:color="000000"/>
              <w:bottom w:val="single" w:sz="4" w:space="0" w:color="000000"/>
              <w:right w:val="single" w:sz="4" w:space="0" w:color="000000"/>
            </w:tcBorders>
            <w:shd w:val="clear" w:color="auto" w:fill="D3D3D3"/>
          </w:tcPr>
          <w:p>
            <w:pPr/>
          </w:p>
        </w:tc>
        <w:tc>
          <w:tcPr>
            <w:tcW w:w="1048" w:type="dxa"/>
            <w:gridSpan w:val="2"/>
            <w:vMerge/>
            <w:tcBorders>
              <w:left w:val="single" w:sz="9" w:space="0" w:color="D3D3D3"/>
              <w:bottom w:val="single" w:sz="4" w:space="0" w:color="000000"/>
              <w:right w:val="single" w:sz="9" w:space="0" w:color="D3D3D3"/>
            </w:tcBorders>
          </w:tcPr>
          <w:p>
            <w:pPr/>
          </w:p>
        </w:tc>
        <w:tc>
          <w:tcPr>
            <w:tcW w:w="1222" w:type="dxa"/>
            <w:gridSpan w:val="2"/>
            <w:vMerge/>
            <w:tcBorders>
              <w:left w:val="single" w:sz="4" w:space="0" w:color="000000"/>
              <w:bottom w:val="single" w:sz="4" w:space="0" w:color="000000"/>
              <w:right w:val="single" w:sz="4" w:space="0" w:color="000000"/>
            </w:tcBorders>
            <w:shd w:val="clear" w:color="auto" w:fill="D3D3D3"/>
          </w:tcPr>
          <w:p>
            <w:pPr/>
          </w:p>
        </w:tc>
        <w:tc>
          <w:tcPr>
            <w:tcW w:w="899" w:type="dxa"/>
            <w:vMerge/>
            <w:tcBorders>
              <w:left w:val="single" w:sz="10" w:space="0" w:color="D3D3D3"/>
              <w:bottom w:val="single" w:sz="4" w:space="0" w:color="000000"/>
              <w:right w:val="single" w:sz="4" w:space="0" w:color="000000"/>
            </w:tcBorders>
          </w:tcPr>
          <w:p>
            <w:pPr/>
          </w:p>
        </w:tc>
      </w:tr>
      <w:tr>
        <w:trPr>
          <w:trHeight w:val="402" w:hRule="exact"/>
        </w:trPr>
        <w:tc>
          <w:tcPr>
            <w:tcW w:w="9694" w:type="dxa"/>
            <w:gridSpan w:val="1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2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2" w:hRule="exact"/>
        </w:trPr>
        <w:tc>
          <w:tcPr>
            <w:tcW w:w="1385" w:type="dxa"/>
            <w:gridSpan w:val="2"/>
            <w:vMerge w:val="restart"/>
            <w:tcBorders>
              <w:top w:val="single" w:sz="4" w:space="0" w:color="000000"/>
              <w:left w:val="single" w:sz="4" w:space="0" w:color="000000"/>
              <w:right w:val="single" w:sz="4" w:space="0" w:color="000000"/>
            </w:tcBorders>
            <w:shd w:val="clear" w:color="auto" w:fill="D3D3D3"/>
          </w:tcPr>
          <w:p>
            <w:pPr/>
          </w:p>
        </w:tc>
        <w:tc>
          <w:tcPr>
            <w:tcW w:w="1328" w:type="dxa"/>
            <w:gridSpan w:val="2"/>
            <w:vMerge w:val="restart"/>
            <w:tcBorders>
              <w:top w:val="single" w:sz="4" w:space="0" w:color="000000"/>
              <w:left w:val="single" w:sz="4" w:space="0" w:color="000000"/>
              <w:right w:val="single" w:sz="4" w:space="0" w:color="000000"/>
            </w:tcBorders>
            <w:shd w:val="clear" w:color="auto" w:fill="D3D3D3"/>
          </w:tcPr>
          <w:p>
            <w:pPr/>
          </w:p>
        </w:tc>
        <w:tc>
          <w:tcPr>
            <w:tcW w:w="776" w:type="dxa"/>
            <w:tcBorders>
              <w:top w:val="single" w:sz="4" w:space="0" w:color="000000"/>
              <w:left w:val="single" w:sz="4" w:space="0" w:color="000000"/>
              <w:bottom w:val="nil" w:sz="6" w:space="0" w:color="auto"/>
              <w:right w:val="single" w:sz="4" w:space="0" w:color="000000"/>
            </w:tcBorders>
            <w:shd w:val="clear" w:color="auto" w:fill="D3D3D3"/>
          </w:tcPr>
          <w:p>
            <w:pPr/>
          </w:p>
        </w:tc>
        <w:tc>
          <w:tcPr>
            <w:tcW w:w="928" w:type="dxa"/>
            <w:tcBorders>
              <w:top w:val="single" w:sz="4" w:space="0" w:color="000000"/>
              <w:left w:val="single" w:sz="4" w:space="0" w:color="000000"/>
              <w:bottom w:val="nil" w:sz="6" w:space="0" w:color="auto"/>
              <w:right w:val="single" w:sz="4" w:space="0" w:color="000000"/>
            </w:tcBorders>
            <w:shd w:val="clear" w:color="auto" w:fill="D3D3D3"/>
          </w:tcPr>
          <w:p>
            <w:pPr/>
          </w:p>
        </w:tc>
        <w:tc>
          <w:tcPr>
            <w:tcW w:w="9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98" w:right="96"/>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95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86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67" w:right="66"/>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528" w:type="dxa"/>
            <w:gridSpan w:val="4"/>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29"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385" w:type="dxa"/>
            <w:gridSpan w:val="2"/>
            <w:vMerge/>
            <w:tcBorders>
              <w:left w:val="single" w:sz="4" w:space="0" w:color="000000"/>
              <w:bottom w:val="nil" w:sz="6" w:space="0" w:color="auto"/>
              <w:right w:val="single" w:sz="4" w:space="0" w:color="000000"/>
            </w:tcBorders>
            <w:shd w:val="clear" w:color="auto" w:fill="D3D3D3"/>
          </w:tcPr>
          <w:p>
            <w:pPr/>
          </w:p>
        </w:tc>
        <w:tc>
          <w:tcPr>
            <w:tcW w:w="1328" w:type="dxa"/>
            <w:gridSpan w:val="2"/>
            <w:vMerge/>
            <w:tcBorders>
              <w:left w:val="single" w:sz="4" w:space="0" w:color="000000"/>
              <w:bottom w:val="nil" w:sz="6" w:space="0" w:color="auto"/>
              <w:right w:val="single" w:sz="4" w:space="0" w:color="000000"/>
            </w:tcBorders>
            <w:shd w:val="clear" w:color="auto" w:fill="D3D3D3"/>
          </w:tcPr>
          <w:p>
            <w:pPr/>
          </w:p>
        </w:tc>
        <w:tc>
          <w:tcPr>
            <w:tcW w:w="77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279" w:right="12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28"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0"/>
              <w:ind w:left="175" w:right="2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26" w:type="dxa"/>
            <w:gridSpan w:val="2"/>
            <w:vMerge/>
            <w:tcBorders>
              <w:left w:val="single" w:sz="4" w:space="0" w:color="000000"/>
              <w:right w:val="single" w:sz="4" w:space="0" w:color="000000"/>
            </w:tcBorders>
            <w:shd w:val="clear" w:color="auto" w:fill="D3D3D3"/>
          </w:tcPr>
          <w:p>
            <w:pPr/>
          </w:p>
        </w:tc>
        <w:tc>
          <w:tcPr>
            <w:tcW w:w="956" w:type="dxa"/>
            <w:vMerge/>
            <w:tcBorders>
              <w:left w:val="single" w:sz="4" w:space="0" w:color="000000"/>
              <w:right w:val="single" w:sz="4" w:space="0" w:color="000000"/>
            </w:tcBorders>
            <w:shd w:val="clear" w:color="auto" w:fill="D3D3D3"/>
          </w:tcPr>
          <w:p>
            <w:pPr/>
          </w:p>
        </w:tc>
        <w:tc>
          <w:tcPr>
            <w:tcW w:w="865" w:type="dxa"/>
            <w:gridSpan w:val="2"/>
            <w:vMerge/>
            <w:tcBorders>
              <w:left w:val="single" w:sz="4" w:space="0" w:color="000000"/>
              <w:right w:val="single" w:sz="4" w:space="0" w:color="000000"/>
            </w:tcBorders>
            <w:shd w:val="clear" w:color="auto" w:fill="D3D3D3"/>
          </w:tcPr>
          <w:p>
            <w:pPr/>
          </w:p>
        </w:tc>
        <w:tc>
          <w:tcPr>
            <w:tcW w:w="2528" w:type="dxa"/>
            <w:gridSpan w:val="4"/>
            <w:vMerge/>
            <w:tcBorders>
              <w:left w:val="single" w:sz="4" w:space="0" w:color="000000"/>
              <w:right w:val="single" w:sz="4" w:space="0" w:color="000000"/>
            </w:tcBorders>
            <w:shd w:val="clear" w:color="auto" w:fill="D3D3D3"/>
          </w:tcPr>
          <w:p>
            <w:pPr/>
          </w:p>
        </w:tc>
      </w:tr>
      <w:tr>
        <w:trPr>
          <w:trHeight w:val="140" w:hRule="exact"/>
        </w:trPr>
        <w:tc>
          <w:tcPr>
            <w:tcW w:w="1385"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32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28"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29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76" w:type="dxa"/>
            <w:vMerge/>
            <w:tcBorders>
              <w:left w:val="single" w:sz="4" w:space="0" w:color="000000"/>
              <w:right w:val="single" w:sz="4" w:space="0" w:color="000000"/>
            </w:tcBorders>
            <w:shd w:val="clear" w:color="auto" w:fill="D3D3D3"/>
          </w:tcPr>
          <w:p>
            <w:pPr/>
          </w:p>
        </w:tc>
        <w:tc>
          <w:tcPr>
            <w:tcW w:w="928" w:type="dxa"/>
            <w:vMerge/>
            <w:tcBorders>
              <w:left w:val="single" w:sz="4" w:space="0" w:color="000000"/>
              <w:right w:val="single" w:sz="4" w:space="0" w:color="000000"/>
            </w:tcBorders>
            <w:shd w:val="clear" w:color="auto" w:fill="D3D3D3"/>
          </w:tcPr>
          <w:p>
            <w:pPr/>
          </w:p>
        </w:tc>
        <w:tc>
          <w:tcPr>
            <w:tcW w:w="926" w:type="dxa"/>
            <w:gridSpan w:val="2"/>
            <w:vMerge/>
            <w:tcBorders>
              <w:left w:val="single" w:sz="4" w:space="0" w:color="000000"/>
              <w:right w:val="single" w:sz="4" w:space="0" w:color="000000"/>
            </w:tcBorders>
            <w:shd w:val="clear" w:color="auto" w:fill="D3D3D3"/>
          </w:tcPr>
          <w:p>
            <w:pPr/>
          </w:p>
        </w:tc>
        <w:tc>
          <w:tcPr>
            <w:tcW w:w="956" w:type="dxa"/>
            <w:vMerge/>
            <w:tcBorders>
              <w:left w:val="single" w:sz="4" w:space="0" w:color="000000"/>
              <w:right w:val="single" w:sz="4" w:space="0" w:color="000000"/>
            </w:tcBorders>
            <w:shd w:val="clear" w:color="auto" w:fill="D3D3D3"/>
          </w:tcPr>
          <w:p>
            <w:pPr/>
          </w:p>
        </w:tc>
        <w:tc>
          <w:tcPr>
            <w:tcW w:w="865" w:type="dxa"/>
            <w:gridSpan w:val="2"/>
            <w:vMerge/>
            <w:tcBorders>
              <w:left w:val="single" w:sz="4" w:space="0" w:color="000000"/>
              <w:right w:val="single" w:sz="4" w:space="0" w:color="000000"/>
            </w:tcBorders>
            <w:shd w:val="clear" w:color="auto" w:fill="D3D3D3"/>
          </w:tcPr>
          <w:p>
            <w:pPr/>
          </w:p>
        </w:tc>
        <w:tc>
          <w:tcPr>
            <w:tcW w:w="2528" w:type="dxa"/>
            <w:gridSpan w:val="4"/>
            <w:vMerge/>
            <w:tcBorders>
              <w:left w:val="single" w:sz="4" w:space="0" w:color="000000"/>
              <w:bottom w:val="single" w:sz="4" w:space="0" w:color="000000"/>
              <w:right w:val="single" w:sz="4" w:space="0" w:color="000000"/>
            </w:tcBorders>
            <w:shd w:val="clear" w:color="auto" w:fill="D3D3D3"/>
          </w:tcPr>
          <w:p>
            <w:pPr/>
          </w:p>
        </w:tc>
      </w:tr>
      <w:tr>
        <w:trPr>
          <w:trHeight w:val="252" w:hRule="exact"/>
        </w:trPr>
        <w:tc>
          <w:tcPr>
            <w:tcW w:w="1385" w:type="dxa"/>
            <w:gridSpan w:val="2"/>
            <w:vMerge/>
            <w:tcBorders>
              <w:left w:val="single" w:sz="4" w:space="0" w:color="000000"/>
              <w:bottom w:val="nil" w:sz="6" w:space="0" w:color="auto"/>
              <w:right w:val="single" w:sz="4" w:space="0" w:color="000000"/>
            </w:tcBorders>
            <w:shd w:val="clear" w:color="auto" w:fill="D3D3D3"/>
          </w:tcPr>
          <w:p>
            <w:pPr/>
          </w:p>
        </w:tc>
        <w:tc>
          <w:tcPr>
            <w:tcW w:w="1328" w:type="dxa"/>
            <w:gridSpan w:val="2"/>
            <w:vMerge/>
            <w:tcBorders>
              <w:left w:val="single" w:sz="4" w:space="0" w:color="000000"/>
              <w:bottom w:val="nil" w:sz="6" w:space="0" w:color="auto"/>
              <w:right w:val="single" w:sz="4" w:space="0" w:color="000000"/>
            </w:tcBorders>
            <w:shd w:val="clear" w:color="auto" w:fill="D3D3D3"/>
          </w:tcPr>
          <w:p>
            <w:pPr/>
          </w:p>
        </w:tc>
        <w:tc>
          <w:tcPr>
            <w:tcW w:w="776" w:type="dxa"/>
            <w:vMerge/>
            <w:tcBorders>
              <w:left w:val="single" w:sz="4" w:space="0" w:color="000000"/>
              <w:right w:val="single" w:sz="4" w:space="0" w:color="000000"/>
            </w:tcBorders>
            <w:shd w:val="clear" w:color="auto" w:fill="D3D3D3"/>
          </w:tcPr>
          <w:p>
            <w:pPr/>
          </w:p>
        </w:tc>
        <w:tc>
          <w:tcPr>
            <w:tcW w:w="928" w:type="dxa"/>
            <w:vMerge/>
            <w:tcBorders>
              <w:left w:val="single" w:sz="4" w:space="0" w:color="000000"/>
              <w:right w:val="single" w:sz="4" w:space="0" w:color="000000"/>
            </w:tcBorders>
            <w:shd w:val="clear" w:color="auto" w:fill="D3D3D3"/>
          </w:tcPr>
          <w:p>
            <w:pPr/>
          </w:p>
        </w:tc>
        <w:tc>
          <w:tcPr>
            <w:tcW w:w="926" w:type="dxa"/>
            <w:gridSpan w:val="2"/>
            <w:vMerge/>
            <w:tcBorders>
              <w:left w:val="single" w:sz="4" w:space="0" w:color="000000"/>
              <w:right w:val="single" w:sz="4" w:space="0" w:color="000000"/>
            </w:tcBorders>
            <w:shd w:val="clear" w:color="auto" w:fill="D3D3D3"/>
          </w:tcPr>
          <w:p>
            <w:pPr/>
          </w:p>
        </w:tc>
        <w:tc>
          <w:tcPr>
            <w:tcW w:w="956" w:type="dxa"/>
            <w:vMerge/>
            <w:tcBorders>
              <w:left w:val="single" w:sz="4" w:space="0" w:color="000000"/>
              <w:right w:val="single" w:sz="4" w:space="0" w:color="000000"/>
            </w:tcBorders>
            <w:shd w:val="clear" w:color="auto" w:fill="D3D3D3"/>
          </w:tcPr>
          <w:p>
            <w:pPr/>
          </w:p>
        </w:tc>
        <w:tc>
          <w:tcPr>
            <w:tcW w:w="865" w:type="dxa"/>
            <w:gridSpan w:val="2"/>
            <w:vMerge/>
            <w:tcBorders>
              <w:left w:val="single" w:sz="4" w:space="0" w:color="000000"/>
              <w:right w:val="single" w:sz="4" w:space="0" w:color="000000"/>
            </w:tcBorders>
            <w:shd w:val="clear" w:color="auto" w:fill="D3D3D3"/>
          </w:tcPr>
          <w:p>
            <w:pPr/>
          </w:p>
        </w:tc>
        <w:tc>
          <w:tcPr>
            <w:tcW w:w="126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6"/>
              <w:ind w:left="267"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26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385" w:type="dxa"/>
            <w:gridSpan w:val="2"/>
            <w:vMerge w:val="restart"/>
            <w:tcBorders>
              <w:top w:val="nil" w:sz="6" w:space="0" w:color="auto"/>
              <w:left w:val="single" w:sz="4" w:space="0" w:color="000000"/>
              <w:right w:val="single" w:sz="4" w:space="0" w:color="000000"/>
            </w:tcBorders>
            <w:shd w:val="clear" w:color="auto" w:fill="D3D3D3"/>
          </w:tcPr>
          <w:p>
            <w:pPr/>
          </w:p>
        </w:tc>
        <w:tc>
          <w:tcPr>
            <w:tcW w:w="1328" w:type="dxa"/>
            <w:gridSpan w:val="2"/>
            <w:vMerge w:val="restart"/>
            <w:tcBorders>
              <w:top w:val="nil" w:sz="6" w:space="0" w:color="auto"/>
              <w:left w:val="single" w:sz="4" w:space="0" w:color="000000"/>
              <w:right w:val="single" w:sz="4" w:space="0" w:color="000000"/>
            </w:tcBorders>
            <w:shd w:val="clear" w:color="auto" w:fill="D3D3D3"/>
          </w:tcPr>
          <w:p>
            <w:pPr/>
          </w:p>
        </w:tc>
        <w:tc>
          <w:tcPr>
            <w:tcW w:w="776" w:type="dxa"/>
            <w:vMerge/>
            <w:tcBorders>
              <w:left w:val="single" w:sz="4" w:space="0" w:color="000000"/>
              <w:bottom w:val="nil" w:sz="6" w:space="0" w:color="auto"/>
              <w:right w:val="single" w:sz="4" w:space="0" w:color="000000"/>
            </w:tcBorders>
            <w:shd w:val="clear" w:color="auto" w:fill="D3D3D3"/>
          </w:tcPr>
          <w:p>
            <w:pPr/>
          </w:p>
        </w:tc>
        <w:tc>
          <w:tcPr>
            <w:tcW w:w="928" w:type="dxa"/>
            <w:vMerge/>
            <w:tcBorders>
              <w:left w:val="single" w:sz="4" w:space="0" w:color="000000"/>
              <w:bottom w:val="nil" w:sz="6" w:space="0" w:color="auto"/>
              <w:right w:val="single" w:sz="4" w:space="0" w:color="000000"/>
            </w:tcBorders>
            <w:shd w:val="clear" w:color="auto" w:fill="D3D3D3"/>
          </w:tcPr>
          <w:p>
            <w:pPr/>
          </w:p>
        </w:tc>
        <w:tc>
          <w:tcPr>
            <w:tcW w:w="926" w:type="dxa"/>
            <w:gridSpan w:val="2"/>
            <w:vMerge/>
            <w:tcBorders>
              <w:left w:val="single" w:sz="4" w:space="0" w:color="000000"/>
              <w:right w:val="single" w:sz="4" w:space="0" w:color="000000"/>
            </w:tcBorders>
            <w:shd w:val="clear" w:color="auto" w:fill="D3D3D3"/>
          </w:tcPr>
          <w:p>
            <w:pPr/>
          </w:p>
        </w:tc>
        <w:tc>
          <w:tcPr>
            <w:tcW w:w="956" w:type="dxa"/>
            <w:vMerge/>
            <w:tcBorders>
              <w:left w:val="single" w:sz="4" w:space="0" w:color="000000"/>
              <w:right w:val="single" w:sz="4" w:space="0" w:color="000000"/>
            </w:tcBorders>
            <w:shd w:val="clear" w:color="auto" w:fill="D3D3D3"/>
          </w:tcPr>
          <w:p>
            <w:pPr/>
          </w:p>
        </w:tc>
        <w:tc>
          <w:tcPr>
            <w:tcW w:w="865" w:type="dxa"/>
            <w:gridSpan w:val="2"/>
            <w:vMerge/>
            <w:tcBorders>
              <w:left w:val="single" w:sz="4" w:space="0" w:color="000000"/>
              <w:right w:val="single" w:sz="4" w:space="0" w:color="000000"/>
            </w:tcBorders>
            <w:shd w:val="clear" w:color="auto" w:fill="D3D3D3"/>
          </w:tcPr>
          <w:p>
            <w:pPr/>
          </w:p>
        </w:tc>
        <w:tc>
          <w:tcPr>
            <w:tcW w:w="1266" w:type="dxa"/>
            <w:gridSpan w:val="2"/>
            <w:vMerge/>
            <w:tcBorders>
              <w:left w:val="single" w:sz="4" w:space="0" w:color="000000"/>
              <w:right w:val="single" w:sz="4" w:space="0" w:color="000000"/>
            </w:tcBorders>
            <w:shd w:val="clear" w:color="auto" w:fill="D3D3D3"/>
          </w:tcPr>
          <w:p>
            <w:pPr/>
          </w:p>
        </w:tc>
        <w:tc>
          <w:tcPr>
            <w:tcW w:w="1262" w:type="dxa"/>
            <w:gridSpan w:val="2"/>
            <w:vMerge/>
            <w:tcBorders>
              <w:left w:val="single" w:sz="4" w:space="0" w:color="000000"/>
              <w:right w:val="single" w:sz="4" w:space="0" w:color="000000"/>
            </w:tcBorders>
            <w:shd w:val="clear" w:color="auto" w:fill="D3D3D3"/>
          </w:tcPr>
          <w:p>
            <w:pPr/>
          </w:p>
        </w:tc>
      </w:tr>
      <w:tr>
        <w:trPr>
          <w:trHeight w:val="160" w:hRule="exact"/>
        </w:trPr>
        <w:tc>
          <w:tcPr>
            <w:tcW w:w="1385" w:type="dxa"/>
            <w:gridSpan w:val="2"/>
            <w:vMerge/>
            <w:tcBorders>
              <w:left w:val="single" w:sz="4" w:space="0" w:color="000000"/>
              <w:bottom w:val="single" w:sz="4" w:space="0" w:color="000000"/>
              <w:right w:val="single" w:sz="4" w:space="0" w:color="000000"/>
            </w:tcBorders>
            <w:shd w:val="clear" w:color="auto" w:fill="D3D3D3"/>
          </w:tcPr>
          <w:p>
            <w:pPr/>
          </w:p>
        </w:tc>
        <w:tc>
          <w:tcPr>
            <w:tcW w:w="1328" w:type="dxa"/>
            <w:gridSpan w:val="2"/>
            <w:vMerge/>
            <w:tcBorders>
              <w:left w:val="single" w:sz="4" w:space="0" w:color="000000"/>
              <w:bottom w:val="single" w:sz="4" w:space="0" w:color="000000"/>
              <w:right w:val="single" w:sz="4" w:space="0" w:color="000000"/>
            </w:tcBorders>
            <w:shd w:val="clear" w:color="auto" w:fill="D3D3D3"/>
          </w:tcPr>
          <w:p>
            <w:pPr/>
          </w:p>
        </w:tc>
        <w:tc>
          <w:tcPr>
            <w:tcW w:w="776" w:type="dxa"/>
            <w:tcBorders>
              <w:top w:val="nil" w:sz="6" w:space="0" w:color="auto"/>
              <w:left w:val="single" w:sz="4" w:space="0" w:color="000000"/>
              <w:bottom w:val="single" w:sz="4" w:space="0" w:color="000000"/>
              <w:right w:val="single" w:sz="4" w:space="0" w:color="000000"/>
            </w:tcBorders>
            <w:shd w:val="clear" w:color="auto" w:fill="D3D3D3"/>
          </w:tcPr>
          <w:p>
            <w:pPr/>
          </w:p>
        </w:tc>
        <w:tc>
          <w:tcPr>
            <w:tcW w:w="928" w:type="dxa"/>
            <w:tcBorders>
              <w:top w:val="nil" w:sz="6" w:space="0" w:color="auto"/>
              <w:left w:val="single" w:sz="4" w:space="0" w:color="000000"/>
              <w:bottom w:val="single" w:sz="4" w:space="0" w:color="000000"/>
              <w:right w:val="single" w:sz="4" w:space="0" w:color="000000"/>
            </w:tcBorders>
            <w:shd w:val="clear" w:color="auto" w:fill="D3D3D3"/>
          </w:tcPr>
          <w:p>
            <w:pPr/>
          </w:p>
        </w:tc>
        <w:tc>
          <w:tcPr>
            <w:tcW w:w="926" w:type="dxa"/>
            <w:gridSpan w:val="2"/>
            <w:vMerge/>
            <w:tcBorders>
              <w:left w:val="single" w:sz="4" w:space="0" w:color="000000"/>
              <w:bottom w:val="single" w:sz="4" w:space="0" w:color="000000"/>
              <w:right w:val="single" w:sz="4" w:space="0" w:color="000000"/>
            </w:tcBorders>
            <w:shd w:val="clear" w:color="auto" w:fill="D3D3D3"/>
          </w:tcPr>
          <w:p>
            <w:pPr/>
          </w:p>
        </w:tc>
        <w:tc>
          <w:tcPr>
            <w:tcW w:w="956" w:type="dxa"/>
            <w:vMerge/>
            <w:tcBorders>
              <w:left w:val="single" w:sz="4" w:space="0" w:color="000000"/>
              <w:bottom w:val="single" w:sz="4" w:space="0" w:color="000000"/>
              <w:right w:val="single" w:sz="4" w:space="0" w:color="000000"/>
            </w:tcBorders>
            <w:shd w:val="clear" w:color="auto" w:fill="D3D3D3"/>
          </w:tcPr>
          <w:p>
            <w:pPr/>
          </w:p>
        </w:tc>
        <w:tc>
          <w:tcPr>
            <w:tcW w:w="865" w:type="dxa"/>
            <w:gridSpan w:val="2"/>
            <w:vMerge/>
            <w:tcBorders>
              <w:left w:val="single" w:sz="4" w:space="0" w:color="000000"/>
              <w:bottom w:val="single" w:sz="4" w:space="0" w:color="000000"/>
              <w:right w:val="single" w:sz="4" w:space="0" w:color="000000"/>
            </w:tcBorders>
            <w:shd w:val="clear" w:color="auto" w:fill="D3D3D3"/>
          </w:tcPr>
          <w:p>
            <w:pPr/>
          </w:p>
        </w:tc>
        <w:tc>
          <w:tcPr>
            <w:tcW w:w="1266" w:type="dxa"/>
            <w:gridSpan w:val="2"/>
            <w:vMerge/>
            <w:tcBorders>
              <w:left w:val="single" w:sz="4" w:space="0" w:color="000000"/>
              <w:bottom w:val="single" w:sz="4" w:space="0" w:color="000000"/>
              <w:right w:val="single" w:sz="4" w:space="0" w:color="000000"/>
            </w:tcBorders>
            <w:shd w:val="clear" w:color="auto" w:fill="D3D3D3"/>
          </w:tcPr>
          <w:p>
            <w:pPr/>
          </w:p>
        </w:tc>
        <w:tc>
          <w:tcPr>
            <w:tcW w:w="1262" w:type="dxa"/>
            <w:gridSpan w:val="2"/>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0"/>
              <w:jc w:val="left"/>
              <w:rPr>
                <w:rFonts w:ascii="宋体" w:hAnsi="宋体" w:cs="宋体" w:eastAsia="宋体" w:hint="default"/>
                <w:sz w:val="18"/>
                <w:szCs w:val="18"/>
              </w:rPr>
            </w:pPr>
            <w:r>
              <w:rPr>
                <w:rFonts w:ascii="宋体" w:hAnsi="宋体" w:cs="宋体" w:eastAsia="宋体" w:hint="default"/>
                <w:sz w:val="18"/>
                <w:szCs w:val="18"/>
              </w:rPr>
              <w:t>杭州日报报业集 团有限公司</w:t>
            </w:r>
          </w:p>
        </w:tc>
        <w:tc>
          <w:tcPr>
            <w:tcW w:w="13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48.13%</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19"/>
              <w:jc w:val="right"/>
              <w:rPr>
                <w:rFonts w:ascii="Times New Roman" w:hAnsi="Times New Roman" w:cs="Times New Roman" w:eastAsia="Times New Roman" w:hint="default"/>
                <w:sz w:val="18"/>
                <w:szCs w:val="18"/>
              </w:rPr>
            </w:pPr>
            <w:r>
              <w:rPr>
                <w:rFonts w:ascii="Times New Roman"/>
                <w:sz w:val="18"/>
              </w:rPr>
              <w:t>489,771,977</w:t>
            </w:r>
          </w:p>
        </w:tc>
        <w:tc>
          <w:tcPr>
            <w:tcW w:w="9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489,771,977</w:t>
            </w:r>
          </w:p>
        </w:tc>
        <w:tc>
          <w:tcPr>
            <w:tcW w:w="8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66" w:type="dxa"/>
            <w:gridSpan w:val="2"/>
            <w:tcBorders>
              <w:top w:val="single" w:sz="49" w:space="0" w:color="D3D3D3"/>
              <w:left w:val="single" w:sz="4" w:space="0" w:color="000000"/>
              <w:bottom w:val="single" w:sz="4" w:space="0" w:color="000000"/>
              <w:right w:val="single" w:sz="4" w:space="0" w:color="000000"/>
            </w:tcBorders>
          </w:tcPr>
          <w:p>
            <w:pPr/>
          </w:p>
        </w:tc>
        <w:tc>
          <w:tcPr>
            <w:tcW w:w="1262" w:type="dxa"/>
            <w:gridSpan w:val="2"/>
            <w:tcBorders>
              <w:top w:val="single" w:sz="45" w:space="0" w:color="D3D3D3"/>
              <w:left w:val="single" w:sz="4" w:space="0" w:color="000000"/>
              <w:bottom w:val="single" w:sz="4" w:space="0" w:color="000000"/>
              <w:right w:val="single" w:sz="4" w:space="0" w:color="000000"/>
            </w:tcBorders>
          </w:tcPr>
          <w:p>
            <w:pPr/>
          </w:p>
        </w:tc>
      </w:tr>
      <w:tr>
        <w:trPr>
          <w:trHeight w:val="714" w:hRule="exact"/>
        </w:trPr>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0"/>
              <w:jc w:val="left"/>
              <w:rPr>
                <w:rFonts w:ascii="宋体" w:hAnsi="宋体" w:cs="宋体" w:eastAsia="宋体" w:hint="default"/>
                <w:sz w:val="18"/>
                <w:szCs w:val="18"/>
              </w:rPr>
            </w:pPr>
            <w:r>
              <w:rPr>
                <w:rFonts w:ascii="宋体" w:hAnsi="宋体" w:cs="宋体" w:eastAsia="宋体" w:hint="default"/>
                <w:sz w:val="18"/>
                <w:szCs w:val="18"/>
              </w:rPr>
              <w:t>华立集团股份有 限公司</w:t>
            </w:r>
          </w:p>
        </w:tc>
        <w:tc>
          <w:tcPr>
            <w:tcW w:w="13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7.02%</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71,408,102</w:t>
            </w:r>
          </w:p>
        </w:tc>
        <w:tc>
          <w:tcPr>
            <w:tcW w:w="9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-10,282,652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71,408,102</w:t>
            </w:r>
          </w:p>
        </w:tc>
        <w:tc>
          <w:tcPr>
            <w:tcW w:w="1266" w:type="dxa"/>
            <w:gridSpan w:val="2"/>
            <w:tcBorders>
              <w:top w:val="single" w:sz="4" w:space="0" w:color="000000"/>
              <w:left w:val="single" w:sz="4" w:space="0" w:color="000000"/>
              <w:bottom w:val="single" w:sz="4" w:space="0" w:color="000000"/>
              <w:right w:val="single" w:sz="4" w:space="0" w:color="000000"/>
            </w:tcBorders>
          </w:tcPr>
          <w:p>
            <w:pPr/>
          </w:p>
        </w:tc>
        <w:tc>
          <w:tcPr>
            <w:tcW w:w="1262"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13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7"/>
              <w:jc w:val="right"/>
              <w:rPr>
                <w:rFonts w:ascii="Times New Roman" w:hAnsi="Times New Roman" w:cs="Times New Roman" w:eastAsia="Times New Roman" w:hint="default"/>
                <w:sz w:val="18"/>
                <w:szCs w:val="18"/>
              </w:rPr>
            </w:pPr>
            <w:r>
              <w:rPr>
                <w:rFonts w:ascii="Times New Roman"/>
                <w:sz w:val="18"/>
              </w:rPr>
              <w:t>3.95%</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40,194,438</w:t>
            </w:r>
          </w:p>
        </w:tc>
        <w:tc>
          <w:tcPr>
            <w:tcW w:w="9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40,194,438</w:t>
            </w:r>
          </w:p>
        </w:tc>
        <w:tc>
          <w:tcPr>
            <w:tcW w:w="8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266" w:type="dxa"/>
            <w:gridSpan w:val="2"/>
            <w:tcBorders>
              <w:top w:val="single" w:sz="4" w:space="0" w:color="000000"/>
              <w:left w:val="single" w:sz="4" w:space="0" w:color="000000"/>
              <w:bottom w:val="single" w:sz="4" w:space="0" w:color="000000"/>
              <w:right w:val="single" w:sz="4" w:space="0" w:color="000000"/>
            </w:tcBorders>
          </w:tcPr>
          <w:p>
            <w:pPr/>
          </w:p>
        </w:tc>
        <w:tc>
          <w:tcPr>
            <w:tcW w:w="1262"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0"/>
              <w:jc w:val="left"/>
              <w:rPr>
                <w:rFonts w:ascii="宋体" w:hAnsi="宋体" w:cs="宋体" w:eastAsia="宋体" w:hint="default"/>
                <w:sz w:val="18"/>
                <w:szCs w:val="18"/>
              </w:rPr>
            </w:pPr>
            <w:r>
              <w:rPr>
                <w:rFonts w:ascii="宋体" w:hAnsi="宋体" w:cs="宋体" w:eastAsia="宋体" w:hint="default"/>
                <w:sz w:val="18"/>
                <w:szCs w:val="18"/>
              </w:rPr>
              <w:t>浙江华立投资管 理有限公司</w:t>
            </w:r>
          </w:p>
        </w:tc>
        <w:tc>
          <w:tcPr>
            <w:tcW w:w="13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3.15%</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32,009,400</w:t>
            </w:r>
          </w:p>
        </w:tc>
        <w:tc>
          <w:tcPr>
            <w:tcW w:w="9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-990,600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32,009,400</w:t>
            </w:r>
          </w:p>
        </w:tc>
        <w:tc>
          <w:tcPr>
            <w:tcW w:w="1266" w:type="dxa"/>
            <w:gridSpan w:val="2"/>
            <w:tcBorders>
              <w:top w:val="single" w:sz="4" w:space="0" w:color="000000"/>
              <w:left w:val="single" w:sz="4" w:space="0" w:color="000000"/>
              <w:bottom w:val="single" w:sz="4" w:space="0" w:color="000000"/>
              <w:right w:val="single" w:sz="4" w:space="0" w:color="000000"/>
            </w:tcBorders>
          </w:tcPr>
          <w:p>
            <w:pPr/>
          </w:p>
        </w:tc>
        <w:tc>
          <w:tcPr>
            <w:tcW w:w="1262" w:type="dxa"/>
            <w:gridSpan w:val="2"/>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0"/>
              <w:jc w:val="both"/>
              <w:rPr>
                <w:rFonts w:ascii="宋体" w:hAnsi="宋体" w:cs="宋体" w:eastAsia="宋体" w:hint="default"/>
                <w:sz w:val="18"/>
                <w:szCs w:val="18"/>
              </w:rPr>
            </w:pPr>
            <w:r>
              <w:rPr>
                <w:rFonts w:ascii="宋体" w:hAnsi="宋体" w:cs="宋体" w:eastAsia="宋体" w:hint="default"/>
                <w:sz w:val="18"/>
                <w:szCs w:val="18"/>
              </w:rPr>
              <w:t>中国工商银行股 份有限公司－富 国文体健康股票 型证券投资基金</w:t>
            </w:r>
          </w:p>
        </w:tc>
        <w:tc>
          <w:tcPr>
            <w:tcW w:w="13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0.88%</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9,000,000</w:t>
            </w:r>
          </w:p>
        </w:tc>
        <w:tc>
          <w:tcPr>
            <w:tcW w:w="9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9,000,000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9,000,000</w:t>
            </w:r>
          </w:p>
        </w:tc>
        <w:tc>
          <w:tcPr>
            <w:tcW w:w="1266" w:type="dxa"/>
            <w:gridSpan w:val="2"/>
            <w:tcBorders>
              <w:top w:val="single" w:sz="4" w:space="0" w:color="000000"/>
              <w:left w:val="single" w:sz="4" w:space="0" w:color="000000"/>
              <w:bottom w:val="single" w:sz="4" w:space="0" w:color="000000"/>
              <w:right w:val="single" w:sz="4" w:space="0" w:color="000000"/>
            </w:tcBorders>
          </w:tcPr>
          <w:p>
            <w:pPr/>
          </w:p>
        </w:tc>
        <w:tc>
          <w:tcPr>
            <w:tcW w:w="1262"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雷立军</w:t>
            </w:r>
          </w:p>
        </w:tc>
        <w:tc>
          <w:tcPr>
            <w:tcW w:w="13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7"/>
              <w:jc w:val="right"/>
              <w:rPr>
                <w:rFonts w:ascii="Times New Roman" w:hAnsi="Times New Roman" w:cs="Times New Roman" w:eastAsia="Times New Roman" w:hint="default"/>
                <w:sz w:val="18"/>
                <w:szCs w:val="18"/>
              </w:rPr>
            </w:pPr>
            <w:r>
              <w:rPr>
                <w:rFonts w:ascii="Times New Roman"/>
                <w:sz w:val="18"/>
              </w:rPr>
              <w:t>0.64%</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6,480,422</w:t>
            </w:r>
          </w:p>
        </w:tc>
        <w:tc>
          <w:tcPr>
            <w:tcW w:w="9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6,347,522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6,480,422</w:t>
            </w:r>
          </w:p>
        </w:tc>
        <w:tc>
          <w:tcPr>
            <w:tcW w:w="1266" w:type="dxa"/>
            <w:gridSpan w:val="2"/>
            <w:tcBorders>
              <w:top w:val="single" w:sz="4" w:space="0" w:color="000000"/>
              <w:left w:val="single" w:sz="4" w:space="0" w:color="000000"/>
              <w:bottom w:val="single" w:sz="4" w:space="0" w:color="000000"/>
              <w:right w:val="single" w:sz="4" w:space="0" w:color="000000"/>
            </w:tcBorders>
          </w:tcPr>
          <w:p>
            <w:pPr/>
          </w:p>
        </w:tc>
        <w:tc>
          <w:tcPr>
            <w:tcW w:w="1262"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熊明杰</w:t>
            </w:r>
          </w:p>
        </w:tc>
        <w:tc>
          <w:tcPr>
            <w:tcW w:w="13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7"/>
              <w:jc w:val="right"/>
              <w:rPr>
                <w:rFonts w:ascii="Times New Roman" w:hAnsi="Times New Roman" w:cs="Times New Roman" w:eastAsia="Times New Roman" w:hint="default"/>
                <w:sz w:val="18"/>
                <w:szCs w:val="18"/>
              </w:rPr>
            </w:pPr>
            <w:r>
              <w:rPr>
                <w:rFonts w:ascii="Times New Roman"/>
                <w:sz w:val="18"/>
              </w:rPr>
              <w:t>0.61%</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6,215,782</w:t>
            </w:r>
          </w:p>
        </w:tc>
        <w:tc>
          <w:tcPr>
            <w:tcW w:w="9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2,587,963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6,215,782</w:t>
            </w:r>
          </w:p>
        </w:tc>
        <w:tc>
          <w:tcPr>
            <w:tcW w:w="1266" w:type="dxa"/>
            <w:gridSpan w:val="2"/>
            <w:tcBorders>
              <w:top w:val="single" w:sz="4" w:space="0" w:color="000000"/>
              <w:left w:val="single" w:sz="4" w:space="0" w:color="000000"/>
              <w:bottom w:val="single" w:sz="4" w:space="0" w:color="000000"/>
              <w:right w:val="single" w:sz="4" w:space="0" w:color="000000"/>
            </w:tcBorders>
          </w:tcPr>
          <w:p>
            <w:pPr/>
          </w:p>
        </w:tc>
        <w:tc>
          <w:tcPr>
            <w:tcW w:w="1262" w:type="dxa"/>
            <w:gridSpan w:val="2"/>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38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0"/>
              <w:jc w:val="both"/>
              <w:rPr>
                <w:rFonts w:ascii="宋体" w:hAnsi="宋体" w:cs="宋体" w:eastAsia="宋体" w:hint="default"/>
                <w:sz w:val="18"/>
                <w:szCs w:val="18"/>
              </w:rPr>
            </w:pPr>
            <w:r>
              <w:rPr>
                <w:rFonts w:ascii="宋体" w:hAnsi="宋体" w:cs="宋体" w:eastAsia="宋体" w:hint="default"/>
                <w:sz w:val="18"/>
                <w:szCs w:val="18"/>
              </w:rPr>
              <w:t>中国建设银行股 份有限公司－富 国天博创新主题 混合型证券投资 基金</w:t>
            </w:r>
          </w:p>
        </w:tc>
        <w:tc>
          <w:tcPr>
            <w:tcW w:w="13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47"/>
              <w:jc w:val="right"/>
              <w:rPr>
                <w:rFonts w:ascii="Times New Roman" w:hAnsi="Times New Roman" w:cs="Times New Roman" w:eastAsia="Times New Roman" w:hint="default"/>
                <w:sz w:val="18"/>
                <w:szCs w:val="18"/>
              </w:rPr>
            </w:pPr>
            <w:r>
              <w:rPr>
                <w:rFonts w:ascii="Times New Roman"/>
                <w:sz w:val="18"/>
              </w:rPr>
              <w:t>0.49%</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5,000,795</w:t>
            </w:r>
          </w:p>
        </w:tc>
        <w:tc>
          <w:tcPr>
            <w:tcW w:w="9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5,000,795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5,000,795</w:t>
            </w:r>
          </w:p>
        </w:tc>
        <w:tc>
          <w:tcPr>
            <w:tcW w:w="1266" w:type="dxa"/>
            <w:gridSpan w:val="2"/>
            <w:tcBorders>
              <w:top w:val="single" w:sz="4" w:space="0" w:color="000000"/>
              <w:left w:val="single" w:sz="4" w:space="0" w:color="000000"/>
              <w:bottom w:val="single" w:sz="4" w:space="0" w:color="000000"/>
              <w:right w:val="single" w:sz="4" w:space="0" w:color="000000"/>
            </w:tcBorders>
          </w:tcPr>
          <w:p>
            <w:pPr/>
          </w:p>
        </w:tc>
        <w:tc>
          <w:tcPr>
            <w:tcW w:w="1262"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21" w:type="dxa"/>
        <w:tblLayout w:type="fixed"/>
        <w:tblCellMar>
          <w:top w:w="0" w:type="dxa"/>
          <w:left w:w="0" w:type="dxa"/>
          <w:bottom w:w="0" w:type="dxa"/>
          <w:right w:w="0" w:type="dxa"/>
        </w:tblCellMar>
        <w:tblLook w:val="01E0"/>
      </w:tblPr>
      <w:tblGrid>
        <w:gridCol w:w="1385"/>
        <w:gridCol w:w="1328"/>
        <w:gridCol w:w="749"/>
        <w:gridCol w:w="955"/>
        <w:gridCol w:w="926"/>
        <w:gridCol w:w="956"/>
        <w:gridCol w:w="865"/>
        <w:gridCol w:w="1266"/>
        <w:gridCol w:w="1262"/>
      </w:tblGrid>
      <w:tr>
        <w:trPr>
          <w:trHeight w:val="133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0"/>
              <w:jc w:val="both"/>
              <w:rPr>
                <w:rFonts w:ascii="宋体" w:hAnsi="宋体" w:cs="宋体" w:eastAsia="宋体" w:hint="default"/>
                <w:sz w:val="18"/>
                <w:szCs w:val="18"/>
              </w:rPr>
            </w:pPr>
            <w:r>
              <w:rPr>
                <w:rFonts w:ascii="宋体" w:hAnsi="宋体" w:cs="宋体" w:eastAsia="宋体" w:hint="default"/>
                <w:sz w:val="18"/>
                <w:szCs w:val="18"/>
              </w:rPr>
              <w:t>中国工商银行股 份有限公司－华 安逆向策略混合 型证券投资基金</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4,173,801</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4,173,801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4,173,801</w:t>
            </w:r>
          </w:p>
        </w:tc>
        <w:tc>
          <w:tcPr>
            <w:tcW w:w="1266"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王紫军</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3,690,529</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2,501,856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3,690,529</w:t>
            </w:r>
          </w:p>
        </w:tc>
        <w:tc>
          <w:tcPr>
            <w:tcW w:w="1266"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713"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6980" w:type="dxa"/>
            <w:gridSpan w:val="7"/>
            <w:vMerge w:val="restart"/>
            <w:tcBorders>
              <w:top w:val="single" w:sz="4" w:space="0" w:color="000000"/>
              <w:left w:val="single" w:sz="9" w:space="0" w:color="D3D3D3"/>
              <w:right w:val="single" w:sz="4" w:space="0" w:color="000000"/>
            </w:tcBorders>
            <w:shd w:val="clear" w:color="auto" w:fill="C7EDCC"/>
          </w:tcPr>
          <w:p>
            <w:pPr>
              <w:pStyle w:val="TableParagraph"/>
              <w:spacing w:line="300" w:lineRule="auto" w:before="51"/>
              <w:ind w:left="17" w:right="23"/>
              <w:jc w:val="both"/>
              <w:rPr>
                <w:rFonts w:ascii="宋体" w:hAnsi="宋体" w:cs="宋体" w:eastAsia="宋体" w:hint="default"/>
                <w:sz w:val="18"/>
                <w:szCs w:val="18"/>
              </w:rPr>
            </w:pPr>
            <w:r>
              <w:rPr>
                <w:rFonts w:ascii="宋体" w:hAnsi="宋体" w:cs="宋体" w:eastAsia="宋体" w:hint="default"/>
                <w:sz w:val="18"/>
                <w:szCs w:val="18"/>
              </w:rPr>
              <w:t>杭州日报报业集团（杭州日报社）持有杭州日报报业集团有限公司和都市快报社</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权。华立集团股份有限公司持有浙江华立投资管理有限公司</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股权。公司未知其他前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名股东之间是否存在关联关系或属于《上市公司收购管理办法》规定的一致行动人。</w:t>
            </w:r>
          </w:p>
        </w:tc>
      </w:tr>
      <w:tr>
        <w:trPr>
          <w:trHeight w:val="704" w:hRule="exact"/>
        </w:trPr>
        <w:tc>
          <w:tcPr>
            <w:tcW w:w="2713"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51"/>
              <w:ind w:left="22" w:right="158"/>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980" w:type="dxa"/>
            <w:gridSpan w:val="7"/>
            <w:vMerge/>
            <w:tcBorders>
              <w:left w:val="single" w:sz="9" w:space="0" w:color="D3D3D3"/>
              <w:right w:val="single" w:sz="4" w:space="0" w:color="000000"/>
            </w:tcBorders>
            <w:shd w:val="clear" w:color="auto" w:fill="C7EDCC"/>
          </w:tcPr>
          <w:p>
            <w:pPr/>
          </w:p>
        </w:tc>
      </w:tr>
      <w:tr>
        <w:trPr>
          <w:trHeight w:val="161" w:hRule="exact"/>
        </w:trPr>
        <w:tc>
          <w:tcPr>
            <w:tcW w:w="2713"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6980" w:type="dxa"/>
            <w:gridSpan w:val="7"/>
            <w:vMerge/>
            <w:tcBorders>
              <w:left w:val="single" w:sz="9" w:space="0" w:color="D3D3D3"/>
              <w:bottom w:val="single" w:sz="4" w:space="0" w:color="000000"/>
              <w:right w:val="single" w:sz="4" w:space="0" w:color="000000"/>
            </w:tcBorders>
            <w:shd w:val="clear" w:color="auto" w:fill="C7EDCC"/>
          </w:tcPr>
          <w:p>
            <w:pPr/>
          </w:p>
        </w:tc>
      </w:tr>
      <w:tr>
        <w:trPr>
          <w:trHeight w:val="402" w:hRule="exact"/>
        </w:trPr>
        <w:tc>
          <w:tcPr>
            <w:tcW w:w="969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7" w:hRule="exact"/>
        </w:trPr>
        <w:tc>
          <w:tcPr>
            <w:tcW w:w="2713"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4452" w:type="dxa"/>
            <w:gridSpan w:val="5"/>
            <w:tcBorders>
              <w:top w:val="single" w:sz="4" w:space="0" w:color="000000"/>
              <w:left w:val="single" w:sz="4" w:space="0" w:color="000000"/>
              <w:bottom w:val="nil" w:sz="6" w:space="0" w:color="auto"/>
              <w:right w:val="single" w:sz="4" w:space="0" w:color="000000"/>
            </w:tcBorders>
            <w:shd w:val="clear" w:color="auto" w:fill="D3D3D3"/>
          </w:tcPr>
          <w:p>
            <w:pPr/>
          </w:p>
        </w:tc>
        <w:tc>
          <w:tcPr>
            <w:tcW w:w="252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713"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452" w:type="dxa"/>
            <w:gridSpan w:val="5"/>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528" w:type="dxa"/>
            <w:gridSpan w:val="2"/>
            <w:vMerge/>
            <w:tcBorders>
              <w:left w:val="single" w:sz="4" w:space="0" w:color="000000"/>
              <w:bottom w:val="single" w:sz="4" w:space="0" w:color="000000"/>
              <w:right w:val="single" w:sz="4" w:space="0" w:color="000000"/>
            </w:tcBorders>
            <w:shd w:val="clear" w:color="auto" w:fill="D3D3D3"/>
          </w:tcPr>
          <w:p>
            <w:pPr/>
          </w:p>
        </w:tc>
      </w:tr>
      <w:tr>
        <w:trPr>
          <w:trHeight w:val="200" w:hRule="exact"/>
        </w:trPr>
        <w:tc>
          <w:tcPr>
            <w:tcW w:w="2713" w:type="dxa"/>
            <w:gridSpan w:val="2"/>
            <w:vMerge/>
            <w:tcBorders>
              <w:left w:val="single" w:sz="4" w:space="0" w:color="000000"/>
              <w:bottom w:val="nil" w:sz="6" w:space="0" w:color="auto"/>
              <w:right w:val="single" w:sz="4" w:space="0" w:color="000000"/>
            </w:tcBorders>
            <w:shd w:val="clear" w:color="auto" w:fill="D3D3D3"/>
          </w:tcPr>
          <w:p>
            <w:pPr/>
          </w:p>
        </w:tc>
        <w:tc>
          <w:tcPr>
            <w:tcW w:w="4452" w:type="dxa"/>
            <w:gridSpan w:val="5"/>
            <w:vMerge/>
            <w:tcBorders>
              <w:left w:val="single" w:sz="4" w:space="0" w:color="000000"/>
              <w:bottom w:val="nil" w:sz="6" w:space="0" w:color="auto"/>
              <w:right w:val="single" w:sz="4" w:space="0" w:color="000000"/>
            </w:tcBorders>
            <w:shd w:val="clear" w:color="auto" w:fill="D3D3D3"/>
          </w:tcPr>
          <w:p>
            <w:pPr/>
          </w:p>
        </w:tc>
        <w:tc>
          <w:tcPr>
            <w:tcW w:w="1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267"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2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7" w:hRule="exact"/>
        </w:trPr>
        <w:tc>
          <w:tcPr>
            <w:tcW w:w="2713"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4452" w:type="dxa"/>
            <w:gridSpan w:val="5"/>
            <w:tcBorders>
              <w:top w:val="nil" w:sz="6" w:space="0" w:color="auto"/>
              <w:left w:val="single" w:sz="4" w:space="0" w:color="000000"/>
              <w:bottom w:val="single" w:sz="4" w:space="0" w:color="000000"/>
              <w:right w:val="single" w:sz="4" w:space="0" w:color="000000"/>
            </w:tcBorders>
            <w:shd w:val="clear" w:color="auto" w:fill="D3D3D3"/>
          </w:tcPr>
          <w:p>
            <w:pPr/>
          </w:p>
        </w:tc>
        <w:tc>
          <w:tcPr>
            <w:tcW w:w="1266" w:type="dxa"/>
            <w:vMerge/>
            <w:tcBorders>
              <w:left w:val="single" w:sz="4" w:space="0" w:color="000000"/>
              <w:bottom w:val="single" w:sz="4" w:space="0" w:color="000000"/>
              <w:right w:val="single" w:sz="4" w:space="0" w:color="000000"/>
            </w:tcBorders>
            <w:shd w:val="clear" w:color="auto" w:fill="D3D3D3"/>
          </w:tcPr>
          <w:p>
            <w:pPr/>
          </w:p>
        </w:tc>
        <w:tc>
          <w:tcPr>
            <w:tcW w:w="126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7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44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71,408,102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71,408,102</w:t>
            </w:r>
          </w:p>
        </w:tc>
      </w:tr>
      <w:tr>
        <w:trPr>
          <w:trHeight w:val="402" w:hRule="exact"/>
        </w:trPr>
        <w:tc>
          <w:tcPr>
            <w:tcW w:w="27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浙江华立投资管理有限公司</w:t>
            </w:r>
          </w:p>
        </w:tc>
        <w:tc>
          <w:tcPr>
            <w:tcW w:w="44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32,009,400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32,009,400</w:t>
            </w:r>
          </w:p>
        </w:tc>
      </w:tr>
      <w:tr>
        <w:trPr>
          <w:trHeight w:val="714" w:hRule="exact"/>
        </w:trPr>
        <w:tc>
          <w:tcPr>
            <w:tcW w:w="271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8"/>
              <w:jc w:val="left"/>
              <w:rPr>
                <w:rFonts w:ascii="宋体" w:hAnsi="宋体" w:cs="宋体" w:eastAsia="宋体" w:hint="default"/>
                <w:sz w:val="18"/>
                <w:szCs w:val="18"/>
              </w:rPr>
            </w:pPr>
            <w:r>
              <w:rPr>
                <w:rFonts w:ascii="宋体" w:hAnsi="宋体" w:cs="宋体" w:eastAsia="宋体" w:hint="default"/>
                <w:sz w:val="18"/>
                <w:szCs w:val="18"/>
              </w:rPr>
              <w:t>中国工商银行股份有限公司－富 国文体健康股票型证券投资基金</w:t>
            </w:r>
          </w:p>
        </w:tc>
        <w:tc>
          <w:tcPr>
            <w:tcW w:w="44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9,000,000</w:t>
            </w:r>
          </w:p>
        </w:tc>
      </w:tr>
      <w:tr>
        <w:trPr>
          <w:trHeight w:val="402" w:hRule="exact"/>
        </w:trPr>
        <w:tc>
          <w:tcPr>
            <w:tcW w:w="27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雷立军</w:t>
            </w:r>
          </w:p>
        </w:tc>
        <w:tc>
          <w:tcPr>
            <w:tcW w:w="44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6,480,422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6,480,422</w:t>
            </w:r>
          </w:p>
        </w:tc>
      </w:tr>
      <w:tr>
        <w:trPr>
          <w:trHeight w:val="402" w:hRule="exact"/>
        </w:trPr>
        <w:tc>
          <w:tcPr>
            <w:tcW w:w="27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熊明杰</w:t>
            </w:r>
          </w:p>
        </w:tc>
        <w:tc>
          <w:tcPr>
            <w:tcW w:w="44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6,215,782</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6,215,782</w:t>
            </w:r>
          </w:p>
        </w:tc>
      </w:tr>
      <w:tr>
        <w:trPr>
          <w:trHeight w:val="1026" w:hRule="exact"/>
        </w:trPr>
        <w:tc>
          <w:tcPr>
            <w:tcW w:w="271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8"/>
              <w:jc w:val="both"/>
              <w:rPr>
                <w:rFonts w:ascii="宋体" w:hAnsi="宋体" w:cs="宋体" w:eastAsia="宋体" w:hint="default"/>
                <w:sz w:val="18"/>
                <w:szCs w:val="18"/>
              </w:rPr>
            </w:pPr>
            <w:r>
              <w:rPr>
                <w:rFonts w:ascii="宋体" w:hAnsi="宋体" w:cs="宋体" w:eastAsia="宋体" w:hint="default"/>
                <w:sz w:val="18"/>
                <w:szCs w:val="18"/>
              </w:rPr>
              <w:t>中国建设银行股份有限公司－富 国天博创新主题混合型证券投资 基金</w:t>
            </w:r>
          </w:p>
        </w:tc>
        <w:tc>
          <w:tcPr>
            <w:tcW w:w="44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5,000,795</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5,000,795</w:t>
            </w:r>
          </w:p>
        </w:tc>
      </w:tr>
      <w:tr>
        <w:trPr>
          <w:trHeight w:val="714" w:hRule="exact"/>
        </w:trPr>
        <w:tc>
          <w:tcPr>
            <w:tcW w:w="271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8"/>
              <w:jc w:val="left"/>
              <w:rPr>
                <w:rFonts w:ascii="宋体" w:hAnsi="宋体" w:cs="宋体" w:eastAsia="宋体" w:hint="default"/>
                <w:sz w:val="18"/>
                <w:szCs w:val="18"/>
              </w:rPr>
            </w:pPr>
            <w:r>
              <w:rPr>
                <w:rFonts w:ascii="宋体" w:hAnsi="宋体" w:cs="宋体" w:eastAsia="宋体" w:hint="default"/>
                <w:sz w:val="18"/>
                <w:szCs w:val="18"/>
              </w:rPr>
              <w:t>中国工商银行股份有限公司－华 安逆向策略混合型证券投资基金</w:t>
            </w:r>
          </w:p>
        </w:tc>
        <w:tc>
          <w:tcPr>
            <w:tcW w:w="44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4,173,801</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4,173,801</w:t>
            </w:r>
          </w:p>
        </w:tc>
      </w:tr>
      <w:tr>
        <w:trPr>
          <w:trHeight w:val="402" w:hRule="exact"/>
        </w:trPr>
        <w:tc>
          <w:tcPr>
            <w:tcW w:w="27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王紫军</w:t>
            </w:r>
          </w:p>
        </w:tc>
        <w:tc>
          <w:tcPr>
            <w:tcW w:w="44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3,690,529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3,690,529</w:t>
            </w:r>
          </w:p>
        </w:tc>
      </w:tr>
      <w:tr>
        <w:trPr>
          <w:trHeight w:val="1026" w:hRule="exact"/>
        </w:trPr>
        <w:tc>
          <w:tcPr>
            <w:tcW w:w="2713"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98"/>
              <w:jc w:val="both"/>
              <w:rPr>
                <w:rFonts w:ascii="宋体" w:hAnsi="宋体" w:cs="宋体" w:eastAsia="宋体" w:hint="default"/>
                <w:sz w:val="18"/>
                <w:szCs w:val="18"/>
              </w:rPr>
            </w:pPr>
            <w:r>
              <w:rPr>
                <w:rFonts w:ascii="宋体" w:hAnsi="宋体" w:cs="宋体" w:eastAsia="宋体" w:hint="default"/>
                <w:sz w:val="18"/>
                <w:szCs w:val="18"/>
              </w:rPr>
              <w:t>华融国际信托有限责任公司－华 融</w:t>
            </w:r>
            <w:r>
              <w:rPr>
                <w:rFonts w:ascii="Times New Roman" w:hAnsi="Times New Roman" w:cs="Times New Roman" w:eastAsia="Times New Roman" w:hint="default"/>
                <w:sz w:val="18"/>
                <w:szCs w:val="18"/>
              </w:rPr>
              <w:t>·</w:t>
            </w:r>
            <w:r>
              <w:rPr>
                <w:rFonts w:ascii="宋体" w:hAnsi="宋体" w:cs="宋体" w:eastAsia="宋体" w:hint="default"/>
                <w:sz w:val="18"/>
                <w:szCs w:val="18"/>
              </w:rPr>
              <w:t>盛世景新策略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号证券投资集 合资金信托计划</w:t>
            </w:r>
          </w:p>
        </w:tc>
        <w:tc>
          <w:tcPr>
            <w:tcW w:w="44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3,003,379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3,003,379</w:t>
            </w:r>
          </w:p>
        </w:tc>
      </w:tr>
      <w:tr>
        <w:trPr>
          <w:trHeight w:val="714" w:hRule="exact"/>
        </w:trPr>
        <w:tc>
          <w:tcPr>
            <w:tcW w:w="271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8"/>
              <w:jc w:val="left"/>
              <w:rPr>
                <w:rFonts w:ascii="宋体" w:hAnsi="宋体" w:cs="宋体" w:eastAsia="宋体" w:hint="default"/>
                <w:sz w:val="18"/>
                <w:szCs w:val="18"/>
              </w:rPr>
            </w:pPr>
            <w:r>
              <w:rPr>
                <w:rFonts w:ascii="宋体" w:hAnsi="宋体" w:cs="宋体" w:eastAsia="宋体" w:hint="default"/>
                <w:sz w:val="18"/>
                <w:szCs w:val="18"/>
              </w:rPr>
              <w:t>交通银行股份有限公司－富国天 益价值混合型证券投资基金</w:t>
            </w:r>
          </w:p>
        </w:tc>
        <w:tc>
          <w:tcPr>
            <w:tcW w:w="44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2,932,199</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2,932,199</w:t>
            </w:r>
          </w:p>
        </w:tc>
      </w:tr>
      <w:tr>
        <w:trPr>
          <w:trHeight w:val="1338" w:hRule="exact"/>
        </w:trPr>
        <w:tc>
          <w:tcPr>
            <w:tcW w:w="271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2" w:lineRule="auto" w:before="63"/>
              <w:ind w:left="22" w:right="68"/>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980" w:type="dxa"/>
            <w:gridSpan w:val="7"/>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华立集团股份有限公司持有浙江华立投资管理有限公司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股权。公司未知其他前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名股东之间是否存在关联关系或属于《上市公司收购管理办法》规定的一致行动人。</w:t>
            </w:r>
          </w:p>
        </w:tc>
      </w:tr>
      <w:tr>
        <w:trPr>
          <w:trHeight w:val="1026" w:hRule="exact"/>
        </w:trPr>
        <w:tc>
          <w:tcPr>
            <w:tcW w:w="271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业务情况说明（如有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6980" w:type="dxa"/>
            <w:gridSpan w:val="7"/>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雷立军通过融资融券信用账户持有本公司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6,278,222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股股份；熊明杰通过融资融券信用账</w:t>
            </w:r>
          </w:p>
          <w:p>
            <w:pPr>
              <w:pStyle w:val="TableParagraph"/>
              <w:spacing w:line="203" w:lineRule="exact" w:before="63"/>
              <w:ind w:left="23" w:right="0"/>
              <w:jc w:val="left"/>
              <w:rPr>
                <w:rFonts w:ascii="宋体" w:hAnsi="宋体" w:cs="宋体" w:eastAsia="宋体" w:hint="default"/>
                <w:sz w:val="18"/>
                <w:szCs w:val="18"/>
              </w:rPr>
            </w:pPr>
            <w:r>
              <w:rPr>
                <w:rFonts w:ascii="宋体" w:hAnsi="宋体" w:cs="宋体" w:eastAsia="宋体" w:hint="default"/>
                <w:sz w:val="18"/>
                <w:szCs w:val="18"/>
              </w:rPr>
              <w:t>户持有本公司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3,806,363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w:t>
            </w:r>
            <w:r>
              <w:rPr>
                <w:rFonts w:ascii="宋体" w:hAnsi="宋体" w:cs="宋体" w:eastAsia="宋体" w:hint="default"/>
                <w:spacing w:val="-2"/>
                <w:sz w:val="18"/>
                <w:szCs w:val="18"/>
              </w:rPr>
              <w:t>份</w:t>
            </w:r>
            <w:r>
              <w:rPr>
                <w:rFonts w:ascii="宋体" w:hAnsi="宋体" w:cs="宋体" w:eastAsia="宋体" w:hint="default"/>
                <w:spacing w:val="-89"/>
                <w:sz w:val="18"/>
                <w:szCs w:val="18"/>
              </w:rPr>
              <w:t>；</w:t>
            </w:r>
            <w:r>
              <w:rPr>
                <w:rFonts w:ascii="宋体" w:hAnsi="宋体" w:cs="宋体" w:eastAsia="宋体" w:hint="default"/>
                <w:sz w:val="18"/>
                <w:szCs w:val="18"/>
              </w:rPr>
              <w:t>王紫军通过融资融券信用账户持有本公司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1,129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股股</w:t>
            </w:r>
          </w:p>
          <w:p>
            <w:pPr>
              <w:pStyle w:val="TableParagraph"/>
              <w:spacing w:line="150" w:lineRule="exact"/>
              <w:ind w:left="-12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3" w:right="0"/>
              <w:jc w:val="left"/>
              <w:rPr>
                <w:rFonts w:ascii="宋体" w:hAnsi="宋体" w:cs="宋体" w:eastAsia="宋体" w:hint="default"/>
                <w:sz w:val="18"/>
                <w:szCs w:val="18"/>
              </w:rPr>
            </w:pPr>
            <w:r>
              <w:rPr>
                <w:rFonts w:ascii="宋体" w:hAnsi="宋体" w:cs="宋体" w:eastAsia="宋体" w:hint="default"/>
                <w:sz w:val="18"/>
                <w:szCs w:val="18"/>
              </w:rPr>
              <w:t>份。</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57" w:lineRule="auto" w:before="0"/>
        <w:ind w:left="153" w:right="7431" w:firstLine="0"/>
        <w:jc w:val="left"/>
        <w:rPr>
          <w:rFonts w:ascii="宋体" w:hAnsi="宋体" w:cs="宋体" w:eastAsia="宋体" w:hint="default"/>
          <w:sz w:val="18"/>
          <w:szCs w:val="18"/>
        </w:rPr>
      </w:pPr>
      <w:r>
        <w:rPr>
          <w:rFonts w:ascii="宋体" w:hAnsi="宋体" w:cs="宋体" w:eastAsia="宋体" w:hint="default"/>
          <w:sz w:val="18"/>
          <w:szCs w:val="18"/>
        </w:rPr>
        <w:t>控股股东性质：地方国有控股 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44"/>
        <w:ind w:left="0" w:right="159" w:firstLine="0"/>
        <w:jc w:val="right"/>
        <w:rPr>
          <w:rFonts w:ascii="宋体" w:hAnsi="宋体" w:cs="宋体" w:eastAsia="宋体" w:hint="default"/>
          <w:sz w:val="18"/>
          <w:szCs w:val="18"/>
        </w:rPr>
      </w:pPr>
      <w:r>
        <w:rPr/>
        <w:pict>
          <v:shape style="position:absolute;margin-left:56.459999pt;margin-top:-36.547909pt;width:478.5pt;height:134.3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4"/>
                    <w:gridCol w:w="1615"/>
                    <w:gridCol w:w="1723"/>
                    <w:gridCol w:w="1879"/>
                    <w:gridCol w:w="2075"/>
                  </w:tblGrid>
                  <w:tr>
                    <w:trPr>
                      <w:trHeight w:val="714" w:hRule="exact"/>
                    </w:trPr>
                    <w:tc>
                      <w:tcPr>
                        <w:tcW w:w="22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控股股东名称</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621" w:right="56" w:hanging="56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7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6"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8"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57" w:hRule="exact"/>
                    </w:trPr>
                    <w:tc>
                      <w:tcPr>
                        <w:tcW w:w="2264" w:type="dxa"/>
                        <w:tcBorders>
                          <w:top w:val="single" w:sz="4" w:space="0" w:color="000000"/>
                          <w:left w:val="single" w:sz="4" w:space="0" w:color="000000"/>
                          <w:bottom w:val="nil" w:sz="6" w:space="0" w:color="auto"/>
                          <w:right w:val="single" w:sz="4" w:space="0" w:color="000000"/>
                        </w:tcBorders>
                        <w:shd w:val="clear" w:color="auto" w:fill="C7EDCC"/>
                      </w:tcPr>
                      <w:p>
                        <w:pPr/>
                      </w:p>
                    </w:tc>
                    <w:tc>
                      <w:tcPr>
                        <w:tcW w:w="1615" w:type="dxa"/>
                        <w:tcBorders>
                          <w:top w:val="single" w:sz="4" w:space="0" w:color="000000"/>
                          <w:left w:val="single" w:sz="4" w:space="0" w:color="000000"/>
                          <w:bottom w:val="nil" w:sz="6" w:space="0" w:color="auto"/>
                          <w:right w:val="single" w:sz="4" w:space="0" w:color="000000"/>
                        </w:tcBorders>
                        <w:shd w:val="clear" w:color="auto" w:fill="C7EDCC"/>
                      </w:tcPr>
                      <w:p>
                        <w:pPr/>
                      </w:p>
                    </w:tc>
                    <w:tc>
                      <w:tcPr>
                        <w:tcW w:w="1723" w:type="dxa"/>
                        <w:tcBorders>
                          <w:top w:val="single" w:sz="4" w:space="0" w:color="000000"/>
                          <w:left w:val="single" w:sz="4" w:space="0" w:color="000000"/>
                          <w:bottom w:val="nil" w:sz="6" w:space="0" w:color="auto"/>
                          <w:right w:val="single" w:sz="4" w:space="0" w:color="000000"/>
                        </w:tcBorders>
                      </w:tcPr>
                      <w:p>
                        <w:pPr/>
                      </w:p>
                    </w:tc>
                    <w:tc>
                      <w:tcPr>
                        <w:tcW w:w="1879" w:type="dxa"/>
                        <w:tcBorders>
                          <w:top w:val="single" w:sz="4" w:space="0" w:color="000000"/>
                          <w:left w:val="single" w:sz="4" w:space="0" w:color="000000"/>
                          <w:bottom w:val="nil" w:sz="6" w:space="0" w:color="auto"/>
                          <w:right w:val="single" w:sz="4" w:space="0" w:color="000000"/>
                        </w:tcBorders>
                        <w:shd w:val="clear" w:color="auto" w:fill="C7EDCC"/>
                      </w:tcPr>
                      <w:p>
                        <w:pPr/>
                      </w:p>
                    </w:tc>
                    <w:tc>
                      <w:tcPr>
                        <w:tcW w:w="2075"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一般经营项目：实业投资</w:t>
                        </w:r>
                      </w:p>
                    </w:tc>
                  </w:tr>
                  <w:tr>
                    <w:trPr>
                      <w:trHeight w:val="311" w:hRule="exact"/>
                    </w:trPr>
                    <w:tc>
                      <w:tcPr>
                        <w:tcW w:w="2264" w:type="dxa"/>
                        <w:tcBorders>
                          <w:top w:val="nil" w:sz="6" w:space="0" w:color="auto"/>
                          <w:left w:val="single" w:sz="4" w:space="0" w:color="000000"/>
                          <w:bottom w:val="nil" w:sz="6" w:space="0" w:color="auto"/>
                          <w:right w:val="single" w:sz="4" w:space="0" w:color="000000"/>
                        </w:tcBorders>
                        <w:shd w:val="clear" w:color="auto" w:fill="C7EDCC"/>
                      </w:tcPr>
                      <w:p>
                        <w:pPr/>
                      </w:p>
                    </w:tc>
                    <w:tc>
                      <w:tcPr>
                        <w:tcW w:w="1615" w:type="dxa"/>
                        <w:tcBorders>
                          <w:top w:val="nil" w:sz="6" w:space="0" w:color="auto"/>
                          <w:left w:val="single" w:sz="4" w:space="0" w:color="000000"/>
                          <w:bottom w:val="nil" w:sz="6" w:space="0" w:color="auto"/>
                          <w:right w:val="single" w:sz="4" w:space="0" w:color="000000"/>
                        </w:tcBorders>
                        <w:shd w:val="clear" w:color="auto" w:fill="C7EDCC"/>
                      </w:tcPr>
                      <w:p>
                        <w:pPr/>
                      </w:p>
                    </w:tc>
                    <w:tc>
                      <w:tcPr>
                        <w:tcW w:w="1723" w:type="dxa"/>
                        <w:tcBorders>
                          <w:top w:val="nil" w:sz="6" w:space="0" w:color="auto"/>
                          <w:left w:val="single" w:sz="4" w:space="0" w:color="000000"/>
                          <w:bottom w:val="nil" w:sz="6" w:space="0" w:color="auto"/>
                          <w:right w:val="single" w:sz="4" w:space="0" w:color="000000"/>
                        </w:tcBorders>
                      </w:tcPr>
                      <w:p>
                        <w:pPr/>
                      </w:p>
                    </w:tc>
                    <w:tc>
                      <w:tcPr>
                        <w:tcW w:w="1879" w:type="dxa"/>
                        <w:tcBorders>
                          <w:top w:val="nil" w:sz="6" w:space="0" w:color="auto"/>
                          <w:left w:val="single" w:sz="4" w:space="0" w:color="000000"/>
                          <w:bottom w:val="nil" w:sz="6" w:space="0" w:color="auto"/>
                          <w:right w:val="single" w:sz="4" w:space="0" w:color="000000"/>
                        </w:tcBorders>
                        <w:shd w:val="clear" w:color="auto" w:fill="C7EDCC"/>
                      </w:tcPr>
                      <w:p>
                        <w:pPr/>
                      </w:p>
                    </w:tc>
                    <w:tc>
                      <w:tcPr>
                        <w:tcW w:w="207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设计、制作、代理、发布</w:t>
                        </w:r>
                      </w:p>
                    </w:tc>
                  </w:tr>
                  <w:tr>
                    <w:trPr>
                      <w:trHeight w:val="624" w:hRule="exact"/>
                    </w:trPr>
                    <w:tc>
                      <w:tcPr>
                        <w:tcW w:w="226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161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赵晴</w:t>
                        </w:r>
                      </w:p>
                    </w:tc>
                    <w:tc>
                      <w:tcPr>
                        <w:tcW w:w="172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7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78237846-1</w:t>
                        </w:r>
                      </w:p>
                    </w:tc>
                    <w:tc>
                      <w:tcPr>
                        <w:tcW w:w="207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11"/>
                          <w:jc w:val="left"/>
                          <w:rPr>
                            <w:rFonts w:ascii="宋体" w:hAnsi="宋体" w:cs="宋体" w:eastAsia="宋体" w:hint="default"/>
                            <w:sz w:val="18"/>
                            <w:szCs w:val="18"/>
                          </w:rPr>
                        </w:pPr>
                        <w:r>
                          <w:rPr>
                            <w:rFonts w:ascii="宋体" w:hAnsi="宋体" w:cs="宋体" w:eastAsia="宋体" w:hint="default"/>
                            <w:sz w:val="18"/>
                            <w:szCs w:val="18"/>
                          </w:rPr>
                          <w:t>国内广告（除网络广告发 </w:t>
                        </w:r>
                        <w:r>
                          <w:rPr>
                            <w:rFonts w:ascii="宋体" w:hAnsi="宋体" w:cs="宋体" w:eastAsia="宋体" w:hint="default"/>
                            <w:spacing w:val="-11"/>
                            <w:sz w:val="18"/>
                            <w:szCs w:val="18"/>
                          </w:rPr>
                          <w:t>布）；其他无需报经审批的</w:t>
                        </w:r>
                      </w:p>
                    </w:tc>
                  </w:tr>
                  <w:tr>
                    <w:trPr>
                      <w:trHeight w:val="313" w:hRule="exact"/>
                    </w:trPr>
                    <w:tc>
                      <w:tcPr>
                        <w:tcW w:w="2264" w:type="dxa"/>
                        <w:tcBorders>
                          <w:top w:val="nil" w:sz="6" w:space="0" w:color="auto"/>
                          <w:left w:val="single" w:sz="4" w:space="0" w:color="000000"/>
                          <w:bottom w:val="nil" w:sz="6" w:space="0" w:color="auto"/>
                          <w:right w:val="single" w:sz="4" w:space="0" w:color="000000"/>
                        </w:tcBorders>
                        <w:shd w:val="clear" w:color="auto" w:fill="C7EDCC"/>
                      </w:tcPr>
                      <w:p>
                        <w:pPr/>
                      </w:p>
                    </w:tc>
                    <w:tc>
                      <w:tcPr>
                        <w:tcW w:w="1615" w:type="dxa"/>
                        <w:tcBorders>
                          <w:top w:val="nil" w:sz="6" w:space="0" w:color="auto"/>
                          <w:left w:val="single" w:sz="4" w:space="0" w:color="000000"/>
                          <w:bottom w:val="nil" w:sz="6" w:space="0" w:color="auto"/>
                          <w:right w:val="single" w:sz="4" w:space="0" w:color="000000"/>
                        </w:tcBorders>
                        <w:shd w:val="clear" w:color="auto" w:fill="C7EDCC"/>
                      </w:tcPr>
                      <w:p>
                        <w:pPr/>
                      </w:p>
                    </w:tc>
                    <w:tc>
                      <w:tcPr>
                        <w:tcW w:w="1723" w:type="dxa"/>
                        <w:tcBorders>
                          <w:top w:val="nil" w:sz="6" w:space="0" w:color="auto"/>
                          <w:left w:val="single" w:sz="4" w:space="0" w:color="000000"/>
                          <w:bottom w:val="nil" w:sz="6" w:space="0" w:color="auto"/>
                          <w:right w:val="single" w:sz="4" w:space="0" w:color="000000"/>
                        </w:tcBorders>
                      </w:tcPr>
                      <w:p>
                        <w:pPr/>
                      </w:p>
                    </w:tc>
                    <w:tc>
                      <w:tcPr>
                        <w:tcW w:w="1879" w:type="dxa"/>
                        <w:tcBorders>
                          <w:top w:val="nil" w:sz="6" w:space="0" w:color="auto"/>
                          <w:left w:val="single" w:sz="4" w:space="0" w:color="000000"/>
                          <w:bottom w:val="nil" w:sz="6" w:space="0" w:color="auto"/>
                          <w:right w:val="single" w:sz="4" w:space="0" w:color="000000"/>
                        </w:tcBorders>
                        <w:shd w:val="clear" w:color="auto" w:fill="C7EDCC"/>
                      </w:tcPr>
                      <w:p>
                        <w:pPr/>
                      </w:p>
                    </w:tc>
                    <w:tc>
                      <w:tcPr>
                        <w:tcW w:w="2075"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一切合法项目；含下属分</w:t>
                        </w:r>
                      </w:p>
                    </w:tc>
                  </w:tr>
                  <w:tr>
                    <w:trPr>
                      <w:trHeight w:val="357" w:hRule="exact"/>
                    </w:trPr>
                    <w:tc>
                      <w:tcPr>
                        <w:tcW w:w="2264" w:type="dxa"/>
                        <w:tcBorders>
                          <w:top w:val="nil" w:sz="6" w:space="0" w:color="auto"/>
                          <w:left w:val="single" w:sz="4" w:space="0" w:color="000000"/>
                          <w:bottom w:val="single" w:sz="4" w:space="0" w:color="000000"/>
                          <w:right w:val="single" w:sz="4" w:space="0" w:color="000000"/>
                        </w:tcBorders>
                        <w:shd w:val="clear" w:color="auto" w:fill="C7EDCC"/>
                      </w:tcPr>
                      <w:p>
                        <w:pPr/>
                      </w:p>
                    </w:tc>
                    <w:tc>
                      <w:tcPr>
                        <w:tcW w:w="1615" w:type="dxa"/>
                        <w:tcBorders>
                          <w:top w:val="nil" w:sz="6" w:space="0" w:color="auto"/>
                          <w:left w:val="single" w:sz="4" w:space="0" w:color="000000"/>
                          <w:bottom w:val="single" w:sz="4" w:space="0" w:color="000000"/>
                          <w:right w:val="single" w:sz="4" w:space="0" w:color="000000"/>
                        </w:tcBorders>
                        <w:shd w:val="clear" w:color="auto" w:fill="C7EDCC"/>
                      </w:tcPr>
                      <w:p>
                        <w:pPr/>
                      </w:p>
                    </w:tc>
                    <w:tc>
                      <w:tcPr>
                        <w:tcW w:w="1723" w:type="dxa"/>
                        <w:tcBorders>
                          <w:top w:val="nil" w:sz="6" w:space="0" w:color="auto"/>
                          <w:left w:val="single" w:sz="4" w:space="0" w:color="000000"/>
                          <w:bottom w:val="single" w:sz="4" w:space="0" w:color="000000"/>
                          <w:right w:val="single" w:sz="4" w:space="0" w:color="000000"/>
                        </w:tcBorders>
                      </w:tcPr>
                      <w:p>
                        <w:pPr/>
                      </w:p>
                    </w:tc>
                    <w:tc>
                      <w:tcPr>
                        <w:tcW w:w="1879" w:type="dxa"/>
                        <w:tcBorders>
                          <w:top w:val="nil" w:sz="6" w:space="0" w:color="auto"/>
                          <w:left w:val="single" w:sz="4" w:space="0" w:color="000000"/>
                          <w:bottom w:val="single" w:sz="4" w:space="0" w:color="000000"/>
                          <w:right w:val="single" w:sz="4" w:space="0" w:color="000000"/>
                        </w:tcBorders>
                        <w:shd w:val="clear" w:color="auto" w:fill="C7EDCC"/>
                      </w:tcPr>
                      <w:p>
                        <w:pPr/>
                      </w:p>
                    </w:tc>
                    <w:tc>
                      <w:tcPr>
                        <w:tcW w:w="2075"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支机构经营范围</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54" w:right="70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1"/>
        <w:rPr>
          <w:rFonts w:ascii="宋体" w:hAnsi="宋体" w:cs="宋体" w:eastAsia="宋体" w:hint="default"/>
          <w:sz w:val="21"/>
          <w:szCs w:val="21"/>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57" w:lineRule="auto" w:before="0"/>
        <w:ind w:left="153" w:right="6891" w:firstLine="0"/>
        <w:jc w:val="left"/>
        <w:rPr>
          <w:rFonts w:ascii="宋体" w:hAnsi="宋体" w:cs="宋体" w:eastAsia="宋体" w:hint="default"/>
          <w:sz w:val="18"/>
          <w:szCs w:val="18"/>
        </w:rPr>
      </w:pPr>
      <w:r>
        <w:rPr>
          <w:rFonts w:ascii="宋体" w:hAnsi="宋体" w:cs="宋体" w:eastAsia="宋体" w:hint="default"/>
          <w:sz w:val="18"/>
          <w:szCs w:val="18"/>
        </w:rPr>
        <w:t>实际控制人性质：地方国资管理机构 实际控制人类型：法人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before="44"/>
        <w:ind w:left="0" w:right="199" w:firstLine="0"/>
        <w:jc w:val="right"/>
        <w:rPr>
          <w:rFonts w:ascii="宋体" w:hAnsi="宋体" w:cs="宋体" w:eastAsia="宋体" w:hint="default"/>
          <w:sz w:val="18"/>
          <w:szCs w:val="18"/>
        </w:rPr>
      </w:pPr>
      <w:r>
        <w:rPr/>
        <w:pict>
          <v:shape style="position:absolute;margin-left:56.459999pt;margin-top:-52.087971pt;width:478.55pt;height:170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8"/>
                    <w:gridCol w:w="1381"/>
                    <w:gridCol w:w="1524"/>
                    <w:gridCol w:w="1841"/>
                    <w:gridCol w:w="2413"/>
                  </w:tblGrid>
                  <w:tr>
                    <w:trPr>
                      <w:trHeight w:val="714" w:hRule="exact"/>
                    </w:trPr>
                    <w:tc>
                      <w:tcPr>
                        <w:tcW w:w="2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3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415" w:right="29" w:hanging="38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8"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4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6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629" w:hRule="exact"/>
                    </w:trPr>
                    <w:tc>
                      <w:tcPr>
                        <w:tcW w:w="2398" w:type="dxa"/>
                        <w:tcBorders>
                          <w:top w:val="single" w:sz="4" w:space="0" w:color="000000"/>
                          <w:left w:val="single" w:sz="4" w:space="0" w:color="000000"/>
                          <w:bottom w:val="nil" w:sz="6" w:space="0" w:color="auto"/>
                          <w:right w:val="single" w:sz="4" w:space="0" w:color="000000"/>
                        </w:tcBorders>
                        <w:shd w:val="clear" w:color="auto" w:fill="C7EDCC"/>
                      </w:tcPr>
                      <w:p>
                        <w:pPr/>
                      </w:p>
                    </w:tc>
                    <w:tc>
                      <w:tcPr>
                        <w:tcW w:w="1381" w:type="dxa"/>
                        <w:vMerge w:val="restart"/>
                        <w:tcBorders>
                          <w:top w:val="single" w:sz="4" w:space="0" w:color="000000"/>
                          <w:left w:val="single" w:sz="4" w:space="0" w:color="000000"/>
                          <w:right w:val="single" w:sz="4" w:space="0" w:color="000000"/>
                        </w:tcBorders>
                        <w:shd w:val="clear" w:color="auto" w:fill="C7EDCC"/>
                      </w:tcPr>
                      <w:p>
                        <w:pPr/>
                      </w:p>
                    </w:tc>
                    <w:tc>
                      <w:tcPr>
                        <w:tcW w:w="1524" w:type="dxa"/>
                        <w:vMerge w:val="restart"/>
                        <w:tcBorders>
                          <w:top w:val="single" w:sz="4" w:space="0" w:color="000000"/>
                          <w:left w:val="single" w:sz="9" w:space="0" w:color="C7EDCC"/>
                          <w:right w:val="single" w:sz="9" w:space="0" w:color="C7EDCC"/>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1955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841" w:type="dxa"/>
                        <w:vMerge w:val="restart"/>
                        <w:tcBorders>
                          <w:top w:val="single" w:sz="4" w:space="0" w:color="000000"/>
                          <w:left w:val="single" w:sz="4" w:space="0" w:color="000000"/>
                          <w:right w:val="single" w:sz="4" w:space="0" w:color="000000"/>
                        </w:tcBorders>
                        <w:shd w:val="clear" w:color="auto" w:fill="C7EDCC"/>
                      </w:tcPr>
                      <w:p>
                        <w:pPr/>
                      </w:p>
                    </w:tc>
                    <w:tc>
                      <w:tcPr>
                        <w:tcW w:w="2413" w:type="dxa"/>
                        <w:vMerge w:val="restart"/>
                        <w:tcBorders>
                          <w:top w:val="single" w:sz="4" w:space="0" w:color="000000"/>
                          <w:left w:val="single" w:sz="4" w:space="0" w:color="000000"/>
                          <w:right w:val="single" w:sz="4" w:space="0" w:color="000000"/>
                        </w:tcBorders>
                        <w:shd w:val="clear" w:color="auto" w:fill="C7EDCC"/>
                      </w:tcPr>
                      <w:p>
                        <w:pPr>
                          <w:pStyle w:val="TableParagraph"/>
                          <w:tabs>
                            <w:tab w:pos="641" w:val="left" w:leader="none"/>
                          </w:tabs>
                          <w:spacing w:line="316"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传播新闻和其他信息，促进社 </w:t>
                        </w:r>
                        <w:r>
                          <w:rPr>
                            <w:rFonts w:ascii="宋体" w:hAnsi="宋体" w:cs="宋体" w:eastAsia="宋体" w:hint="default"/>
                            <w:spacing w:val="-7"/>
                            <w:sz w:val="18"/>
                            <w:szCs w:val="18"/>
                          </w:rPr>
                          <w:t>会经济文化发展。《杭州日报</w:t>
                        </w:r>
                        <w:r>
                          <w:rPr>
                            <w:rFonts w:ascii="宋体" w:hAnsi="宋体" w:cs="宋体" w:eastAsia="宋体" w:hint="default"/>
                            <w:sz w:val="18"/>
                            <w:szCs w:val="18"/>
                          </w:rPr>
                          <w:t> 出版</w:t>
                          <w:tab/>
                        </w:r>
                        <w:r>
                          <w:rPr>
                            <w:rFonts w:ascii="宋体" w:hAnsi="宋体" w:cs="宋体" w:eastAsia="宋体" w:hint="default"/>
                            <w:spacing w:val="-6"/>
                            <w:sz w:val="18"/>
                            <w:szCs w:val="18"/>
                          </w:rPr>
                          <w:t>增项出版、相关出版物</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出版、相关印刷、相关发行、 广告、新闻研究、新闻培训、 新闻业务交流、相关社会服务</w:t>
                        </w:r>
                      </w:p>
                    </w:tc>
                  </w:tr>
                  <w:tr>
                    <w:trPr>
                      <w:trHeight w:val="156" w:hRule="exact"/>
                    </w:trPr>
                    <w:tc>
                      <w:tcPr>
                        <w:tcW w:w="2398" w:type="dxa"/>
                        <w:vMerge w:val="restart"/>
                        <w:tcBorders>
                          <w:top w:val="nil" w:sz="6" w:space="0" w:color="auto"/>
                          <w:left w:val="single" w:sz="4" w:space="0" w:color="000000"/>
                          <w:right w:val="single" w:sz="4" w:space="0" w:color="000000"/>
                        </w:tcBorders>
                        <w:shd w:val="clear" w:color="auto" w:fill="C7EDCC"/>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杭州日报报业集团（杭州日报 社）</w:t>
                        </w:r>
                      </w:p>
                    </w:tc>
                    <w:tc>
                      <w:tcPr>
                        <w:tcW w:w="1381" w:type="dxa"/>
                        <w:vMerge/>
                        <w:tcBorders>
                          <w:left w:val="single" w:sz="4" w:space="0" w:color="000000"/>
                          <w:bottom w:val="nil" w:sz="6" w:space="0" w:color="auto"/>
                          <w:right w:val="single" w:sz="4" w:space="0" w:color="000000"/>
                        </w:tcBorders>
                        <w:shd w:val="clear" w:color="auto" w:fill="C7EDCC"/>
                      </w:tcPr>
                      <w:p>
                        <w:pPr/>
                      </w:p>
                    </w:tc>
                    <w:tc>
                      <w:tcPr>
                        <w:tcW w:w="1524" w:type="dxa"/>
                        <w:vMerge/>
                        <w:tcBorders>
                          <w:left w:val="single" w:sz="9" w:space="0" w:color="C7EDCC"/>
                          <w:right w:val="single" w:sz="9" w:space="0" w:color="C7EDCC"/>
                        </w:tcBorders>
                      </w:tcPr>
                      <w:p>
                        <w:pPr/>
                      </w:p>
                    </w:tc>
                    <w:tc>
                      <w:tcPr>
                        <w:tcW w:w="1841" w:type="dxa"/>
                        <w:vMerge/>
                        <w:tcBorders>
                          <w:left w:val="single" w:sz="4" w:space="0" w:color="000000"/>
                          <w:bottom w:val="nil" w:sz="6" w:space="0" w:color="auto"/>
                          <w:right w:val="single" w:sz="4" w:space="0" w:color="000000"/>
                        </w:tcBorders>
                        <w:shd w:val="clear" w:color="auto" w:fill="C7EDCC"/>
                      </w:tcPr>
                      <w:p>
                        <w:pPr/>
                      </w:p>
                    </w:tc>
                    <w:tc>
                      <w:tcPr>
                        <w:tcW w:w="2413" w:type="dxa"/>
                        <w:vMerge/>
                        <w:tcBorders>
                          <w:left w:val="single" w:sz="4" w:space="0" w:color="000000"/>
                          <w:right w:val="single" w:sz="4" w:space="0" w:color="000000"/>
                        </w:tcBorders>
                        <w:shd w:val="clear" w:color="auto" w:fill="C7EDCC"/>
                      </w:tcPr>
                      <w:p>
                        <w:pPr/>
                      </w:p>
                    </w:tc>
                  </w:tr>
                  <w:tr>
                    <w:trPr>
                      <w:trHeight w:val="392" w:hRule="exact"/>
                    </w:trPr>
                    <w:tc>
                      <w:tcPr>
                        <w:tcW w:w="2398" w:type="dxa"/>
                        <w:vMerge/>
                        <w:tcBorders>
                          <w:left w:val="single" w:sz="4" w:space="0" w:color="000000"/>
                          <w:right w:val="single" w:sz="4" w:space="0" w:color="000000"/>
                        </w:tcBorders>
                        <w:shd w:val="clear" w:color="auto" w:fill="C7EDCC"/>
                      </w:tcPr>
                      <w:p>
                        <w:pPr/>
                      </w:p>
                    </w:tc>
                    <w:tc>
                      <w:tcPr>
                        <w:tcW w:w="138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赵晴</w:t>
                        </w:r>
                      </w:p>
                    </w:tc>
                    <w:tc>
                      <w:tcPr>
                        <w:tcW w:w="1524" w:type="dxa"/>
                        <w:vMerge/>
                        <w:tcBorders>
                          <w:left w:val="single" w:sz="9" w:space="0" w:color="C7EDCC"/>
                          <w:right w:val="single" w:sz="9" w:space="0" w:color="C7EDCC"/>
                        </w:tcBorders>
                      </w:tcPr>
                      <w:p>
                        <w:pPr/>
                      </w:p>
                    </w:tc>
                    <w:tc>
                      <w:tcPr>
                        <w:tcW w:w="1841"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47010001-4</w:t>
                        </w:r>
                      </w:p>
                    </w:tc>
                    <w:tc>
                      <w:tcPr>
                        <w:tcW w:w="2413" w:type="dxa"/>
                        <w:vMerge/>
                        <w:tcBorders>
                          <w:left w:val="single" w:sz="4" w:space="0" w:color="000000"/>
                          <w:right w:val="single" w:sz="4" w:space="0" w:color="000000"/>
                        </w:tcBorders>
                        <w:shd w:val="clear" w:color="auto" w:fill="C7EDCC"/>
                      </w:tcPr>
                      <w:p>
                        <w:pPr/>
                      </w:p>
                    </w:tc>
                  </w:tr>
                  <w:tr>
                    <w:trPr>
                      <w:trHeight w:val="156" w:hRule="exact"/>
                    </w:trPr>
                    <w:tc>
                      <w:tcPr>
                        <w:tcW w:w="2398" w:type="dxa"/>
                        <w:vMerge/>
                        <w:tcBorders>
                          <w:left w:val="single" w:sz="4" w:space="0" w:color="000000"/>
                          <w:bottom w:val="nil" w:sz="6" w:space="0" w:color="auto"/>
                          <w:right w:val="single" w:sz="4" w:space="0" w:color="000000"/>
                        </w:tcBorders>
                        <w:shd w:val="clear" w:color="auto" w:fill="C7EDCC"/>
                      </w:tcPr>
                      <w:p>
                        <w:pPr/>
                      </w:p>
                    </w:tc>
                    <w:tc>
                      <w:tcPr>
                        <w:tcW w:w="1381" w:type="dxa"/>
                        <w:vMerge w:val="restart"/>
                        <w:tcBorders>
                          <w:top w:val="nil" w:sz="6" w:space="0" w:color="auto"/>
                          <w:left w:val="single" w:sz="4" w:space="0" w:color="000000"/>
                          <w:right w:val="single" w:sz="4" w:space="0" w:color="000000"/>
                        </w:tcBorders>
                        <w:shd w:val="clear" w:color="auto" w:fill="C7EDCC"/>
                      </w:tcPr>
                      <w:p>
                        <w:pPr/>
                      </w:p>
                    </w:tc>
                    <w:tc>
                      <w:tcPr>
                        <w:tcW w:w="1524" w:type="dxa"/>
                        <w:vMerge/>
                        <w:tcBorders>
                          <w:left w:val="single" w:sz="9" w:space="0" w:color="C7EDCC"/>
                          <w:right w:val="single" w:sz="9" w:space="0" w:color="C7EDCC"/>
                        </w:tcBorders>
                      </w:tcPr>
                      <w:p>
                        <w:pPr/>
                      </w:p>
                    </w:tc>
                    <w:tc>
                      <w:tcPr>
                        <w:tcW w:w="1841" w:type="dxa"/>
                        <w:vMerge w:val="restart"/>
                        <w:tcBorders>
                          <w:top w:val="nil" w:sz="6" w:space="0" w:color="auto"/>
                          <w:left w:val="single" w:sz="4" w:space="0" w:color="000000"/>
                          <w:right w:val="single" w:sz="4" w:space="0" w:color="000000"/>
                        </w:tcBorders>
                        <w:shd w:val="clear" w:color="auto" w:fill="C7EDCC"/>
                      </w:tcPr>
                      <w:p>
                        <w:pPr/>
                      </w:p>
                    </w:tc>
                    <w:tc>
                      <w:tcPr>
                        <w:tcW w:w="2413" w:type="dxa"/>
                        <w:vMerge/>
                        <w:tcBorders>
                          <w:left w:val="single" w:sz="4" w:space="0" w:color="000000"/>
                          <w:right w:val="single" w:sz="4" w:space="0" w:color="000000"/>
                        </w:tcBorders>
                        <w:shd w:val="clear" w:color="auto" w:fill="C7EDCC"/>
                      </w:tcPr>
                      <w:p>
                        <w:pPr/>
                      </w:p>
                    </w:tc>
                  </w:tr>
                  <w:tr>
                    <w:trPr>
                      <w:trHeight w:val="629" w:hRule="exact"/>
                    </w:trPr>
                    <w:tc>
                      <w:tcPr>
                        <w:tcW w:w="2398" w:type="dxa"/>
                        <w:tcBorders>
                          <w:top w:val="nil" w:sz="6" w:space="0" w:color="auto"/>
                          <w:left w:val="single" w:sz="4" w:space="0" w:color="000000"/>
                          <w:bottom w:val="single" w:sz="4" w:space="0" w:color="000000"/>
                          <w:right w:val="single" w:sz="4" w:space="0" w:color="000000"/>
                        </w:tcBorders>
                        <w:shd w:val="clear" w:color="auto" w:fill="C7EDCC"/>
                      </w:tcPr>
                      <w:p>
                        <w:pPr/>
                      </w:p>
                    </w:tc>
                    <w:tc>
                      <w:tcPr>
                        <w:tcW w:w="1381" w:type="dxa"/>
                        <w:vMerge/>
                        <w:tcBorders>
                          <w:left w:val="single" w:sz="4" w:space="0" w:color="000000"/>
                          <w:bottom w:val="single" w:sz="4" w:space="0" w:color="000000"/>
                          <w:right w:val="single" w:sz="4" w:space="0" w:color="000000"/>
                        </w:tcBorders>
                        <w:shd w:val="clear" w:color="auto" w:fill="C7EDCC"/>
                      </w:tcPr>
                      <w:p>
                        <w:pPr/>
                      </w:p>
                    </w:tc>
                    <w:tc>
                      <w:tcPr>
                        <w:tcW w:w="1524" w:type="dxa"/>
                        <w:vMerge/>
                        <w:tcBorders>
                          <w:left w:val="single" w:sz="9" w:space="0" w:color="C7EDCC"/>
                          <w:bottom w:val="single" w:sz="4" w:space="0" w:color="000000"/>
                          <w:right w:val="single" w:sz="9" w:space="0" w:color="C7EDCC"/>
                        </w:tcBorders>
                      </w:tcPr>
                      <w:p>
                        <w:pPr/>
                      </w:p>
                    </w:tc>
                    <w:tc>
                      <w:tcPr>
                        <w:tcW w:w="1841" w:type="dxa"/>
                        <w:vMerge/>
                        <w:tcBorders>
                          <w:left w:val="single" w:sz="4" w:space="0" w:color="000000"/>
                          <w:bottom w:val="single" w:sz="4" w:space="0" w:color="000000"/>
                          <w:right w:val="single" w:sz="4" w:space="0" w:color="000000"/>
                        </w:tcBorders>
                        <w:shd w:val="clear" w:color="auto" w:fill="C7EDCC"/>
                      </w:tcPr>
                      <w:p>
                        <w:pPr/>
                      </w:p>
                    </w:tc>
                    <w:tc>
                      <w:tcPr>
                        <w:tcW w:w="2413" w:type="dxa"/>
                        <w:vMerge/>
                        <w:tcBorders>
                          <w:left w:val="single" w:sz="4" w:space="0" w:color="000000"/>
                          <w:bottom w:val="single" w:sz="4" w:space="0" w:color="000000"/>
                          <w:right w:val="single" w:sz="4" w:space="0" w:color="000000"/>
                        </w:tcBorders>
                        <w:shd w:val="clear" w:color="auto" w:fill="C7EDCC"/>
                      </w:tcPr>
                      <w:p>
                        <w:pPr/>
                      </w:p>
                    </w:tc>
                  </w:tr>
                  <w:tr>
                    <w:trPr>
                      <w:trHeight w:val="161" w:hRule="exact"/>
                    </w:trPr>
                    <w:tc>
                      <w:tcPr>
                        <w:tcW w:w="2398" w:type="dxa"/>
                        <w:vMerge w:val="restart"/>
                        <w:tcBorders>
                          <w:top w:val="single" w:sz="4" w:space="0" w:color="000000"/>
                          <w:left w:val="single" w:sz="4" w:space="0" w:color="000000"/>
                          <w:right w:val="single" w:sz="9" w:space="0" w:color="C7EDCC"/>
                        </w:tcBorders>
                        <w:shd w:val="clear" w:color="auto" w:fill="D3D3D3"/>
                      </w:tcPr>
                      <w:p>
                        <w:pPr>
                          <w:pStyle w:val="TableParagraph"/>
                          <w:spacing w:line="316" w:lineRule="auto" w:before="51"/>
                          <w:ind w:left="22" w:right="16"/>
                          <w:jc w:val="left"/>
                          <w:rPr>
                            <w:rFonts w:ascii="宋体" w:hAnsi="宋体" w:cs="宋体" w:eastAsia="宋体" w:hint="default"/>
                            <w:sz w:val="18"/>
                            <w:szCs w:val="18"/>
                          </w:rPr>
                        </w:pPr>
                        <w:r>
                          <w:rPr>
                            <w:rFonts w:ascii="宋体" w:hAnsi="宋体" w:cs="宋体" w:eastAsia="宋体" w:hint="default"/>
                            <w:sz w:val="18"/>
                            <w:szCs w:val="18"/>
                          </w:rPr>
                          <w:t>实际控制人报告期内控制的其 他境内外上市公司的股权情况</w:t>
                        </w:r>
                      </w:p>
                    </w:tc>
                    <w:tc>
                      <w:tcPr>
                        <w:tcW w:w="7159" w:type="dxa"/>
                        <w:gridSpan w:val="4"/>
                        <w:tcBorders>
                          <w:top w:val="single" w:sz="4" w:space="0" w:color="000000"/>
                          <w:left w:val="single" w:sz="13" w:space="0" w:color="D3D3D3"/>
                          <w:bottom w:val="nil" w:sz="6" w:space="0" w:color="auto"/>
                          <w:right w:val="single" w:sz="4" w:space="0" w:color="000000"/>
                        </w:tcBorders>
                        <w:shd w:val="clear" w:color="auto" w:fill="C7EDCC"/>
                      </w:tcPr>
                      <w:p>
                        <w:pPr/>
                      </w:p>
                    </w:tc>
                  </w:tr>
                  <w:tr>
                    <w:trPr>
                      <w:trHeight w:val="392" w:hRule="exact"/>
                    </w:trPr>
                    <w:tc>
                      <w:tcPr>
                        <w:tcW w:w="2398" w:type="dxa"/>
                        <w:vMerge/>
                        <w:tcBorders>
                          <w:left w:val="single" w:sz="4" w:space="0" w:color="000000"/>
                          <w:right w:val="single" w:sz="9" w:space="0" w:color="C7EDCC"/>
                        </w:tcBorders>
                        <w:shd w:val="clear" w:color="auto" w:fill="D3D3D3"/>
                      </w:tcPr>
                      <w:p>
                        <w:pPr/>
                      </w:p>
                    </w:tc>
                    <w:tc>
                      <w:tcPr>
                        <w:tcW w:w="7159" w:type="dxa"/>
                        <w:gridSpan w:val="4"/>
                        <w:tcBorders>
                          <w:top w:val="nil" w:sz="6" w:space="0" w:color="auto"/>
                          <w:left w:val="single" w:sz="13" w:space="0" w:color="D3D3D3"/>
                          <w:bottom w:val="nil" w:sz="6" w:space="0" w:color="auto"/>
                          <w:right w:val="single" w:sz="4" w:space="0" w:color="000000"/>
                        </w:tcBorders>
                        <w:shd w:val="clear" w:color="auto" w:fill="C7EDCC"/>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2398" w:type="dxa"/>
                        <w:vMerge/>
                        <w:tcBorders>
                          <w:left w:val="single" w:sz="4" w:space="0" w:color="000000"/>
                          <w:bottom w:val="single" w:sz="4" w:space="0" w:color="000000"/>
                          <w:right w:val="single" w:sz="9" w:space="0" w:color="C7EDCC"/>
                        </w:tcBorders>
                        <w:shd w:val="clear" w:color="auto" w:fill="D3D3D3"/>
                      </w:tcPr>
                      <w:p>
                        <w:pPr/>
                      </w:p>
                    </w:tc>
                    <w:tc>
                      <w:tcPr>
                        <w:tcW w:w="7159" w:type="dxa"/>
                        <w:gridSpan w:val="4"/>
                        <w:tcBorders>
                          <w:top w:val="nil" w:sz="6" w:space="0" w:color="auto"/>
                          <w:left w:val="single" w:sz="13" w:space="0" w:color="D3D3D3"/>
                          <w:bottom w:val="single" w:sz="4" w:space="0" w:color="000000"/>
                          <w:right w:val="single" w:sz="4" w:space="0" w:color="000000"/>
                        </w:tcBorders>
                        <w:shd w:val="clear" w:color="auto" w:fill="C7EDCC"/>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38" w:lineRule="auto" w:before="117"/>
        <w:ind w:left="154" w:right="68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w:t>
      </w:r>
    </w:p>
    <w:p>
      <w:pPr>
        <w:spacing w:after="0" w:line="338"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公司与实际控制人之间的产权及控制关系的方框图</w:t>
      </w:r>
    </w:p>
    <w:p>
      <w:pPr>
        <w:spacing w:line="240" w:lineRule="auto" w:before="0"/>
        <w:rPr>
          <w:rFonts w:ascii="宋体" w:hAnsi="宋体" w:cs="宋体" w:eastAsia="宋体" w:hint="default"/>
          <w:sz w:val="25"/>
          <w:szCs w:val="25"/>
        </w:rPr>
      </w:pPr>
    </w:p>
    <w:p>
      <w:pPr>
        <w:spacing w:line="3615" w:lineRule="exact"/>
        <w:ind w:left="1356" w:right="0" w:firstLine="0"/>
        <w:rPr>
          <w:rFonts w:ascii="宋体" w:hAnsi="宋体" w:cs="宋体" w:eastAsia="宋体" w:hint="default"/>
          <w:sz w:val="20"/>
          <w:szCs w:val="20"/>
        </w:rPr>
      </w:pPr>
      <w:r>
        <w:rPr>
          <w:rFonts w:ascii="宋体" w:hAnsi="宋体" w:cs="宋体" w:eastAsia="宋体" w:hint="default"/>
          <w:position w:val="-71"/>
          <w:sz w:val="20"/>
          <w:szCs w:val="20"/>
        </w:rPr>
        <w:drawing>
          <wp:inline distT="0" distB="0" distL="0" distR="0">
            <wp:extent cx="4594098" cy="229552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7" cstate="print"/>
                    <a:stretch>
                      <a:fillRect/>
                    </a:stretch>
                  </pic:blipFill>
                  <pic:spPr>
                    <a:xfrm>
                      <a:off x="0" y="0"/>
                      <a:ext cx="4594098" cy="2295525"/>
                    </a:xfrm>
                    <a:prstGeom prst="rect">
                      <a:avLst/>
                    </a:prstGeom>
                  </pic:spPr>
                </pic:pic>
              </a:graphicData>
            </a:graphic>
          </wp:inline>
        </w:drawing>
      </w:r>
      <w:r>
        <w:rPr>
          <w:rFonts w:ascii="宋体" w:hAnsi="宋体" w:cs="宋体" w:eastAsia="宋体" w:hint="default"/>
          <w:position w:val="-71"/>
          <w:sz w:val="20"/>
          <w:szCs w:val="20"/>
        </w:rPr>
      </w:r>
    </w:p>
    <w:p>
      <w:pPr>
        <w:spacing w:line="240" w:lineRule="auto" w:before="2"/>
        <w:rPr>
          <w:rFonts w:ascii="宋体" w:hAnsi="宋体" w:cs="宋体" w:eastAsia="宋体" w:hint="default"/>
          <w:sz w:val="21"/>
          <w:szCs w:val="21"/>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58"/>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、控股股东、实际控制人、重组方及其他承诺主体股份限制减持情况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286" w:right="0"/>
        <w:jc w:val="left"/>
        <w:rPr>
          <w:b w:val="0"/>
          <w:bCs w:val="0"/>
        </w:rPr>
      </w:pPr>
      <w:bookmarkStart w:name="_TOC_250004" w:id="7"/>
      <w:r>
        <w:rPr/>
        <w:t>第七节</w:t>
      </w:r>
      <w:r>
        <w:rPr>
          <w:spacing w:val="-8"/>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spacing w:line="338" w:lineRule="auto" w:before="44"/>
        <w:ind w:left="154" w:right="76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1680" w:right="0"/>
        <w:jc w:val="left"/>
        <w:rPr>
          <w:b w:val="0"/>
          <w:bCs w:val="0"/>
        </w:rPr>
      </w:pPr>
      <w:bookmarkStart w:name="_TOC_250003" w:id="8"/>
      <w:r>
        <w:rPr/>
        <w:t>第八节</w:t>
      </w:r>
      <w:r>
        <w:rPr>
          <w:spacing w:val="-17"/>
        </w:rPr>
        <w:t> </w:t>
      </w:r>
      <w:r>
        <w:rPr/>
        <w:t>董事、监事、高级管理人员和员工情况</w:t>
      </w:r>
      <w:bookmarkEnd w:id="8"/>
      <w:r>
        <w:rPr>
          <w:b w:val="0"/>
          <w:bCs w:val="0"/>
        </w:rPr>
      </w:r>
    </w:p>
    <w:p>
      <w:pPr>
        <w:spacing w:line="240" w:lineRule="auto" w:before="11"/>
        <w:rPr>
          <w:rFonts w:ascii="宋体" w:hAnsi="宋体" w:cs="宋体" w:eastAsia="宋体" w:hint="default"/>
          <w:b/>
          <w:bCs/>
          <w:sz w:val="38"/>
          <w:szCs w:val="38"/>
        </w:rPr>
      </w:pPr>
    </w:p>
    <w:p>
      <w:pPr>
        <w:pStyle w:val="Heading3"/>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809"/>
        <w:gridCol w:w="808"/>
        <w:gridCol w:w="808"/>
        <w:gridCol w:w="806"/>
        <w:gridCol w:w="809"/>
        <w:gridCol w:w="806"/>
        <w:gridCol w:w="808"/>
        <w:gridCol w:w="809"/>
        <w:gridCol w:w="808"/>
        <w:gridCol w:w="808"/>
        <w:gridCol w:w="809"/>
        <w:gridCol w:w="808"/>
      </w:tblGrid>
      <w:tr>
        <w:trPr>
          <w:trHeight w:val="1025" w:hRule="exact"/>
        </w:trPr>
        <w:tc>
          <w:tcPr>
            <w:tcW w:w="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8"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8"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8"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8"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8"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8" w:right="36"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8" w:right="37"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9" w:right="37"/>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8" w:right="37"/>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8" w:right="37"/>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 w:right="37" w:firstLine="15"/>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5"/>
                <w:sz w:val="18"/>
                <w:szCs w:val="18"/>
              </w:rPr>
              <w:t>变动（股</w:t>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期末持股</w:t>
            </w:r>
          </w:p>
          <w:p>
            <w:pPr>
              <w:pStyle w:val="TableParagraph"/>
              <w:spacing w:line="240" w:lineRule="auto" w:before="76"/>
              <w:ind w:left="-123" w:right="37"/>
              <w:jc w:val="center"/>
              <w:rPr>
                <w:rFonts w:ascii="宋体" w:hAnsi="宋体" w:cs="宋体" w:eastAsia="宋体" w:hint="default"/>
                <w:sz w:val="18"/>
                <w:szCs w:val="18"/>
              </w:rPr>
            </w:pPr>
            <w:r>
              <w:rPr>
                <w:rFonts w:ascii="宋体" w:hAnsi="宋体" w:cs="宋体" w:eastAsia="宋体" w:hint="default"/>
                <w:spacing w:val="-4"/>
                <w:sz w:val="18"/>
                <w:szCs w:val="18"/>
              </w:rPr>
              <w:t>）数（股）</w:t>
            </w:r>
          </w:p>
        </w:tc>
      </w:tr>
      <w:tr>
        <w:trPr>
          <w:trHeight w:val="363" w:hRule="exact"/>
        </w:trPr>
        <w:tc>
          <w:tcPr>
            <w:tcW w:w="809"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8" w:type="dxa"/>
            <w:vMerge w:val="restart"/>
            <w:tcBorders>
              <w:top w:val="single" w:sz="4" w:space="0" w:color="000000"/>
              <w:left w:val="single" w:sz="4" w:space="0" w:color="000000"/>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9" w:type="dxa"/>
            <w:vMerge w:val="restart"/>
            <w:tcBorders>
              <w:top w:val="single" w:sz="4" w:space="0" w:color="000000"/>
              <w:left w:val="single" w:sz="4" w:space="0" w:color="000000"/>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赵晴</w:t>
            </w:r>
          </w:p>
        </w:tc>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60</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808" w:type="dxa"/>
            <w:vMerge/>
            <w:tcBorders>
              <w:left w:val="single" w:sz="4" w:space="0" w:color="000000"/>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c>
          <w:tcPr>
            <w:tcW w:w="809" w:type="dxa"/>
            <w:vMerge/>
            <w:tcBorders>
              <w:left w:val="single" w:sz="4" w:space="0" w:color="000000"/>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809"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vMerge/>
            <w:tcBorders>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809"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8" w:type="dxa"/>
            <w:vMerge w:val="restart"/>
            <w:tcBorders>
              <w:top w:val="single" w:sz="4" w:space="0" w:color="000000"/>
              <w:left w:val="single" w:sz="4" w:space="0" w:color="000000"/>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9" w:type="dxa"/>
            <w:vMerge w:val="restart"/>
            <w:tcBorders>
              <w:top w:val="single" w:sz="4" w:space="0" w:color="000000"/>
              <w:left w:val="single" w:sz="4" w:space="0" w:color="000000"/>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秦晓春</w:t>
            </w:r>
          </w:p>
        </w:tc>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60</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808" w:type="dxa"/>
            <w:vMerge/>
            <w:tcBorders>
              <w:left w:val="single" w:sz="4" w:space="0" w:color="000000"/>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c>
          <w:tcPr>
            <w:tcW w:w="809" w:type="dxa"/>
            <w:vMerge/>
            <w:tcBorders>
              <w:left w:val="single" w:sz="4" w:space="0" w:color="000000"/>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809"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vMerge/>
            <w:tcBorders>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809"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9"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9" w:type="dxa"/>
            <w:vMerge w:val="restart"/>
            <w:tcBorders>
              <w:top w:val="single" w:sz="4" w:space="0" w:color="000000"/>
              <w:left w:val="single" w:sz="4" w:space="0" w:color="000000"/>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杨星</w:t>
            </w:r>
          </w:p>
        </w:tc>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59</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c>
          <w:tcPr>
            <w:tcW w:w="809" w:type="dxa"/>
            <w:vMerge/>
            <w:tcBorders>
              <w:left w:val="single" w:sz="4" w:space="0" w:color="000000"/>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809"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809"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8" w:type="dxa"/>
            <w:vMerge w:val="restart"/>
            <w:tcBorders>
              <w:top w:val="single" w:sz="4" w:space="0" w:color="000000"/>
              <w:left w:val="single" w:sz="4" w:space="0" w:color="000000"/>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9" w:type="dxa"/>
            <w:vMerge w:val="restart"/>
            <w:tcBorders>
              <w:top w:val="single" w:sz="4" w:space="0" w:color="000000"/>
              <w:left w:val="single" w:sz="4" w:space="0" w:color="000000"/>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鲍林强</w:t>
            </w:r>
          </w:p>
        </w:tc>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44</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808" w:type="dxa"/>
            <w:vMerge/>
            <w:tcBorders>
              <w:left w:val="single" w:sz="4" w:space="0" w:color="000000"/>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c>
          <w:tcPr>
            <w:tcW w:w="809" w:type="dxa"/>
            <w:vMerge/>
            <w:tcBorders>
              <w:left w:val="single" w:sz="4" w:space="0" w:color="000000"/>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809"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vMerge/>
            <w:tcBorders>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809"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8" w:type="dxa"/>
            <w:vMerge w:val="restart"/>
            <w:tcBorders>
              <w:top w:val="single" w:sz="4" w:space="0" w:color="000000"/>
              <w:left w:val="single" w:sz="4" w:space="0" w:color="000000"/>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9" w:type="dxa"/>
            <w:vMerge w:val="restart"/>
            <w:tcBorders>
              <w:top w:val="single" w:sz="4" w:space="0" w:color="000000"/>
              <w:left w:val="single" w:sz="4" w:space="0" w:color="000000"/>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汪思洋</w:t>
            </w:r>
          </w:p>
        </w:tc>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29</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tc>
        <w:tc>
          <w:tcPr>
            <w:tcW w:w="808" w:type="dxa"/>
            <w:vMerge/>
            <w:tcBorders>
              <w:left w:val="single" w:sz="4" w:space="0" w:color="000000"/>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c>
          <w:tcPr>
            <w:tcW w:w="809" w:type="dxa"/>
            <w:vMerge/>
            <w:tcBorders>
              <w:left w:val="single" w:sz="4" w:space="0" w:color="000000"/>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809"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vMerge/>
            <w:tcBorders>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8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张剑秋</w:t>
            </w:r>
          </w:p>
        </w:tc>
        <w:tc>
          <w:tcPr>
            <w:tcW w:w="8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53"/>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101,700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101,700</w:t>
            </w:r>
          </w:p>
        </w:tc>
      </w:tr>
      <w:tr>
        <w:trPr>
          <w:trHeight w:val="363" w:hRule="exact"/>
        </w:trPr>
        <w:tc>
          <w:tcPr>
            <w:tcW w:w="809"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8" w:type="dxa"/>
            <w:vMerge w:val="restart"/>
            <w:tcBorders>
              <w:top w:val="single" w:sz="4" w:space="0" w:color="000000"/>
              <w:left w:val="single" w:sz="4" w:space="0" w:color="000000"/>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9" w:type="dxa"/>
            <w:vMerge w:val="restart"/>
            <w:tcBorders>
              <w:top w:val="single" w:sz="4" w:space="0" w:color="000000"/>
              <w:left w:val="single" w:sz="4" w:space="0" w:color="000000"/>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叶雪芳</w:t>
            </w:r>
          </w:p>
        </w:tc>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50</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808" w:type="dxa"/>
            <w:vMerge/>
            <w:tcBorders>
              <w:left w:val="single" w:sz="4" w:space="0" w:color="000000"/>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c>
          <w:tcPr>
            <w:tcW w:w="809" w:type="dxa"/>
            <w:vMerge/>
            <w:tcBorders>
              <w:left w:val="single" w:sz="4" w:space="0" w:color="000000"/>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809"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vMerge/>
            <w:tcBorders>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809"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8" w:type="dxa"/>
            <w:vMerge w:val="restart"/>
            <w:tcBorders>
              <w:top w:val="single" w:sz="4" w:space="0" w:color="000000"/>
              <w:left w:val="single" w:sz="4" w:space="0" w:color="000000"/>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9" w:type="dxa"/>
            <w:vMerge w:val="restart"/>
            <w:tcBorders>
              <w:top w:val="single" w:sz="4" w:space="0" w:color="000000"/>
              <w:left w:val="single" w:sz="4" w:space="0" w:color="000000"/>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蔡才河</w:t>
            </w:r>
          </w:p>
        </w:tc>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46</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808" w:type="dxa"/>
            <w:vMerge/>
            <w:tcBorders>
              <w:left w:val="single" w:sz="4" w:space="0" w:color="000000"/>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c>
          <w:tcPr>
            <w:tcW w:w="809" w:type="dxa"/>
            <w:vMerge/>
            <w:tcBorders>
              <w:left w:val="single" w:sz="4" w:space="0" w:color="000000"/>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809"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vMerge/>
            <w:tcBorders>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809"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8" w:type="dxa"/>
            <w:vMerge w:val="restart"/>
            <w:tcBorders>
              <w:top w:val="single" w:sz="4" w:space="0" w:color="000000"/>
              <w:left w:val="single" w:sz="4" w:space="0" w:color="000000"/>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9" w:type="dxa"/>
            <w:vMerge w:val="restart"/>
            <w:tcBorders>
              <w:top w:val="single" w:sz="4" w:space="0" w:color="000000"/>
              <w:left w:val="single" w:sz="4" w:space="0" w:color="000000"/>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0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郭全中</w:t>
            </w:r>
          </w:p>
        </w:tc>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40</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tc>
        <w:tc>
          <w:tcPr>
            <w:tcW w:w="808" w:type="dxa"/>
            <w:vMerge/>
            <w:tcBorders>
              <w:left w:val="single" w:sz="4" w:space="0" w:color="000000"/>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c>
          <w:tcPr>
            <w:tcW w:w="809" w:type="dxa"/>
            <w:vMerge/>
            <w:tcBorders>
              <w:left w:val="single" w:sz="4" w:space="0" w:color="000000"/>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809"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vMerge/>
            <w:tcBorders>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8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陆春祥</w:t>
            </w:r>
          </w:p>
        </w:tc>
        <w:tc>
          <w:tcPr>
            <w:tcW w:w="8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53"/>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809"/>
        <w:gridCol w:w="808"/>
        <w:gridCol w:w="808"/>
        <w:gridCol w:w="806"/>
        <w:gridCol w:w="809"/>
        <w:gridCol w:w="806"/>
        <w:gridCol w:w="808"/>
        <w:gridCol w:w="809"/>
        <w:gridCol w:w="808"/>
        <w:gridCol w:w="808"/>
        <w:gridCol w:w="809"/>
        <w:gridCol w:w="808"/>
      </w:tblGrid>
      <w:tr>
        <w:trPr>
          <w:trHeight w:val="363" w:hRule="exact"/>
        </w:trPr>
        <w:tc>
          <w:tcPr>
            <w:tcW w:w="809"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8" w:type="dxa"/>
            <w:vMerge w:val="restart"/>
            <w:tcBorders>
              <w:top w:val="single" w:sz="4" w:space="0" w:color="000000"/>
              <w:left w:val="single" w:sz="4" w:space="0" w:color="000000"/>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9" w:type="dxa"/>
            <w:vMerge w:val="restart"/>
            <w:tcBorders>
              <w:top w:val="single" w:sz="4" w:space="0" w:color="000000"/>
              <w:left w:val="single" w:sz="4" w:space="0" w:color="000000"/>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80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陈军雄</w:t>
            </w:r>
          </w:p>
        </w:tc>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51</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808" w:type="dxa"/>
            <w:vMerge/>
            <w:tcBorders>
              <w:left w:val="single" w:sz="4" w:space="0" w:color="000000"/>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809" w:type="dxa"/>
            <w:vMerge/>
            <w:tcBorders>
              <w:left w:val="single" w:sz="4" w:space="0" w:color="000000"/>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809"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vMerge/>
            <w:tcBorders>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809"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8" w:type="dxa"/>
            <w:vMerge w:val="restart"/>
            <w:tcBorders>
              <w:top w:val="single" w:sz="4" w:space="0" w:color="000000"/>
              <w:left w:val="single" w:sz="4" w:space="0" w:color="000000"/>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9" w:type="dxa"/>
            <w:vMerge w:val="restart"/>
            <w:tcBorders>
              <w:top w:val="single" w:sz="4" w:space="0" w:color="000000"/>
              <w:left w:val="single" w:sz="4" w:space="0" w:color="000000"/>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80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裴蓉</w:t>
            </w:r>
          </w:p>
        </w:tc>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45</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808" w:type="dxa"/>
            <w:vMerge/>
            <w:tcBorders>
              <w:left w:val="single" w:sz="4" w:space="0" w:color="000000"/>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809" w:type="dxa"/>
            <w:vMerge/>
            <w:tcBorders>
              <w:left w:val="single" w:sz="4" w:space="0" w:color="000000"/>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809"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vMerge/>
            <w:tcBorders>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809"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8" w:type="dxa"/>
            <w:vMerge w:val="restart"/>
            <w:tcBorders>
              <w:top w:val="single" w:sz="4" w:space="0" w:color="000000"/>
              <w:left w:val="single" w:sz="4" w:space="0" w:color="000000"/>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9" w:type="dxa"/>
            <w:vMerge w:val="restart"/>
            <w:tcBorders>
              <w:top w:val="single" w:sz="4" w:space="0" w:color="000000"/>
              <w:left w:val="single" w:sz="4" w:space="0" w:color="000000"/>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80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邹箭峰</w:t>
            </w:r>
          </w:p>
        </w:tc>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39</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808" w:type="dxa"/>
            <w:vMerge/>
            <w:tcBorders>
              <w:left w:val="single" w:sz="4" w:space="0" w:color="000000"/>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809" w:type="dxa"/>
            <w:vMerge/>
            <w:tcBorders>
              <w:left w:val="single" w:sz="4" w:space="0" w:color="000000"/>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809"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vMerge/>
            <w:tcBorders>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809"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8" w:type="dxa"/>
            <w:vMerge w:val="restart"/>
            <w:tcBorders>
              <w:top w:val="single" w:sz="4" w:space="0" w:color="000000"/>
              <w:left w:val="single" w:sz="4" w:space="0" w:color="000000"/>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9" w:type="dxa"/>
            <w:vMerge w:val="restart"/>
            <w:tcBorders>
              <w:top w:val="single" w:sz="4" w:space="0" w:color="000000"/>
              <w:left w:val="single" w:sz="4" w:space="0" w:color="000000"/>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80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洪晓明</w:t>
            </w:r>
          </w:p>
        </w:tc>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52</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tc>
        <w:tc>
          <w:tcPr>
            <w:tcW w:w="808" w:type="dxa"/>
            <w:vMerge/>
            <w:tcBorders>
              <w:left w:val="single" w:sz="4" w:space="0" w:color="000000"/>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809" w:type="dxa"/>
            <w:vMerge/>
            <w:tcBorders>
              <w:left w:val="single" w:sz="4" w:space="0" w:color="000000"/>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809"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vMerge/>
            <w:tcBorders>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8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张韶衡</w:t>
            </w:r>
          </w:p>
        </w:tc>
        <w:tc>
          <w:tcPr>
            <w:tcW w:w="8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3"/>
              <w:jc w:val="left"/>
              <w:rPr>
                <w:rFonts w:ascii="宋体" w:hAnsi="宋体" w:cs="宋体" w:eastAsia="宋体" w:hint="default"/>
                <w:sz w:val="18"/>
                <w:szCs w:val="18"/>
              </w:rPr>
            </w:pPr>
            <w:r>
              <w:rPr>
                <w:rFonts w:ascii="宋体" w:hAnsi="宋体" w:cs="宋体" w:eastAsia="宋体" w:hint="default"/>
                <w:sz w:val="18"/>
                <w:szCs w:val="18"/>
              </w:rPr>
              <w:t>常务副总 经理</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102,900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102,900</w:t>
            </w:r>
          </w:p>
        </w:tc>
      </w:tr>
      <w:tr>
        <w:trPr>
          <w:trHeight w:val="363" w:hRule="exact"/>
        </w:trPr>
        <w:tc>
          <w:tcPr>
            <w:tcW w:w="809"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8" w:type="dxa"/>
            <w:vMerge w:val="restart"/>
            <w:tcBorders>
              <w:top w:val="single" w:sz="4" w:space="0" w:color="000000"/>
              <w:left w:val="single" w:sz="4" w:space="0" w:color="000000"/>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9" w:type="dxa"/>
            <w:vMerge w:val="restart"/>
            <w:tcBorders>
              <w:top w:val="single" w:sz="4" w:space="0" w:color="000000"/>
              <w:left w:val="single" w:sz="4" w:space="0" w:color="000000"/>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80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于国清</w:t>
            </w:r>
          </w:p>
        </w:tc>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43</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tc>
        <w:tc>
          <w:tcPr>
            <w:tcW w:w="808" w:type="dxa"/>
            <w:vMerge/>
            <w:tcBorders>
              <w:left w:val="single" w:sz="4" w:space="0" w:color="000000"/>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103,100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809" w:type="dxa"/>
            <w:vMerge/>
            <w:tcBorders>
              <w:left w:val="single" w:sz="4" w:space="0" w:color="000000"/>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103,100</w:t>
            </w:r>
          </w:p>
        </w:tc>
      </w:tr>
      <w:tr>
        <w:trPr>
          <w:trHeight w:val="351" w:hRule="exact"/>
        </w:trPr>
        <w:tc>
          <w:tcPr>
            <w:tcW w:w="809"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vMerge/>
            <w:tcBorders>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809"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8" w:type="dxa"/>
            <w:vMerge w:val="restart"/>
            <w:tcBorders>
              <w:top w:val="single" w:sz="4" w:space="0" w:color="000000"/>
              <w:left w:val="single" w:sz="4" w:space="0" w:color="000000"/>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9" w:type="dxa"/>
            <w:vMerge w:val="restart"/>
            <w:tcBorders>
              <w:top w:val="single" w:sz="4" w:space="0" w:color="000000"/>
              <w:left w:val="single" w:sz="4" w:space="0" w:color="000000"/>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80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宋浩</w:t>
            </w:r>
          </w:p>
        </w:tc>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44</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tc>
        <w:tc>
          <w:tcPr>
            <w:tcW w:w="808" w:type="dxa"/>
            <w:vMerge/>
            <w:tcBorders>
              <w:left w:val="single" w:sz="4" w:space="0" w:color="000000"/>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102,800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809" w:type="dxa"/>
            <w:vMerge/>
            <w:tcBorders>
              <w:left w:val="single" w:sz="4" w:space="0" w:color="000000"/>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102,800</w:t>
            </w:r>
          </w:p>
        </w:tc>
      </w:tr>
      <w:tr>
        <w:trPr>
          <w:trHeight w:val="351" w:hRule="exact"/>
        </w:trPr>
        <w:tc>
          <w:tcPr>
            <w:tcW w:w="809"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vMerge/>
            <w:tcBorders>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809"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8" w:type="dxa"/>
            <w:vMerge w:val="restart"/>
            <w:tcBorders>
              <w:top w:val="single" w:sz="4" w:space="0" w:color="000000"/>
              <w:left w:val="single" w:sz="4" w:space="0" w:color="000000"/>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9" w:type="dxa"/>
            <w:vMerge w:val="restart"/>
            <w:tcBorders>
              <w:top w:val="single" w:sz="4" w:space="0" w:color="000000"/>
              <w:left w:val="single" w:sz="4" w:space="0" w:color="000000"/>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80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43</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tc>
        <w:tc>
          <w:tcPr>
            <w:tcW w:w="808" w:type="dxa"/>
            <w:vMerge/>
            <w:tcBorders>
              <w:left w:val="single" w:sz="4" w:space="0" w:color="000000"/>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102,500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809" w:type="dxa"/>
            <w:vMerge/>
            <w:tcBorders>
              <w:left w:val="single" w:sz="4" w:space="0" w:color="000000"/>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z w:val="18"/>
              </w:rPr>
              <w:t>102,500</w:t>
            </w:r>
          </w:p>
        </w:tc>
      </w:tr>
      <w:tr>
        <w:trPr>
          <w:trHeight w:val="351" w:hRule="exact"/>
        </w:trPr>
        <w:tc>
          <w:tcPr>
            <w:tcW w:w="809"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vMerge/>
            <w:tcBorders>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80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高坚强</w:t>
            </w:r>
          </w:p>
        </w:tc>
        <w:tc>
          <w:tcPr>
            <w:tcW w:w="80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53"/>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29</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103,600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103,600</w:t>
            </w:r>
          </w:p>
        </w:tc>
      </w:tr>
      <w:tr>
        <w:trPr>
          <w:trHeight w:val="363" w:hRule="exact"/>
        </w:trPr>
        <w:tc>
          <w:tcPr>
            <w:tcW w:w="809"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8" w:type="dxa"/>
            <w:vMerge w:val="restart"/>
            <w:tcBorders>
              <w:top w:val="single" w:sz="4" w:space="0" w:color="000000"/>
              <w:left w:val="single" w:sz="4" w:space="0" w:color="000000"/>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9" w:type="dxa"/>
            <w:vMerge w:val="restart"/>
            <w:tcBorders>
              <w:top w:val="single" w:sz="4" w:space="0" w:color="000000"/>
              <w:left w:val="single" w:sz="4" w:space="0" w:color="000000"/>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80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林鹭华</w:t>
            </w:r>
          </w:p>
        </w:tc>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51</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c>
          <w:tcPr>
            <w:tcW w:w="808" w:type="dxa"/>
            <w:vMerge/>
            <w:tcBorders>
              <w:left w:val="single" w:sz="4" w:space="0" w:color="000000"/>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809" w:type="dxa"/>
            <w:vMerge/>
            <w:tcBorders>
              <w:left w:val="single" w:sz="4" w:space="0" w:color="000000"/>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809"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vMerge/>
            <w:tcBorders>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809"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8" w:type="dxa"/>
            <w:vMerge w:val="restart"/>
            <w:tcBorders>
              <w:top w:val="single" w:sz="4" w:space="0" w:color="000000"/>
              <w:left w:val="single" w:sz="4" w:space="0" w:color="000000"/>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9" w:type="dxa"/>
            <w:vMerge w:val="restart"/>
            <w:tcBorders>
              <w:top w:val="single" w:sz="4" w:space="0" w:color="000000"/>
              <w:left w:val="single" w:sz="4" w:space="0" w:color="000000"/>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80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王柏华</w:t>
            </w:r>
          </w:p>
        </w:tc>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47</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tc>
        <w:tc>
          <w:tcPr>
            <w:tcW w:w="808" w:type="dxa"/>
            <w:vMerge/>
            <w:tcBorders>
              <w:left w:val="single" w:sz="4" w:space="0" w:color="000000"/>
              <w:right w:val="single" w:sz="4" w:space="0" w:color="000000"/>
            </w:tcBorders>
          </w:tcPr>
          <w:p>
            <w:pP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809" w:type="dxa"/>
            <w:vMerge/>
            <w:tcBorders>
              <w:left w:val="single" w:sz="4" w:space="0" w:color="000000"/>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809"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vMerge/>
            <w:tcBorders>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809"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shd w:val="clear" w:color="auto" w:fill="C7EDCC"/>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8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09"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809" w:type="dxa"/>
            <w:vMerge w:val="restart"/>
            <w:tcBorders>
              <w:top w:val="single" w:sz="4" w:space="0" w:color="000000"/>
              <w:left w:val="single" w:sz="4" w:space="0" w:color="000000"/>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809"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8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51</w:t>
            </w:r>
          </w:p>
        </w:tc>
        <w:tc>
          <w:tcPr>
            <w:tcW w:w="80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c>
          <w:tcPr>
            <w:tcW w:w="809" w:type="dxa"/>
            <w:vMerge/>
            <w:tcBorders>
              <w:left w:val="single" w:sz="4" w:space="0" w:color="000000"/>
              <w:right w:val="single" w:sz="4" w:space="0" w:color="000000"/>
            </w:tcBorders>
          </w:tcPr>
          <w:p>
            <w:pPr/>
          </w:p>
        </w:tc>
        <w:tc>
          <w:tcPr>
            <w:tcW w:w="80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0</w:t>
            </w:r>
          </w:p>
        </w:tc>
      </w:tr>
      <w:tr>
        <w:trPr>
          <w:trHeight w:val="351" w:hRule="exact"/>
        </w:trPr>
        <w:tc>
          <w:tcPr>
            <w:tcW w:w="809"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shd w:val="clear" w:color="auto" w:fill="C7EDCC"/>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8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9"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c>
          <w:tcPr>
            <w:tcW w:w="809" w:type="dxa"/>
            <w:vMerge/>
            <w:tcBorders>
              <w:left w:val="single" w:sz="4" w:space="0" w:color="000000"/>
              <w:bottom w:val="single" w:sz="4" w:space="0" w:color="000000"/>
              <w:right w:val="single" w:sz="4" w:space="0" w:color="000000"/>
            </w:tcBorders>
          </w:tcPr>
          <w:p>
            <w:pPr/>
          </w:p>
        </w:tc>
        <w:tc>
          <w:tcPr>
            <w:tcW w:w="808"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616,600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616,600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5"/>
        <w:rPr>
          <w:rFonts w:ascii="Times New Roman" w:hAnsi="Times New Roman" w:cs="Times New Roman" w:eastAsia="Times New Roman" w:hint="default"/>
          <w:sz w:val="22"/>
          <w:szCs w:val="22"/>
        </w:rPr>
      </w:pPr>
    </w:p>
    <w:p>
      <w:pPr>
        <w:pStyle w:val="Heading3"/>
        <w:spacing w:line="240" w:lineRule="auto" w:before="26"/>
        <w:ind w:right="0"/>
        <w:jc w:val="left"/>
        <w:rPr>
          <w:b w:val="0"/>
          <w:bCs w:val="0"/>
        </w:rPr>
      </w:pP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0"/>
        <w:gridCol w:w="1330"/>
        <w:gridCol w:w="4247"/>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届，换届</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郭全中</w:t>
            </w:r>
          </w:p>
        </w:tc>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年年度股东大会选举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鲍林强</w:t>
            </w:r>
          </w:p>
        </w:tc>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因被任命为公司控股股东副总经理，任免上市公司总 经理以保持公司独立性</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张剑秋</w:t>
            </w:r>
          </w:p>
        </w:tc>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八届一次董事会聘任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张剑秋</w:t>
            </w:r>
          </w:p>
        </w:tc>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年第一次临时股东大会选举</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林鹭华</w:t>
            </w:r>
          </w:p>
        </w:tc>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八届四次董事会聘任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杨星</w:t>
            </w:r>
          </w:p>
        </w:tc>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因工作安排，离任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王柏华</w:t>
            </w:r>
          </w:p>
        </w:tc>
        <w:tc>
          <w:tcPr>
            <w:tcW w:w="13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八届十次董事会聘任</w:t>
            </w:r>
          </w:p>
        </w:tc>
      </w:tr>
    </w:tbl>
    <w:p>
      <w:pPr>
        <w:spacing w:line="240" w:lineRule="auto" w:before="2"/>
        <w:rPr>
          <w:rFonts w:ascii="宋体" w:hAnsi="宋体" w:cs="宋体" w:eastAsia="宋体" w:hint="default"/>
          <w:b/>
          <w:bCs/>
          <w:sz w:val="18"/>
          <w:szCs w:val="18"/>
        </w:rPr>
      </w:pPr>
    </w:p>
    <w:p>
      <w:pPr>
        <w:pStyle w:val="Heading3"/>
        <w:spacing w:line="240" w:lineRule="auto" w:before="26"/>
        <w:ind w:right="0"/>
        <w:jc w:val="left"/>
        <w:rPr>
          <w:b w:val="0"/>
          <w:bCs w:val="0"/>
        </w:rPr>
      </w:pPr>
      <w:r>
        <w:rPr/>
        <w:t>三、任职情况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12"/>
        <w:rPr>
          <w:rFonts w:ascii="宋体" w:hAnsi="宋体" w:cs="宋体" w:eastAsia="宋体" w:hint="default"/>
          <w:sz w:val="12"/>
          <w:szCs w:val="12"/>
        </w:rPr>
      </w:pPr>
    </w:p>
    <w:p>
      <w:pPr>
        <w:spacing w:line="386" w:lineRule="auto" w:before="0"/>
        <w:ind w:left="154" w:right="110" w:firstLine="360"/>
        <w:jc w:val="left"/>
        <w:rPr>
          <w:rFonts w:ascii="宋体" w:hAnsi="宋体" w:cs="宋体" w:eastAsia="宋体" w:hint="default"/>
          <w:sz w:val="21"/>
          <w:szCs w:val="21"/>
        </w:rPr>
      </w:pPr>
      <w:r>
        <w:rPr>
          <w:rFonts w:ascii="宋体" w:hAnsi="宋体" w:cs="宋体" w:eastAsia="宋体" w:hint="default"/>
          <w:spacing w:val="-2"/>
          <w:sz w:val="21"/>
          <w:szCs w:val="21"/>
        </w:rPr>
        <w:t>赵晴先生，</w:t>
      </w:r>
      <w:r>
        <w:rPr>
          <w:rFonts w:ascii="Times New Roman" w:hAnsi="Times New Roman" w:cs="Times New Roman" w:eastAsia="Times New Roman" w:hint="default"/>
          <w:spacing w:val="-2"/>
          <w:sz w:val="21"/>
          <w:szCs w:val="21"/>
        </w:rPr>
        <w:t>1956</w:t>
      </w:r>
      <w:r>
        <w:rPr>
          <w:rFonts w:ascii="宋体" w:hAnsi="宋体" w:cs="宋体" w:eastAsia="宋体" w:hint="default"/>
          <w:spacing w:val="-2"/>
          <w:sz w:val="21"/>
          <w:szCs w:val="21"/>
        </w:rPr>
        <w:t>年出生，本科，中国国籍，无境外居住权，高级编辑。</w:t>
      </w:r>
      <w:r>
        <w:rPr>
          <w:rFonts w:ascii="Times New Roman" w:hAnsi="Times New Roman" w:cs="Times New Roman" w:eastAsia="Times New Roman" w:hint="default"/>
          <w:spacing w:val="-2"/>
          <w:sz w:val="21"/>
          <w:szCs w:val="21"/>
        </w:rPr>
        <w:t>2009</w:t>
      </w:r>
      <w:r>
        <w:rPr>
          <w:rFonts w:ascii="宋体" w:hAnsi="宋体" w:cs="宋体" w:eastAsia="宋体" w:hint="default"/>
          <w:spacing w:val="-2"/>
          <w:sz w:val="21"/>
          <w:szCs w:val="21"/>
        </w:rPr>
        <w:t>年至</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月，任杭州日</w:t>
      </w:r>
      <w:r>
        <w:rPr>
          <w:rFonts w:ascii="宋体" w:hAnsi="宋体" w:cs="宋体" w:eastAsia="宋体" w:hint="default"/>
          <w:sz w:val="21"/>
          <w:szCs w:val="21"/>
        </w:rPr>
        <w:t> 报报业集团党委副书记、副社长、总编辑；</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月，任杭州日报报业集团担任党委书记、 社长；</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月至今，任杭州日报报业集团（杭州日报社）党委书记、社长，杭州日报报业集团有限公 司董事长、总经理；</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月至今，任浙江华媒控股股份有限公司董事长。</w:t>
      </w:r>
    </w:p>
    <w:p>
      <w:pPr>
        <w:spacing w:line="386" w:lineRule="auto" w:before="35"/>
        <w:ind w:left="154" w:right="151" w:firstLine="360"/>
        <w:jc w:val="both"/>
        <w:rPr>
          <w:rFonts w:ascii="宋体" w:hAnsi="宋体" w:cs="宋体" w:eastAsia="宋体" w:hint="default"/>
          <w:sz w:val="21"/>
          <w:szCs w:val="21"/>
        </w:rPr>
      </w:pPr>
      <w:r>
        <w:rPr>
          <w:rFonts w:ascii="宋体" w:hAnsi="宋体" w:cs="宋体" w:eastAsia="宋体" w:hint="default"/>
          <w:sz w:val="21"/>
          <w:szCs w:val="21"/>
        </w:rPr>
        <w:t>秦晓春先生，</w:t>
      </w:r>
      <w:r>
        <w:rPr>
          <w:rFonts w:ascii="Times New Roman" w:hAnsi="Times New Roman" w:cs="Times New Roman" w:eastAsia="Times New Roman" w:hint="default"/>
          <w:sz w:val="21"/>
          <w:szCs w:val="21"/>
        </w:rPr>
        <w:t>1956</w:t>
      </w:r>
      <w:r>
        <w:rPr>
          <w:rFonts w:ascii="宋体" w:hAnsi="宋体" w:cs="宋体" w:eastAsia="宋体" w:hint="default"/>
          <w:sz w:val="21"/>
          <w:szCs w:val="21"/>
        </w:rPr>
        <w:t>年出生，大专，中国国籍，无境外居住权。</w:t>
      </w:r>
      <w:r>
        <w:rPr>
          <w:rFonts w:ascii="Times New Roman" w:hAnsi="Times New Roman" w:cs="Times New Roman" w:eastAsia="Times New Roman" w:hint="default"/>
          <w:sz w:val="21"/>
          <w:szCs w:val="21"/>
        </w:rPr>
        <w:t>2009</w:t>
      </w:r>
      <w:r>
        <w:rPr>
          <w:rFonts w:ascii="宋体" w:hAnsi="宋体" w:cs="宋体" w:eastAsia="宋体" w:hint="default"/>
          <w:sz w:val="21"/>
          <w:szCs w:val="21"/>
        </w:rPr>
        <w:t>年至今，任杭州日报报业集团（杭 </w:t>
      </w:r>
      <w:r>
        <w:rPr>
          <w:rFonts w:ascii="宋体" w:hAnsi="宋体" w:cs="宋体" w:eastAsia="宋体" w:hint="default"/>
          <w:spacing w:val="-1"/>
          <w:sz w:val="21"/>
          <w:szCs w:val="21"/>
        </w:rPr>
        <w:t>州日报社）党委委员、副社长，杭州日报报业集团有限公司董事、副总经理；</w:t>
      </w:r>
      <w:r>
        <w:rPr>
          <w:rFonts w:ascii="Times New Roman" w:hAnsi="Times New Roman" w:cs="Times New Roman" w:eastAsia="Times New Roman" w:hint="default"/>
          <w:spacing w:val="-1"/>
          <w:sz w:val="21"/>
          <w:szCs w:val="21"/>
        </w:rPr>
        <w:t>2014</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月至今，任浙江华</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媒控股股份有限公司副董事长。</w:t>
      </w:r>
    </w:p>
    <w:p>
      <w:pPr>
        <w:spacing w:line="391" w:lineRule="auto" w:before="65"/>
        <w:ind w:left="154" w:right="149" w:firstLine="360"/>
        <w:jc w:val="both"/>
        <w:rPr>
          <w:rFonts w:ascii="宋体" w:hAnsi="宋体" w:cs="宋体" w:eastAsia="宋体" w:hint="default"/>
          <w:sz w:val="21"/>
          <w:szCs w:val="21"/>
        </w:rPr>
      </w:pPr>
      <w:r>
        <w:rPr>
          <w:rFonts w:ascii="宋体" w:hAnsi="宋体" w:cs="宋体" w:eastAsia="宋体" w:hint="default"/>
          <w:sz w:val="21"/>
          <w:szCs w:val="21"/>
        </w:rPr>
        <w:t>杨星女士，</w:t>
      </w:r>
      <w:r>
        <w:rPr>
          <w:rFonts w:ascii="Times New Roman" w:hAnsi="Times New Roman" w:cs="Times New Roman" w:eastAsia="Times New Roman" w:hint="default"/>
          <w:sz w:val="21"/>
          <w:szCs w:val="21"/>
        </w:rPr>
        <w:t>1957</w:t>
      </w:r>
      <w:r>
        <w:rPr>
          <w:rFonts w:ascii="宋体" w:hAnsi="宋体" w:cs="宋体" w:eastAsia="宋体" w:hint="default"/>
          <w:sz w:val="21"/>
          <w:szCs w:val="21"/>
        </w:rPr>
        <w:t>年出生，本科，中国国籍，无境外居住权，高级编辑，享受国务院特殊津贴。</w:t>
      </w:r>
      <w:r>
        <w:rPr>
          <w:rFonts w:ascii="Times New Roman" w:hAnsi="Times New Roman" w:cs="Times New Roman" w:eastAsia="Times New Roman" w:hint="default"/>
          <w:sz w:val="21"/>
          <w:szCs w:val="21"/>
        </w:rPr>
        <w:t>2009</w:t>
      </w:r>
      <w:r>
        <w:rPr>
          <w:rFonts w:ascii="宋体" w:hAnsi="宋体" w:cs="宋体" w:eastAsia="宋体" w:hint="default"/>
          <w:sz w:val="21"/>
          <w:szCs w:val="21"/>
        </w:rPr>
        <w:t>年 </w:t>
      </w:r>
      <w:r>
        <w:rPr>
          <w:rFonts w:ascii="宋体" w:hAnsi="宋体" w:cs="宋体" w:eastAsia="宋体" w:hint="default"/>
          <w:spacing w:val="-1"/>
          <w:sz w:val="21"/>
          <w:szCs w:val="21"/>
        </w:rPr>
        <w:t>至</w:t>
      </w:r>
      <w:r>
        <w:rPr>
          <w:rFonts w:ascii="Times New Roman" w:hAnsi="Times New Roman" w:cs="Times New Roman" w:eastAsia="Times New Roman" w:hint="default"/>
          <w:spacing w:val="-1"/>
          <w:sz w:val="21"/>
          <w:szCs w:val="21"/>
        </w:rPr>
        <w:t>2013</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9</w:t>
      </w:r>
      <w:r>
        <w:rPr>
          <w:rFonts w:ascii="宋体" w:hAnsi="宋体" w:cs="宋体" w:eastAsia="宋体" w:hint="default"/>
          <w:spacing w:val="-1"/>
          <w:sz w:val="21"/>
          <w:szCs w:val="21"/>
        </w:rPr>
        <w:t>月，任杭州日报报业集团（杭州日报社）党委委员、副总编辑，都市快报社总编辑；</w:t>
      </w:r>
      <w:r>
        <w:rPr>
          <w:rFonts w:ascii="Times New Roman" w:hAnsi="Times New Roman" w:cs="Times New Roman" w:eastAsia="Times New Roman" w:hint="default"/>
          <w:spacing w:val="-1"/>
          <w:sz w:val="21"/>
          <w:szCs w:val="21"/>
        </w:rPr>
        <w:t>2013</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9</w:t>
      </w:r>
      <w:r>
        <w:rPr>
          <w:rFonts w:ascii="宋体" w:hAnsi="宋体" w:cs="宋体" w:eastAsia="宋体" w:hint="default"/>
          <w:spacing w:val="-1"/>
          <w:sz w:val="21"/>
          <w:szCs w:val="21"/>
        </w:rPr>
        <w:t>月</w:t>
      </w:r>
      <w:r>
        <w:rPr>
          <w:rFonts w:ascii="宋体" w:hAnsi="宋体" w:cs="宋体" w:eastAsia="宋体" w:hint="default"/>
          <w:spacing w:val="-86"/>
          <w:sz w:val="21"/>
          <w:szCs w:val="21"/>
        </w:rPr>
        <w:t> </w:t>
      </w:r>
      <w:r>
        <w:rPr>
          <w:rFonts w:ascii="宋体" w:hAnsi="宋体" w:cs="宋体" w:eastAsia="宋体" w:hint="default"/>
          <w:spacing w:val="-1"/>
          <w:sz w:val="21"/>
          <w:szCs w:val="21"/>
        </w:rPr>
        <w:t>至今，任杭州日报报业集团（杭州日报社）党委委员、副总编辑，都市快报社社长，兼任浙江都市快报控</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股有限公司董事长、十九楼网络股份有限公司董事长、浙江都市艺术文化发展有限公司董事长；</w:t>
      </w:r>
      <w:r>
        <w:rPr>
          <w:rFonts w:ascii="Times New Roman" w:hAnsi="Times New Roman" w:cs="Times New Roman" w:eastAsia="Times New Roman" w:hint="default"/>
          <w:spacing w:val="-1"/>
          <w:sz w:val="21"/>
          <w:szCs w:val="21"/>
        </w:rPr>
        <w:t>2014</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Times New Roman" w:hAnsi="Times New Roman" w:cs="Times New Roman" w:eastAsia="Times New Roman" w:hint="default"/>
          <w:spacing w:val="-33"/>
          <w:sz w:val="21"/>
          <w:szCs w:val="21"/>
        </w:rPr>
        <w:t> </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月，任浙江华媒控股股份有限公司董事。</w:t>
      </w:r>
    </w:p>
    <w:p>
      <w:pPr>
        <w:spacing w:after="0" w:line="391" w:lineRule="auto"/>
        <w:jc w:val="both"/>
        <w:rPr>
          <w:rFonts w:ascii="宋体" w:hAnsi="宋体" w:cs="宋体" w:eastAsia="宋体" w:hint="default"/>
          <w:sz w:val="21"/>
          <w:szCs w:val="21"/>
        </w:rPr>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spacing w:line="386" w:lineRule="auto" w:before="35"/>
        <w:ind w:left="153" w:right="0" w:firstLine="360"/>
        <w:jc w:val="left"/>
        <w:rPr>
          <w:rFonts w:ascii="宋体" w:hAnsi="宋体" w:cs="宋体" w:eastAsia="宋体" w:hint="default"/>
          <w:sz w:val="21"/>
          <w:szCs w:val="21"/>
        </w:rPr>
      </w:pPr>
      <w:r>
        <w:rPr>
          <w:rFonts w:ascii="宋体" w:hAnsi="宋体" w:cs="宋体" w:eastAsia="宋体" w:hint="default"/>
          <w:sz w:val="21"/>
          <w:szCs w:val="21"/>
        </w:rPr>
        <w:t>鲍林强先生，</w:t>
      </w:r>
      <w:r>
        <w:rPr>
          <w:rFonts w:ascii="Times New Roman" w:hAnsi="Times New Roman" w:cs="Times New Roman" w:eastAsia="Times New Roman" w:hint="default"/>
          <w:sz w:val="21"/>
          <w:szCs w:val="21"/>
        </w:rPr>
        <w:t>1972</w:t>
      </w:r>
      <w:r>
        <w:rPr>
          <w:rFonts w:ascii="宋体" w:hAnsi="宋体" w:cs="宋体" w:eastAsia="宋体" w:hint="default"/>
          <w:sz w:val="21"/>
          <w:szCs w:val="21"/>
        </w:rPr>
        <w:t>年出生，硕士，中国国籍，无境外居住权。</w:t>
      </w:r>
      <w:r>
        <w:rPr>
          <w:rFonts w:ascii="Times New Roman" w:hAnsi="Times New Roman" w:cs="Times New Roman" w:eastAsia="Times New Roman" w:hint="default"/>
          <w:sz w:val="21"/>
          <w:szCs w:val="21"/>
        </w:rPr>
        <w:t>2009</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月，任杭报集团浙 江都市快报控股有限公司总经理；</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月至今，任杭州日报报业集团（杭州日报社）党委委员；</w:t>
      </w:r>
      <w:r>
        <w:rPr>
          <w:rFonts w:ascii="Times New Roman" w:hAnsi="Times New Roman" w:cs="Times New Roman" w:eastAsia="Times New Roman" w:hint="default"/>
          <w:sz w:val="21"/>
          <w:szCs w:val="21"/>
        </w:rPr>
        <w:t>2014 </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月至今，任浙江都市艺术文化发展有限公司董事、总经理；</w:t>
      </w:r>
      <w:r>
        <w:rPr>
          <w:rFonts w:ascii="Times New Roman" w:hAnsi="Times New Roman" w:cs="Times New Roman" w:eastAsia="Times New Roman" w:hint="default"/>
          <w:spacing w:val="-1"/>
          <w:sz w:val="21"/>
          <w:szCs w:val="21"/>
        </w:rPr>
        <w:t>2014</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月至</w:t>
      </w:r>
      <w:r>
        <w:rPr>
          <w:rFonts w:ascii="Times New Roman" w:hAnsi="Times New Roman" w:cs="Times New Roman" w:eastAsia="Times New Roman" w:hint="default"/>
          <w:spacing w:val="-1"/>
          <w:sz w:val="21"/>
          <w:szCs w:val="21"/>
        </w:rPr>
        <w:t>2015</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月，任浙江华媒控股</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股份有限公司总经理。</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月至今，任浙江华媒控股股份有限公司董事。</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月至今，任杭州日 </w:t>
      </w:r>
      <w:r>
        <w:rPr>
          <w:rFonts w:ascii="宋体" w:hAnsi="宋体" w:cs="宋体" w:eastAsia="宋体" w:hint="default"/>
          <w:spacing w:val="-1"/>
          <w:sz w:val="21"/>
          <w:szCs w:val="21"/>
        </w:rPr>
        <w:t>报报业集团有限公司副总经理；</w:t>
      </w:r>
      <w:r>
        <w:rPr>
          <w:rFonts w:ascii="Times New Roman" w:hAnsi="Times New Roman" w:cs="Times New Roman" w:eastAsia="Times New Roman" w:hint="default"/>
          <w:spacing w:val="-1"/>
          <w:sz w:val="21"/>
          <w:szCs w:val="21"/>
        </w:rPr>
        <w:t>2015</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月至</w:t>
      </w:r>
      <w:r>
        <w:rPr>
          <w:rFonts w:ascii="Times New Roman" w:hAnsi="Times New Roman" w:cs="Times New Roman" w:eastAsia="Times New Roman" w:hint="default"/>
          <w:spacing w:val="-1"/>
          <w:sz w:val="21"/>
          <w:szCs w:val="21"/>
        </w:rPr>
        <w:t>2016</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月，任浙江都市快报控股有限公司副董事长；</w:t>
      </w:r>
      <w:r>
        <w:rPr>
          <w:rFonts w:ascii="Times New Roman" w:hAnsi="Times New Roman" w:cs="Times New Roman" w:eastAsia="Times New Roman" w:hint="default"/>
          <w:spacing w:val="-1"/>
          <w:sz w:val="21"/>
          <w:szCs w:val="21"/>
        </w:rPr>
        <w:t>2015</w:t>
      </w:r>
      <w:r>
        <w:rPr>
          <w:rFonts w:ascii="宋体" w:hAnsi="宋体" w:cs="宋体" w:eastAsia="宋体" w:hint="default"/>
          <w:spacing w:val="-1"/>
          <w:sz w:val="21"/>
          <w:szCs w:val="21"/>
        </w:rPr>
        <w:t>年</w:t>
      </w:r>
      <w:r>
        <w:rPr>
          <w:rFonts w:ascii="宋体" w:hAnsi="宋体" w:cs="宋体" w:eastAsia="宋体" w:hint="default"/>
          <w:spacing w:val="-85"/>
          <w:sz w:val="21"/>
          <w:szCs w:val="21"/>
        </w:rPr>
        <w:t> </w:t>
      </w:r>
      <w:r>
        <w:rPr>
          <w:rFonts w:ascii="Times New Roman" w:hAnsi="Times New Roman" w:cs="Times New Roman" w:eastAsia="Times New Roman" w:hint="default"/>
          <w:sz w:val="21"/>
          <w:szCs w:val="21"/>
        </w:rPr>
        <w:t>9</w:t>
      </w:r>
      <w:r>
        <w:rPr>
          <w:rFonts w:ascii="宋体" w:hAnsi="宋体" w:cs="宋体" w:eastAsia="宋体" w:hint="default"/>
          <w:sz w:val="21"/>
          <w:szCs w:val="21"/>
        </w:rPr>
        <w:t>月至今，任华媒信息传播有限公司董事长。</w:t>
      </w:r>
    </w:p>
    <w:p>
      <w:pPr>
        <w:spacing w:line="391" w:lineRule="auto" w:before="35"/>
        <w:ind w:left="154" w:right="149" w:firstLine="360"/>
        <w:jc w:val="both"/>
        <w:rPr>
          <w:rFonts w:ascii="宋体" w:hAnsi="宋体" w:cs="宋体" w:eastAsia="宋体" w:hint="default"/>
          <w:sz w:val="21"/>
          <w:szCs w:val="21"/>
        </w:rPr>
      </w:pPr>
      <w:r>
        <w:rPr>
          <w:rFonts w:ascii="宋体" w:hAnsi="宋体" w:cs="宋体" w:eastAsia="宋体" w:hint="default"/>
          <w:sz w:val="21"/>
          <w:szCs w:val="21"/>
        </w:rPr>
        <w:t>汪思洋先生，</w:t>
      </w:r>
      <w:r>
        <w:rPr>
          <w:rFonts w:ascii="Times New Roman" w:hAnsi="Times New Roman" w:cs="Times New Roman" w:eastAsia="Times New Roman" w:hint="default"/>
          <w:sz w:val="21"/>
          <w:szCs w:val="21"/>
        </w:rPr>
        <w:t>1987</w:t>
      </w:r>
      <w:r>
        <w:rPr>
          <w:rFonts w:ascii="宋体" w:hAnsi="宋体" w:cs="宋体" w:eastAsia="宋体" w:hint="default"/>
          <w:sz w:val="21"/>
          <w:szCs w:val="21"/>
        </w:rPr>
        <w:t>年生，本科，中国国籍，无境外居住权。</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月担任华立集团股份 有限公司投资管理部副部长；</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月担任华立集团股份有限公司总裁助理；现任华立集 </w:t>
      </w:r>
      <w:r>
        <w:rPr>
          <w:rFonts w:ascii="宋体" w:hAnsi="宋体" w:cs="宋体" w:eastAsia="宋体" w:hint="default"/>
          <w:spacing w:val="-1"/>
          <w:sz w:val="21"/>
          <w:szCs w:val="21"/>
        </w:rPr>
        <w:t>团股份有限公司副总裁、华方医药科技有限公司副总裁、健民药业集团股份有限公司董事、昆药集团股份</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有限公司董事；</w:t>
      </w:r>
      <w:r>
        <w:rPr>
          <w:rFonts w:ascii="Times New Roman" w:hAnsi="Times New Roman" w:cs="Times New Roman" w:eastAsia="Times New Roman" w:hint="default"/>
          <w:spacing w:val="-1"/>
          <w:sz w:val="21"/>
          <w:szCs w:val="21"/>
        </w:rPr>
        <w:t>2013</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8</w:t>
      </w:r>
      <w:r>
        <w:rPr>
          <w:rFonts w:ascii="宋体" w:hAnsi="宋体" w:cs="宋体" w:eastAsia="宋体" w:hint="default"/>
          <w:spacing w:val="-1"/>
          <w:sz w:val="21"/>
          <w:szCs w:val="21"/>
        </w:rPr>
        <w:t>月至今，担任杭州合盛置业有限公司董事；</w:t>
      </w:r>
      <w:r>
        <w:rPr>
          <w:rFonts w:ascii="Times New Roman" w:hAnsi="Times New Roman" w:cs="Times New Roman" w:eastAsia="Times New Roman" w:hint="default"/>
          <w:spacing w:val="-1"/>
          <w:sz w:val="21"/>
          <w:szCs w:val="21"/>
        </w:rPr>
        <w:t>2013</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8</w:t>
      </w:r>
      <w:r>
        <w:rPr>
          <w:rFonts w:ascii="宋体" w:hAnsi="宋体" w:cs="宋体" w:eastAsia="宋体" w:hint="default"/>
          <w:spacing w:val="-1"/>
          <w:sz w:val="21"/>
          <w:szCs w:val="21"/>
        </w:rPr>
        <w:t>月至今，担任浙江华媒控股股</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份有限公司董事。</w:t>
      </w:r>
    </w:p>
    <w:p>
      <w:pPr>
        <w:spacing w:line="386" w:lineRule="auto" w:before="61"/>
        <w:ind w:left="153" w:right="94" w:firstLine="360"/>
        <w:jc w:val="left"/>
        <w:rPr>
          <w:rFonts w:ascii="宋体" w:hAnsi="宋体" w:cs="宋体" w:eastAsia="宋体" w:hint="default"/>
          <w:sz w:val="21"/>
          <w:szCs w:val="21"/>
        </w:rPr>
      </w:pPr>
      <w:r>
        <w:rPr>
          <w:rFonts w:ascii="宋体" w:hAnsi="宋体" w:cs="宋体" w:eastAsia="宋体" w:hint="default"/>
          <w:sz w:val="21"/>
          <w:szCs w:val="21"/>
        </w:rPr>
        <w:t>张剑秋先生，</w:t>
      </w:r>
      <w:r>
        <w:rPr>
          <w:rFonts w:ascii="Times New Roman" w:hAnsi="Times New Roman" w:cs="Times New Roman" w:eastAsia="Times New Roman" w:hint="default"/>
          <w:sz w:val="21"/>
          <w:szCs w:val="21"/>
        </w:rPr>
        <w:t>1972</w:t>
      </w:r>
      <w:r>
        <w:rPr>
          <w:rFonts w:ascii="Times New Roman" w:hAnsi="Times New Roman" w:cs="Times New Roman" w:eastAsia="Times New Roman" w:hint="default"/>
          <w:spacing w:val="24"/>
          <w:sz w:val="21"/>
          <w:szCs w:val="21"/>
        </w:rPr>
        <w:t> </w:t>
      </w:r>
      <w:r>
        <w:rPr>
          <w:rFonts w:ascii="宋体" w:hAnsi="宋体" w:cs="宋体" w:eastAsia="宋体" w:hint="default"/>
          <w:sz w:val="21"/>
          <w:szCs w:val="21"/>
        </w:rPr>
        <w:t>年生，硕士，中国国籍，无境外居住权，主任编辑职称。</w:t>
      </w:r>
      <w:r>
        <w:rPr>
          <w:rFonts w:ascii="Times New Roman" w:hAnsi="Times New Roman" w:cs="Times New Roman" w:eastAsia="Times New Roman" w:hint="default"/>
          <w:sz w:val="21"/>
          <w:szCs w:val="21"/>
        </w:rPr>
        <w:t>2009</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 任杭报集团发行中心主任、每日送电子商务有限公司总经理；</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月，任杭报集团编委、 每日商报社社长；</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月，任杭报集团杭州每日传媒有限公司董事长、总经理；</w:t>
      </w:r>
      <w:r>
        <w:rPr>
          <w:rFonts w:ascii="Times New Roman" w:hAnsi="Times New Roman" w:cs="Times New Roman" w:eastAsia="Times New Roman" w:hint="default"/>
          <w:sz w:val="21"/>
          <w:szCs w:val="21"/>
        </w:rPr>
        <w:t>2014</w:t>
      </w:r>
      <w:r>
        <w:rPr>
          <w:rFonts w:ascii="宋体" w:hAnsi="宋体" w:cs="宋体" w:eastAsia="宋体" w:hint="default"/>
          <w:sz w:val="21"/>
          <w:szCs w:val="21"/>
        </w:rPr>
        <w:t>年 </w:t>
      </w:r>
      <w:r>
        <w:rPr>
          <w:rFonts w:ascii="Times New Roman" w:hAnsi="Times New Roman" w:cs="Times New Roman" w:eastAsia="Times New Roman" w:hint="default"/>
          <w:sz w:val="21"/>
          <w:szCs w:val="21"/>
        </w:rPr>
        <w:t>9</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月，任杭州每日传媒有限公司董事长、杭州富阳日报传媒有限公司董事长、杭州余杭晨报传 媒有限公司董事长；</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月，任浙江华媒控股股份有限公司副总经理；</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月至今， 任浙江华媒控股股份有限公司总经理；</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月至今，任杭州华泰一媒文化传播有限公司董事长；</w:t>
      </w: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月至今，任杭州华创全媒科创园区管理有限公司董事长、浙江华媒投资有限公司董事长；</w:t>
      </w: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月至 今，任浙江华媒控股股份有限公司董事。</w:t>
      </w:r>
    </w:p>
    <w:p>
      <w:pPr>
        <w:spacing w:line="391" w:lineRule="auto" w:before="65"/>
        <w:ind w:left="154" w:right="146" w:firstLine="360"/>
        <w:jc w:val="both"/>
        <w:rPr>
          <w:rFonts w:ascii="宋体" w:hAnsi="宋体" w:cs="宋体" w:eastAsia="宋体" w:hint="default"/>
          <w:sz w:val="21"/>
          <w:szCs w:val="21"/>
        </w:rPr>
      </w:pPr>
      <w:r>
        <w:rPr>
          <w:rFonts w:ascii="宋体" w:hAnsi="宋体" w:cs="宋体" w:eastAsia="宋体" w:hint="default"/>
          <w:sz w:val="21"/>
          <w:szCs w:val="21"/>
        </w:rPr>
        <w:t>叶雪芳女士，</w:t>
      </w:r>
      <w:r>
        <w:rPr>
          <w:rFonts w:ascii="Times New Roman" w:hAnsi="Times New Roman" w:cs="Times New Roman" w:eastAsia="Times New Roman" w:hint="default"/>
          <w:sz w:val="21"/>
          <w:szCs w:val="21"/>
        </w:rPr>
        <w:t>1966</w:t>
      </w:r>
      <w:r>
        <w:rPr>
          <w:rFonts w:ascii="宋体" w:hAnsi="宋体" w:cs="宋体" w:eastAsia="宋体" w:hint="default"/>
          <w:sz w:val="21"/>
          <w:szCs w:val="21"/>
        </w:rPr>
        <w:t>年出生，硕士，教授、注册会计师、资产评估师，中国国籍，无境外居住权。浙江</w:t>
      </w:r>
      <w:r>
        <w:rPr>
          <w:rFonts w:ascii="宋体" w:hAnsi="宋体" w:cs="宋体" w:eastAsia="宋体" w:hint="default"/>
          <w:spacing w:val="1"/>
          <w:sz w:val="21"/>
          <w:szCs w:val="21"/>
        </w:rPr>
        <w:t> </w:t>
      </w:r>
      <w:r>
        <w:rPr>
          <w:rFonts w:ascii="宋体" w:hAnsi="宋体" w:cs="宋体" w:eastAsia="宋体" w:hint="default"/>
          <w:spacing w:val="-1"/>
          <w:sz w:val="21"/>
          <w:szCs w:val="21"/>
        </w:rPr>
        <w:t>工商大学财务与会计学院担任会计学教授，主讲审计学、舞弊审计、审计理论与实务等本科生、研究生课</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
          <w:sz w:val="21"/>
          <w:szCs w:val="21"/>
        </w:rPr>
        <w:t>程；</w:t>
      </w:r>
      <w:r>
        <w:rPr>
          <w:rFonts w:ascii="Times New Roman" w:hAnsi="Times New Roman" w:cs="Times New Roman" w:eastAsia="Times New Roman" w:hint="default"/>
          <w:spacing w:val="-1"/>
          <w:sz w:val="21"/>
          <w:szCs w:val="21"/>
        </w:rPr>
        <w:t>2012</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月至今，任浙江海亮股份有限公司独立董事；</w:t>
      </w:r>
      <w:r>
        <w:rPr>
          <w:rFonts w:ascii="Times New Roman" w:hAnsi="Times New Roman" w:cs="Times New Roman" w:eastAsia="Times New Roman" w:hint="default"/>
          <w:spacing w:val="-1"/>
          <w:sz w:val="21"/>
          <w:szCs w:val="21"/>
        </w:rPr>
        <w:t>2009</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月至今，任浙江华策影视股份有限公司</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独立董事；</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月至今，任浙江康恩贝制药股份有限公司独立董事；</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月至今，任浙江华媒控</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股股份有限公司独立董事。</w:t>
      </w:r>
    </w:p>
    <w:p>
      <w:pPr>
        <w:spacing w:line="386" w:lineRule="auto" w:before="61"/>
        <w:ind w:left="154" w:right="110" w:firstLine="360"/>
        <w:jc w:val="left"/>
        <w:rPr>
          <w:rFonts w:ascii="宋体" w:hAnsi="宋体" w:cs="宋体" w:eastAsia="宋体" w:hint="default"/>
          <w:sz w:val="21"/>
          <w:szCs w:val="21"/>
        </w:rPr>
      </w:pPr>
      <w:r>
        <w:rPr>
          <w:rFonts w:ascii="宋体" w:hAnsi="宋体" w:cs="宋体" w:eastAsia="宋体" w:hint="default"/>
          <w:spacing w:val="-2"/>
          <w:sz w:val="21"/>
          <w:szCs w:val="21"/>
        </w:rPr>
        <w:t>蔡才河先生，</w:t>
      </w:r>
      <w:r>
        <w:rPr>
          <w:rFonts w:ascii="Times New Roman" w:hAnsi="Times New Roman" w:cs="Times New Roman" w:eastAsia="Times New Roman" w:hint="default"/>
          <w:spacing w:val="-2"/>
          <w:sz w:val="21"/>
          <w:szCs w:val="21"/>
        </w:rPr>
        <w:t>1970</w:t>
      </w:r>
      <w:r>
        <w:rPr>
          <w:rFonts w:ascii="宋体" w:hAnsi="宋体" w:cs="宋体" w:eastAsia="宋体" w:hint="default"/>
          <w:spacing w:val="-2"/>
          <w:sz w:val="21"/>
          <w:szCs w:val="21"/>
        </w:rPr>
        <w:t>年出生，硕士，注册会计师、注册税务师，中国国籍，无境外居住权。</w:t>
      </w:r>
      <w:r>
        <w:rPr>
          <w:rFonts w:ascii="Times New Roman" w:hAnsi="Times New Roman" w:cs="Times New Roman" w:eastAsia="Times New Roman" w:hint="default"/>
          <w:spacing w:val="-2"/>
          <w:sz w:val="21"/>
          <w:szCs w:val="21"/>
        </w:rPr>
        <w:t>2007</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月至</w:t>
      </w:r>
      <w:r>
        <w:rPr>
          <w:rFonts w:ascii="宋体" w:hAnsi="宋体" w:cs="宋体" w:eastAsia="宋体" w:hint="default"/>
          <w:sz w:val="21"/>
          <w:szCs w:val="21"/>
        </w:rPr>
        <w:t> </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月，历任深圳发展银行</w:t>
      </w:r>
      <w:r>
        <w:rPr>
          <w:rFonts w:ascii="Times New Roman" w:hAnsi="Times New Roman" w:cs="Times New Roman" w:eastAsia="Times New Roman" w:hint="default"/>
          <w:sz w:val="21"/>
          <w:szCs w:val="21"/>
        </w:rPr>
        <w:t>/</w:t>
      </w:r>
      <w:r>
        <w:rPr>
          <w:rFonts w:ascii="宋体" w:hAnsi="宋体" w:cs="宋体" w:eastAsia="宋体" w:hint="default"/>
          <w:sz w:val="21"/>
          <w:szCs w:val="21"/>
        </w:rPr>
        <w:t>平安银行杭州分行投资银行部总经理助理、副总经理、总经理；</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3 </w:t>
      </w:r>
      <w:r>
        <w:rPr>
          <w:rFonts w:ascii="宋体" w:hAnsi="宋体" w:cs="宋体" w:eastAsia="宋体" w:hint="default"/>
          <w:spacing w:val="-1"/>
          <w:sz w:val="21"/>
          <w:szCs w:val="21"/>
        </w:rPr>
        <w:t>月至今，任浙江省物产集团有限公司投资与金融产业部副部长、资金运营管理中心副主任；</w:t>
      </w:r>
      <w:r>
        <w:rPr>
          <w:rFonts w:ascii="Times New Roman" w:hAnsi="Times New Roman" w:cs="Times New Roman" w:eastAsia="Times New Roman" w:hint="default"/>
          <w:spacing w:val="-1"/>
          <w:sz w:val="21"/>
          <w:szCs w:val="21"/>
        </w:rPr>
        <w:t>2014</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月至</w:t>
      </w:r>
      <w:r>
        <w:rPr>
          <w:rFonts w:ascii="宋体" w:hAnsi="宋体" w:cs="宋体" w:eastAsia="宋体" w:hint="default"/>
          <w:spacing w:val="-83"/>
          <w:sz w:val="21"/>
          <w:szCs w:val="21"/>
        </w:rPr>
        <w:t> </w:t>
      </w:r>
      <w:r>
        <w:rPr>
          <w:rFonts w:ascii="宋体" w:hAnsi="宋体" w:cs="宋体" w:eastAsia="宋体" w:hint="default"/>
          <w:sz w:val="21"/>
          <w:szCs w:val="21"/>
        </w:rPr>
        <w:t>今，任浙江华媒控股股份有限公司独立董事；</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月至今，任物产中大集团财务有限公司副董事长、 总经理。</w:t>
      </w:r>
    </w:p>
    <w:p>
      <w:pPr>
        <w:spacing w:before="65"/>
        <w:ind w:left="514" w:right="0" w:firstLine="0"/>
        <w:jc w:val="left"/>
        <w:rPr>
          <w:rFonts w:ascii="宋体" w:hAnsi="宋体" w:cs="宋体" w:eastAsia="宋体" w:hint="default"/>
          <w:sz w:val="21"/>
          <w:szCs w:val="21"/>
        </w:rPr>
      </w:pPr>
      <w:r>
        <w:rPr>
          <w:rFonts w:ascii="宋体" w:hAnsi="宋体" w:cs="宋体" w:eastAsia="宋体" w:hint="default"/>
          <w:sz w:val="21"/>
          <w:szCs w:val="21"/>
        </w:rPr>
        <w:t>郭全中先生，</w:t>
      </w:r>
      <w:r>
        <w:rPr>
          <w:rFonts w:ascii="Times New Roman" w:hAnsi="Times New Roman" w:cs="Times New Roman" w:eastAsia="Times New Roman" w:hint="default"/>
          <w:sz w:val="21"/>
          <w:szCs w:val="21"/>
        </w:rPr>
        <w:t>1976</w:t>
      </w:r>
      <w:r>
        <w:rPr>
          <w:rFonts w:ascii="宋体" w:hAnsi="宋体" w:cs="宋体" w:eastAsia="宋体" w:hint="default"/>
          <w:sz w:val="21"/>
          <w:szCs w:val="21"/>
        </w:rPr>
        <w:t>年生，管理学博士后，中国国籍，高级经济师。</w:t>
      </w: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月，担任南方</w:t>
      </w:r>
    </w:p>
    <w:p>
      <w:pPr>
        <w:spacing w:after="0"/>
        <w:jc w:val="left"/>
        <w:rPr>
          <w:rFonts w:ascii="宋体" w:hAnsi="宋体" w:cs="宋体" w:eastAsia="宋体" w:hint="default"/>
          <w:sz w:val="21"/>
          <w:szCs w:val="21"/>
        </w:rPr>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spacing w:line="386" w:lineRule="auto" w:before="35"/>
        <w:ind w:left="154" w:right="189" w:hanging="1"/>
        <w:jc w:val="both"/>
        <w:rPr>
          <w:rFonts w:ascii="宋体" w:hAnsi="宋体" w:cs="宋体" w:eastAsia="宋体" w:hint="default"/>
          <w:sz w:val="21"/>
          <w:szCs w:val="21"/>
        </w:rPr>
      </w:pPr>
      <w:r>
        <w:rPr>
          <w:rFonts w:ascii="宋体" w:hAnsi="宋体" w:cs="宋体" w:eastAsia="宋体" w:hint="default"/>
          <w:sz w:val="21"/>
          <w:szCs w:val="21"/>
        </w:rPr>
        <w:t>报业传媒集团战略运营部副主任；</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月，担任中国新闻出版传媒集团公司董事会秘书、 </w:t>
      </w:r>
      <w:r>
        <w:rPr>
          <w:rFonts w:ascii="宋体" w:hAnsi="宋体" w:cs="宋体" w:eastAsia="宋体" w:hint="default"/>
          <w:spacing w:val="-1"/>
          <w:sz w:val="21"/>
          <w:szCs w:val="21"/>
        </w:rPr>
        <w:t>投资咨询部主任；</w:t>
      </w:r>
      <w:r>
        <w:rPr>
          <w:rFonts w:ascii="Times New Roman" w:hAnsi="Times New Roman" w:cs="Times New Roman" w:eastAsia="Times New Roman" w:hint="default"/>
          <w:spacing w:val="-1"/>
          <w:sz w:val="21"/>
          <w:szCs w:val="21"/>
        </w:rPr>
        <w:t>2012</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8</w:t>
      </w:r>
      <w:r>
        <w:rPr>
          <w:rFonts w:ascii="宋体" w:hAnsi="宋体" w:cs="宋体" w:eastAsia="宋体" w:hint="default"/>
          <w:spacing w:val="-1"/>
          <w:sz w:val="21"/>
          <w:szCs w:val="21"/>
        </w:rPr>
        <w:t>月至今，担任国家行政学院高级经济师；</w:t>
      </w:r>
      <w:r>
        <w:rPr>
          <w:rFonts w:ascii="Times New Roman" w:hAnsi="Times New Roman" w:cs="Times New Roman" w:eastAsia="Times New Roman" w:hint="default"/>
          <w:spacing w:val="-1"/>
          <w:sz w:val="21"/>
          <w:szCs w:val="21"/>
        </w:rPr>
        <w:t>2015</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月至今，任浙江华媒控股股份</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有限公司独立董事；</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月至今，任华闻传媒投资集团股份有限公司独立董事。</w:t>
      </w:r>
    </w:p>
    <w:p>
      <w:pPr>
        <w:spacing w:line="386" w:lineRule="auto" w:before="35"/>
        <w:ind w:left="154" w:right="101" w:firstLine="360"/>
        <w:jc w:val="left"/>
        <w:rPr>
          <w:rFonts w:ascii="宋体" w:hAnsi="宋体" w:cs="宋体" w:eastAsia="宋体" w:hint="default"/>
          <w:sz w:val="21"/>
          <w:szCs w:val="21"/>
        </w:rPr>
      </w:pPr>
      <w:r>
        <w:rPr>
          <w:rFonts w:ascii="宋体" w:hAnsi="宋体" w:cs="宋体" w:eastAsia="宋体" w:hint="default"/>
          <w:sz w:val="21"/>
          <w:szCs w:val="21"/>
        </w:rPr>
        <w:t>陆春祥先生，</w:t>
      </w:r>
      <w:r>
        <w:rPr>
          <w:rFonts w:ascii="Times New Roman" w:hAnsi="Times New Roman" w:cs="Times New Roman" w:eastAsia="Times New Roman" w:hint="default"/>
          <w:sz w:val="21"/>
          <w:szCs w:val="21"/>
        </w:rPr>
        <w:t>1961</w:t>
      </w:r>
      <w:r>
        <w:rPr>
          <w:rFonts w:ascii="宋体" w:hAnsi="宋体" w:cs="宋体" w:eastAsia="宋体" w:hint="default"/>
          <w:sz w:val="21"/>
          <w:szCs w:val="21"/>
        </w:rPr>
        <w:t>年出生，本科，中国国籍，无境外居住权，一级作家，鲁迅文学奖获得者。</w:t>
      </w:r>
      <w:r>
        <w:rPr>
          <w:rFonts w:ascii="Times New Roman" w:hAnsi="Times New Roman" w:cs="Times New Roman" w:eastAsia="Times New Roman" w:hint="default"/>
          <w:sz w:val="21"/>
          <w:szCs w:val="21"/>
        </w:rPr>
        <w:t>2007</w:t>
      </w:r>
      <w:r>
        <w:rPr>
          <w:rFonts w:ascii="宋体" w:hAnsi="宋体" w:cs="宋体" w:eastAsia="宋体" w:hint="default"/>
          <w:sz w:val="21"/>
          <w:szCs w:val="21"/>
        </w:rPr>
        <w:t>年 </w:t>
      </w:r>
      <w:r>
        <w:rPr>
          <w:rFonts w:ascii="宋体" w:hAnsi="宋体" w:cs="宋体" w:eastAsia="宋体" w:hint="default"/>
          <w:spacing w:val="-1"/>
          <w:sz w:val="21"/>
          <w:szCs w:val="21"/>
        </w:rPr>
        <w:t>至</w:t>
      </w:r>
      <w:r>
        <w:rPr>
          <w:rFonts w:ascii="Times New Roman" w:hAnsi="Times New Roman" w:cs="Times New Roman" w:eastAsia="Times New Roman" w:hint="default"/>
          <w:spacing w:val="-1"/>
          <w:sz w:val="21"/>
          <w:szCs w:val="21"/>
        </w:rPr>
        <w:t>2014</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7</w:t>
      </w:r>
      <w:r>
        <w:rPr>
          <w:rFonts w:ascii="宋体" w:hAnsi="宋体" w:cs="宋体" w:eastAsia="宋体" w:hint="default"/>
          <w:spacing w:val="-1"/>
          <w:sz w:val="21"/>
          <w:szCs w:val="21"/>
        </w:rPr>
        <w:t>月，任杭报集团杭州日报经营中心主任；</w:t>
      </w:r>
      <w:r>
        <w:rPr>
          <w:rFonts w:ascii="Times New Roman" w:hAnsi="Times New Roman" w:cs="Times New Roman" w:eastAsia="Times New Roman" w:hint="default"/>
          <w:spacing w:val="-1"/>
          <w:sz w:val="21"/>
          <w:szCs w:val="21"/>
        </w:rPr>
        <w:t>2007</w:t>
      </w:r>
      <w:r>
        <w:rPr>
          <w:rFonts w:ascii="宋体" w:hAnsi="宋体" w:cs="宋体" w:eastAsia="宋体" w:hint="default"/>
          <w:spacing w:val="-1"/>
          <w:sz w:val="21"/>
          <w:szCs w:val="21"/>
        </w:rPr>
        <w:t>年至</w:t>
      </w:r>
      <w:r>
        <w:rPr>
          <w:rFonts w:ascii="Times New Roman" w:hAnsi="Times New Roman" w:cs="Times New Roman" w:eastAsia="Times New Roman" w:hint="default"/>
          <w:spacing w:val="-1"/>
          <w:sz w:val="21"/>
          <w:szCs w:val="21"/>
        </w:rPr>
        <w:t>2014</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月，任杭报集团杭州日报编委；</w:t>
      </w:r>
      <w:r>
        <w:rPr>
          <w:rFonts w:ascii="Times New Roman" w:hAnsi="Times New Roman" w:cs="Times New Roman" w:eastAsia="Times New Roman" w:hint="default"/>
          <w:spacing w:val="-1"/>
          <w:sz w:val="21"/>
          <w:szCs w:val="21"/>
        </w:rPr>
        <w:t>2007</w:t>
      </w:r>
      <w:r>
        <w:rPr>
          <w:rFonts w:ascii="Times New Roman" w:hAnsi="Times New Roman" w:cs="Times New Roman" w:eastAsia="Times New Roman" w:hint="default"/>
          <w:spacing w:val="-34"/>
          <w:sz w:val="21"/>
          <w:szCs w:val="21"/>
        </w:rPr>
        <w:t> </w:t>
      </w:r>
      <w:r>
        <w:rPr>
          <w:rFonts w:ascii="Times New Roman" w:hAnsi="Times New Roman" w:cs="Times New Roman" w:eastAsia="Times New Roman" w:hint="default"/>
          <w:spacing w:val="-34"/>
          <w:sz w:val="21"/>
          <w:szCs w:val="21"/>
        </w:rPr>
      </w:r>
      <w:r>
        <w:rPr>
          <w:rFonts w:ascii="宋体" w:hAnsi="宋体" w:cs="宋体" w:eastAsia="宋体" w:hint="default"/>
          <w:sz w:val="21"/>
          <w:szCs w:val="21"/>
        </w:rPr>
        <w:t>年至</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月，任杭报集团杭州日报传媒有限公司董事、常务副总经理；</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月至今，任浙江华媒 控股股份有限公司监事会主席。</w:t>
      </w:r>
    </w:p>
    <w:p>
      <w:pPr>
        <w:spacing w:line="386" w:lineRule="auto" w:before="65"/>
        <w:ind w:left="154" w:right="209" w:firstLine="360"/>
        <w:jc w:val="both"/>
        <w:rPr>
          <w:rFonts w:ascii="宋体" w:hAnsi="宋体" w:cs="宋体" w:eastAsia="宋体" w:hint="default"/>
          <w:sz w:val="21"/>
          <w:szCs w:val="21"/>
        </w:rPr>
      </w:pPr>
      <w:r>
        <w:rPr>
          <w:rFonts w:ascii="宋体" w:hAnsi="宋体" w:cs="宋体" w:eastAsia="宋体" w:hint="default"/>
          <w:spacing w:val="-2"/>
          <w:sz w:val="21"/>
          <w:szCs w:val="21"/>
        </w:rPr>
        <w:t>陈军雄先生，</w:t>
      </w:r>
      <w:r>
        <w:rPr>
          <w:rFonts w:ascii="Times New Roman" w:hAnsi="Times New Roman" w:cs="Times New Roman" w:eastAsia="Times New Roman" w:hint="default"/>
          <w:spacing w:val="-2"/>
          <w:sz w:val="21"/>
          <w:szCs w:val="21"/>
        </w:rPr>
        <w:t>1965</w:t>
      </w:r>
      <w:r>
        <w:rPr>
          <w:rFonts w:ascii="宋体" w:hAnsi="宋体" w:cs="宋体" w:eastAsia="宋体" w:hint="default"/>
          <w:spacing w:val="-2"/>
          <w:sz w:val="21"/>
          <w:szCs w:val="21"/>
        </w:rPr>
        <w:t>年出生，大专，中国国籍，无境外居住权。</w:t>
      </w:r>
      <w:r>
        <w:rPr>
          <w:rFonts w:ascii="Times New Roman" w:hAnsi="Times New Roman" w:cs="Times New Roman" w:eastAsia="Times New Roman" w:hint="default"/>
          <w:spacing w:val="-2"/>
          <w:sz w:val="21"/>
          <w:szCs w:val="21"/>
        </w:rPr>
        <w:t>2009</w:t>
      </w:r>
      <w:r>
        <w:rPr>
          <w:rFonts w:ascii="宋体" w:hAnsi="宋体" w:cs="宋体" w:eastAsia="宋体" w:hint="default"/>
          <w:spacing w:val="-2"/>
          <w:sz w:val="21"/>
          <w:szCs w:val="21"/>
        </w:rPr>
        <w:t>年至</w:t>
      </w:r>
      <w:r>
        <w:rPr>
          <w:rFonts w:ascii="Times New Roman" w:hAnsi="Times New Roman" w:cs="Times New Roman" w:eastAsia="Times New Roman" w:hint="default"/>
          <w:spacing w:val="-2"/>
          <w:sz w:val="21"/>
          <w:szCs w:val="21"/>
        </w:rPr>
        <w:t>2014</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月，任杭报集团都市快</w:t>
      </w:r>
      <w:r>
        <w:rPr>
          <w:rFonts w:ascii="宋体" w:hAnsi="宋体" w:cs="宋体" w:eastAsia="宋体" w:hint="default"/>
          <w:sz w:val="21"/>
          <w:szCs w:val="21"/>
        </w:rPr>
        <w:t> </w:t>
      </w:r>
      <w:r>
        <w:rPr>
          <w:rFonts w:ascii="宋体" w:hAnsi="宋体" w:cs="宋体" w:eastAsia="宋体" w:hint="default"/>
          <w:spacing w:val="-1"/>
          <w:sz w:val="21"/>
          <w:szCs w:val="21"/>
        </w:rPr>
        <w:t>报社编委；</w:t>
      </w:r>
      <w:r>
        <w:rPr>
          <w:rFonts w:ascii="Times New Roman" w:hAnsi="Times New Roman" w:cs="Times New Roman" w:eastAsia="Times New Roman" w:hint="default"/>
          <w:spacing w:val="-1"/>
          <w:sz w:val="21"/>
          <w:szCs w:val="21"/>
        </w:rPr>
        <w:t>2012</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11</w:t>
      </w:r>
      <w:r>
        <w:rPr>
          <w:rFonts w:ascii="宋体" w:hAnsi="宋体" w:cs="宋体" w:eastAsia="宋体" w:hint="default"/>
          <w:spacing w:val="-1"/>
          <w:sz w:val="21"/>
          <w:szCs w:val="21"/>
        </w:rPr>
        <w:t>月至今，任浙江都市快报控股有限公司董事、副总经理；</w:t>
      </w:r>
      <w:r>
        <w:rPr>
          <w:rFonts w:ascii="Times New Roman" w:hAnsi="Times New Roman" w:cs="Times New Roman" w:eastAsia="Times New Roman" w:hint="default"/>
          <w:spacing w:val="-1"/>
          <w:sz w:val="21"/>
          <w:szCs w:val="21"/>
        </w:rPr>
        <w:t>2014</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月至今，任浙江华</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
          <w:sz w:val="21"/>
          <w:szCs w:val="21"/>
        </w:rPr>
        <w:t>媒控股股份有限公司监事；</w:t>
      </w:r>
      <w:r>
        <w:rPr>
          <w:rFonts w:ascii="Times New Roman" w:hAnsi="Times New Roman" w:cs="Times New Roman" w:eastAsia="Times New Roman" w:hint="default"/>
          <w:spacing w:val="-1"/>
          <w:sz w:val="21"/>
          <w:szCs w:val="21"/>
        </w:rPr>
        <w:t>2015</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月至今，任杭州都健网络科技有限公司董事长；</w:t>
      </w:r>
      <w:r>
        <w:rPr>
          <w:rFonts w:ascii="Times New Roman" w:hAnsi="Times New Roman" w:cs="Times New Roman" w:eastAsia="Times New Roman" w:hint="default"/>
          <w:spacing w:val="-1"/>
          <w:sz w:val="21"/>
          <w:szCs w:val="21"/>
        </w:rPr>
        <w:t>2015</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月至今，任杭</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州都市周报传媒有限公司董事长、总经理；</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月至今，任浙江饭美科技有限公司董事。</w:t>
      </w:r>
    </w:p>
    <w:p>
      <w:pPr>
        <w:spacing w:line="391" w:lineRule="auto" w:before="35"/>
        <w:ind w:left="154" w:right="101" w:firstLine="360"/>
        <w:jc w:val="left"/>
        <w:rPr>
          <w:rFonts w:ascii="宋体" w:hAnsi="宋体" w:cs="宋体" w:eastAsia="宋体" w:hint="default"/>
          <w:sz w:val="21"/>
          <w:szCs w:val="21"/>
        </w:rPr>
      </w:pPr>
      <w:r>
        <w:rPr>
          <w:rFonts w:ascii="宋体" w:hAnsi="宋体" w:cs="宋体" w:eastAsia="宋体" w:hint="default"/>
          <w:sz w:val="21"/>
          <w:szCs w:val="21"/>
        </w:rPr>
        <w:t>裴蓉女士，</w:t>
      </w:r>
      <w:r>
        <w:rPr>
          <w:rFonts w:ascii="Times New Roman" w:hAnsi="Times New Roman" w:cs="Times New Roman" w:eastAsia="Times New Roman" w:hint="default"/>
          <w:sz w:val="21"/>
          <w:szCs w:val="21"/>
        </w:rPr>
        <w:t>1971</w:t>
      </w:r>
      <w:r>
        <w:rPr>
          <w:rFonts w:ascii="宋体" w:hAnsi="宋体" w:cs="宋体" w:eastAsia="宋体" w:hint="default"/>
          <w:sz w:val="21"/>
          <w:szCs w:val="21"/>
        </w:rPr>
        <w:t>年出生，硕士，中国注册会计师，国际注册内审师，中国国籍，无境外居住权。</w:t>
      </w:r>
      <w:r>
        <w:rPr>
          <w:rFonts w:ascii="Times New Roman" w:hAnsi="Times New Roman" w:cs="Times New Roman" w:eastAsia="Times New Roman" w:hint="default"/>
          <w:sz w:val="21"/>
          <w:szCs w:val="21"/>
        </w:rPr>
        <w:t>1992 </w:t>
      </w:r>
      <w:r>
        <w:rPr>
          <w:rFonts w:ascii="宋体" w:hAnsi="宋体" w:cs="宋体" w:eastAsia="宋体" w:hint="default"/>
          <w:sz w:val="21"/>
          <w:szCs w:val="21"/>
        </w:rPr>
        <w:t>年起参加工作，任杭州侨兴织带机厂财务科副科长；</w:t>
      </w:r>
      <w:r>
        <w:rPr>
          <w:rFonts w:ascii="Times New Roman" w:hAnsi="Times New Roman" w:cs="Times New Roman" w:eastAsia="Times New Roman" w:hint="default"/>
          <w:sz w:val="21"/>
          <w:szCs w:val="21"/>
        </w:rPr>
        <w:t>1994</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月进入华立集团工作，历任财务经理、审计 </w:t>
      </w:r>
      <w:r>
        <w:rPr>
          <w:rFonts w:ascii="宋体" w:hAnsi="宋体" w:cs="宋体" w:eastAsia="宋体" w:hint="default"/>
          <w:spacing w:val="-1"/>
          <w:sz w:val="21"/>
          <w:szCs w:val="21"/>
        </w:rPr>
        <w:t>室主任、审计部部长。</w:t>
      </w:r>
      <w:r>
        <w:rPr>
          <w:rFonts w:ascii="Times New Roman" w:hAnsi="Times New Roman" w:cs="Times New Roman" w:eastAsia="Times New Roman" w:hint="default"/>
          <w:spacing w:val="-1"/>
          <w:sz w:val="21"/>
          <w:szCs w:val="21"/>
        </w:rPr>
        <w:t>2011</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6</w:t>
      </w:r>
      <w:r>
        <w:rPr>
          <w:rFonts w:ascii="宋体" w:hAnsi="宋体" w:cs="宋体" w:eastAsia="宋体" w:hint="default"/>
          <w:spacing w:val="-1"/>
          <w:sz w:val="21"/>
          <w:szCs w:val="21"/>
        </w:rPr>
        <w:t>月起担任营运总监、财务总监、副总裁。现任华立集团股份有限公司董事、</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执行总裁，华方医药科技有限公司董事，昆药集团股份有限公司董事，健民药业集团股份有限公司董事， 上海开创国际股份有限公司监事。</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月至今，任浙江华媒控股股份有限公司监事。</w:t>
      </w:r>
    </w:p>
    <w:p>
      <w:pPr>
        <w:spacing w:line="386" w:lineRule="auto" w:before="30"/>
        <w:ind w:left="153" w:right="101" w:firstLine="360"/>
        <w:jc w:val="left"/>
        <w:rPr>
          <w:rFonts w:ascii="宋体" w:hAnsi="宋体" w:cs="宋体" w:eastAsia="宋体" w:hint="default"/>
          <w:sz w:val="21"/>
          <w:szCs w:val="21"/>
        </w:rPr>
      </w:pPr>
      <w:r>
        <w:rPr>
          <w:rFonts w:ascii="宋体" w:hAnsi="宋体" w:cs="宋体" w:eastAsia="宋体" w:hint="default"/>
          <w:sz w:val="21"/>
          <w:szCs w:val="21"/>
        </w:rPr>
        <w:t>邹箭峰先生，</w:t>
      </w:r>
      <w:r>
        <w:rPr>
          <w:rFonts w:ascii="Times New Roman" w:hAnsi="Times New Roman" w:cs="Times New Roman" w:eastAsia="Times New Roman" w:hint="default"/>
          <w:sz w:val="21"/>
          <w:szCs w:val="21"/>
        </w:rPr>
        <w:t>1977</w:t>
      </w:r>
      <w:r>
        <w:rPr>
          <w:rFonts w:ascii="宋体" w:hAnsi="宋体" w:cs="宋体" w:eastAsia="宋体" w:hint="default"/>
          <w:sz w:val="21"/>
          <w:szCs w:val="21"/>
        </w:rPr>
        <w:t>年出生，本科，中国国籍，无境外居住权。</w:t>
      </w: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月，任浙江华媒投 资有限公司投资部经理；</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月，任杭报金都创意产业发展有限公司副总经理；</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7 </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月，任浙江华媒投资有限公司副总经理；</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月至今，任浙江华媒控股股份有限公司投 </w:t>
      </w:r>
      <w:r>
        <w:rPr>
          <w:rFonts w:ascii="宋体" w:hAnsi="宋体" w:cs="宋体" w:eastAsia="宋体" w:hint="default"/>
          <w:spacing w:val="-1"/>
          <w:sz w:val="21"/>
          <w:szCs w:val="21"/>
        </w:rPr>
        <w:t>融资部主任、浙江华媒控股股份有限公司监事。</w:t>
      </w:r>
      <w:r>
        <w:rPr>
          <w:rFonts w:ascii="Times New Roman" w:hAnsi="Times New Roman" w:cs="Times New Roman" w:eastAsia="Times New Roman" w:hint="default"/>
          <w:spacing w:val="-1"/>
          <w:sz w:val="21"/>
          <w:szCs w:val="21"/>
        </w:rPr>
        <w:t>2015</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月至今，任快点文化传播（上海）有限公司董事；</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Times New Roman" w:hAnsi="Times New Roman" w:cs="Times New Roman" w:eastAsia="Times New Roman" w:hint="default"/>
          <w:spacing w:val="-5"/>
          <w:sz w:val="21"/>
          <w:szCs w:val="21"/>
        </w:rPr>
        <w:t>2015</w:t>
      </w:r>
      <w:r>
        <w:rPr>
          <w:rFonts w:ascii="宋体" w:hAnsi="宋体" w:cs="宋体" w:eastAsia="宋体" w:hint="default"/>
          <w:spacing w:val="-5"/>
          <w:sz w:val="21"/>
          <w:szCs w:val="21"/>
        </w:rPr>
        <w:t>年</w:t>
      </w:r>
      <w:r>
        <w:rPr>
          <w:rFonts w:ascii="Times New Roman" w:hAnsi="Times New Roman" w:cs="Times New Roman" w:eastAsia="Times New Roman" w:hint="default"/>
          <w:spacing w:val="-5"/>
          <w:sz w:val="21"/>
          <w:szCs w:val="21"/>
        </w:rPr>
        <w:t>9</w:t>
      </w:r>
      <w:r>
        <w:rPr>
          <w:rFonts w:ascii="宋体" w:hAnsi="宋体" w:cs="宋体" w:eastAsia="宋体" w:hint="default"/>
          <w:spacing w:val="-5"/>
          <w:sz w:val="21"/>
          <w:szCs w:val="21"/>
        </w:rPr>
        <w:t>月至今，任浙江华媒投资有限公司董事；</w:t>
      </w:r>
      <w:r>
        <w:rPr>
          <w:rFonts w:ascii="Times New Roman" w:hAnsi="Times New Roman" w:cs="Times New Roman" w:eastAsia="Times New Roman" w:hint="default"/>
          <w:spacing w:val="-5"/>
          <w:sz w:val="21"/>
          <w:szCs w:val="21"/>
        </w:rPr>
        <w:t>2015</w:t>
      </w:r>
      <w:r>
        <w:rPr>
          <w:rFonts w:ascii="宋体" w:hAnsi="宋体" w:cs="宋体" w:eastAsia="宋体" w:hint="default"/>
          <w:spacing w:val="-5"/>
          <w:sz w:val="21"/>
          <w:szCs w:val="21"/>
        </w:rPr>
        <w:t>年</w:t>
      </w:r>
      <w:r>
        <w:rPr>
          <w:rFonts w:ascii="Times New Roman" w:hAnsi="Times New Roman" w:cs="Times New Roman" w:eastAsia="Times New Roman" w:hint="default"/>
          <w:spacing w:val="-5"/>
          <w:sz w:val="21"/>
          <w:szCs w:val="21"/>
        </w:rPr>
        <w:t>9</w:t>
      </w:r>
      <w:r>
        <w:rPr>
          <w:rFonts w:ascii="宋体" w:hAnsi="宋体" w:cs="宋体" w:eastAsia="宋体" w:hint="default"/>
          <w:spacing w:val="-5"/>
          <w:sz w:val="21"/>
          <w:szCs w:val="21"/>
        </w:rPr>
        <w:t>月至今，任浙江华媒信息传播有限公司董事，</w:t>
      </w:r>
      <w:r>
        <w:rPr>
          <w:rFonts w:ascii="Times New Roman" w:hAnsi="Times New Roman" w:cs="Times New Roman" w:eastAsia="Times New Roman" w:hint="default"/>
          <w:spacing w:val="-5"/>
          <w:sz w:val="21"/>
          <w:szCs w:val="21"/>
        </w:rPr>
        <w:t>2015</w:t>
      </w:r>
      <w:r>
        <w:rPr>
          <w:rFonts w:ascii="Times New Roman" w:hAnsi="Times New Roman" w:cs="Times New Roman" w:eastAsia="Times New Roman" w:hint="default"/>
          <w:spacing w:val="-26"/>
          <w:sz w:val="21"/>
          <w:szCs w:val="21"/>
        </w:rPr>
        <w:t> </w:t>
      </w:r>
      <w:r>
        <w:rPr>
          <w:rFonts w:ascii="Times New Roman" w:hAnsi="Times New Roman" w:cs="Times New Roman" w:eastAsia="Times New Roman" w:hint="default"/>
          <w:spacing w:val="-26"/>
          <w:sz w:val="21"/>
          <w:szCs w:val="21"/>
        </w:rPr>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月至今，任浙江华媒金晟投资有限公司董事。</w:t>
      </w:r>
    </w:p>
    <w:p>
      <w:pPr>
        <w:spacing w:line="386" w:lineRule="auto" w:before="35"/>
        <w:ind w:left="153" w:right="171" w:firstLine="360"/>
        <w:jc w:val="left"/>
        <w:rPr>
          <w:rFonts w:ascii="宋体" w:hAnsi="宋体" w:cs="宋体" w:eastAsia="宋体" w:hint="default"/>
          <w:sz w:val="21"/>
          <w:szCs w:val="21"/>
        </w:rPr>
      </w:pPr>
      <w:r>
        <w:rPr>
          <w:rFonts w:ascii="宋体" w:hAnsi="宋体" w:cs="宋体" w:eastAsia="宋体" w:hint="default"/>
          <w:spacing w:val="-2"/>
          <w:sz w:val="21"/>
          <w:szCs w:val="21"/>
        </w:rPr>
        <w:t>洪晓明先生，</w:t>
      </w:r>
      <w:r>
        <w:rPr>
          <w:rFonts w:ascii="Times New Roman" w:hAnsi="Times New Roman" w:cs="Times New Roman" w:eastAsia="Times New Roman" w:hint="default"/>
          <w:spacing w:val="-2"/>
          <w:sz w:val="21"/>
          <w:szCs w:val="21"/>
        </w:rPr>
        <w:t>1964</w:t>
      </w:r>
      <w:r>
        <w:rPr>
          <w:rFonts w:ascii="宋体" w:hAnsi="宋体" w:cs="宋体" w:eastAsia="宋体" w:hint="default"/>
          <w:spacing w:val="-2"/>
          <w:sz w:val="21"/>
          <w:szCs w:val="21"/>
        </w:rPr>
        <w:t>年出生，本科，主任编辑，中国国籍，无境外居住权。</w:t>
      </w:r>
      <w:r>
        <w:rPr>
          <w:rFonts w:ascii="Times New Roman" w:hAnsi="Times New Roman" w:cs="Times New Roman" w:eastAsia="Times New Roman" w:hint="default"/>
          <w:spacing w:val="-2"/>
          <w:sz w:val="21"/>
          <w:szCs w:val="21"/>
        </w:rPr>
        <w:t>2009</w:t>
      </w:r>
      <w:r>
        <w:rPr>
          <w:rFonts w:ascii="宋体" w:hAnsi="宋体" w:cs="宋体" w:eastAsia="宋体" w:hint="default"/>
          <w:spacing w:val="-2"/>
          <w:sz w:val="21"/>
          <w:szCs w:val="21"/>
        </w:rPr>
        <w:t>年至</w:t>
      </w:r>
      <w:r>
        <w:rPr>
          <w:rFonts w:ascii="Times New Roman" w:hAnsi="Times New Roman" w:cs="Times New Roman" w:eastAsia="Times New Roman" w:hint="default"/>
          <w:spacing w:val="-2"/>
          <w:sz w:val="21"/>
          <w:szCs w:val="21"/>
        </w:rPr>
        <w:t>2012</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8</w:t>
      </w:r>
      <w:r>
        <w:rPr>
          <w:rFonts w:ascii="宋体" w:hAnsi="宋体" w:cs="宋体" w:eastAsia="宋体" w:hint="default"/>
          <w:spacing w:val="-2"/>
          <w:sz w:val="21"/>
          <w:szCs w:val="21"/>
        </w:rPr>
        <w:t>月，任杭州</w:t>
      </w:r>
      <w:r>
        <w:rPr>
          <w:rFonts w:ascii="宋体" w:hAnsi="宋体" w:cs="宋体" w:eastAsia="宋体" w:hint="default"/>
          <w:sz w:val="21"/>
          <w:szCs w:val="21"/>
        </w:rPr>
        <w:t> 日报报业集团新闻研究所编辑、主管；</w:t>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月，任杭报集团经营管理办公室（总经理办 公室）主管、主任助理；</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月，任浙江华媒控股股份有限公司总经理办公室副主任； </w:t>
      </w:r>
      <w:r>
        <w:rPr>
          <w:rFonts w:ascii="Times New Roman" w:hAnsi="Times New Roman" w:cs="Times New Roman" w:eastAsia="Times New Roman" w:hint="default"/>
          <w:spacing w:val="-1"/>
          <w:sz w:val="21"/>
          <w:szCs w:val="21"/>
        </w:rPr>
        <w:t>2015</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月至</w:t>
      </w:r>
      <w:r>
        <w:rPr>
          <w:rFonts w:ascii="Times New Roman" w:hAnsi="Times New Roman" w:cs="Times New Roman" w:eastAsia="Times New Roman" w:hint="default"/>
          <w:spacing w:val="-1"/>
          <w:sz w:val="21"/>
          <w:szCs w:val="21"/>
        </w:rPr>
        <w:t>2016</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月，任浙江华媒控股股份有限公司董事会办公室副主任；</w:t>
      </w:r>
      <w:r>
        <w:rPr>
          <w:rFonts w:ascii="Times New Roman" w:hAnsi="Times New Roman" w:cs="Times New Roman" w:eastAsia="Times New Roman" w:hint="default"/>
          <w:spacing w:val="-1"/>
          <w:sz w:val="21"/>
          <w:szCs w:val="21"/>
        </w:rPr>
        <w:t>2016</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月至今，任浙江华</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媒控股股份有限公司董事会办公室主任；</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月至今，任浙江华媒控股股份有限公司职工监事。</w:t>
      </w:r>
    </w:p>
    <w:p>
      <w:pPr>
        <w:spacing w:line="386" w:lineRule="auto" w:before="35"/>
        <w:ind w:left="153" w:right="101" w:firstLine="360"/>
        <w:jc w:val="left"/>
        <w:rPr>
          <w:rFonts w:ascii="宋体" w:hAnsi="宋体" w:cs="宋体" w:eastAsia="宋体" w:hint="default"/>
          <w:sz w:val="21"/>
          <w:szCs w:val="21"/>
        </w:rPr>
      </w:pPr>
      <w:r>
        <w:rPr>
          <w:rFonts w:ascii="宋体" w:hAnsi="宋体" w:cs="宋体" w:eastAsia="宋体" w:hint="default"/>
          <w:spacing w:val="-2"/>
          <w:sz w:val="21"/>
          <w:szCs w:val="21"/>
        </w:rPr>
        <w:t>张韶衡先生，</w:t>
      </w:r>
      <w:r>
        <w:rPr>
          <w:rFonts w:ascii="Times New Roman" w:hAnsi="Times New Roman" w:cs="Times New Roman" w:eastAsia="Times New Roman" w:hint="default"/>
          <w:spacing w:val="-2"/>
          <w:sz w:val="21"/>
          <w:szCs w:val="21"/>
        </w:rPr>
        <w:t>1974</w:t>
      </w:r>
      <w:r>
        <w:rPr>
          <w:rFonts w:ascii="宋体" w:hAnsi="宋体" w:cs="宋体" w:eastAsia="宋体" w:hint="default"/>
          <w:spacing w:val="-2"/>
          <w:sz w:val="21"/>
          <w:szCs w:val="21"/>
        </w:rPr>
        <w:t>年出生，本科，中国国籍，无境外居住权。</w:t>
      </w:r>
      <w:r>
        <w:rPr>
          <w:rFonts w:ascii="Times New Roman" w:hAnsi="Times New Roman" w:cs="Times New Roman" w:eastAsia="Times New Roman" w:hint="default"/>
          <w:spacing w:val="-2"/>
          <w:sz w:val="21"/>
          <w:szCs w:val="21"/>
        </w:rPr>
        <w:t>2006</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月至今，任杭州盛景科技有限公</w:t>
      </w:r>
      <w:r>
        <w:rPr>
          <w:rFonts w:ascii="宋体" w:hAnsi="宋体" w:cs="宋体" w:eastAsia="宋体" w:hint="default"/>
          <w:sz w:val="21"/>
          <w:szCs w:val="21"/>
        </w:rPr>
        <w:t> 司董事长；</w:t>
      </w:r>
      <w:r>
        <w:rPr>
          <w:rFonts w:ascii="Times New Roman" w:hAnsi="Times New Roman" w:cs="Times New Roman" w:eastAsia="Times New Roman" w:hint="default"/>
          <w:sz w:val="21"/>
          <w:szCs w:val="21"/>
        </w:rPr>
        <w:t>2009</w:t>
      </w:r>
      <w:r>
        <w:rPr>
          <w:rFonts w:ascii="宋体" w:hAnsi="宋体" w:cs="宋体" w:eastAsia="宋体" w:hint="default"/>
          <w:sz w:val="21"/>
          <w:szCs w:val="21"/>
        </w:rPr>
        <w:t>年至</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月，任杭报集团盛元印务有限公司总经理；</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月至今，任上海盛元第 高数码图文影像有限公司董事长；</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月至今，任杭州盛友广告设计有限公司董事长；</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月至</w:t>
      </w:r>
    </w:p>
    <w:p>
      <w:pPr>
        <w:spacing w:after="0" w:line="386" w:lineRule="auto"/>
        <w:jc w:val="left"/>
        <w:rPr>
          <w:rFonts w:ascii="宋体" w:hAnsi="宋体" w:cs="宋体" w:eastAsia="宋体" w:hint="default"/>
          <w:sz w:val="21"/>
          <w:szCs w:val="21"/>
        </w:rPr>
        <w:sectPr>
          <w:footerReference w:type="default" r:id="rId18"/>
          <w:pgSz w:w="11910" w:h="16840"/>
          <w:pgMar w:footer="982" w:header="877" w:top="1100" w:bottom="1180" w:left="980" w:right="920"/>
          <w:pgNumType w:start="64"/>
        </w:sectPr>
      </w:pPr>
    </w:p>
    <w:p>
      <w:pPr>
        <w:spacing w:line="240" w:lineRule="auto" w:before="8"/>
        <w:rPr>
          <w:rFonts w:ascii="宋体" w:hAnsi="宋体" w:cs="宋体" w:eastAsia="宋体" w:hint="default"/>
          <w:sz w:val="26"/>
          <w:szCs w:val="26"/>
        </w:rPr>
      </w:pPr>
    </w:p>
    <w:p>
      <w:pPr>
        <w:spacing w:line="386" w:lineRule="auto" w:before="35"/>
        <w:ind w:left="153" w:right="105" w:firstLine="0"/>
        <w:jc w:val="both"/>
        <w:rPr>
          <w:rFonts w:ascii="宋体" w:hAnsi="宋体" w:cs="宋体" w:eastAsia="宋体" w:hint="default"/>
          <w:sz w:val="21"/>
          <w:szCs w:val="21"/>
        </w:rPr>
      </w:pPr>
      <w:r>
        <w:rPr>
          <w:rFonts w:ascii="宋体" w:hAnsi="宋体" w:cs="宋体" w:eastAsia="宋体" w:hint="default"/>
          <w:sz w:val="21"/>
          <w:szCs w:val="21"/>
        </w:rPr>
        <w:t>今，任杭报集团盛元印务有限公司董事长、杭报集团每日送电子商务有限公司董事长；</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月至今， </w:t>
      </w:r>
      <w:r>
        <w:rPr>
          <w:rFonts w:ascii="宋体" w:hAnsi="宋体" w:cs="宋体" w:eastAsia="宋体" w:hint="default"/>
          <w:spacing w:val="-3"/>
          <w:sz w:val="21"/>
          <w:szCs w:val="21"/>
        </w:rPr>
        <w:t>任浙江风盛传媒有限公司董事长；</w:t>
      </w:r>
      <w:r>
        <w:rPr>
          <w:rFonts w:ascii="Times New Roman" w:hAnsi="Times New Roman" w:cs="Times New Roman" w:eastAsia="Times New Roman" w:hint="default"/>
          <w:spacing w:val="-3"/>
          <w:sz w:val="21"/>
          <w:szCs w:val="21"/>
        </w:rPr>
        <w:t>2014</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12</w:t>
      </w:r>
      <w:r>
        <w:rPr>
          <w:rFonts w:ascii="宋体" w:hAnsi="宋体" w:cs="宋体" w:eastAsia="宋体" w:hint="default"/>
          <w:spacing w:val="-3"/>
          <w:sz w:val="21"/>
          <w:szCs w:val="21"/>
        </w:rPr>
        <w:t>月至</w:t>
      </w:r>
      <w:r>
        <w:rPr>
          <w:rFonts w:ascii="Times New Roman" w:hAnsi="Times New Roman" w:cs="Times New Roman" w:eastAsia="Times New Roman" w:hint="default"/>
          <w:spacing w:val="-3"/>
          <w:sz w:val="21"/>
          <w:szCs w:val="21"/>
        </w:rPr>
        <w:t>2015</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月，任浙江华媒控股股份有限公司副总经理；</w:t>
      </w:r>
      <w:r>
        <w:rPr>
          <w:rFonts w:ascii="Times New Roman" w:hAnsi="Times New Roman" w:cs="Times New Roman" w:eastAsia="Times New Roman" w:hint="default"/>
          <w:spacing w:val="-3"/>
          <w:sz w:val="21"/>
          <w:szCs w:val="21"/>
        </w:rPr>
        <w:t>2015</w:t>
      </w:r>
      <w:r>
        <w:rPr>
          <w:rFonts w:ascii="Times New Roman" w:hAnsi="Times New Roman" w:cs="Times New Roman" w:eastAsia="Times New Roman" w:hint="default"/>
          <w:spacing w:val="-27"/>
          <w:sz w:val="21"/>
          <w:szCs w:val="21"/>
        </w:rPr>
        <w:t> </w:t>
      </w:r>
      <w:r>
        <w:rPr>
          <w:rFonts w:ascii="Times New Roman" w:hAnsi="Times New Roman" w:cs="Times New Roman" w:eastAsia="Times New Roman" w:hint="default"/>
          <w:spacing w:val="-27"/>
          <w:sz w:val="21"/>
          <w:szCs w:val="21"/>
        </w:rPr>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月至今，任浙江华媒控股股份有限公司常务副总经理。</w:t>
      </w:r>
      <w:r>
        <w:rPr>
          <w:rFonts w:ascii="Times New Roman" w:hAnsi="Times New Roman" w:cs="Times New Roman" w:eastAsia="Times New Roman" w:hint="default"/>
          <w:spacing w:val="-3"/>
          <w:sz w:val="21"/>
          <w:szCs w:val="21"/>
        </w:rPr>
        <w:t>2015</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9</w:t>
      </w:r>
      <w:r>
        <w:rPr>
          <w:rFonts w:ascii="宋体" w:hAnsi="宋体" w:cs="宋体" w:eastAsia="宋体" w:hint="default"/>
          <w:spacing w:val="-3"/>
          <w:sz w:val="21"/>
          <w:szCs w:val="21"/>
        </w:rPr>
        <w:t>月至今，任浙江华媒投资有限公司董事。</w:t>
      </w:r>
    </w:p>
    <w:p>
      <w:pPr>
        <w:spacing w:line="386" w:lineRule="auto" w:before="35"/>
        <w:ind w:left="154" w:right="101" w:firstLine="360"/>
        <w:jc w:val="left"/>
        <w:rPr>
          <w:rFonts w:ascii="宋体" w:hAnsi="宋体" w:cs="宋体" w:eastAsia="宋体" w:hint="default"/>
          <w:sz w:val="21"/>
          <w:szCs w:val="21"/>
        </w:rPr>
      </w:pPr>
      <w:r>
        <w:rPr>
          <w:rFonts w:ascii="宋体" w:hAnsi="宋体" w:cs="宋体" w:eastAsia="宋体" w:hint="default"/>
          <w:sz w:val="21"/>
          <w:szCs w:val="21"/>
        </w:rPr>
        <w:t>于国清先生，</w:t>
      </w:r>
      <w:r>
        <w:rPr>
          <w:rFonts w:ascii="Times New Roman" w:hAnsi="Times New Roman" w:cs="Times New Roman" w:eastAsia="Times New Roman" w:hint="default"/>
          <w:sz w:val="21"/>
          <w:szCs w:val="21"/>
        </w:rPr>
        <w:t>1973</w:t>
      </w:r>
      <w:r>
        <w:rPr>
          <w:rFonts w:ascii="宋体" w:hAnsi="宋体" w:cs="宋体" w:eastAsia="宋体" w:hint="default"/>
          <w:sz w:val="21"/>
          <w:szCs w:val="21"/>
        </w:rPr>
        <w:t>年出生，硕士，中国国籍，无境外居住权。</w:t>
      </w:r>
      <w:r>
        <w:rPr>
          <w:rFonts w:ascii="Times New Roman" w:hAnsi="Times New Roman" w:cs="Times New Roman" w:eastAsia="Times New Roman" w:hint="default"/>
          <w:sz w:val="21"/>
          <w:szCs w:val="21"/>
        </w:rPr>
        <w:t>2009</w:t>
      </w:r>
      <w:r>
        <w:rPr>
          <w:rFonts w:ascii="宋体" w:hAnsi="宋体" w:cs="宋体" w:eastAsia="宋体" w:hint="default"/>
          <w:sz w:val="21"/>
          <w:szCs w:val="21"/>
        </w:rPr>
        <w:t>年至</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月，任杭报集团杭州日 </w:t>
      </w:r>
      <w:r>
        <w:rPr>
          <w:rFonts w:ascii="宋体" w:hAnsi="宋体" w:cs="宋体" w:eastAsia="宋体" w:hint="default"/>
          <w:spacing w:val="-1"/>
          <w:sz w:val="21"/>
          <w:szCs w:val="21"/>
        </w:rPr>
        <w:t>报编委、办公室主任；</w:t>
      </w:r>
      <w:r>
        <w:rPr>
          <w:rFonts w:ascii="Times New Roman" w:hAnsi="Times New Roman" w:cs="Times New Roman" w:eastAsia="Times New Roman" w:hint="default"/>
          <w:spacing w:val="-1"/>
          <w:sz w:val="21"/>
          <w:szCs w:val="21"/>
        </w:rPr>
        <w:t>2010</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月至</w:t>
      </w:r>
      <w:r>
        <w:rPr>
          <w:rFonts w:ascii="Times New Roman" w:hAnsi="Times New Roman" w:cs="Times New Roman" w:eastAsia="Times New Roman" w:hint="default"/>
          <w:spacing w:val="-1"/>
          <w:sz w:val="21"/>
          <w:szCs w:val="21"/>
        </w:rPr>
        <w:t>2014</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月，任杭报集团总编辑办公室主任；</w:t>
      </w:r>
      <w:r>
        <w:rPr>
          <w:rFonts w:ascii="Times New Roman" w:hAnsi="Times New Roman" w:cs="Times New Roman" w:eastAsia="Times New Roman" w:hint="default"/>
          <w:spacing w:val="-1"/>
          <w:sz w:val="21"/>
          <w:szCs w:val="21"/>
        </w:rPr>
        <w:t>2014</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月至</w:t>
      </w:r>
      <w:r>
        <w:rPr>
          <w:rFonts w:ascii="Times New Roman" w:hAnsi="Times New Roman" w:cs="Times New Roman" w:eastAsia="Times New Roman" w:hint="default"/>
          <w:spacing w:val="-1"/>
          <w:sz w:val="21"/>
          <w:szCs w:val="21"/>
        </w:rPr>
        <w:t>2014</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r>
        <w:rPr>
          <w:rFonts w:ascii="宋体" w:hAnsi="宋体" w:cs="宋体" w:eastAsia="宋体" w:hint="default"/>
          <w:spacing w:val="-83"/>
          <w:sz w:val="21"/>
          <w:szCs w:val="21"/>
        </w:rPr>
        <w:t> </w:t>
      </w:r>
      <w:r>
        <w:rPr>
          <w:rFonts w:ascii="宋体" w:hAnsi="宋体" w:cs="宋体" w:eastAsia="宋体" w:hint="default"/>
          <w:sz w:val="21"/>
          <w:szCs w:val="21"/>
        </w:rPr>
        <w:t>任杭报集团每日送电子商务有限公司董事、总经理；</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月至今，任杭州萧山日报传媒有限公司董事 长；</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月至今，任浙江华媒控股股份有限公司任副总经理。</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月至今，任浙江华媒信息传播 有限公司董事；</w:t>
      </w:r>
      <w:r>
        <w:rPr>
          <w:rFonts w:ascii="Times New Roman" w:hAnsi="Times New Roman" w:cs="Times New Roman" w:eastAsia="Times New Roman" w:hint="default"/>
          <w:sz w:val="21"/>
          <w:szCs w:val="21"/>
        </w:rPr>
        <w:t>2016</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月至今，任杭州每日传媒有限公司董事长。</w:t>
      </w:r>
    </w:p>
    <w:p>
      <w:pPr>
        <w:spacing w:line="386" w:lineRule="auto" w:before="35"/>
        <w:ind w:left="154" w:right="210" w:firstLine="360"/>
        <w:jc w:val="both"/>
        <w:rPr>
          <w:rFonts w:ascii="宋体" w:hAnsi="宋体" w:cs="宋体" w:eastAsia="宋体" w:hint="default"/>
          <w:sz w:val="21"/>
          <w:szCs w:val="21"/>
        </w:rPr>
      </w:pPr>
      <w:r>
        <w:rPr>
          <w:rFonts w:ascii="宋体" w:hAnsi="宋体" w:cs="宋体" w:eastAsia="宋体" w:hint="default"/>
          <w:spacing w:val="-2"/>
          <w:sz w:val="21"/>
          <w:szCs w:val="21"/>
        </w:rPr>
        <w:t>宋浩先生，</w:t>
      </w:r>
      <w:r>
        <w:rPr>
          <w:rFonts w:ascii="Times New Roman" w:hAnsi="Times New Roman" w:cs="Times New Roman" w:eastAsia="Times New Roman" w:hint="default"/>
          <w:spacing w:val="-2"/>
          <w:sz w:val="21"/>
          <w:szCs w:val="21"/>
        </w:rPr>
        <w:t>1972</w:t>
      </w:r>
      <w:r>
        <w:rPr>
          <w:rFonts w:ascii="宋体" w:hAnsi="宋体" w:cs="宋体" w:eastAsia="宋体" w:hint="default"/>
          <w:spacing w:val="-2"/>
          <w:sz w:val="21"/>
          <w:szCs w:val="21"/>
        </w:rPr>
        <w:t>年出生，硕士，中国国籍，无境外居留权。</w:t>
      </w:r>
      <w:r>
        <w:rPr>
          <w:rFonts w:ascii="Times New Roman" w:hAnsi="Times New Roman" w:cs="Times New Roman" w:eastAsia="Times New Roman" w:hint="default"/>
          <w:spacing w:val="-2"/>
          <w:sz w:val="21"/>
          <w:szCs w:val="21"/>
        </w:rPr>
        <w:t>2008</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11</w:t>
      </w:r>
      <w:r>
        <w:rPr>
          <w:rFonts w:ascii="宋体" w:hAnsi="宋体" w:cs="宋体" w:eastAsia="宋体" w:hint="default"/>
          <w:spacing w:val="-2"/>
          <w:sz w:val="21"/>
          <w:szCs w:val="21"/>
        </w:rPr>
        <w:t>月至</w:t>
      </w:r>
      <w:r>
        <w:rPr>
          <w:rFonts w:ascii="Times New Roman" w:hAnsi="Times New Roman" w:cs="Times New Roman" w:eastAsia="Times New Roman" w:hint="default"/>
          <w:spacing w:val="-2"/>
          <w:sz w:val="21"/>
          <w:szCs w:val="21"/>
        </w:rPr>
        <w:t>2013</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月，任湖州市创业投</w:t>
      </w:r>
      <w:r>
        <w:rPr>
          <w:rFonts w:ascii="宋体" w:hAnsi="宋体" w:cs="宋体" w:eastAsia="宋体" w:hint="default"/>
          <w:sz w:val="21"/>
          <w:szCs w:val="21"/>
        </w:rPr>
        <w:t> </w:t>
      </w:r>
      <w:r>
        <w:rPr>
          <w:rFonts w:ascii="宋体" w:hAnsi="宋体" w:cs="宋体" w:eastAsia="宋体" w:hint="default"/>
          <w:spacing w:val="-1"/>
          <w:sz w:val="21"/>
          <w:szCs w:val="21"/>
        </w:rPr>
        <w:t>资公司总经理；</w:t>
      </w:r>
      <w:r>
        <w:rPr>
          <w:rFonts w:ascii="Times New Roman" w:hAnsi="Times New Roman" w:cs="Times New Roman" w:eastAsia="Times New Roman" w:hint="default"/>
          <w:spacing w:val="-1"/>
          <w:sz w:val="21"/>
          <w:szCs w:val="21"/>
        </w:rPr>
        <w:t>2013</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10</w:t>
      </w:r>
      <w:r>
        <w:rPr>
          <w:rFonts w:ascii="宋体" w:hAnsi="宋体" w:cs="宋体" w:eastAsia="宋体" w:hint="default"/>
          <w:spacing w:val="-1"/>
          <w:sz w:val="21"/>
          <w:szCs w:val="21"/>
        </w:rPr>
        <w:t>月至</w:t>
      </w:r>
      <w:r>
        <w:rPr>
          <w:rFonts w:ascii="Times New Roman" w:hAnsi="Times New Roman" w:cs="Times New Roman" w:eastAsia="Times New Roman" w:hint="default"/>
          <w:spacing w:val="-1"/>
          <w:sz w:val="21"/>
          <w:szCs w:val="21"/>
        </w:rPr>
        <w:t>2014</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11</w:t>
      </w:r>
      <w:r>
        <w:rPr>
          <w:rFonts w:ascii="宋体" w:hAnsi="宋体" w:cs="宋体" w:eastAsia="宋体" w:hint="default"/>
          <w:spacing w:val="-1"/>
          <w:sz w:val="21"/>
          <w:szCs w:val="21"/>
        </w:rPr>
        <w:t>月，任杭州多策投资管理合伙企业合伙人；</w:t>
      </w:r>
      <w:r>
        <w:rPr>
          <w:rFonts w:ascii="Times New Roman" w:hAnsi="Times New Roman" w:cs="Times New Roman" w:eastAsia="Times New Roman" w:hint="default"/>
          <w:spacing w:val="-1"/>
          <w:sz w:val="21"/>
          <w:szCs w:val="21"/>
        </w:rPr>
        <w:t>2014</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月至今，任浙</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
          <w:sz w:val="21"/>
          <w:szCs w:val="21"/>
        </w:rPr>
        <w:t>江华媒控股股份有限公司副总经理。</w:t>
      </w:r>
      <w:r>
        <w:rPr>
          <w:rFonts w:ascii="Times New Roman" w:hAnsi="Times New Roman" w:cs="Times New Roman" w:eastAsia="Times New Roman" w:hint="default"/>
          <w:spacing w:val="-1"/>
          <w:sz w:val="21"/>
          <w:szCs w:val="21"/>
        </w:rPr>
        <w:t>2015</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7</w:t>
      </w:r>
      <w:r>
        <w:rPr>
          <w:rFonts w:ascii="宋体" w:hAnsi="宋体" w:cs="宋体" w:eastAsia="宋体" w:hint="default"/>
          <w:spacing w:val="-1"/>
          <w:sz w:val="21"/>
          <w:szCs w:val="21"/>
        </w:rPr>
        <w:t>月至今，任北京精典博维文化传播有限公司董事；</w:t>
      </w:r>
      <w:r>
        <w:rPr>
          <w:rFonts w:ascii="Times New Roman" w:hAnsi="Times New Roman" w:cs="Times New Roman" w:eastAsia="Times New Roman" w:hint="default"/>
          <w:spacing w:val="-1"/>
          <w:sz w:val="21"/>
          <w:szCs w:val="21"/>
        </w:rPr>
        <w:t>2015</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9</w:t>
      </w:r>
      <w:r>
        <w:rPr>
          <w:rFonts w:ascii="宋体" w:hAnsi="宋体" w:cs="宋体" w:eastAsia="宋体" w:hint="default"/>
          <w:spacing w:val="-1"/>
          <w:sz w:val="21"/>
          <w:szCs w:val="21"/>
        </w:rPr>
        <w:t>月</w:t>
      </w:r>
      <w:r>
        <w:rPr>
          <w:rFonts w:ascii="宋体" w:hAnsi="宋体" w:cs="宋体" w:eastAsia="宋体" w:hint="default"/>
          <w:spacing w:val="-86"/>
          <w:sz w:val="21"/>
          <w:szCs w:val="21"/>
        </w:rPr>
        <w:t> </w:t>
      </w:r>
      <w:r>
        <w:rPr>
          <w:rFonts w:ascii="宋体" w:hAnsi="宋体" w:cs="宋体" w:eastAsia="宋体" w:hint="default"/>
          <w:sz w:val="21"/>
          <w:szCs w:val="21"/>
        </w:rPr>
        <w:t>至今，任浙江华媒投资有限公司董事、总经理。</w:t>
      </w:r>
    </w:p>
    <w:p>
      <w:pPr>
        <w:spacing w:line="400" w:lineRule="auto" w:before="65"/>
        <w:ind w:left="154" w:right="211" w:firstLine="420"/>
        <w:jc w:val="both"/>
        <w:rPr>
          <w:rFonts w:ascii="宋体" w:hAnsi="宋体" w:cs="宋体" w:eastAsia="宋体" w:hint="default"/>
          <w:sz w:val="21"/>
          <w:szCs w:val="21"/>
        </w:rPr>
      </w:pPr>
      <w:r>
        <w:rPr>
          <w:rFonts w:ascii="宋体" w:hAnsi="宋体" w:cs="宋体" w:eastAsia="宋体" w:hint="default"/>
          <w:sz w:val="21"/>
          <w:szCs w:val="21"/>
        </w:rPr>
        <w:t>郭勤勇先生，</w:t>
      </w:r>
      <w:r>
        <w:rPr>
          <w:rFonts w:ascii="Times New Roman" w:hAnsi="Times New Roman" w:cs="Times New Roman" w:eastAsia="Times New Roman" w:hint="default"/>
          <w:sz w:val="21"/>
          <w:szCs w:val="21"/>
        </w:rPr>
        <w:t>1973</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年出生，本科，中国国籍，无境外居住权。</w:t>
      </w:r>
      <w:r>
        <w:rPr>
          <w:rFonts w:ascii="Times New Roman" w:hAnsi="Times New Roman" w:cs="Times New Roman" w:eastAsia="Times New Roman" w:hint="default"/>
          <w:sz w:val="21"/>
          <w:szCs w:val="21"/>
        </w:rPr>
        <w:t>2009</w:t>
      </w:r>
      <w:r>
        <w:rPr>
          <w:rFonts w:ascii="宋体" w:hAnsi="宋体" w:cs="宋体" w:eastAsia="宋体" w:hint="default"/>
          <w:sz w:val="21"/>
          <w:szCs w:val="21"/>
        </w:rPr>
        <w:t>年至</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月，任杭报集团资产 </w:t>
      </w:r>
      <w:r>
        <w:rPr>
          <w:rFonts w:ascii="宋体" w:hAnsi="宋体" w:cs="宋体" w:eastAsia="宋体" w:hint="default"/>
          <w:spacing w:val="-1"/>
          <w:sz w:val="21"/>
          <w:szCs w:val="21"/>
        </w:rPr>
        <w:t>运营中心主任；</w:t>
      </w:r>
      <w:r>
        <w:rPr>
          <w:rFonts w:ascii="Times New Roman" w:hAnsi="Times New Roman" w:cs="Times New Roman" w:eastAsia="Times New Roman" w:hint="default"/>
          <w:spacing w:val="-1"/>
          <w:sz w:val="21"/>
          <w:szCs w:val="21"/>
        </w:rPr>
        <w:t>2014</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月至今，任浙江华媒控股股份有限公司财务总监，兼任华数数字电视传媒集团有</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
          <w:sz w:val="21"/>
          <w:szCs w:val="21"/>
        </w:rPr>
        <w:t>限公司监事、杭州每日传媒有限公司监事、浙江华媒投资有限公司董事、杭州网络传媒有限公司监事、浙</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
          <w:sz w:val="21"/>
          <w:szCs w:val="21"/>
        </w:rPr>
        <w:t>江风盛传媒有限公司监事，杭报集团盛元印务有限公司监事、杭州地铁文化传媒有限公司监事、快点文化</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传播（上海）有限公司董事、浙江华媒信息传播有限公司监事、北京精典博维文化传媒有限公司董事、杭</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州文化产权交易所有限公司董事。</w:t>
      </w:r>
    </w:p>
    <w:p>
      <w:pPr>
        <w:spacing w:line="386" w:lineRule="auto" w:before="52"/>
        <w:ind w:left="154" w:right="101" w:firstLine="464"/>
        <w:jc w:val="left"/>
        <w:rPr>
          <w:rFonts w:ascii="宋体" w:hAnsi="宋体" w:cs="宋体" w:eastAsia="宋体" w:hint="default"/>
          <w:sz w:val="21"/>
          <w:szCs w:val="21"/>
        </w:rPr>
      </w:pPr>
      <w:r>
        <w:rPr>
          <w:rFonts w:ascii="宋体" w:hAnsi="宋体" w:cs="宋体" w:eastAsia="宋体" w:hint="default"/>
          <w:sz w:val="21"/>
          <w:szCs w:val="21"/>
        </w:rPr>
        <w:t>高坚强先生，</w:t>
      </w:r>
      <w:r>
        <w:rPr>
          <w:rFonts w:ascii="Times New Roman" w:hAnsi="Times New Roman" w:cs="Times New Roman" w:eastAsia="Times New Roman" w:hint="default"/>
          <w:sz w:val="21"/>
          <w:szCs w:val="21"/>
        </w:rPr>
        <w:t>1987</w:t>
      </w:r>
      <w:r>
        <w:rPr>
          <w:rFonts w:ascii="宋体" w:hAnsi="宋体" w:cs="宋体" w:eastAsia="宋体" w:hint="default"/>
          <w:sz w:val="21"/>
          <w:szCs w:val="21"/>
        </w:rPr>
        <w:t>年出生，硕士，中国注册会计师，中国国籍，无境外居住权。</w:t>
      </w:r>
      <w:r>
        <w:rPr>
          <w:rFonts w:ascii="Times New Roman" w:hAnsi="Times New Roman" w:cs="Times New Roman" w:eastAsia="Times New Roman" w:hint="default"/>
          <w:sz w:val="21"/>
          <w:szCs w:val="21"/>
        </w:rPr>
        <w:t>2009</w:t>
      </w:r>
      <w:r>
        <w:rPr>
          <w:rFonts w:ascii="宋体" w:hAnsi="宋体" w:cs="宋体" w:eastAsia="宋体" w:hint="default"/>
          <w:sz w:val="21"/>
          <w:szCs w:val="21"/>
        </w:rPr>
        <w:t>年至</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12 </w:t>
      </w:r>
      <w:r>
        <w:rPr>
          <w:rFonts w:ascii="宋体" w:hAnsi="宋体" w:cs="宋体" w:eastAsia="宋体" w:hint="default"/>
          <w:spacing w:val="-1"/>
          <w:sz w:val="21"/>
          <w:szCs w:val="21"/>
        </w:rPr>
        <w:t>月任安永会计师事务所审计师；</w:t>
      </w:r>
      <w:r>
        <w:rPr>
          <w:rFonts w:ascii="Times New Roman" w:hAnsi="Times New Roman" w:cs="Times New Roman" w:eastAsia="Times New Roman" w:hint="default"/>
          <w:spacing w:val="-1"/>
          <w:sz w:val="21"/>
          <w:szCs w:val="21"/>
        </w:rPr>
        <w:t>2010</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月至</w:t>
      </w:r>
      <w:r>
        <w:rPr>
          <w:rFonts w:ascii="Times New Roman" w:hAnsi="Times New Roman" w:cs="Times New Roman" w:eastAsia="Times New Roman" w:hint="default"/>
          <w:spacing w:val="-1"/>
          <w:sz w:val="21"/>
          <w:szCs w:val="21"/>
        </w:rPr>
        <w:t>2014</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11</w:t>
      </w:r>
      <w:r>
        <w:rPr>
          <w:rFonts w:ascii="宋体" w:hAnsi="宋体" w:cs="宋体" w:eastAsia="宋体" w:hint="default"/>
          <w:spacing w:val="-1"/>
          <w:sz w:val="21"/>
          <w:szCs w:val="21"/>
        </w:rPr>
        <w:t>月任浙江晶盛机电股份有限公司董事会办公室主任</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兼证券事务代表；</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月至今，任浙江华媒控股股份有限公司董事会秘书。</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月至今，任杭州 华泰一媒文化传播有限公司董事。</w:t>
      </w:r>
    </w:p>
    <w:p>
      <w:pPr>
        <w:spacing w:line="398" w:lineRule="auto" w:before="65"/>
        <w:ind w:left="153" w:right="102" w:firstLine="464"/>
        <w:jc w:val="left"/>
        <w:rPr>
          <w:rFonts w:ascii="宋体" w:hAnsi="宋体" w:cs="宋体" w:eastAsia="宋体" w:hint="default"/>
          <w:sz w:val="21"/>
          <w:szCs w:val="21"/>
        </w:rPr>
      </w:pPr>
      <w:r>
        <w:rPr>
          <w:rFonts w:ascii="宋体" w:hAnsi="宋体" w:cs="宋体" w:eastAsia="宋体" w:hint="default"/>
          <w:sz w:val="21"/>
          <w:szCs w:val="21"/>
        </w:rPr>
        <w:t>林鹭华女士，</w:t>
      </w:r>
      <w:r>
        <w:rPr>
          <w:rFonts w:ascii="Times New Roman" w:hAnsi="Times New Roman" w:cs="Times New Roman" w:eastAsia="Times New Roman" w:hint="default"/>
          <w:sz w:val="21"/>
          <w:szCs w:val="21"/>
        </w:rPr>
        <w:t>1965</w:t>
      </w:r>
      <w:r>
        <w:rPr>
          <w:rFonts w:ascii="宋体" w:hAnsi="宋体" w:cs="宋体" w:eastAsia="宋体" w:hint="default"/>
          <w:sz w:val="21"/>
          <w:szCs w:val="21"/>
        </w:rPr>
        <w:t>年生，硕士，高级工程师，中国国籍，无境外居住权。</w:t>
      </w: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月至今任深圳宏天 </w:t>
      </w:r>
      <w:r>
        <w:rPr>
          <w:rFonts w:ascii="宋体" w:hAnsi="宋体" w:cs="宋体" w:eastAsia="宋体" w:hint="default"/>
          <w:spacing w:val="-3"/>
          <w:sz w:val="21"/>
          <w:szCs w:val="21"/>
        </w:rPr>
        <w:t>高科技有限公司董事、深圳市金百泽电子科技股份有限公司董事、深圳市泽创投资发展有限公司执行董事、</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总经理、江苏省盛世广宏无线科技有限公司副董事长、快点文化传播（上海）有限公司董事、中广联合会</w:t>
      </w:r>
      <w:r>
        <w:rPr>
          <w:rFonts w:ascii="宋体" w:hAnsi="宋体" w:cs="宋体" w:eastAsia="宋体" w:hint="default"/>
          <w:sz w:val="21"/>
          <w:szCs w:val="21"/>
        </w:rPr>
        <w:t> 技术工作委员会常务理事；</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月至今，任国教视讯（北京）文化传媒有限公司副董事长；</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月至今，任浙江华媒控股控股股份有限公司副总经理。</w:t>
      </w:r>
    </w:p>
    <w:p>
      <w:pPr>
        <w:spacing w:line="386" w:lineRule="auto" w:before="95"/>
        <w:ind w:left="153" w:right="101" w:firstLine="42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王柏华先生，</w:t>
      </w:r>
      <w:r>
        <w:rPr>
          <w:rFonts w:ascii="Times New Roman" w:hAnsi="Times New Roman" w:cs="Times New Roman" w:eastAsia="Times New Roman" w:hint="default"/>
          <w:spacing w:val="-1"/>
          <w:sz w:val="21"/>
          <w:szCs w:val="21"/>
        </w:rPr>
        <w:t>1969</w:t>
      </w:r>
      <w:r>
        <w:rPr>
          <w:rFonts w:ascii="宋体" w:hAnsi="宋体" w:cs="宋体" w:eastAsia="宋体" w:hint="default"/>
          <w:spacing w:val="-1"/>
          <w:sz w:val="21"/>
          <w:szCs w:val="21"/>
        </w:rPr>
        <w:t>年出生，本科，中国国籍，无境外居住权。</w:t>
      </w:r>
      <w:r>
        <w:rPr>
          <w:rFonts w:ascii="Times New Roman" w:hAnsi="Times New Roman" w:cs="Times New Roman" w:eastAsia="Times New Roman" w:hint="default"/>
          <w:spacing w:val="-1"/>
          <w:sz w:val="21"/>
          <w:szCs w:val="21"/>
        </w:rPr>
        <w:t>2008</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月至</w:t>
      </w:r>
      <w:r>
        <w:rPr>
          <w:rFonts w:ascii="Times New Roman" w:hAnsi="Times New Roman" w:cs="Times New Roman" w:eastAsia="Times New Roman" w:hint="default"/>
          <w:spacing w:val="-1"/>
          <w:sz w:val="21"/>
          <w:szCs w:val="21"/>
        </w:rPr>
        <w:t>2013</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月任萧山日报副总</w:t>
      </w:r>
      <w:r>
        <w:rPr>
          <w:rFonts w:ascii="宋体" w:hAnsi="宋体" w:cs="宋体" w:eastAsia="宋体" w:hint="default"/>
          <w:sz w:val="21"/>
          <w:szCs w:val="21"/>
        </w:rPr>
        <w:t> 编辑；</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月任萧山日报副社长、杭州萧山日报传媒有限公司总经理；</w:t>
      </w: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5</w:t>
      </w:r>
      <w:r>
        <w:rPr>
          <w:rFonts w:ascii="宋体" w:hAnsi="宋体" w:cs="宋体" w:eastAsia="宋体" w:hint="default"/>
          <w:sz w:val="21"/>
          <w:szCs w:val="21"/>
        </w:rPr>
        <w:t>月至</w:t>
      </w:r>
      <w:r>
        <w:rPr>
          <w:rFonts w:ascii="Times New Roman" w:hAnsi="Times New Roman" w:cs="Times New Roman" w:eastAsia="Times New Roman" w:hint="default"/>
          <w:sz w:val="21"/>
          <w:szCs w:val="21"/>
        </w:rPr>
        <w:t>2016</w:t>
      </w:r>
    </w:p>
    <w:p>
      <w:pPr>
        <w:spacing w:after="0" w:line="386" w:lineRule="auto"/>
        <w:jc w:val="left"/>
        <w:rPr>
          <w:rFonts w:ascii="Times New Roman" w:hAnsi="Times New Roman" w:cs="Times New Roman" w:eastAsia="Times New Roman" w:hint="default"/>
          <w:sz w:val="21"/>
          <w:szCs w:val="21"/>
        </w:rPr>
        <w:sectPr>
          <w:pgSz w:w="11910" w:h="16840"/>
          <w:pgMar w:header="877" w:footer="982" w:top="1100" w:bottom="1180" w:left="980" w:right="920"/>
        </w:sectPr>
      </w:pPr>
    </w:p>
    <w:p>
      <w:pPr>
        <w:spacing w:line="240" w:lineRule="auto" w:before="0"/>
        <w:rPr>
          <w:rFonts w:ascii="Times New Roman" w:hAnsi="Times New Roman" w:cs="Times New Roman" w:eastAsia="Times New Roman" w:hint="default"/>
          <w:sz w:val="20"/>
          <w:szCs w:val="20"/>
        </w:rPr>
      </w:pPr>
    </w:p>
    <w:p>
      <w:pPr>
        <w:spacing w:line="398" w:lineRule="auto" w:before="153"/>
        <w:ind w:left="154" w:right="150" w:firstLine="0"/>
        <w:jc w:val="both"/>
        <w:rPr>
          <w:rFonts w:ascii="宋体" w:hAnsi="宋体" w:cs="宋体" w:eastAsia="宋体" w:hint="default"/>
          <w:sz w:val="21"/>
          <w:szCs w:val="21"/>
        </w:rPr>
      </w:pP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月任萧山日报社长、杭州萧山日报传媒有限公司副董事长；</w:t>
      </w:r>
      <w:r>
        <w:rPr>
          <w:rFonts w:ascii="Times New Roman" w:hAnsi="Times New Roman" w:cs="Times New Roman" w:eastAsia="Times New Roman" w:hint="default"/>
          <w:spacing w:val="-1"/>
          <w:sz w:val="21"/>
          <w:szCs w:val="21"/>
        </w:rPr>
        <w:t>2016</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月至今任浙江华媒控股股份有限公</w:t>
      </w:r>
      <w:r>
        <w:rPr>
          <w:rFonts w:ascii="宋体" w:hAnsi="宋体" w:cs="宋体" w:eastAsia="宋体" w:hint="default"/>
          <w:spacing w:val="-84"/>
          <w:sz w:val="21"/>
          <w:szCs w:val="21"/>
        </w:rPr>
        <w:t> </w:t>
      </w:r>
      <w:r>
        <w:rPr>
          <w:rFonts w:ascii="宋体" w:hAnsi="宋体" w:cs="宋体" w:eastAsia="宋体" w:hint="default"/>
          <w:spacing w:val="-1"/>
          <w:sz w:val="21"/>
          <w:szCs w:val="21"/>
        </w:rPr>
        <w:t>司副总经理、杭州富阳日报传媒有限公司董事长、杭州余杭晨报传媒有限公司董事长、杭州文化产权交易</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所有限公司董事长、总经理。</w:t>
      </w:r>
    </w:p>
    <w:p>
      <w:pPr>
        <w:spacing w:before="41"/>
        <w:ind w:left="154" w:right="0" w:firstLine="0"/>
        <w:jc w:val="both"/>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5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7"/>
        <w:gridCol w:w="3230"/>
        <w:gridCol w:w="1076"/>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赵晴</w:t>
            </w:r>
          </w:p>
        </w:tc>
        <w:tc>
          <w:tcPr>
            <w:tcW w:w="32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10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10"/>
                <w:sz w:val="18"/>
                <w:szCs w:val="18"/>
              </w:rPr>
              <w:t>董事长、总经</w:t>
            </w:r>
            <w:r>
              <w:rPr>
                <w:rFonts w:ascii="宋体" w:hAnsi="宋体" w:cs="宋体" w:eastAsia="宋体" w:hint="default"/>
                <w:sz w:val="18"/>
                <w:szCs w:val="18"/>
              </w:rPr>
              <w:t> 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秦晓春</w:t>
            </w:r>
          </w:p>
        </w:tc>
        <w:tc>
          <w:tcPr>
            <w:tcW w:w="32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10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10"/>
                <w:sz w:val="18"/>
                <w:szCs w:val="18"/>
              </w:rPr>
              <w:t>董事、副总经</w:t>
            </w:r>
            <w:r>
              <w:rPr>
                <w:rFonts w:ascii="宋体" w:hAnsi="宋体" w:cs="宋体" w:eastAsia="宋体" w:hint="default"/>
                <w:sz w:val="18"/>
                <w:szCs w:val="18"/>
              </w:rPr>
              <w:t> 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杨星</w:t>
            </w:r>
          </w:p>
        </w:tc>
        <w:tc>
          <w:tcPr>
            <w:tcW w:w="32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10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社长</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鲍林强</w:t>
            </w:r>
          </w:p>
        </w:tc>
        <w:tc>
          <w:tcPr>
            <w:tcW w:w="32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10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汪思洋</w:t>
            </w:r>
          </w:p>
        </w:tc>
        <w:tc>
          <w:tcPr>
            <w:tcW w:w="32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10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裴蓉</w:t>
            </w:r>
          </w:p>
        </w:tc>
        <w:tc>
          <w:tcPr>
            <w:tcW w:w="323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10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10"/>
                <w:sz w:val="18"/>
                <w:szCs w:val="18"/>
              </w:rPr>
              <w:t>董事、执行总</w:t>
            </w:r>
            <w:r>
              <w:rPr>
                <w:rFonts w:ascii="宋体" w:hAnsi="宋体" w:cs="宋体" w:eastAsia="宋体" w:hint="default"/>
                <w:sz w:val="18"/>
                <w:szCs w:val="18"/>
              </w:rPr>
              <w:t> 裁</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赵晴</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pacing w:val="-8"/>
                <w:sz w:val="18"/>
                <w:szCs w:val="18"/>
              </w:rPr>
              <w:t>党委书记、社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秦晓春</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党委委员</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秦晓春</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副社长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杨星</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党委委员</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杨星</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副总编辑</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杨星</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浙江都市快报控股有限公司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杨星</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十九楼网络股份有限公司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杨星</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浙江都市艺术文化发展有限公司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鲍林强</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杭州日报报业集团（杭州日报社）</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党委委员</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鲍林强</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浙江都市快报控股有限公司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鲍林强</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浙江华媒信息传播有限公司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鲍林强</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浙江都市艺术文化发展有限公司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8"/>
                <w:sz w:val="18"/>
                <w:szCs w:val="18"/>
              </w:rPr>
              <w:t>董事、总经理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汪思洋</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健民药业集团股份有限公司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汪思洋</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昆药集团股份有限公司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汪思洋</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华方医药科技有限公司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汪思洋</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上海开创国际股份有限公司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汪思洋</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杭州合盛置业有限公司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叶雪芳</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浙江工商大学</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会计学教授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叶雪芳</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浙江海亮股份有限公司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叶雪芳</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浙江康恩贝制药股份有限公司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叶雪芳</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浙江华策影视股份有限公司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蔡才河</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物产中大集团财务有限公司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副董事长、总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蔡才河</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81"/>
              <w:jc w:val="left"/>
              <w:rPr>
                <w:rFonts w:ascii="宋体" w:hAnsi="宋体" w:cs="宋体" w:eastAsia="宋体" w:hint="default"/>
                <w:sz w:val="18"/>
                <w:szCs w:val="18"/>
              </w:rPr>
            </w:pPr>
            <w:r>
              <w:rPr>
                <w:rFonts w:ascii="宋体" w:hAnsi="宋体" w:cs="宋体" w:eastAsia="宋体" w:hint="default"/>
                <w:sz w:val="18"/>
                <w:szCs w:val="18"/>
              </w:rPr>
              <w:t>物产中大集团股份有限公司资金管理运 营中心</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郭全中</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国家行政学院社会和文化教研部</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高级经济师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郭全中</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陈军雄</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浙江都市快报控股有限公司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董事、副总经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陈军雄</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杭州都健网络科技有限公司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陈军雄</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浙江饭美科技有限公司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陈军雄</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杭州都市周报传媒有限公司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董事长、总经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裴蓉</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华方医药科技有限公司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裴蓉</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昆药集团股份有限公司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裴蓉</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健民药业集团股份有限公司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裴蓉</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上海开创国际股份有限公司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邹箭峰</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快点文化传播（上海）有限公司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邹箭峰</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浙江华媒投资有限公司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邹箭峰</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浙江华媒信息传播有限公司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邹箭峰</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浙江华媒金晟投资有限公司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张剑秋</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杭州每日传媒有限公司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张剑秋</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杭州富阳日报传媒有限公司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张剑秋</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杭州余杭晨报传媒有限公司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张剑秋</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杭州华泰一媒文化传播有限公司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张剑秋</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杭州华创全媒科创园区管理有限公司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张剑秋</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浙江华媒投资有限公司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张韶衡</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杭报集团盛元印务有限公司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张韶衡</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浙江风盛传媒有限公司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张韶衡</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杭报集团每日送电子商务有限公司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张韶衡</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浙江华媒投资有限公司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张韶衡</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杭州盛景科技有限公司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张韶衡</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杭州盛友广告设计有限公司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张韶衡</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上海盛元第高数码图文影像有限公司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于国清</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杭州萧山日报传媒有限公司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于国清</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浙江华媒信息传播有限公司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于国清</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杭州每日传媒有限公司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宋浩</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北京精典博维文化传媒有限公司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宋浩</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浙江华媒投资有限公司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8"/>
                <w:sz w:val="18"/>
                <w:szCs w:val="18"/>
              </w:rPr>
              <w:t>董事、总经理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杭州每日传媒有限公司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浙江华媒投资有限公司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杭州网络传媒有限公司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浙江风盛传媒有限公司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杭州日报报业集团盛元印务有限公司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杭州地铁文化传媒有限公司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快点文化传播（上海）有限公司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浙江华媒信息传播有限公司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北京精典博维文化传媒有限公司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华数数字传媒集团</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杭州文化产权交易所有限公司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高坚强</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杭州华泰一媒文化传播有限公司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林鹭华</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深圳宏天高科技有限公司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林鹭华</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深圳市金百泽电子科技股份有限公司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林鹭华</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快点文化传播（上海）有限公司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林鹭华</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江苏省盛世广宏无线科技传播有限公司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林鹭华</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深圳市泽创投资发展有限公司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林鹭华</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国教视讯（北京）文化传媒有限公司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王柏华</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杭州文化产权交易所有限公司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董事长、总经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王柏华</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杭州富阳日报传媒有限公司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王柏华</w:t>
            </w:r>
          </w:p>
        </w:tc>
        <w:tc>
          <w:tcPr>
            <w:tcW w:w="32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杭州余杭晨报传媒有限公司</w:t>
            </w:r>
          </w:p>
        </w:tc>
        <w:tc>
          <w:tcPr>
            <w:tcW w:w="10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10"/>
        <w:rPr>
          <w:rFonts w:ascii="宋体" w:hAnsi="宋体" w:cs="宋体" w:eastAsia="宋体" w:hint="default"/>
          <w:sz w:val="12"/>
          <w:szCs w:val="12"/>
        </w:rPr>
      </w:pPr>
    </w:p>
    <w:p>
      <w:pPr>
        <w:spacing w:line="386" w:lineRule="auto" w:before="0"/>
        <w:ind w:left="153" w:right="189" w:firstLine="360"/>
        <w:jc w:val="both"/>
        <w:rPr>
          <w:rFonts w:ascii="宋体" w:hAnsi="宋体" w:cs="宋体" w:eastAsia="宋体" w:hint="default"/>
          <w:sz w:val="21"/>
          <w:szCs w:val="21"/>
        </w:rPr>
      </w:pPr>
      <w:r>
        <w:rPr>
          <w:rFonts w:ascii="宋体" w:hAnsi="宋体" w:cs="宋体" w:eastAsia="宋体" w:hint="default"/>
          <w:sz w:val="21"/>
          <w:szCs w:val="21"/>
        </w:rPr>
        <w:t>公司第七届董事会第十七次会议、</w:t>
      </w:r>
      <w:r>
        <w:rPr>
          <w:rFonts w:ascii="Times New Roman" w:hAnsi="Times New Roman" w:cs="Times New Roman" w:eastAsia="Times New Roman" w:hint="default"/>
          <w:sz w:val="21"/>
          <w:szCs w:val="21"/>
        </w:rPr>
        <w:t>2014</w:t>
      </w:r>
      <w:r>
        <w:rPr>
          <w:rFonts w:ascii="宋体" w:hAnsi="宋体" w:cs="宋体" w:eastAsia="宋体" w:hint="default"/>
          <w:sz w:val="21"/>
          <w:szCs w:val="21"/>
        </w:rPr>
        <w:t>年年度股东大会审议通过《董事、监事及高级管理人员薪酬管 理制度》，董事、监事、高级管理人员的薪酬根据该制度执行。</w:t>
      </w:r>
    </w:p>
    <w:p>
      <w:pPr>
        <w:spacing w:line="386" w:lineRule="auto" w:before="65"/>
        <w:ind w:left="153" w:right="151" w:firstLine="360"/>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2015</w:t>
      </w:r>
      <w:r>
        <w:rPr>
          <w:rFonts w:ascii="宋体" w:hAnsi="宋体" w:cs="宋体" w:eastAsia="宋体" w:hint="default"/>
          <w:spacing w:val="-1"/>
          <w:sz w:val="21"/>
          <w:szCs w:val="21"/>
        </w:rPr>
        <w:t>年度高级管理人员实行年薪制，主要构成为基础年薪（年薪占比</w:t>
      </w:r>
      <w:r>
        <w:rPr>
          <w:rFonts w:ascii="Times New Roman" w:hAnsi="Times New Roman" w:cs="Times New Roman" w:eastAsia="Times New Roman" w:hint="default"/>
          <w:spacing w:val="-1"/>
          <w:sz w:val="21"/>
          <w:szCs w:val="21"/>
        </w:rPr>
        <w:t>60%~70%</w:t>
      </w:r>
      <w:r>
        <w:rPr>
          <w:rFonts w:ascii="宋体" w:hAnsi="宋体" w:cs="宋体" w:eastAsia="宋体" w:hint="default"/>
          <w:spacing w:val="-1"/>
          <w:sz w:val="21"/>
          <w:szCs w:val="21"/>
        </w:rPr>
        <w:t>）和绩效年薪（年薪占</w:t>
      </w:r>
      <w:r>
        <w:rPr>
          <w:rFonts w:ascii="宋体" w:hAnsi="宋体" w:cs="宋体" w:eastAsia="宋体" w:hint="default"/>
          <w:sz w:val="21"/>
          <w:szCs w:val="21"/>
        </w:rPr>
        <w:t> </w:t>
      </w:r>
      <w:r>
        <w:rPr>
          <w:rFonts w:ascii="宋体" w:hAnsi="宋体" w:cs="宋体" w:eastAsia="宋体" w:hint="default"/>
          <w:spacing w:val="-2"/>
          <w:sz w:val="21"/>
          <w:szCs w:val="21"/>
        </w:rPr>
        <w:t>比</w:t>
      </w:r>
      <w:r>
        <w:rPr>
          <w:rFonts w:ascii="Times New Roman" w:hAnsi="Times New Roman" w:cs="Times New Roman" w:eastAsia="Times New Roman" w:hint="default"/>
          <w:spacing w:val="-2"/>
          <w:sz w:val="21"/>
          <w:szCs w:val="21"/>
        </w:rPr>
        <w:t>30%~40%</w:t>
      </w:r>
      <w:r>
        <w:rPr>
          <w:rFonts w:ascii="宋体" w:hAnsi="宋体" w:cs="宋体" w:eastAsia="宋体" w:hint="default"/>
          <w:spacing w:val="-2"/>
          <w:sz w:val="21"/>
          <w:szCs w:val="21"/>
        </w:rPr>
        <w:t>）。在公司实现当年利润承诺的前提下，对高管进行超额奖励；同时以公司利润承诺指标为核</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心，引入风险扣罚机制。</w:t>
      </w:r>
    </w:p>
    <w:p>
      <w:pPr>
        <w:spacing w:before="65"/>
        <w:ind w:left="489" w:right="0" w:firstLine="0"/>
        <w:jc w:val="left"/>
        <w:rPr>
          <w:rFonts w:ascii="宋体" w:hAnsi="宋体" w:cs="宋体" w:eastAsia="宋体" w:hint="default"/>
          <w:sz w:val="21"/>
          <w:szCs w:val="21"/>
        </w:rPr>
      </w:pPr>
      <w:r>
        <w:rPr>
          <w:rFonts w:ascii="宋体" w:hAnsi="宋体" w:cs="宋体" w:eastAsia="宋体" w:hint="default"/>
          <w:sz w:val="21"/>
          <w:szCs w:val="21"/>
        </w:rPr>
        <w:t>各高级管理人员的年薪标准结合具体岗位职责和工作目标，并参考</w:t>
      </w:r>
      <w:r>
        <w:rPr>
          <w:rFonts w:ascii="Times New Roman" w:hAnsi="Times New Roman" w:cs="Times New Roman" w:eastAsia="Times New Roman" w:hint="default"/>
          <w:sz w:val="21"/>
          <w:szCs w:val="21"/>
        </w:rPr>
        <w:t>2014</w:t>
      </w:r>
      <w:r>
        <w:rPr>
          <w:rFonts w:ascii="宋体" w:hAnsi="宋体" w:cs="宋体" w:eastAsia="宋体" w:hint="default"/>
          <w:sz w:val="21"/>
          <w:szCs w:val="21"/>
        </w:rPr>
        <w:t>年度行业薪酬水平而确定。</w:t>
      </w:r>
    </w:p>
    <w:p>
      <w:pPr>
        <w:spacing w:after="0"/>
        <w:jc w:val="left"/>
        <w:rPr>
          <w:rFonts w:ascii="宋体" w:hAnsi="宋体" w:cs="宋体" w:eastAsia="宋体" w:hint="default"/>
          <w:sz w:val="21"/>
          <w:szCs w:val="21"/>
        </w:rPr>
        <w:sectPr>
          <w:pgSz w:w="11910" w:h="16840"/>
          <w:pgMar w:header="877" w:footer="982" w:top="1100" w:bottom="1180" w:left="980" w:right="980"/>
        </w:sectPr>
      </w:pPr>
    </w:p>
    <w:p>
      <w:pPr>
        <w:spacing w:line="240" w:lineRule="auto" w:before="13"/>
        <w:rPr>
          <w:rFonts w:ascii="宋体" w:hAnsi="宋体" w:cs="宋体" w:eastAsia="宋体" w:hint="default"/>
          <w:sz w:val="21"/>
          <w:szCs w:val="21"/>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8"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赵晴</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秦晓春</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杨星</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鲍林强</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汪思洋</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张剑秋</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叶雪芳</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蔡才河</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郭全中</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陆春祥</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陈军雄</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裴蓉</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邹箭峰</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洪晓明</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张韶衡</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常务副总经理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于国清</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宋浩</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郭勤勇</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高坚强</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林鹭华</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491.4</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、员工数量、专业构成及教育程度</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76"/>
        <w:gridCol w:w="4791"/>
      </w:tblGrid>
      <w:tr>
        <w:trPr>
          <w:trHeight w:val="402" w:hRule="exact"/>
        </w:trPr>
        <w:tc>
          <w:tcPr>
            <w:tcW w:w="4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2,802</w:t>
            </w:r>
          </w:p>
        </w:tc>
      </w:tr>
      <w:tr>
        <w:trPr>
          <w:trHeight w:val="402" w:hRule="exact"/>
        </w:trPr>
        <w:tc>
          <w:tcPr>
            <w:tcW w:w="4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4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606</w:t>
            </w:r>
          </w:p>
        </w:tc>
      </w:tr>
      <w:tr>
        <w:trPr>
          <w:trHeight w:val="402" w:hRule="exact"/>
        </w:trPr>
        <w:tc>
          <w:tcPr>
            <w:tcW w:w="4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473</w:t>
            </w:r>
          </w:p>
        </w:tc>
      </w:tr>
      <w:tr>
        <w:trPr>
          <w:trHeight w:val="402" w:hRule="exact"/>
        </w:trPr>
        <w:tc>
          <w:tcPr>
            <w:tcW w:w="4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w:t>
            </w:r>
          </w:p>
        </w:tc>
      </w:tr>
      <w:tr>
        <w:trPr>
          <w:trHeight w:val="402" w:hRule="exact"/>
        </w:trPr>
        <w:tc>
          <w:tcPr>
            <w:tcW w:w="4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w:t>
            </w:r>
          </w:p>
        </w:tc>
      </w:tr>
      <w:tr>
        <w:trPr>
          <w:trHeight w:val="402" w:hRule="exact"/>
        </w:trPr>
        <w:tc>
          <w:tcPr>
            <w:tcW w:w="4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w:t>
            </w:r>
          </w:p>
        </w:tc>
      </w:tr>
      <w:tr>
        <w:trPr>
          <w:trHeight w:val="402" w:hRule="exact"/>
        </w:trPr>
        <w:tc>
          <w:tcPr>
            <w:tcW w:w="47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辅助人员</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1,172</w:t>
            </w:r>
          </w:p>
        </w:tc>
      </w:tr>
      <w:tr>
        <w:trPr>
          <w:trHeight w:val="402" w:hRule="exact"/>
        </w:trPr>
        <w:tc>
          <w:tcPr>
            <w:tcW w:w="4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2,802</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硕士及硕士以上</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w:t>
            </w:r>
          </w:p>
        </w:tc>
      </w:tr>
      <w:tr>
        <w:trPr>
          <w:trHeight w:val="402" w:hRule="exact"/>
        </w:trPr>
        <w:tc>
          <w:tcPr>
            <w:tcW w:w="47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760</w:t>
            </w:r>
          </w:p>
        </w:tc>
      </w:tr>
      <w:tr>
        <w:trPr>
          <w:trHeight w:val="402" w:hRule="exact"/>
        </w:trPr>
        <w:tc>
          <w:tcPr>
            <w:tcW w:w="47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416</w:t>
            </w:r>
          </w:p>
        </w:tc>
      </w:tr>
      <w:tr>
        <w:trPr>
          <w:trHeight w:val="402" w:hRule="exact"/>
        </w:trPr>
        <w:tc>
          <w:tcPr>
            <w:tcW w:w="47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中专</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w:t>
            </w:r>
          </w:p>
        </w:tc>
      </w:tr>
      <w:tr>
        <w:trPr>
          <w:trHeight w:val="402" w:hRule="exact"/>
        </w:trPr>
        <w:tc>
          <w:tcPr>
            <w:tcW w:w="47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1,465</w:t>
            </w:r>
          </w:p>
        </w:tc>
      </w:tr>
      <w:tr>
        <w:trPr>
          <w:trHeight w:val="402" w:hRule="exact"/>
        </w:trPr>
        <w:tc>
          <w:tcPr>
            <w:tcW w:w="4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2,802</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、薪酬政策</w:t>
      </w:r>
      <w:r>
        <w:rPr>
          <w:rFonts w:ascii="宋体" w:hAnsi="宋体" w:cs="宋体" w:eastAsia="宋体" w:hint="default"/>
          <w:sz w:val="21"/>
          <w:szCs w:val="21"/>
        </w:rPr>
      </w:r>
    </w:p>
    <w:p>
      <w:pPr>
        <w:spacing w:line="240" w:lineRule="auto" w:before="7"/>
        <w:rPr>
          <w:rFonts w:ascii="宋体" w:hAnsi="宋体" w:cs="宋体" w:eastAsia="宋体" w:hint="default"/>
          <w:b/>
          <w:bCs/>
          <w:sz w:val="30"/>
          <w:szCs w:val="30"/>
        </w:rPr>
      </w:pPr>
    </w:p>
    <w:p>
      <w:pPr>
        <w:spacing w:line="386" w:lineRule="auto" w:before="0"/>
        <w:ind w:left="15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）公司根据职能、层级确定不同的薪酬形式，主要包括年薪制、组合薪酬制（岗位工资</w:t>
      </w:r>
      <w:r>
        <w:rPr>
          <w:rFonts w:ascii="Times New Roman" w:hAnsi="Times New Roman" w:cs="Times New Roman" w:eastAsia="Times New Roman" w:hint="default"/>
          <w:sz w:val="21"/>
          <w:szCs w:val="21"/>
        </w:rPr>
        <w:t>+</w:t>
      </w:r>
      <w:r>
        <w:rPr>
          <w:rFonts w:ascii="宋体" w:hAnsi="宋体" w:cs="宋体" w:eastAsia="宋体" w:hint="default"/>
          <w:sz w:val="21"/>
          <w:szCs w:val="21"/>
        </w:rPr>
        <w:t>绩效工资</w:t>
      </w:r>
      <w:r>
        <w:rPr>
          <w:rFonts w:ascii="Times New Roman" w:hAnsi="Times New Roman" w:cs="Times New Roman" w:eastAsia="Times New Roman" w:hint="default"/>
          <w:sz w:val="21"/>
          <w:szCs w:val="21"/>
        </w:rPr>
        <w:t>+</w:t>
      </w:r>
      <w:r>
        <w:rPr>
          <w:rFonts w:ascii="宋体" w:hAnsi="宋体" w:cs="宋体" w:eastAsia="宋体" w:hint="default"/>
          <w:sz w:val="21"/>
          <w:szCs w:val="21"/>
        </w:rPr>
        <w:t>奖</w:t>
      </w:r>
      <w:r>
        <w:rPr>
          <w:rFonts w:ascii="宋体" w:hAnsi="宋体" w:cs="宋体" w:eastAsia="宋体" w:hint="default"/>
          <w:spacing w:val="-60"/>
          <w:sz w:val="21"/>
          <w:szCs w:val="21"/>
        </w:rPr>
        <w:t> </w:t>
      </w:r>
      <w:r>
        <w:rPr>
          <w:rFonts w:ascii="宋体" w:hAnsi="宋体" w:cs="宋体" w:eastAsia="宋体" w:hint="default"/>
          <w:sz w:val="21"/>
          <w:szCs w:val="21"/>
        </w:rPr>
        <w:t>金）等；</w:t>
      </w:r>
    </w:p>
    <w:p>
      <w:pPr>
        <w:spacing w:line="386" w:lineRule="auto" w:before="65"/>
        <w:ind w:left="15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）公司严格按照国家和地方法律法规以及公司制度为员工缴纳社会保险和住房公积金，并为员工提供</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就餐补贴、高温补贴、体检等相关福利。</w:t>
      </w:r>
    </w:p>
    <w:p>
      <w:pPr>
        <w:spacing w:line="240" w:lineRule="auto" w:before="0"/>
        <w:rPr>
          <w:rFonts w:ascii="宋体" w:hAnsi="宋体" w:cs="宋体" w:eastAsia="宋体" w:hint="default"/>
          <w:sz w:val="22"/>
          <w:szCs w:val="22"/>
        </w:rPr>
      </w:pPr>
    </w:p>
    <w:p>
      <w:pPr>
        <w:spacing w:before="0"/>
        <w:ind w:left="1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、培训计划</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年，人力资源部完成公司级培训项目</w:t>
      </w:r>
      <w:r>
        <w:rPr>
          <w:rFonts w:ascii="Times New Roman" w:hAnsi="Times New Roman" w:cs="Times New Roman" w:eastAsia="Times New Roman" w:hint="default"/>
          <w:sz w:val="21"/>
          <w:szCs w:val="21"/>
        </w:rPr>
        <w:t>12</w:t>
      </w:r>
      <w:r>
        <w:rPr>
          <w:rFonts w:ascii="宋体" w:hAnsi="宋体" w:cs="宋体" w:eastAsia="宋体" w:hint="default"/>
          <w:sz w:val="21"/>
          <w:szCs w:val="21"/>
        </w:rPr>
        <w:t>项，共计</w:t>
      </w:r>
      <w:r>
        <w:rPr>
          <w:rFonts w:ascii="Times New Roman" w:hAnsi="Times New Roman" w:cs="Times New Roman" w:eastAsia="Times New Roman" w:hint="default"/>
          <w:sz w:val="21"/>
          <w:szCs w:val="21"/>
        </w:rPr>
        <w:t>1300</w:t>
      </w:r>
      <w:r>
        <w:rPr>
          <w:rFonts w:ascii="宋体" w:hAnsi="宋体" w:cs="宋体" w:eastAsia="宋体" w:hint="default"/>
          <w:sz w:val="21"/>
          <w:szCs w:val="21"/>
        </w:rPr>
        <w:t>余人次参加，培训计划实施率为</w:t>
      </w:r>
      <w:r>
        <w:rPr>
          <w:rFonts w:ascii="Times New Roman" w:hAnsi="Times New Roman" w:cs="Times New Roman" w:eastAsia="Times New Roman" w:hint="default"/>
          <w:sz w:val="21"/>
          <w:szCs w:val="21"/>
        </w:rPr>
        <w:t>100%</w:t>
      </w:r>
      <w:r>
        <w:rPr>
          <w:rFonts w:ascii="宋体" w:hAnsi="宋体" w:cs="宋体" w:eastAsia="宋体" w:hint="default"/>
          <w:sz w:val="21"/>
          <w:szCs w:val="21"/>
        </w:rPr>
        <w:t>。</w:t>
      </w:r>
    </w:p>
    <w:p>
      <w:pPr>
        <w:spacing w:line="240" w:lineRule="auto" w:before="8"/>
        <w:rPr>
          <w:rFonts w:ascii="宋体" w:hAnsi="宋体" w:cs="宋体" w:eastAsia="宋体" w:hint="default"/>
          <w:sz w:val="24"/>
          <w:szCs w:val="24"/>
        </w:rPr>
      </w:pPr>
    </w:p>
    <w:p>
      <w:pPr>
        <w:spacing w:before="0"/>
        <w:ind w:left="1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、劳务外包情况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428" w:right="3484"/>
        <w:jc w:val="center"/>
        <w:rPr>
          <w:b w:val="0"/>
          <w:bCs w:val="0"/>
        </w:rPr>
      </w:pPr>
      <w:bookmarkStart w:name="_TOC_250002" w:id="9"/>
      <w:r>
        <w:rPr/>
        <w:t>第九节</w:t>
      </w:r>
      <w:r>
        <w:rPr>
          <w:spacing w:val="-5"/>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both"/>
        <w:rPr>
          <w:b w:val="0"/>
          <w:bCs w:val="0"/>
        </w:rPr>
      </w:pPr>
      <w:r>
        <w:rPr/>
        <w:t>一、公司治理的基本状况</w:t>
      </w:r>
      <w:r>
        <w:rPr>
          <w:b w:val="0"/>
          <w:bCs w:val="0"/>
        </w:rPr>
      </w:r>
    </w:p>
    <w:p>
      <w:pPr>
        <w:spacing w:line="240" w:lineRule="auto" w:before="6"/>
        <w:rPr>
          <w:rFonts w:ascii="宋体" w:hAnsi="宋体" w:cs="宋体" w:eastAsia="宋体" w:hint="default"/>
          <w:b/>
          <w:bCs/>
          <w:sz w:val="30"/>
          <w:szCs w:val="30"/>
        </w:rPr>
      </w:pPr>
    </w:p>
    <w:p>
      <w:pPr>
        <w:spacing w:line="408" w:lineRule="auto" w:before="0"/>
        <w:ind w:left="153" w:right="210" w:firstLine="360"/>
        <w:jc w:val="both"/>
        <w:rPr>
          <w:rFonts w:ascii="宋体" w:hAnsi="宋体" w:cs="宋体" w:eastAsia="宋体" w:hint="default"/>
          <w:sz w:val="21"/>
          <w:szCs w:val="21"/>
        </w:rPr>
      </w:pPr>
      <w:r>
        <w:rPr>
          <w:rFonts w:ascii="宋体" w:hAnsi="宋体" w:cs="宋体" w:eastAsia="宋体" w:hint="default"/>
          <w:sz w:val="21"/>
          <w:szCs w:val="21"/>
        </w:rPr>
        <w:t>报告期内，公司严格按照《公司法》、《证券法》、《上市公司治理准则》、《深圳证券交易所股票 </w:t>
      </w:r>
      <w:r>
        <w:rPr>
          <w:rFonts w:ascii="宋体" w:hAnsi="宋体" w:cs="宋体" w:eastAsia="宋体" w:hint="default"/>
          <w:spacing w:val="-1"/>
          <w:sz w:val="21"/>
          <w:szCs w:val="21"/>
        </w:rPr>
        <w:t>上市规则》等法律法规及相关规范性文件的要求，不断完善公司法人治理结构，建立健全内部管理和控制</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制度，持续深入开展公司治理活动，提高公司规范运作水平。</w:t>
      </w:r>
    </w:p>
    <w:p>
      <w:pPr>
        <w:spacing w:before="46"/>
        <w:ind w:left="513" w:right="101" w:firstLine="0"/>
        <w:jc w:val="left"/>
        <w:rPr>
          <w:rFonts w:ascii="宋体" w:hAnsi="宋体" w:cs="宋体" w:eastAsia="宋体" w:hint="default"/>
          <w:sz w:val="21"/>
          <w:szCs w:val="21"/>
        </w:rPr>
      </w:pPr>
      <w:r>
        <w:rPr>
          <w:rFonts w:ascii="宋体" w:hAnsi="宋体" w:cs="宋体" w:eastAsia="宋体" w:hint="default"/>
          <w:sz w:val="21"/>
          <w:szCs w:val="21"/>
        </w:rPr>
        <w:t>公司股东大会、董事会、监事会和经营管理层之间权责明确，公司法人治理结构符合现代企业制度和</w:t>
      </w:r>
    </w:p>
    <w:p>
      <w:pPr>
        <w:spacing w:line="240" w:lineRule="auto" w:before="10"/>
        <w:rPr>
          <w:rFonts w:ascii="宋体" w:hAnsi="宋体" w:cs="宋体" w:eastAsia="宋体" w:hint="default"/>
          <w:sz w:val="14"/>
          <w:szCs w:val="14"/>
        </w:rPr>
      </w:pPr>
    </w:p>
    <w:p>
      <w:pPr>
        <w:spacing w:line="408" w:lineRule="auto" w:before="0"/>
        <w:ind w:left="153" w:right="211" w:firstLine="0"/>
        <w:jc w:val="both"/>
        <w:rPr>
          <w:rFonts w:ascii="宋体" w:hAnsi="宋体" w:cs="宋体" w:eastAsia="宋体" w:hint="default"/>
          <w:sz w:val="21"/>
          <w:szCs w:val="21"/>
        </w:rPr>
      </w:pPr>
      <w:r>
        <w:rPr>
          <w:rFonts w:ascii="宋体" w:hAnsi="宋体" w:cs="宋体" w:eastAsia="宋体" w:hint="default"/>
          <w:spacing w:val="-1"/>
          <w:sz w:val="21"/>
          <w:szCs w:val="21"/>
        </w:rPr>
        <w:t>《上市公司治理准则》的要求，构建了以股东大会、董事会、监事会及管理层为架构的决策、经营管理及</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监督体系，可以有效地维护投资者和公司利益。</w:t>
      </w:r>
    </w:p>
    <w:p>
      <w:pPr>
        <w:spacing w:line="398" w:lineRule="auto" w:before="46"/>
        <w:ind w:left="153" w:right="106" w:firstLine="360"/>
        <w:jc w:val="both"/>
        <w:rPr>
          <w:rFonts w:ascii="宋体" w:hAnsi="宋体" w:cs="宋体" w:eastAsia="宋体" w:hint="default"/>
          <w:sz w:val="21"/>
          <w:szCs w:val="21"/>
        </w:rPr>
      </w:pPr>
      <w:r>
        <w:rPr>
          <w:rFonts w:ascii="宋体" w:hAnsi="宋体" w:cs="宋体" w:eastAsia="宋体" w:hint="default"/>
          <w:sz w:val="21"/>
          <w:szCs w:val="21"/>
        </w:rPr>
        <w:t>报告期内，公司修订或制定并公告了</w:t>
      </w:r>
      <w:r>
        <w:rPr>
          <w:rFonts w:ascii="Times New Roman" w:hAnsi="Times New Roman" w:cs="Times New Roman" w:eastAsia="Times New Roman" w:hint="default"/>
          <w:sz w:val="21"/>
          <w:szCs w:val="21"/>
        </w:rPr>
        <w:t>29</w:t>
      </w:r>
      <w:r>
        <w:rPr>
          <w:rFonts w:ascii="宋体" w:hAnsi="宋体" w:cs="宋体" w:eastAsia="宋体" w:hint="default"/>
          <w:sz w:val="21"/>
          <w:szCs w:val="21"/>
        </w:rPr>
        <w:t>项规章制度，包括《章程》、《股东大会议事规则》、《董事 会议事规则》、《监事会议事规则》、《关联交易决策制度》、《对外担保管理制度》、《对外投资管理 </w:t>
      </w:r>
      <w:r>
        <w:rPr>
          <w:rFonts w:ascii="宋体" w:hAnsi="宋体" w:cs="宋体" w:eastAsia="宋体" w:hint="default"/>
          <w:spacing w:val="-8"/>
          <w:sz w:val="21"/>
          <w:szCs w:val="21"/>
        </w:rPr>
        <w:t>制度》、《累计投票制实施细则》、《子公司管理制度》、《总经理工作细则》、《董事会秘书工作制度》、</w:t>
      </w:r>
    </w:p>
    <w:p>
      <w:pPr>
        <w:spacing w:line="408" w:lineRule="auto" w:before="54"/>
        <w:ind w:left="154" w:right="209" w:firstLine="0"/>
        <w:jc w:val="both"/>
        <w:rPr>
          <w:rFonts w:ascii="宋体" w:hAnsi="宋体" w:cs="宋体" w:eastAsia="宋体" w:hint="default"/>
          <w:sz w:val="21"/>
          <w:szCs w:val="21"/>
        </w:rPr>
      </w:pPr>
      <w:r>
        <w:rPr>
          <w:rFonts w:ascii="宋体" w:hAnsi="宋体" w:cs="宋体" w:eastAsia="宋体" w:hint="default"/>
          <w:spacing w:val="-1"/>
          <w:sz w:val="21"/>
          <w:szCs w:val="21"/>
        </w:rPr>
        <w:t>《关联交易控制委员会工作细则》、《关联方资金往来管理制度》、《信息披露管理制度》、《委托理财</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管理制度》、《投资者关系管理制度》、《内幕信息知情人登记管理制度》、《战略与投资委员会工作细</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则》、《薪酬与考核委员会工作细则》、《提名委员会工作细则》、《审计委员会工作细则》、《独立董</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
          <w:sz w:val="21"/>
          <w:szCs w:val="21"/>
        </w:rPr>
        <w:t>事工作制度》、《内部审计工作制度》、《年报信息披露重大差错责任追究制度》、《保密制度》、《重</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
          <w:sz w:val="21"/>
          <w:szCs w:val="21"/>
        </w:rPr>
        <w:t>大事项内部报告制度》、《公司董事、监事及高级管理人员薪酬管理制度》、《董事、监事和高级管理人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员所持公司股份及其变动管理制度》、《对外财务资助管理制度》等共计</w:t>
      </w:r>
      <w:r>
        <w:rPr>
          <w:rFonts w:ascii="Times New Roman" w:hAnsi="Times New Roman" w:cs="Times New Roman" w:eastAsia="Times New Roman" w:hint="default"/>
          <w:sz w:val="21"/>
          <w:szCs w:val="21"/>
        </w:rPr>
        <w:t>29</w:t>
      </w:r>
      <w:r>
        <w:rPr>
          <w:rFonts w:ascii="宋体" w:hAnsi="宋体" w:cs="宋体" w:eastAsia="宋体" w:hint="default"/>
          <w:sz w:val="21"/>
          <w:szCs w:val="21"/>
        </w:rPr>
        <w:t>项。</w:t>
      </w:r>
    </w:p>
    <w:p>
      <w:pPr>
        <w:spacing w:line="398" w:lineRule="auto" w:before="14"/>
        <w:ind w:left="153" w:right="102" w:firstLine="480"/>
        <w:jc w:val="left"/>
        <w:rPr>
          <w:rFonts w:ascii="宋体" w:hAnsi="宋体" w:cs="宋体" w:eastAsia="宋体" w:hint="default"/>
          <w:sz w:val="21"/>
          <w:szCs w:val="21"/>
        </w:rPr>
      </w:pPr>
      <w:r>
        <w:rPr>
          <w:rFonts w:ascii="宋体" w:hAnsi="宋体" w:cs="宋体" w:eastAsia="宋体" w:hint="default"/>
          <w:spacing w:val="-2"/>
          <w:sz w:val="21"/>
          <w:szCs w:val="21"/>
        </w:rPr>
        <w:t>公司依照五部委联合发布的《企业内部控制基本规范》及其配套指引、《深圳证券交易所主板上市公</w:t>
      </w:r>
      <w:r>
        <w:rPr>
          <w:rFonts w:ascii="宋体" w:hAnsi="宋体" w:cs="宋体" w:eastAsia="宋体" w:hint="default"/>
          <w:sz w:val="21"/>
          <w:szCs w:val="21"/>
        </w:rPr>
        <w:t> 司规范运作指引（</w:t>
      </w:r>
      <w:r>
        <w:rPr>
          <w:rFonts w:ascii="Times New Roman" w:hAnsi="Times New Roman" w:cs="Times New Roman" w:eastAsia="Times New Roman" w:hint="default"/>
          <w:sz w:val="21"/>
          <w:szCs w:val="21"/>
        </w:rPr>
        <w:t>2015</w:t>
      </w:r>
      <w:r>
        <w:rPr>
          <w:rFonts w:ascii="宋体" w:hAnsi="宋体" w:cs="宋体" w:eastAsia="宋体" w:hint="default"/>
          <w:sz w:val="21"/>
          <w:szCs w:val="21"/>
        </w:rPr>
        <w:t>年修订）》等相关法律、法规、规范性文件的要求，积极组织开展了内控规范建设 </w:t>
      </w:r>
      <w:r>
        <w:rPr>
          <w:rFonts w:ascii="宋体" w:hAnsi="宋体" w:cs="宋体" w:eastAsia="宋体" w:hint="default"/>
          <w:spacing w:val="-2"/>
          <w:sz w:val="21"/>
          <w:szCs w:val="21"/>
        </w:rPr>
        <w:t>与实施的工作。公司制订了《</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年内部控制规范实施工作方案》</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成立了内控建设领导小组和内控建设工</w:t>
      </w:r>
      <w:r>
        <w:rPr>
          <w:rFonts w:ascii="宋体" w:hAnsi="宋体" w:cs="宋体" w:eastAsia="宋体" w:hint="default"/>
          <w:spacing w:val="-87"/>
          <w:sz w:val="21"/>
          <w:szCs w:val="21"/>
        </w:rPr>
        <w:t> </w:t>
      </w:r>
      <w:r>
        <w:rPr>
          <w:rFonts w:ascii="宋体" w:hAnsi="宋体" w:cs="宋体" w:eastAsia="宋体" w:hint="default"/>
          <w:sz w:val="21"/>
          <w:szCs w:val="21"/>
        </w:rPr>
        <w:t>作小组；在专业机构的指导下，通过对公司及下属子公司内控流程的梳理、缺陷查找，对梳理出的内控缺</w:t>
      </w:r>
      <w:r>
        <w:rPr>
          <w:rFonts w:ascii="宋体" w:hAnsi="宋体" w:cs="宋体" w:eastAsia="宋体" w:hint="default"/>
          <w:sz w:val="21"/>
          <w:szCs w:val="21"/>
        </w:rPr>
        <w:t> 陷进行归类和分析，确定相应内部控制缺陷整改方案，督促公司及下属子公司对照内控缺陷整改方案，逐 一落实整改；并在此基础上先行完成了《内控手册（试运行稿）》，在进行了为期</w:t>
      </w:r>
      <w:r>
        <w:rPr>
          <w:rFonts w:ascii="Times New Roman" w:hAnsi="Times New Roman" w:cs="Times New Roman" w:eastAsia="Times New Roman" w:hint="default"/>
          <w:sz w:val="21"/>
          <w:szCs w:val="21"/>
        </w:rPr>
        <w:t>3</w:t>
      </w:r>
      <w:r>
        <w:rPr>
          <w:rFonts w:ascii="宋体" w:hAnsi="宋体" w:cs="宋体" w:eastAsia="宋体" w:hint="default"/>
          <w:sz w:val="21"/>
          <w:szCs w:val="21"/>
        </w:rPr>
        <w:t>个月的试运行后，根</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3"/>
          <w:sz w:val="21"/>
          <w:szCs w:val="21"/>
        </w:rPr>
        <w:t>据试运行期间反馈的情况补充出台、修订完善了一系列内控制度办法，最终编制完成了一套涵盖公司治理、</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组织结构、发展战略、企业文化、社会责任、人力资源、资金活动、采购业务、资产管理、担保业务、财</w:t>
      </w:r>
      <w:r>
        <w:rPr>
          <w:rFonts w:ascii="宋体" w:hAnsi="宋体" w:cs="宋体" w:eastAsia="宋体" w:hint="default"/>
          <w:sz w:val="21"/>
          <w:szCs w:val="21"/>
        </w:rPr>
        <w:t> 务报告、合同管理、预算管理、工程项目、信息与沟通、风险评估、内部监督、业务管理等</w:t>
      </w:r>
      <w:r>
        <w:rPr>
          <w:rFonts w:ascii="Times New Roman" w:hAnsi="Times New Roman" w:cs="Times New Roman" w:eastAsia="Times New Roman" w:hint="default"/>
          <w:sz w:val="21"/>
          <w:szCs w:val="21"/>
        </w:rPr>
        <w:t>18</w:t>
      </w:r>
      <w:r>
        <w:rPr>
          <w:rFonts w:ascii="宋体" w:hAnsi="宋体" w:cs="宋体" w:eastAsia="宋体" w:hint="default"/>
          <w:sz w:val="21"/>
          <w:szCs w:val="21"/>
        </w:rPr>
        <w:t>大类共计</w:t>
      </w:r>
      <w:r>
        <w:rPr>
          <w:rFonts w:ascii="Times New Roman" w:hAnsi="Times New Roman" w:cs="Times New Roman" w:eastAsia="Times New Roman" w:hint="default"/>
          <w:sz w:val="21"/>
          <w:szCs w:val="21"/>
        </w:rPr>
        <w:t>92 </w:t>
      </w:r>
      <w:r>
        <w:rPr>
          <w:rFonts w:ascii="宋体" w:hAnsi="宋体" w:cs="宋体" w:eastAsia="宋体" w:hint="default"/>
          <w:sz w:val="21"/>
          <w:szCs w:val="21"/>
        </w:rPr>
        <w:t>项内控管理制度和办法的《内部控制手册》，基本涉及了公司经营管理活动的所有运营环节；通过上述内</w:t>
      </w:r>
    </w:p>
    <w:p>
      <w:pPr>
        <w:spacing w:after="0" w:line="398" w:lineRule="auto"/>
        <w:jc w:val="left"/>
        <w:rPr>
          <w:rFonts w:ascii="宋体" w:hAnsi="宋体" w:cs="宋体" w:eastAsia="宋体" w:hint="default"/>
          <w:sz w:val="21"/>
          <w:szCs w:val="21"/>
        </w:rPr>
        <w:sectPr>
          <w:pgSz w:w="11910" w:h="16840"/>
          <w:pgMar w:header="877" w:footer="982" w:top="1100" w:bottom="1180" w:left="980" w:right="920"/>
        </w:sectPr>
      </w:pPr>
    </w:p>
    <w:p>
      <w:pPr>
        <w:spacing w:line="240" w:lineRule="auto" w:before="8"/>
        <w:rPr>
          <w:rFonts w:ascii="宋体" w:hAnsi="宋体" w:cs="宋体" w:eastAsia="宋体" w:hint="default"/>
          <w:sz w:val="26"/>
          <w:szCs w:val="26"/>
        </w:rPr>
      </w:pPr>
    </w:p>
    <w:p>
      <w:pPr>
        <w:spacing w:line="408" w:lineRule="auto" w:before="35"/>
        <w:ind w:left="154" w:right="150" w:firstLine="0"/>
        <w:jc w:val="both"/>
        <w:rPr>
          <w:rFonts w:ascii="宋体" w:hAnsi="宋体" w:cs="宋体" w:eastAsia="宋体" w:hint="default"/>
          <w:sz w:val="21"/>
          <w:szCs w:val="21"/>
        </w:rPr>
      </w:pPr>
      <w:r>
        <w:rPr>
          <w:rFonts w:ascii="宋体" w:hAnsi="宋体" w:cs="宋体" w:eastAsia="宋体" w:hint="default"/>
          <w:spacing w:val="-1"/>
          <w:sz w:val="21"/>
          <w:szCs w:val="21"/>
        </w:rPr>
        <w:t>部控制体系建设工作，公司完善了控制架构和各业务流程的控制程序；明确了相应的授权，确保其按权限</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履行职能；基本形成了一套全面的、具有可操作性的内部控制规范体系，全面提升了公司的经营管理水平</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和风险防范能力。</w:t>
      </w:r>
    </w:p>
    <w:p>
      <w:pPr>
        <w:spacing w:before="34"/>
        <w:ind w:left="154" w:right="0" w:firstLine="0"/>
        <w:jc w:val="both"/>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38" w:lineRule="auto" w:before="117"/>
        <w:ind w:left="154" w:right="25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3"/>
        <w:spacing w:line="240" w:lineRule="auto"/>
        <w:ind w:right="0"/>
        <w:jc w:val="both"/>
        <w:rPr>
          <w:b w:val="0"/>
          <w:bCs w:val="0"/>
        </w:rPr>
      </w:pP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30"/>
          <w:szCs w:val="30"/>
        </w:rPr>
      </w:pPr>
    </w:p>
    <w:p>
      <w:pPr>
        <w:spacing w:line="386" w:lineRule="auto" w:before="0"/>
        <w:ind w:left="153" w:right="211" w:firstLine="360"/>
        <w:jc w:val="both"/>
        <w:rPr>
          <w:rFonts w:ascii="宋体" w:hAnsi="宋体" w:cs="宋体" w:eastAsia="宋体" w:hint="default"/>
          <w:sz w:val="21"/>
          <w:szCs w:val="21"/>
        </w:rPr>
      </w:pPr>
      <w:r>
        <w:rPr>
          <w:rFonts w:ascii="宋体" w:hAnsi="宋体" w:cs="宋体" w:eastAsia="宋体" w:hint="default"/>
          <w:sz w:val="21"/>
          <w:szCs w:val="21"/>
        </w:rPr>
        <w:t>公司与控股股东在业务、人员、资产、机构、财务上已经做到</w:t>
      </w:r>
      <w:r>
        <w:rPr>
          <w:rFonts w:ascii="Times New Roman" w:hAnsi="Times New Roman" w:cs="Times New Roman" w:eastAsia="Times New Roman" w:hint="default"/>
          <w:sz w:val="21"/>
          <w:szCs w:val="21"/>
        </w:rPr>
        <w:t>“</w:t>
      </w:r>
      <w:r>
        <w:rPr>
          <w:rFonts w:ascii="宋体" w:hAnsi="宋体" w:cs="宋体" w:eastAsia="宋体" w:hint="default"/>
          <w:sz w:val="21"/>
          <w:szCs w:val="21"/>
        </w:rPr>
        <w:t>五分开</w:t>
      </w:r>
      <w:r>
        <w:rPr>
          <w:rFonts w:ascii="Times New Roman" w:hAnsi="Times New Roman" w:cs="Times New Roman" w:eastAsia="Times New Roman" w:hint="default"/>
          <w:sz w:val="21"/>
          <w:szCs w:val="21"/>
        </w:rPr>
        <w:t>”</w:t>
      </w:r>
      <w:r>
        <w:rPr>
          <w:rFonts w:ascii="宋体" w:hAnsi="宋体" w:cs="宋体" w:eastAsia="宋体" w:hint="default"/>
          <w:sz w:val="21"/>
          <w:szCs w:val="21"/>
        </w:rPr>
        <w:t>，具有独立完整的业务及自主 经营能力，不存在向控股股东报送未公开信息等有违公司治理准则的非规范行为。</w:t>
      </w:r>
    </w:p>
    <w:p>
      <w:pPr>
        <w:spacing w:before="65"/>
        <w:ind w:left="51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、业务方面：公司独立于控股股东，具有独立完整的业务及自主经营能力。</w:t>
      </w:r>
    </w:p>
    <w:p>
      <w:pPr>
        <w:spacing w:line="386" w:lineRule="auto" w:before="177"/>
        <w:ind w:left="154" w:right="150" w:firstLine="36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、人员方面：公司在人事、薪酬管理方面进行独立管理；公司与所有员工均签定了劳动合同；公司股</w:t>
      </w:r>
      <w:r>
        <w:rPr>
          <w:rFonts w:ascii="宋体" w:hAnsi="宋体" w:cs="宋体" w:eastAsia="宋体" w:hint="default"/>
          <w:sz w:val="21"/>
          <w:szCs w:val="21"/>
        </w:rPr>
        <w:t> 东推荐的董事、监事通过合法程序任职，没有干预公司董事会和股东大会作出的人事任免决定的情形。</w:t>
      </w:r>
    </w:p>
    <w:p>
      <w:pPr>
        <w:spacing w:line="403" w:lineRule="auto" w:before="65"/>
        <w:ind w:left="154" w:right="149" w:firstLine="36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、资产方面：公司拥有独立于控股股东的生产系统、辅助生产系统和配套设施等；公司拥有独立的采</w:t>
      </w:r>
      <w:r>
        <w:rPr>
          <w:rFonts w:ascii="宋体" w:hAnsi="宋体" w:cs="宋体" w:eastAsia="宋体" w:hint="default"/>
          <w:sz w:val="21"/>
          <w:szCs w:val="21"/>
        </w:rPr>
        <w:t> </w:t>
      </w:r>
      <w:r>
        <w:rPr>
          <w:rFonts w:ascii="宋体" w:hAnsi="宋体" w:cs="宋体" w:eastAsia="宋体" w:hint="default"/>
          <w:spacing w:val="-1"/>
          <w:sz w:val="21"/>
          <w:szCs w:val="21"/>
        </w:rPr>
        <w:t>购和销售系统。公司与控股股东及其他关联方资产权属清晰，不存在控股股东及其他关联方违规占用公司</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1"/>
          <w:sz w:val="21"/>
          <w:szCs w:val="21"/>
        </w:rPr>
        <w:t>资产、资产及其他资源的情形。公司不存在以资产或信誉为各股东的债务提供担保，也未以公司名义的借</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款、授信额度转借给各股东。公司对所有资产具有完全的控制支配权，不存在资产、资金被控股股东占用</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而损害公司利益的情形。</w:t>
      </w:r>
    </w:p>
    <w:p>
      <w:pPr>
        <w:spacing w:line="386" w:lineRule="auto" w:before="50"/>
        <w:ind w:left="154" w:right="151" w:firstLine="36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、机构方面：公司具有完整、独立的法人治理结构，公司的股东大会、董事会、监事会、经营管理机</w:t>
      </w:r>
      <w:r>
        <w:rPr>
          <w:rFonts w:ascii="宋体" w:hAnsi="宋体" w:cs="宋体" w:eastAsia="宋体" w:hint="default"/>
          <w:sz w:val="21"/>
          <w:szCs w:val="21"/>
        </w:rPr>
        <w:t> 构等均依法设立，并规范运作；不存在与控股股东合署办公的情况。</w:t>
      </w:r>
    </w:p>
    <w:p>
      <w:pPr>
        <w:spacing w:line="386" w:lineRule="auto" w:before="65"/>
        <w:ind w:left="154" w:right="149" w:firstLine="360"/>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、财务方面：公司设有独立的财务部门，建立了独立的会计核算体系和财务管理制度，开立了独立的</w:t>
      </w:r>
      <w:r>
        <w:rPr>
          <w:rFonts w:ascii="宋体" w:hAnsi="宋体" w:cs="宋体" w:eastAsia="宋体" w:hint="default"/>
          <w:sz w:val="21"/>
          <w:szCs w:val="21"/>
        </w:rPr>
        <w:t> 银行帐户和税务登记号，独立经营纳税。</w:t>
      </w:r>
    </w:p>
    <w:p>
      <w:pPr>
        <w:spacing w:line="240" w:lineRule="auto" w:before="3"/>
        <w:rPr>
          <w:rFonts w:ascii="宋体" w:hAnsi="宋体" w:cs="宋体" w:eastAsia="宋体" w:hint="default"/>
          <w:sz w:val="20"/>
          <w:szCs w:val="20"/>
        </w:rPr>
      </w:pPr>
    </w:p>
    <w:p>
      <w:pPr>
        <w:pStyle w:val="Heading3"/>
        <w:spacing w:line="240" w:lineRule="auto"/>
        <w:ind w:right="0"/>
        <w:jc w:val="both"/>
        <w:rPr>
          <w:b w:val="0"/>
          <w:bCs w:val="0"/>
        </w:rPr>
      </w:pP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3"/>
        <w:spacing w:line="240" w:lineRule="auto"/>
        <w:ind w:right="0"/>
        <w:jc w:val="both"/>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、本报告期股东大会情况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2"/>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号公告</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号公告</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号公告</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2015-098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号公告</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、表决权恢复的优先股股东请求召开临时股东大会</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t>五、报告期内独立董事履行职责的情况</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、独立董事出席董事会及股东大会的情况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叶雪芳</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蔡才河</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郭全中</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、独立董事对公司有关事项提出异议的情况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38" w:lineRule="auto" w:before="117"/>
        <w:ind w:left="154" w:right="59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1"/>
        <w:rPr>
          <w:rFonts w:ascii="宋体" w:hAnsi="宋体" w:cs="宋体" w:eastAsia="宋体" w:hint="default"/>
          <w:sz w:val="21"/>
          <w:szCs w:val="21"/>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、独立董事履行职责的其他说明</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8" w:lineRule="auto" w:before="116"/>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 独立董事对公司有关建议均已被采纳。</w:t>
      </w:r>
    </w:p>
    <w:p>
      <w:pPr>
        <w:spacing w:line="240" w:lineRule="auto" w:before="13"/>
        <w:rPr>
          <w:rFonts w:ascii="宋体" w:hAnsi="宋体" w:cs="宋体" w:eastAsia="宋体" w:hint="default"/>
          <w:sz w:val="18"/>
          <w:szCs w:val="18"/>
        </w:rPr>
      </w:pPr>
    </w:p>
    <w:p>
      <w:pPr>
        <w:pStyle w:val="Heading3"/>
        <w:spacing w:line="240" w:lineRule="auto"/>
        <w:ind w:right="0"/>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30"/>
          <w:szCs w:val="30"/>
        </w:rPr>
      </w:pPr>
    </w:p>
    <w:p>
      <w:pPr>
        <w:spacing w:before="0"/>
        <w:ind w:left="63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、报告期内，公司董事会下设战略与投资委员会根据《公司法》、《上市公司治理准则》等相关法</w:t>
      </w:r>
    </w:p>
    <w:p>
      <w:pPr>
        <w:spacing w:after="0"/>
        <w:jc w:val="left"/>
        <w:rPr>
          <w:rFonts w:ascii="宋体" w:hAnsi="宋体" w:cs="宋体" w:eastAsia="宋体" w:hint="default"/>
          <w:sz w:val="21"/>
          <w:szCs w:val="21"/>
        </w:rPr>
        <w:sectPr>
          <w:pgSz w:w="11910" w:h="16840"/>
          <w:pgMar w:header="877" w:footer="982" w:top="1100" w:bottom="1180" w:left="980" w:right="980"/>
        </w:sectPr>
      </w:pPr>
    </w:p>
    <w:p>
      <w:pPr>
        <w:spacing w:line="240" w:lineRule="auto" w:before="8"/>
        <w:rPr>
          <w:rFonts w:ascii="宋体" w:hAnsi="宋体" w:cs="宋体" w:eastAsia="宋体" w:hint="default"/>
          <w:sz w:val="26"/>
          <w:szCs w:val="26"/>
        </w:rPr>
      </w:pPr>
    </w:p>
    <w:p>
      <w:pPr>
        <w:spacing w:line="408" w:lineRule="auto" w:before="35"/>
        <w:ind w:left="154" w:right="101" w:firstLine="0"/>
        <w:jc w:val="left"/>
        <w:rPr>
          <w:rFonts w:ascii="宋体" w:hAnsi="宋体" w:cs="宋体" w:eastAsia="宋体" w:hint="default"/>
          <w:sz w:val="21"/>
          <w:szCs w:val="21"/>
        </w:rPr>
      </w:pPr>
      <w:r>
        <w:rPr>
          <w:rFonts w:ascii="宋体" w:hAnsi="宋体" w:cs="宋体" w:eastAsia="宋体" w:hint="default"/>
          <w:spacing w:val="-1"/>
          <w:sz w:val="21"/>
          <w:szCs w:val="21"/>
        </w:rPr>
        <w:t>律、法规、规范性文件及《公司章程》、《战略与投资委员会工作细则》的要求，主要负责对公司长期发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展战略和重大投资决策进行研究并提出建议。报告期内，战略与投资委员会共召开</w:t>
      </w:r>
      <w:r>
        <w:rPr>
          <w:rFonts w:ascii="Times New Roman" w:hAnsi="Times New Roman" w:cs="Times New Roman" w:eastAsia="Times New Roman" w:hint="default"/>
          <w:sz w:val="21"/>
          <w:szCs w:val="21"/>
        </w:rPr>
        <w:t>5</w:t>
      </w:r>
      <w:r>
        <w:rPr>
          <w:rFonts w:ascii="宋体" w:hAnsi="宋体" w:cs="宋体" w:eastAsia="宋体" w:hint="default"/>
          <w:sz w:val="21"/>
          <w:szCs w:val="21"/>
        </w:rPr>
        <w:t>次会议，具体如下：</w:t>
      </w:r>
    </w:p>
    <w:p>
      <w:pPr>
        <w:spacing w:line="386" w:lineRule="auto" w:before="14"/>
        <w:ind w:left="153" w:right="101" w:firstLine="36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16</w:t>
      </w:r>
      <w:r>
        <w:rPr>
          <w:rFonts w:ascii="宋体" w:hAnsi="宋体" w:cs="宋体" w:eastAsia="宋体" w:hint="default"/>
          <w:sz w:val="21"/>
          <w:szCs w:val="21"/>
        </w:rPr>
        <w:t>日，战略与投资委员会召开</w:t>
      </w:r>
      <w:r>
        <w:rPr>
          <w:rFonts w:ascii="Times New Roman" w:hAnsi="Times New Roman" w:cs="Times New Roman" w:eastAsia="Times New Roman" w:hint="default"/>
          <w:sz w:val="21"/>
          <w:szCs w:val="21"/>
        </w:rPr>
        <w:t>2015</w:t>
      </w:r>
      <w:r>
        <w:rPr>
          <w:rFonts w:ascii="宋体" w:hAnsi="宋体" w:cs="宋体" w:eastAsia="宋体" w:hint="default"/>
          <w:sz w:val="21"/>
          <w:szCs w:val="21"/>
        </w:rPr>
        <w:t>年第一次会议，审议：《关于子公司杭州网络传媒有</w:t>
      </w:r>
      <w:r>
        <w:rPr>
          <w:rFonts w:ascii="宋体" w:hAnsi="宋体" w:cs="宋体" w:eastAsia="宋体" w:hint="default"/>
          <w:spacing w:val="1"/>
          <w:sz w:val="21"/>
          <w:szCs w:val="21"/>
        </w:rPr>
        <w:t> </w:t>
      </w:r>
      <w:r>
        <w:rPr>
          <w:rFonts w:ascii="宋体" w:hAnsi="宋体" w:cs="宋体" w:eastAsia="宋体" w:hint="default"/>
          <w:sz w:val="21"/>
          <w:szCs w:val="21"/>
        </w:rPr>
        <w:t>限公司受让快点文化传播（上海）有限公司</w:t>
      </w:r>
      <w:r>
        <w:rPr>
          <w:rFonts w:ascii="Times New Roman" w:hAnsi="Times New Roman" w:cs="Times New Roman" w:eastAsia="Times New Roman" w:hint="default"/>
          <w:sz w:val="21"/>
          <w:szCs w:val="21"/>
        </w:rPr>
        <w:t>51%</w:t>
      </w:r>
      <w:r>
        <w:rPr>
          <w:rFonts w:ascii="宋体" w:hAnsi="宋体" w:cs="宋体" w:eastAsia="宋体" w:hint="default"/>
          <w:sz w:val="21"/>
          <w:szCs w:val="21"/>
        </w:rPr>
        <w:t>股权并进行增资的议案》，并出具了同意的审核意见。</w:t>
      </w:r>
    </w:p>
    <w:p>
      <w:pPr>
        <w:spacing w:line="386" w:lineRule="auto" w:before="35"/>
        <w:ind w:left="153" w:right="101" w:firstLine="36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29</w:t>
      </w:r>
      <w:r>
        <w:rPr>
          <w:rFonts w:ascii="宋体" w:hAnsi="宋体" w:cs="宋体" w:eastAsia="宋体" w:hint="default"/>
          <w:sz w:val="21"/>
          <w:szCs w:val="21"/>
        </w:rPr>
        <w:t>日，战略与投资委员会召开</w:t>
      </w:r>
      <w:r>
        <w:rPr>
          <w:rFonts w:ascii="Times New Roman" w:hAnsi="Times New Roman" w:cs="Times New Roman" w:eastAsia="Times New Roman" w:hint="default"/>
          <w:sz w:val="21"/>
          <w:szCs w:val="21"/>
        </w:rPr>
        <w:t>2015</w:t>
      </w:r>
      <w:r>
        <w:rPr>
          <w:rFonts w:ascii="宋体" w:hAnsi="宋体" w:cs="宋体" w:eastAsia="宋体" w:hint="default"/>
          <w:sz w:val="21"/>
          <w:szCs w:val="21"/>
        </w:rPr>
        <w:t>年第二次会议，审议：《关于收购北京精典博维文化</w:t>
      </w:r>
      <w:r>
        <w:rPr>
          <w:rFonts w:ascii="宋体" w:hAnsi="宋体" w:cs="宋体" w:eastAsia="宋体" w:hint="default"/>
          <w:spacing w:val="1"/>
          <w:sz w:val="21"/>
          <w:szCs w:val="21"/>
        </w:rPr>
        <w:t> </w:t>
      </w:r>
      <w:r>
        <w:rPr>
          <w:rFonts w:ascii="宋体" w:hAnsi="宋体" w:cs="宋体" w:eastAsia="宋体" w:hint="default"/>
          <w:sz w:val="21"/>
          <w:szCs w:val="21"/>
        </w:rPr>
        <w:t>传媒有限公司</w:t>
      </w:r>
      <w:r>
        <w:rPr>
          <w:rFonts w:ascii="Times New Roman" w:hAnsi="Times New Roman" w:cs="Times New Roman" w:eastAsia="Times New Roman" w:hint="default"/>
          <w:sz w:val="21"/>
          <w:szCs w:val="21"/>
        </w:rPr>
        <w:t>35%</w:t>
      </w:r>
      <w:r>
        <w:rPr>
          <w:rFonts w:ascii="宋体" w:hAnsi="宋体" w:cs="宋体" w:eastAsia="宋体" w:hint="default"/>
          <w:sz w:val="21"/>
          <w:szCs w:val="21"/>
        </w:rPr>
        <w:t>股权的议案》，并出具了同意的审核意见。</w:t>
      </w:r>
    </w:p>
    <w:p>
      <w:pPr>
        <w:spacing w:line="386" w:lineRule="auto" w:before="35"/>
        <w:ind w:left="153" w:right="101" w:firstLine="36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14</w:t>
      </w:r>
      <w:r>
        <w:rPr>
          <w:rFonts w:ascii="宋体" w:hAnsi="宋体" w:cs="宋体" w:eastAsia="宋体" w:hint="default"/>
          <w:sz w:val="21"/>
          <w:szCs w:val="21"/>
        </w:rPr>
        <w:t>日，战略与投资委员会召开</w:t>
      </w:r>
      <w:r>
        <w:rPr>
          <w:rFonts w:ascii="Times New Roman" w:hAnsi="Times New Roman" w:cs="Times New Roman" w:eastAsia="Times New Roman" w:hint="default"/>
          <w:sz w:val="21"/>
          <w:szCs w:val="21"/>
        </w:rPr>
        <w:t>2015</w:t>
      </w:r>
      <w:r>
        <w:rPr>
          <w:rFonts w:ascii="宋体" w:hAnsi="宋体" w:cs="宋体" w:eastAsia="宋体" w:hint="default"/>
          <w:sz w:val="21"/>
          <w:szCs w:val="21"/>
        </w:rPr>
        <w:t>年第三次会议，审议：《关于收购北京精典博维文化</w:t>
      </w:r>
      <w:r>
        <w:rPr>
          <w:rFonts w:ascii="宋体" w:hAnsi="宋体" w:cs="宋体" w:eastAsia="宋体" w:hint="default"/>
          <w:spacing w:val="1"/>
          <w:sz w:val="21"/>
          <w:szCs w:val="21"/>
        </w:rPr>
        <w:t> </w:t>
      </w:r>
      <w:r>
        <w:rPr>
          <w:rFonts w:ascii="宋体" w:hAnsi="宋体" w:cs="宋体" w:eastAsia="宋体" w:hint="default"/>
          <w:sz w:val="21"/>
          <w:szCs w:val="21"/>
        </w:rPr>
        <w:t>传媒有限公司</w:t>
      </w:r>
      <w:r>
        <w:rPr>
          <w:rFonts w:ascii="Times New Roman" w:hAnsi="Times New Roman" w:cs="Times New Roman" w:eastAsia="Times New Roman" w:hint="default"/>
          <w:sz w:val="21"/>
          <w:szCs w:val="21"/>
        </w:rPr>
        <w:t>35%</w:t>
      </w:r>
      <w:r>
        <w:rPr>
          <w:rFonts w:ascii="宋体" w:hAnsi="宋体" w:cs="宋体" w:eastAsia="宋体" w:hint="default"/>
          <w:sz w:val="21"/>
          <w:szCs w:val="21"/>
        </w:rPr>
        <w:t>股权的议案》，并出具了同意的审核意见。</w:t>
      </w:r>
    </w:p>
    <w:p>
      <w:pPr>
        <w:spacing w:before="35"/>
        <w:ind w:left="514" w:right="10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日，战略与投资委员会召开</w:t>
      </w:r>
      <w:r>
        <w:rPr>
          <w:rFonts w:ascii="Times New Roman" w:hAnsi="Times New Roman" w:cs="Times New Roman" w:eastAsia="Times New Roman" w:hint="default"/>
          <w:sz w:val="21"/>
          <w:szCs w:val="21"/>
        </w:rPr>
        <w:t>2015</w:t>
      </w:r>
      <w:r>
        <w:rPr>
          <w:rFonts w:ascii="宋体" w:hAnsi="宋体" w:cs="宋体" w:eastAsia="宋体" w:hint="default"/>
          <w:sz w:val="21"/>
          <w:szCs w:val="21"/>
        </w:rPr>
        <w:t>年第四次会议，审议：《关于设立投资公司的议案》、</w:t>
      </w:r>
    </w:p>
    <w:p>
      <w:pPr>
        <w:spacing w:line="408" w:lineRule="auto" w:before="177"/>
        <w:ind w:left="154" w:right="101" w:firstLine="0"/>
        <w:jc w:val="left"/>
        <w:rPr>
          <w:rFonts w:ascii="宋体" w:hAnsi="宋体" w:cs="宋体" w:eastAsia="宋体" w:hint="default"/>
          <w:sz w:val="21"/>
          <w:szCs w:val="21"/>
        </w:rPr>
      </w:pPr>
      <w:r>
        <w:rPr>
          <w:rFonts w:ascii="宋体" w:hAnsi="宋体" w:cs="宋体" w:eastAsia="宋体" w:hint="default"/>
          <w:spacing w:val="-3"/>
          <w:sz w:val="21"/>
          <w:szCs w:val="21"/>
        </w:rPr>
        <w:t>《关于对外投资成立控股子公司暨关联交易的议案》、《关于对外投资成立合资公司暨关联交易的议案》，</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并出具了同意的审核意见。</w:t>
      </w:r>
    </w:p>
    <w:p>
      <w:pPr>
        <w:spacing w:line="386" w:lineRule="auto" w:before="46"/>
        <w:ind w:left="154" w:right="101" w:firstLine="36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27</w:t>
      </w:r>
      <w:r>
        <w:rPr>
          <w:rFonts w:ascii="宋体" w:hAnsi="宋体" w:cs="宋体" w:eastAsia="宋体" w:hint="default"/>
          <w:spacing w:val="-2"/>
          <w:sz w:val="21"/>
          <w:szCs w:val="21"/>
        </w:rPr>
        <w:t>日，战略与投资委员会召开</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年第五次会议，审议：《关于对外投资设立合资公司</w:t>
      </w:r>
      <w:r>
        <w:rPr>
          <w:rFonts w:ascii="宋体" w:hAnsi="宋体" w:cs="宋体" w:eastAsia="宋体" w:hint="default"/>
          <w:sz w:val="21"/>
          <w:szCs w:val="21"/>
        </w:rPr>
        <w:t> 的议案》，并出具了同意的审核意见。</w:t>
      </w:r>
    </w:p>
    <w:p>
      <w:pPr>
        <w:spacing w:line="398" w:lineRule="auto" w:before="65"/>
        <w:ind w:left="154" w:right="209" w:firstLine="480"/>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、报告期内，公司董事会下设审计委员会根据《公司法》、《上市公司治理准则》等相关法律、法 </w:t>
      </w:r>
      <w:r>
        <w:rPr>
          <w:rFonts w:ascii="宋体" w:hAnsi="宋体" w:cs="宋体" w:eastAsia="宋体" w:hint="default"/>
          <w:spacing w:val="-1"/>
          <w:sz w:val="21"/>
          <w:szCs w:val="21"/>
        </w:rPr>
        <w:t>规、规范性文件及《公司章程》、《审计委员会工作细则》的要求，主要负责公司内、外部审计、监督和</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核查工作。报告期内，审计委员会共召开</w:t>
      </w:r>
      <w:r>
        <w:rPr>
          <w:rFonts w:ascii="Times New Roman" w:hAnsi="Times New Roman" w:cs="Times New Roman" w:eastAsia="Times New Roman" w:hint="default"/>
          <w:sz w:val="21"/>
          <w:szCs w:val="21"/>
        </w:rPr>
        <w:t>3</w:t>
      </w:r>
      <w:r>
        <w:rPr>
          <w:rFonts w:ascii="宋体" w:hAnsi="宋体" w:cs="宋体" w:eastAsia="宋体" w:hint="default"/>
          <w:sz w:val="21"/>
          <w:szCs w:val="21"/>
        </w:rPr>
        <w:t>次会议，具体如下：</w:t>
      </w:r>
    </w:p>
    <w:p>
      <w:pPr>
        <w:spacing w:before="24"/>
        <w:ind w:left="514" w:right="101"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48"/>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15</w:t>
      </w:r>
      <w:r>
        <w:rPr>
          <w:rFonts w:ascii="宋体" w:hAnsi="宋体" w:cs="宋体" w:eastAsia="宋体" w:hint="default"/>
          <w:spacing w:val="-2"/>
          <w:sz w:val="21"/>
          <w:szCs w:val="21"/>
        </w:rPr>
        <w:t>年</w:t>
      </w:r>
      <w:r>
        <w:rPr>
          <w:rFonts w:ascii="Times New Roman" w:hAnsi="Times New Roman" w:cs="Times New Roman" w:eastAsia="Times New Roman" w:hint="default"/>
          <w:sz w:val="21"/>
          <w:szCs w:val="21"/>
        </w:rPr>
        <w:t>4</w:t>
      </w:r>
      <w:r>
        <w:rPr>
          <w:rFonts w:ascii="宋体" w:hAnsi="宋体" w:cs="宋体" w:eastAsia="宋体" w:hint="default"/>
          <w:spacing w:val="-2"/>
          <w:sz w:val="21"/>
          <w:szCs w:val="21"/>
        </w:rPr>
        <w:t>月</w:t>
      </w:r>
      <w:r>
        <w:rPr>
          <w:rFonts w:ascii="Times New Roman" w:hAnsi="Times New Roman" w:cs="Times New Roman" w:eastAsia="Times New Roman" w:hint="default"/>
          <w:sz w:val="21"/>
          <w:szCs w:val="21"/>
        </w:rPr>
        <w:t>16</w:t>
      </w:r>
      <w:r>
        <w:rPr>
          <w:rFonts w:ascii="宋体" w:hAnsi="宋体" w:cs="宋体" w:eastAsia="宋体" w:hint="default"/>
          <w:sz w:val="21"/>
          <w:szCs w:val="21"/>
        </w:rPr>
        <w:t>日</w:t>
      </w:r>
      <w:r>
        <w:rPr>
          <w:rFonts w:ascii="宋体" w:hAnsi="宋体" w:cs="宋体" w:eastAsia="宋体" w:hint="default"/>
          <w:spacing w:val="-48"/>
          <w:sz w:val="21"/>
          <w:szCs w:val="21"/>
        </w:rPr>
        <w:t>，</w:t>
      </w:r>
      <w:r>
        <w:rPr>
          <w:rFonts w:ascii="宋体" w:hAnsi="宋体" w:cs="宋体" w:eastAsia="宋体" w:hint="default"/>
          <w:sz w:val="21"/>
          <w:szCs w:val="21"/>
        </w:rPr>
        <w:t>审计</w:t>
      </w:r>
      <w:r>
        <w:rPr>
          <w:rFonts w:ascii="宋体" w:hAnsi="宋体" w:cs="宋体" w:eastAsia="宋体" w:hint="default"/>
          <w:spacing w:val="-2"/>
          <w:sz w:val="21"/>
          <w:szCs w:val="21"/>
        </w:rPr>
        <w:t>委</w:t>
      </w:r>
      <w:r>
        <w:rPr>
          <w:rFonts w:ascii="宋体" w:hAnsi="宋体" w:cs="宋体" w:eastAsia="宋体" w:hint="default"/>
          <w:sz w:val="21"/>
          <w:szCs w:val="21"/>
        </w:rPr>
        <w:t>员会召开</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01</w:t>
      </w:r>
      <w:r>
        <w:rPr>
          <w:rFonts w:ascii="Times New Roman" w:hAnsi="Times New Roman" w:cs="Times New Roman" w:eastAsia="Times New Roman" w:hint="default"/>
          <w:sz w:val="21"/>
          <w:szCs w:val="21"/>
        </w:rPr>
        <w:t>5</w:t>
      </w:r>
      <w:r>
        <w:rPr>
          <w:rFonts w:ascii="宋体" w:hAnsi="宋体" w:cs="宋体" w:eastAsia="宋体" w:hint="default"/>
          <w:sz w:val="21"/>
          <w:szCs w:val="21"/>
        </w:rPr>
        <w:t>年第一次</w:t>
      </w:r>
      <w:r>
        <w:rPr>
          <w:rFonts w:ascii="宋体" w:hAnsi="宋体" w:cs="宋体" w:eastAsia="宋体" w:hint="default"/>
          <w:spacing w:val="-2"/>
          <w:sz w:val="21"/>
          <w:szCs w:val="21"/>
        </w:rPr>
        <w:t>会</w:t>
      </w:r>
      <w:r>
        <w:rPr>
          <w:rFonts w:ascii="宋体" w:hAnsi="宋体" w:cs="宋体" w:eastAsia="宋体" w:hint="default"/>
          <w:sz w:val="21"/>
          <w:szCs w:val="21"/>
        </w:rPr>
        <w:t>议</w:t>
      </w:r>
      <w:r>
        <w:rPr>
          <w:rFonts w:ascii="宋体" w:hAnsi="宋体" w:cs="宋体" w:eastAsia="宋体" w:hint="default"/>
          <w:spacing w:val="-48"/>
          <w:sz w:val="21"/>
          <w:szCs w:val="21"/>
        </w:rPr>
        <w:t>，</w:t>
      </w:r>
      <w:r>
        <w:rPr>
          <w:rFonts w:ascii="宋体" w:hAnsi="宋体" w:cs="宋体" w:eastAsia="宋体" w:hint="default"/>
          <w:sz w:val="21"/>
          <w:szCs w:val="21"/>
        </w:rPr>
        <w:t>审议</w:t>
      </w:r>
      <w:r>
        <w:rPr>
          <w:rFonts w:ascii="宋体" w:hAnsi="宋体" w:cs="宋体" w:eastAsia="宋体" w:hint="default"/>
          <w:spacing w:val="-96"/>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4</w:t>
      </w:r>
      <w:r>
        <w:rPr>
          <w:rFonts w:ascii="宋体" w:hAnsi="宋体" w:cs="宋体" w:eastAsia="宋体" w:hint="default"/>
          <w:sz w:val="21"/>
          <w:szCs w:val="21"/>
        </w:rPr>
        <w:t>年度报</w:t>
      </w:r>
      <w:r>
        <w:rPr>
          <w:rFonts w:ascii="宋体" w:hAnsi="宋体" w:cs="宋体" w:eastAsia="宋体" w:hint="default"/>
          <w:spacing w:val="-2"/>
          <w:sz w:val="21"/>
          <w:szCs w:val="21"/>
        </w:rPr>
        <w:t>告</w:t>
      </w:r>
      <w:r>
        <w:rPr>
          <w:rFonts w:ascii="宋体" w:hAnsi="宋体" w:cs="宋体" w:eastAsia="宋体" w:hint="default"/>
          <w:sz w:val="21"/>
          <w:szCs w:val="21"/>
        </w:rPr>
        <w:t>全文及其摘要</w:t>
      </w:r>
      <w:r>
        <w:rPr>
          <w:rFonts w:ascii="宋体" w:hAnsi="宋体" w:cs="宋体" w:eastAsia="宋体" w:hint="default"/>
          <w:spacing w:val="-48"/>
          <w:sz w:val="21"/>
          <w:szCs w:val="21"/>
        </w:rPr>
        <w:t>》</w:t>
      </w:r>
      <w:r>
        <w:rPr>
          <w:rFonts w:ascii="宋体" w:hAnsi="宋体" w:cs="宋体" w:eastAsia="宋体" w:hint="default"/>
          <w:spacing w:val="-96"/>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1</w:t>
      </w:r>
      <w:r>
        <w:rPr>
          <w:rFonts w:ascii="Times New Roman" w:hAnsi="Times New Roman" w:cs="Times New Roman" w:eastAsia="Times New Roman" w:hint="default"/>
          <w:sz w:val="21"/>
          <w:szCs w:val="21"/>
        </w:rPr>
        <w:t>4</w:t>
      </w:r>
    </w:p>
    <w:p>
      <w:pPr>
        <w:spacing w:before="177"/>
        <w:ind w:left="154" w:right="101" w:firstLine="0"/>
        <w:jc w:val="left"/>
        <w:rPr>
          <w:rFonts w:ascii="宋体" w:hAnsi="宋体" w:cs="宋体" w:eastAsia="宋体" w:hint="default"/>
          <w:sz w:val="21"/>
          <w:szCs w:val="21"/>
        </w:rPr>
      </w:pPr>
      <w:r>
        <w:rPr>
          <w:rFonts w:ascii="宋体" w:hAnsi="宋体" w:cs="宋体" w:eastAsia="宋体" w:hint="default"/>
          <w:sz w:val="21"/>
          <w:szCs w:val="21"/>
        </w:rPr>
        <w:t>年度财务决算报告》、《</w:t>
      </w:r>
      <w:r>
        <w:rPr>
          <w:rFonts w:ascii="Times New Roman" w:hAnsi="Times New Roman" w:cs="Times New Roman" w:eastAsia="Times New Roman" w:hint="default"/>
          <w:sz w:val="21"/>
          <w:szCs w:val="21"/>
        </w:rPr>
        <w:t>2014</w:t>
      </w:r>
      <w:r>
        <w:rPr>
          <w:rFonts w:ascii="宋体" w:hAnsi="宋体" w:cs="宋体" w:eastAsia="宋体" w:hint="default"/>
          <w:sz w:val="21"/>
          <w:szCs w:val="21"/>
        </w:rPr>
        <w:t>年度利润分配预案》等共</w:t>
      </w:r>
      <w:r>
        <w:rPr>
          <w:rFonts w:ascii="Times New Roman" w:hAnsi="Times New Roman" w:cs="Times New Roman" w:eastAsia="Times New Roman" w:hint="default"/>
          <w:sz w:val="21"/>
          <w:szCs w:val="21"/>
        </w:rPr>
        <w:t>8</w:t>
      </w:r>
      <w:r>
        <w:rPr>
          <w:rFonts w:ascii="宋体" w:hAnsi="宋体" w:cs="宋体" w:eastAsia="宋体" w:hint="default"/>
          <w:sz w:val="21"/>
          <w:szCs w:val="21"/>
        </w:rPr>
        <w:t>项议案，并出具了同意的审核意见。</w:t>
      </w:r>
    </w:p>
    <w:p>
      <w:pPr>
        <w:spacing w:line="386" w:lineRule="auto" w:before="177"/>
        <w:ind w:left="154" w:right="101" w:firstLine="36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8</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11</w:t>
      </w:r>
      <w:r>
        <w:rPr>
          <w:rFonts w:ascii="宋体" w:hAnsi="宋体" w:cs="宋体" w:eastAsia="宋体" w:hint="default"/>
          <w:spacing w:val="-2"/>
          <w:sz w:val="21"/>
          <w:szCs w:val="21"/>
        </w:rPr>
        <w:t>日，审计委员会召开</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年第二次会议，审议：《</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年半年度报告全文及其摘要》，</w:t>
      </w:r>
      <w:r>
        <w:rPr>
          <w:rFonts w:ascii="宋体" w:hAnsi="宋体" w:cs="宋体" w:eastAsia="宋体" w:hint="default"/>
          <w:sz w:val="21"/>
          <w:szCs w:val="21"/>
        </w:rPr>
        <w:t> 并出具了同意的审核意见。</w:t>
      </w:r>
    </w:p>
    <w:p>
      <w:pPr>
        <w:spacing w:before="65"/>
        <w:ind w:left="514" w:right="101" w:firstLine="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2015</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10</w:t>
      </w:r>
      <w:r>
        <w:rPr>
          <w:rFonts w:ascii="宋体" w:hAnsi="宋体" w:cs="宋体" w:eastAsia="宋体" w:hint="default"/>
          <w:spacing w:val="-4"/>
          <w:sz w:val="21"/>
          <w:szCs w:val="21"/>
        </w:rPr>
        <w:t>月</w:t>
      </w:r>
      <w:r>
        <w:rPr>
          <w:rFonts w:ascii="Times New Roman" w:hAnsi="Times New Roman" w:cs="Times New Roman" w:eastAsia="Times New Roman" w:hint="default"/>
          <w:spacing w:val="-4"/>
          <w:sz w:val="21"/>
          <w:szCs w:val="21"/>
        </w:rPr>
        <w:t>27</w:t>
      </w:r>
      <w:r>
        <w:rPr>
          <w:rFonts w:ascii="宋体" w:hAnsi="宋体" w:cs="宋体" w:eastAsia="宋体" w:hint="default"/>
          <w:spacing w:val="-4"/>
          <w:sz w:val="21"/>
          <w:szCs w:val="21"/>
        </w:rPr>
        <w:t>日，审计委员会召开</w:t>
      </w:r>
      <w:r>
        <w:rPr>
          <w:rFonts w:ascii="Times New Roman" w:hAnsi="Times New Roman" w:cs="Times New Roman" w:eastAsia="Times New Roman" w:hint="default"/>
          <w:spacing w:val="-4"/>
          <w:sz w:val="21"/>
          <w:szCs w:val="21"/>
        </w:rPr>
        <w:t>2015</w:t>
      </w:r>
      <w:r>
        <w:rPr>
          <w:rFonts w:ascii="宋体" w:hAnsi="宋体" w:cs="宋体" w:eastAsia="宋体" w:hint="default"/>
          <w:spacing w:val="-4"/>
          <w:sz w:val="21"/>
          <w:szCs w:val="21"/>
        </w:rPr>
        <w:t>年第三次会议审议：《</w:t>
      </w:r>
      <w:r>
        <w:rPr>
          <w:rFonts w:ascii="Times New Roman" w:hAnsi="Times New Roman" w:cs="Times New Roman" w:eastAsia="Times New Roman" w:hint="default"/>
          <w:spacing w:val="-4"/>
          <w:sz w:val="21"/>
          <w:szCs w:val="21"/>
        </w:rPr>
        <w:t>2015</w:t>
      </w:r>
      <w:r>
        <w:rPr>
          <w:rFonts w:ascii="宋体" w:hAnsi="宋体" w:cs="宋体" w:eastAsia="宋体" w:hint="default"/>
          <w:spacing w:val="-4"/>
          <w:sz w:val="21"/>
          <w:szCs w:val="21"/>
        </w:rPr>
        <w:t>年第三季度报告全文及其摘要》、</w:t>
      </w:r>
    </w:p>
    <w:p>
      <w:pPr>
        <w:spacing w:line="386" w:lineRule="auto" w:before="177"/>
        <w:ind w:left="154" w:right="101" w:firstLine="0"/>
        <w:jc w:val="left"/>
        <w:rPr>
          <w:rFonts w:ascii="宋体" w:hAnsi="宋体" w:cs="宋体" w:eastAsia="宋体" w:hint="default"/>
          <w:sz w:val="21"/>
          <w:szCs w:val="21"/>
        </w:rPr>
      </w:pPr>
      <w:r>
        <w:rPr>
          <w:rFonts w:ascii="宋体" w:hAnsi="宋体" w:cs="宋体" w:eastAsia="宋体" w:hint="default"/>
          <w:sz w:val="21"/>
          <w:szCs w:val="21"/>
        </w:rPr>
        <w:t>《关于增加</w:t>
      </w:r>
      <w:r>
        <w:rPr>
          <w:rFonts w:ascii="Times New Roman" w:hAnsi="Times New Roman" w:cs="Times New Roman" w:eastAsia="Times New Roman" w:hint="default"/>
          <w:sz w:val="21"/>
          <w:szCs w:val="21"/>
        </w:rPr>
        <w:t>2015</w:t>
      </w:r>
      <w:r>
        <w:rPr>
          <w:rFonts w:ascii="宋体" w:hAnsi="宋体" w:cs="宋体" w:eastAsia="宋体" w:hint="default"/>
          <w:sz w:val="21"/>
          <w:szCs w:val="21"/>
        </w:rPr>
        <w:t>年日常关联交易预计的议案》、《关于对参股子公司提供担保的议案》等共</w:t>
      </w:r>
      <w:r>
        <w:rPr>
          <w:rFonts w:ascii="Times New Roman" w:hAnsi="Times New Roman" w:cs="Times New Roman" w:eastAsia="Times New Roman" w:hint="default"/>
          <w:sz w:val="21"/>
          <w:szCs w:val="21"/>
        </w:rPr>
        <w:t>4</w:t>
      </w:r>
      <w:r>
        <w:rPr>
          <w:rFonts w:ascii="宋体" w:hAnsi="宋体" w:cs="宋体" w:eastAsia="宋体" w:hint="default"/>
          <w:sz w:val="21"/>
          <w:szCs w:val="21"/>
        </w:rPr>
        <w:t>项议案，并</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出具了同意的审核意见。</w:t>
      </w:r>
    </w:p>
    <w:p>
      <w:pPr>
        <w:spacing w:line="398" w:lineRule="auto" w:before="65"/>
        <w:ind w:left="154" w:right="209" w:firstLine="480"/>
        <w:jc w:val="both"/>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、报告期内，公司董事会下设提名委员会根据《公司法》、《上市公司治理准则》等相关法律、法 </w:t>
      </w:r>
      <w:r>
        <w:rPr>
          <w:rFonts w:ascii="宋体" w:hAnsi="宋体" w:cs="宋体" w:eastAsia="宋体" w:hint="default"/>
          <w:spacing w:val="-1"/>
          <w:sz w:val="21"/>
          <w:szCs w:val="21"/>
        </w:rPr>
        <w:t>规、规范性文件及《公司章程》、《提名委员会工作细则》的要求，主要负责对公司董事、高级管理人员</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的人选、选择标准等进行审查并提出建议。报告期内，提名委员会共计召开</w:t>
      </w:r>
      <w:r>
        <w:rPr>
          <w:rFonts w:ascii="Times New Roman" w:hAnsi="Times New Roman" w:cs="Times New Roman" w:eastAsia="Times New Roman" w:hint="default"/>
          <w:sz w:val="21"/>
          <w:szCs w:val="21"/>
        </w:rPr>
        <w:t>3</w:t>
      </w:r>
      <w:r>
        <w:rPr>
          <w:rFonts w:ascii="宋体" w:hAnsi="宋体" w:cs="宋体" w:eastAsia="宋体" w:hint="default"/>
          <w:sz w:val="21"/>
          <w:szCs w:val="21"/>
        </w:rPr>
        <w:t>次会议，具体如下：</w:t>
      </w:r>
    </w:p>
    <w:p>
      <w:pPr>
        <w:spacing w:line="386" w:lineRule="auto" w:before="24"/>
        <w:ind w:left="154" w:right="101" w:firstLine="36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16</w:t>
      </w:r>
      <w:r>
        <w:rPr>
          <w:rFonts w:ascii="宋体" w:hAnsi="宋体" w:cs="宋体" w:eastAsia="宋体" w:hint="default"/>
          <w:sz w:val="21"/>
          <w:szCs w:val="21"/>
        </w:rPr>
        <w:t>日，提名委员会召开</w:t>
      </w:r>
      <w:r>
        <w:rPr>
          <w:rFonts w:ascii="Times New Roman" w:hAnsi="Times New Roman" w:cs="Times New Roman" w:eastAsia="Times New Roman" w:hint="default"/>
          <w:sz w:val="21"/>
          <w:szCs w:val="21"/>
        </w:rPr>
        <w:t>2015</w:t>
      </w:r>
      <w:r>
        <w:rPr>
          <w:rFonts w:ascii="宋体" w:hAnsi="宋体" w:cs="宋体" w:eastAsia="宋体" w:hint="default"/>
          <w:sz w:val="21"/>
          <w:szCs w:val="21"/>
        </w:rPr>
        <w:t>年第一次会议，审议：《关于公司董事会换届选举非独立董</w:t>
      </w:r>
      <w:r>
        <w:rPr>
          <w:rFonts w:ascii="宋体" w:hAnsi="宋体" w:cs="宋体" w:eastAsia="宋体" w:hint="default"/>
          <w:spacing w:val="1"/>
          <w:sz w:val="21"/>
          <w:szCs w:val="21"/>
        </w:rPr>
        <w:t> </w:t>
      </w:r>
      <w:r>
        <w:rPr>
          <w:rFonts w:ascii="宋体" w:hAnsi="宋体" w:cs="宋体" w:eastAsia="宋体" w:hint="default"/>
          <w:sz w:val="21"/>
          <w:szCs w:val="21"/>
        </w:rPr>
        <w:t>事的议案》、《关于公司董事会换届选举独立董事的议案》，并出具了同意的核查意见。</w:t>
      </w:r>
    </w:p>
    <w:p>
      <w:pPr>
        <w:spacing w:line="386" w:lineRule="auto" w:before="65"/>
        <w:ind w:left="153" w:right="101" w:firstLine="36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2015</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5</w:t>
      </w:r>
      <w:r>
        <w:rPr>
          <w:rFonts w:ascii="宋体" w:hAnsi="宋体" w:cs="宋体" w:eastAsia="宋体" w:hint="default"/>
          <w:spacing w:val="-4"/>
          <w:sz w:val="21"/>
          <w:szCs w:val="21"/>
        </w:rPr>
        <w:t>月</w:t>
      </w:r>
      <w:r>
        <w:rPr>
          <w:rFonts w:ascii="Times New Roman" w:hAnsi="Times New Roman" w:cs="Times New Roman" w:eastAsia="Times New Roman" w:hint="default"/>
          <w:spacing w:val="-4"/>
          <w:sz w:val="21"/>
          <w:szCs w:val="21"/>
        </w:rPr>
        <w:t>27</w:t>
      </w:r>
      <w:r>
        <w:rPr>
          <w:rFonts w:ascii="宋体" w:hAnsi="宋体" w:cs="宋体" w:eastAsia="宋体" w:hint="default"/>
          <w:spacing w:val="-4"/>
          <w:sz w:val="21"/>
          <w:szCs w:val="21"/>
        </w:rPr>
        <w:t>日，提名委员会召开</w:t>
      </w:r>
      <w:r>
        <w:rPr>
          <w:rFonts w:ascii="Times New Roman" w:hAnsi="Times New Roman" w:cs="Times New Roman" w:eastAsia="Times New Roman" w:hint="default"/>
          <w:spacing w:val="-4"/>
          <w:sz w:val="21"/>
          <w:szCs w:val="21"/>
        </w:rPr>
        <w:t>2015</w:t>
      </w:r>
      <w:r>
        <w:rPr>
          <w:rFonts w:ascii="宋体" w:hAnsi="宋体" w:cs="宋体" w:eastAsia="宋体" w:hint="default"/>
          <w:spacing w:val="-4"/>
          <w:sz w:val="21"/>
          <w:szCs w:val="21"/>
        </w:rPr>
        <w:t>年第二次会议，审议：《关于聘任公司总经理的议案》、《关</w:t>
      </w:r>
      <w:r>
        <w:rPr>
          <w:rFonts w:ascii="宋体" w:hAnsi="宋体" w:cs="宋体" w:eastAsia="宋体" w:hint="default"/>
          <w:sz w:val="21"/>
          <w:szCs w:val="21"/>
        </w:rPr>
        <w:t> </w:t>
      </w:r>
      <w:r>
        <w:rPr>
          <w:rFonts w:ascii="宋体" w:hAnsi="宋体" w:cs="宋体" w:eastAsia="宋体" w:hint="default"/>
          <w:spacing w:val="-1"/>
          <w:sz w:val="21"/>
          <w:szCs w:val="21"/>
        </w:rPr>
        <w:t>于聘任公司副总经理、财务总监等高级管理人员的议案》、《关于聘任公司董事会秘书的议案》，并出具</w:t>
      </w:r>
    </w:p>
    <w:p>
      <w:pPr>
        <w:spacing w:after="0" w:line="386" w:lineRule="auto"/>
        <w:jc w:val="left"/>
        <w:rPr>
          <w:rFonts w:ascii="宋体" w:hAnsi="宋体" w:cs="宋体" w:eastAsia="宋体" w:hint="default"/>
          <w:sz w:val="21"/>
          <w:szCs w:val="21"/>
        </w:rPr>
        <w:sectPr>
          <w:footerReference w:type="default" r:id="rId19"/>
          <w:pgSz w:w="11910" w:h="16840"/>
          <w:pgMar w:footer="982" w:header="877" w:top="1100" w:bottom="1180" w:left="980" w:right="920"/>
          <w:pgNumType w:start="76"/>
        </w:sectPr>
      </w:pPr>
    </w:p>
    <w:p>
      <w:pPr>
        <w:spacing w:line="240" w:lineRule="auto" w:before="8"/>
        <w:rPr>
          <w:rFonts w:ascii="宋体" w:hAnsi="宋体" w:cs="宋体" w:eastAsia="宋体" w:hint="default"/>
          <w:sz w:val="26"/>
          <w:szCs w:val="26"/>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sz w:val="21"/>
          <w:szCs w:val="21"/>
        </w:rPr>
        <w:t>了同意的核查意见。</w:t>
      </w:r>
    </w:p>
    <w:p>
      <w:pPr>
        <w:spacing w:line="240" w:lineRule="auto" w:before="10"/>
        <w:rPr>
          <w:rFonts w:ascii="宋体" w:hAnsi="宋体" w:cs="宋体" w:eastAsia="宋体" w:hint="default"/>
          <w:sz w:val="14"/>
          <w:szCs w:val="14"/>
        </w:rPr>
      </w:pPr>
    </w:p>
    <w:p>
      <w:pPr>
        <w:spacing w:line="386" w:lineRule="auto" w:before="0"/>
        <w:ind w:left="153" w:right="0" w:firstLine="36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11</w:t>
      </w:r>
      <w:r>
        <w:rPr>
          <w:rFonts w:ascii="宋体" w:hAnsi="宋体" w:cs="宋体" w:eastAsia="宋体" w:hint="default"/>
          <w:sz w:val="21"/>
          <w:szCs w:val="21"/>
        </w:rPr>
        <w:t>日，提名委员会召开</w:t>
      </w:r>
      <w:r>
        <w:rPr>
          <w:rFonts w:ascii="Times New Roman" w:hAnsi="Times New Roman" w:cs="Times New Roman" w:eastAsia="Times New Roman" w:hint="default"/>
          <w:sz w:val="21"/>
          <w:szCs w:val="21"/>
        </w:rPr>
        <w:t>2015</w:t>
      </w:r>
      <w:r>
        <w:rPr>
          <w:rFonts w:ascii="宋体" w:hAnsi="宋体" w:cs="宋体" w:eastAsia="宋体" w:hint="default"/>
          <w:sz w:val="21"/>
          <w:szCs w:val="21"/>
        </w:rPr>
        <w:t>年第三次会议，审议：《关于聘任公司副总经理的议案》，</w:t>
      </w:r>
      <w:r>
        <w:rPr>
          <w:rFonts w:ascii="宋体" w:hAnsi="宋体" w:cs="宋体" w:eastAsia="宋体" w:hint="default"/>
          <w:spacing w:val="1"/>
          <w:sz w:val="21"/>
          <w:szCs w:val="21"/>
        </w:rPr>
        <w:t> </w:t>
      </w:r>
      <w:r>
        <w:rPr>
          <w:rFonts w:ascii="宋体" w:hAnsi="宋体" w:cs="宋体" w:eastAsia="宋体" w:hint="default"/>
          <w:sz w:val="21"/>
          <w:szCs w:val="21"/>
        </w:rPr>
        <w:t>并出具了同意的核查意见。</w:t>
      </w:r>
    </w:p>
    <w:p>
      <w:pPr>
        <w:spacing w:line="400" w:lineRule="auto" w:before="65"/>
        <w:ind w:left="154" w:right="149" w:firstLine="480"/>
        <w:jc w:val="both"/>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、报告期内，公司董事会下设薪酬与考核委员会根据《公司法》、《上市公司治理准则》等相关法 </w:t>
      </w:r>
      <w:r>
        <w:rPr>
          <w:rFonts w:ascii="宋体" w:hAnsi="宋体" w:cs="宋体" w:eastAsia="宋体" w:hint="default"/>
          <w:spacing w:val="-1"/>
          <w:sz w:val="21"/>
          <w:szCs w:val="21"/>
        </w:rPr>
        <w:t>律、法规、规范性文件及《公司章程》、《薪酬与考核委员会工作细则》的要求，主要负责制定公司董事</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1"/>
          <w:sz w:val="21"/>
          <w:szCs w:val="21"/>
        </w:rPr>
        <w:t>及高级管理人员的考核标准并进行考核，负责制定、审查公司董事及高级管理人员的薪酬政策与方案。报</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告期内，薪酬与考核委员会共计召开</w:t>
      </w:r>
      <w:r>
        <w:rPr>
          <w:rFonts w:ascii="Times New Roman" w:hAnsi="Times New Roman" w:cs="Times New Roman" w:eastAsia="Times New Roman" w:hint="default"/>
          <w:sz w:val="21"/>
          <w:szCs w:val="21"/>
        </w:rPr>
        <w:t>1</w:t>
      </w:r>
      <w:r>
        <w:rPr>
          <w:rFonts w:ascii="宋体" w:hAnsi="宋体" w:cs="宋体" w:eastAsia="宋体" w:hint="default"/>
          <w:sz w:val="21"/>
          <w:szCs w:val="21"/>
        </w:rPr>
        <w:t>次会议，具体如下：</w:t>
      </w:r>
    </w:p>
    <w:p>
      <w:pPr>
        <w:spacing w:line="386" w:lineRule="auto" w:before="21"/>
        <w:ind w:left="153" w:right="0" w:firstLine="36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16</w:t>
      </w:r>
      <w:r>
        <w:rPr>
          <w:rFonts w:ascii="宋体" w:hAnsi="宋体" w:cs="宋体" w:eastAsia="宋体" w:hint="default"/>
          <w:spacing w:val="-2"/>
          <w:sz w:val="21"/>
          <w:szCs w:val="21"/>
        </w:rPr>
        <w:t>日，薪酬与考核委员会召开</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年第一次会议，审议：《关于制订</w:t>
      </w:r>
      <w:r>
        <w:rPr>
          <w:rFonts w:ascii="Times New Roman" w:hAnsi="Times New Roman" w:cs="Times New Roman" w:eastAsia="Times New Roman" w:hint="default"/>
          <w:spacing w:val="-2"/>
          <w:sz w:val="21"/>
          <w:szCs w:val="21"/>
        </w:rPr>
        <w:t>&lt;</w:t>
      </w:r>
      <w:r>
        <w:rPr>
          <w:rFonts w:ascii="宋体" w:hAnsi="宋体" w:cs="宋体" w:eastAsia="宋体" w:hint="default"/>
          <w:spacing w:val="-2"/>
          <w:sz w:val="21"/>
          <w:szCs w:val="21"/>
        </w:rPr>
        <w:t>董事、监事及高级</w:t>
      </w:r>
      <w:r>
        <w:rPr>
          <w:rFonts w:ascii="宋体" w:hAnsi="宋体" w:cs="宋体" w:eastAsia="宋体" w:hint="default"/>
          <w:sz w:val="21"/>
          <w:szCs w:val="21"/>
        </w:rPr>
        <w:t> 管理人员薪酬管理制度</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的议案》，并出具了同意的核查意见。</w:t>
      </w:r>
    </w:p>
    <w:p>
      <w:pPr>
        <w:spacing w:line="398" w:lineRule="auto" w:before="35"/>
        <w:ind w:left="153" w:right="146" w:firstLine="480"/>
        <w:jc w:val="both"/>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、报告期内，公司董事会下设关联交易控制委员会根据《公司法》、《上市公司治理准则》等相关 </w:t>
      </w:r>
      <w:r>
        <w:rPr>
          <w:rFonts w:ascii="宋体" w:hAnsi="宋体" w:cs="宋体" w:eastAsia="宋体" w:hint="default"/>
          <w:spacing w:val="-1"/>
          <w:sz w:val="21"/>
          <w:szCs w:val="21"/>
        </w:rPr>
        <w:t>法律、法规、规范性文件及《公司章程》、《关联交易控制委员会工作细则》的要求，主要负责对公司须</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1"/>
          <w:sz w:val="21"/>
          <w:szCs w:val="21"/>
        </w:rPr>
        <w:t>提交董事会或股东大会审议的关联交易事项的客观性、公允性及合理性进行审核，并对经董事会或股东大</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会审议批准的关联交易的执行情况进行监督管理。报告期内，关联交易控制委员会共计召开</w:t>
      </w:r>
      <w:r>
        <w:rPr>
          <w:rFonts w:ascii="Times New Roman" w:hAnsi="Times New Roman" w:cs="Times New Roman" w:eastAsia="Times New Roman" w:hint="default"/>
          <w:sz w:val="21"/>
          <w:szCs w:val="21"/>
        </w:rPr>
        <w:t>5</w:t>
      </w:r>
      <w:r>
        <w:rPr>
          <w:rFonts w:ascii="宋体" w:hAnsi="宋体" w:cs="宋体" w:eastAsia="宋体" w:hint="default"/>
          <w:sz w:val="21"/>
          <w:szCs w:val="21"/>
        </w:rPr>
        <w:t>次会议，具</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体如下：</w:t>
      </w:r>
    </w:p>
    <w:p>
      <w:pPr>
        <w:spacing w:line="386" w:lineRule="auto" w:before="54"/>
        <w:ind w:left="153" w:right="0" w:firstLine="36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16</w:t>
      </w:r>
      <w:r>
        <w:rPr>
          <w:rFonts w:ascii="宋体" w:hAnsi="宋体" w:cs="宋体" w:eastAsia="宋体" w:hint="default"/>
          <w:sz w:val="21"/>
          <w:szCs w:val="21"/>
        </w:rPr>
        <w:t>日，关联交易控制委员会召开</w:t>
      </w:r>
      <w:r>
        <w:rPr>
          <w:rFonts w:ascii="Times New Roman" w:hAnsi="Times New Roman" w:cs="Times New Roman" w:eastAsia="Times New Roman" w:hint="default"/>
          <w:sz w:val="21"/>
          <w:szCs w:val="21"/>
        </w:rPr>
        <w:t>2015</w:t>
      </w:r>
      <w:r>
        <w:rPr>
          <w:rFonts w:ascii="宋体" w:hAnsi="宋体" w:cs="宋体" w:eastAsia="宋体" w:hint="default"/>
          <w:sz w:val="21"/>
          <w:szCs w:val="21"/>
        </w:rPr>
        <w:t>年第一次会议，审议：《关于</w:t>
      </w:r>
      <w:r>
        <w:rPr>
          <w:rFonts w:ascii="Times New Roman" w:hAnsi="Times New Roman" w:cs="Times New Roman" w:eastAsia="Times New Roman" w:hint="default"/>
          <w:sz w:val="21"/>
          <w:szCs w:val="21"/>
        </w:rPr>
        <w:t>2014</w:t>
      </w:r>
      <w:r>
        <w:rPr>
          <w:rFonts w:ascii="宋体" w:hAnsi="宋体" w:cs="宋体" w:eastAsia="宋体" w:hint="default"/>
          <w:sz w:val="21"/>
          <w:szCs w:val="21"/>
        </w:rPr>
        <w:t>年度关联交易情</w:t>
      </w:r>
      <w:r>
        <w:rPr>
          <w:rFonts w:ascii="宋体" w:hAnsi="宋体" w:cs="宋体" w:eastAsia="宋体" w:hint="default"/>
          <w:spacing w:val="1"/>
          <w:sz w:val="21"/>
          <w:szCs w:val="21"/>
        </w:rPr>
        <w:t> </w:t>
      </w:r>
      <w:r>
        <w:rPr>
          <w:rFonts w:ascii="宋体" w:hAnsi="宋体" w:cs="宋体" w:eastAsia="宋体" w:hint="default"/>
          <w:sz w:val="21"/>
          <w:szCs w:val="21"/>
        </w:rPr>
        <w:t>况和</w:t>
      </w:r>
      <w:r>
        <w:rPr>
          <w:rFonts w:ascii="Times New Roman" w:hAnsi="Times New Roman" w:cs="Times New Roman" w:eastAsia="Times New Roman" w:hint="default"/>
          <w:sz w:val="21"/>
          <w:szCs w:val="21"/>
        </w:rPr>
        <w:t>2015</w:t>
      </w:r>
      <w:r>
        <w:rPr>
          <w:rFonts w:ascii="宋体" w:hAnsi="宋体" w:cs="宋体" w:eastAsia="宋体" w:hint="default"/>
          <w:sz w:val="21"/>
          <w:szCs w:val="21"/>
        </w:rPr>
        <w:t>年度日常关联交易预计的议案》，并出具了同意的核查意见。</w:t>
      </w:r>
    </w:p>
    <w:p>
      <w:pPr>
        <w:spacing w:line="386" w:lineRule="auto" w:before="35"/>
        <w:ind w:left="153" w:right="0" w:firstLine="36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r>
        <w:rPr>
          <w:rFonts w:ascii="Times New Roman" w:hAnsi="Times New Roman" w:cs="Times New Roman" w:eastAsia="Times New Roman" w:hint="default"/>
          <w:sz w:val="21"/>
          <w:szCs w:val="21"/>
        </w:rPr>
        <w:t>14</w:t>
      </w:r>
      <w:r>
        <w:rPr>
          <w:rFonts w:ascii="宋体" w:hAnsi="宋体" w:cs="宋体" w:eastAsia="宋体" w:hint="default"/>
          <w:sz w:val="21"/>
          <w:szCs w:val="21"/>
        </w:rPr>
        <w:t>日，关联交易控制委员会召开</w:t>
      </w:r>
      <w:r>
        <w:rPr>
          <w:rFonts w:ascii="Times New Roman" w:hAnsi="Times New Roman" w:cs="Times New Roman" w:eastAsia="Times New Roman" w:hint="default"/>
          <w:sz w:val="21"/>
          <w:szCs w:val="21"/>
        </w:rPr>
        <w:t>2015</w:t>
      </w:r>
      <w:r>
        <w:rPr>
          <w:rFonts w:ascii="宋体" w:hAnsi="宋体" w:cs="宋体" w:eastAsia="宋体" w:hint="default"/>
          <w:sz w:val="21"/>
          <w:szCs w:val="21"/>
        </w:rPr>
        <w:t>年第二次会议，审议：《关于拟参与竞拍土地使用</w:t>
      </w:r>
      <w:r>
        <w:rPr>
          <w:rFonts w:ascii="宋体" w:hAnsi="宋体" w:cs="宋体" w:eastAsia="宋体" w:hint="default"/>
          <w:spacing w:val="1"/>
          <w:sz w:val="21"/>
          <w:szCs w:val="21"/>
        </w:rPr>
        <w:t> </w:t>
      </w:r>
      <w:r>
        <w:rPr>
          <w:rFonts w:ascii="宋体" w:hAnsi="宋体" w:cs="宋体" w:eastAsia="宋体" w:hint="default"/>
          <w:sz w:val="21"/>
          <w:szCs w:val="21"/>
        </w:rPr>
        <w:t>权及房屋所有权暨关联交易的议案》，并出具了同意的核查意见。</w:t>
      </w:r>
    </w:p>
    <w:p>
      <w:pPr>
        <w:spacing w:line="398" w:lineRule="auto" w:before="65"/>
        <w:ind w:left="153" w:right="128" w:firstLine="360"/>
        <w:jc w:val="righ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8</w:t>
      </w:r>
      <w:r>
        <w:rPr>
          <w:rFonts w:ascii="宋体" w:hAnsi="宋体" w:cs="宋体" w:eastAsia="宋体" w:hint="default"/>
          <w:spacing w:val="-2"/>
          <w:sz w:val="21"/>
          <w:szCs w:val="21"/>
        </w:rPr>
        <w:t>日，关联交易控制委员会召开</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年第三次会议，审议：《关于对外投资成立控股子公</w:t>
      </w:r>
      <w:r>
        <w:rPr>
          <w:rFonts w:ascii="宋体" w:hAnsi="宋体" w:cs="宋体" w:eastAsia="宋体" w:hint="default"/>
          <w:sz w:val="21"/>
          <w:szCs w:val="21"/>
        </w:rPr>
        <w:t> 司暨关联交易的议案》、《关于对外投资成立合资公司暨关联交易的议案》，并出具了同意的核查意见。 </w:t>
      </w: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27</w:t>
      </w:r>
      <w:r>
        <w:rPr>
          <w:rFonts w:ascii="宋体" w:hAnsi="宋体" w:cs="宋体" w:eastAsia="宋体" w:hint="default"/>
          <w:spacing w:val="-2"/>
          <w:sz w:val="21"/>
          <w:szCs w:val="21"/>
        </w:rPr>
        <w:t>日，关联交易控制委员会召开</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年第四次会议，审议：《关于增加</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年度日常关</w:t>
      </w:r>
    </w:p>
    <w:p>
      <w:pPr>
        <w:spacing w:before="24"/>
        <w:ind w:left="153" w:right="0" w:firstLine="0"/>
        <w:jc w:val="left"/>
        <w:rPr>
          <w:rFonts w:ascii="宋体" w:hAnsi="宋体" w:cs="宋体" w:eastAsia="宋体" w:hint="default"/>
          <w:sz w:val="21"/>
          <w:szCs w:val="21"/>
        </w:rPr>
      </w:pPr>
      <w:r>
        <w:rPr>
          <w:rFonts w:ascii="宋体" w:hAnsi="宋体" w:cs="宋体" w:eastAsia="宋体" w:hint="default"/>
          <w:sz w:val="21"/>
          <w:szCs w:val="21"/>
        </w:rPr>
        <w:t>联交易的议案》、《关于对参股子公司提供担保的议案》，并出具了同意的核查意见。</w:t>
      </w:r>
    </w:p>
    <w:p>
      <w:pPr>
        <w:spacing w:line="240" w:lineRule="auto" w:before="10"/>
        <w:rPr>
          <w:rFonts w:ascii="宋体" w:hAnsi="宋体" w:cs="宋体" w:eastAsia="宋体" w:hint="default"/>
          <w:sz w:val="14"/>
          <w:szCs w:val="14"/>
        </w:rPr>
      </w:pPr>
    </w:p>
    <w:p>
      <w:pPr>
        <w:spacing w:line="386" w:lineRule="auto" w:before="0"/>
        <w:ind w:left="153" w:right="0" w:firstLine="359"/>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11</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24</w:t>
      </w:r>
      <w:r>
        <w:rPr>
          <w:rFonts w:ascii="宋体" w:hAnsi="宋体" w:cs="宋体" w:eastAsia="宋体" w:hint="default"/>
          <w:spacing w:val="-2"/>
          <w:sz w:val="21"/>
          <w:szCs w:val="21"/>
        </w:rPr>
        <w:t>日，关联交易控制委员会召开</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年第五次会议，审议：《关于转让参股子公司部分</w:t>
      </w:r>
      <w:r>
        <w:rPr>
          <w:rFonts w:ascii="宋体" w:hAnsi="宋体" w:cs="宋体" w:eastAsia="宋体" w:hint="default"/>
          <w:sz w:val="21"/>
          <w:szCs w:val="21"/>
        </w:rPr>
        <w:t> 股权的进展暨关联交易的议案》，并出具了同意的核查意见。</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6"/>
        <w:ind w:left="154" w:right="67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监事会对报告期内的监督事项无异议。</w:t>
      </w:r>
    </w:p>
    <w:p>
      <w:pPr>
        <w:spacing w:after="0" w:line="3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8"/>
        <w:rPr>
          <w:rFonts w:ascii="宋体" w:hAnsi="宋体" w:cs="宋体" w:eastAsia="宋体" w:hint="default"/>
          <w:sz w:val="19"/>
          <w:szCs w:val="19"/>
        </w:rPr>
      </w:pPr>
    </w:p>
    <w:p>
      <w:pPr>
        <w:pStyle w:val="Heading3"/>
        <w:spacing w:line="240" w:lineRule="auto" w:before="26"/>
        <w:ind w:right="101"/>
        <w:jc w:val="left"/>
        <w:rPr>
          <w:b w:val="0"/>
          <w:bCs w:val="0"/>
        </w:rPr>
      </w:pPr>
      <w:r>
        <w:rPr/>
        <w:t>八、高级管理人员的考评及激励情况</w:t>
      </w:r>
      <w:r>
        <w:rPr>
          <w:b w:val="0"/>
          <w:bCs w:val="0"/>
        </w:rPr>
      </w:r>
    </w:p>
    <w:p>
      <w:pPr>
        <w:spacing w:line="240" w:lineRule="auto" w:before="9"/>
        <w:rPr>
          <w:rFonts w:ascii="宋体" w:hAnsi="宋体" w:cs="宋体" w:eastAsia="宋体" w:hint="default"/>
          <w:b/>
          <w:bCs/>
          <w:sz w:val="30"/>
          <w:szCs w:val="30"/>
        </w:rPr>
      </w:pPr>
    </w:p>
    <w:p>
      <w:pPr>
        <w:spacing w:line="441" w:lineRule="auto" w:before="0"/>
        <w:ind w:left="514" w:right="101" w:firstLine="0"/>
        <w:jc w:val="left"/>
        <w:rPr>
          <w:rFonts w:ascii="宋体" w:hAnsi="宋体" w:cs="宋体" w:eastAsia="宋体" w:hint="default"/>
          <w:sz w:val="21"/>
          <w:szCs w:val="21"/>
        </w:rPr>
      </w:pPr>
      <w:r>
        <w:rPr>
          <w:rFonts w:ascii="宋体" w:hAnsi="宋体" w:cs="宋体" w:eastAsia="宋体" w:hint="default"/>
          <w:spacing w:val="-2"/>
          <w:sz w:val="21"/>
          <w:szCs w:val="21"/>
        </w:rPr>
        <w:t>报告期内，公司对高级管理人员的业绩和履职情况进行年度考评，并根据考评结果决定本年度的薪酬。</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公司目前尚未建立股权激励机制，公司将不断完善内部激励与约束机制，逐渐建立起短期激励与长期</w:t>
      </w:r>
    </w:p>
    <w:p>
      <w:pPr>
        <w:spacing w:before="18"/>
        <w:ind w:left="153" w:right="101" w:firstLine="0"/>
        <w:jc w:val="left"/>
        <w:rPr>
          <w:rFonts w:ascii="宋体" w:hAnsi="宋体" w:cs="宋体" w:eastAsia="宋体" w:hint="default"/>
          <w:sz w:val="21"/>
          <w:szCs w:val="21"/>
        </w:rPr>
      </w:pPr>
      <w:r>
        <w:rPr>
          <w:rFonts w:ascii="宋体" w:hAnsi="宋体" w:cs="宋体" w:eastAsia="宋体" w:hint="default"/>
          <w:sz w:val="21"/>
          <w:szCs w:val="21"/>
        </w:rPr>
        <w:t>激励相结合的“利益共享、风险共担”的激励体系，推动管理层与公司、股东利益的紧密结合。</w:t>
      </w:r>
    </w:p>
    <w:p>
      <w:pPr>
        <w:spacing w:line="240" w:lineRule="auto" w:before="13"/>
        <w:rPr>
          <w:rFonts w:ascii="宋体" w:hAnsi="宋体" w:cs="宋体" w:eastAsia="宋体" w:hint="default"/>
          <w:sz w:val="29"/>
          <w:szCs w:val="29"/>
        </w:rPr>
      </w:pPr>
    </w:p>
    <w:p>
      <w:pPr>
        <w:pStyle w:val="Heading3"/>
        <w:spacing w:line="240" w:lineRule="auto"/>
        <w:ind w:right="101"/>
        <w:jc w:val="left"/>
        <w:rPr>
          <w:b w:val="0"/>
          <w:bCs w:val="0"/>
        </w:rPr>
      </w:pPr>
      <w:r>
        <w:rPr/>
        <w:t>九、内部控制情况</w:t>
      </w:r>
      <w:r>
        <w:rPr>
          <w:b w:val="0"/>
          <w:bCs w:val="0"/>
        </w:rPr>
      </w:r>
    </w:p>
    <w:p>
      <w:pPr>
        <w:spacing w:line="240" w:lineRule="auto" w:before="8"/>
        <w:rPr>
          <w:rFonts w:ascii="宋体" w:hAnsi="宋体" w:cs="宋体" w:eastAsia="宋体" w:hint="default"/>
          <w:b/>
          <w:bCs/>
          <w:sz w:val="24"/>
          <w:szCs w:val="24"/>
        </w:rPr>
      </w:pPr>
    </w:p>
    <w:p>
      <w:pPr>
        <w:spacing w:before="0"/>
        <w:ind w:left="154" w:right="10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、报告期内发现的内部控制重大缺陷的具体情况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10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spacing w:before="0"/>
        <w:ind w:left="154" w:right="10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、内控自我评价报告</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4"/>
          <w:szCs w:val="14"/>
        </w:rPr>
      </w:pPr>
    </w:p>
    <w:p>
      <w:pPr>
        <w:spacing w:before="44"/>
        <w:ind w:left="0" w:right="243" w:firstLine="0"/>
        <w:jc w:val="right"/>
        <w:rPr>
          <w:rFonts w:ascii="宋体" w:hAnsi="宋体" w:cs="宋体" w:eastAsia="宋体" w:hint="default"/>
          <w:sz w:val="18"/>
          <w:szCs w:val="18"/>
        </w:rPr>
      </w:pPr>
      <w:r>
        <w:rPr/>
        <w:pict>
          <v:shape style="position:absolute;margin-left:57.029995pt;margin-top:-214.987946pt;width:478.55pt;height:455.7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7"/>
                    <w:gridCol w:w="3329"/>
                    <w:gridCol w:w="3050"/>
                  </w:tblGrid>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9"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9" w:type="dxa"/>
                        <w:gridSpan w:val="2"/>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16"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95"/>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9"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96.05%</w:t>
                        </w:r>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95"/>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9"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99.28%</w:t>
                        </w:r>
                      </w:p>
                    </w:tc>
                  </w:tr>
                  <w:tr>
                    <w:trPr>
                      <w:trHeight w:val="402"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189" w:hRule="exact"/>
                    </w:trPr>
                    <w:tc>
                      <w:tcPr>
                        <w:tcW w:w="3177" w:type="dxa"/>
                        <w:tcBorders>
                          <w:top w:val="single" w:sz="4" w:space="0" w:color="000000"/>
                          <w:left w:val="single" w:sz="4" w:space="0" w:color="000000"/>
                          <w:bottom w:val="nil" w:sz="6" w:space="0" w:color="auto"/>
                          <w:right w:val="single" w:sz="4" w:space="0" w:color="000000"/>
                        </w:tcBorders>
                        <w:shd w:val="clear" w:color="auto" w:fill="D3D3D3"/>
                      </w:tcPr>
                      <w:p>
                        <w:pPr/>
                      </w:p>
                    </w:tc>
                    <w:tc>
                      <w:tcPr>
                        <w:tcW w:w="3329" w:type="dxa"/>
                        <w:vMerge w:val="restart"/>
                        <w:tcBorders>
                          <w:top w:val="single" w:sz="4" w:space="0" w:color="000000"/>
                          <w:left w:val="single" w:sz="9" w:space="0" w:color="D3D3D3"/>
                          <w:right w:val="single" w:sz="4" w:space="0" w:color="000000"/>
                        </w:tcBorders>
                        <w:shd w:val="clear" w:color="auto" w:fill="C7EDCC"/>
                      </w:tcPr>
                      <w:p>
                        <w:pPr>
                          <w:pStyle w:val="TableParagraph"/>
                          <w:spacing w:line="31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重大缺陷：单独缺陷或连同其他缺陷导致 不能及时防止或发现并纠正财务报告中的 重大错报。出现下列情形的，认定为重大 缺陷： </w:t>
                        </w:r>
                        <w:r>
                          <w:rPr>
                            <w:rFonts w:ascii="Times New Roman" w:hAnsi="Times New Roman" w:cs="Times New Roman" w:eastAsia="Times New Roman" w:hint="default"/>
                            <w:sz w:val="18"/>
                            <w:szCs w:val="18"/>
                          </w:rPr>
                          <w:t>(1)</w:t>
                        </w:r>
                        <w:r>
                          <w:rPr>
                            <w:rFonts w:ascii="宋体" w:hAnsi="宋体" w:cs="宋体" w:eastAsia="宋体" w:hint="default"/>
                            <w:sz w:val="18"/>
                            <w:szCs w:val="18"/>
                          </w:rPr>
                          <w:t>董事、监事和高级管理人员舞 弊；</w:t>
                        </w:r>
                        <w:r>
                          <w:rPr>
                            <w:rFonts w:ascii="Times New Roman" w:hAnsi="Times New Roman" w:cs="Times New Roman" w:eastAsia="Times New Roman" w:hint="default"/>
                            <w:sz w:val="18"/>
                            <w:szCs w:val="18"/>
                          </w:rPr>
                          <w:t>(2)</w:t>
                        </w:r>
                        <w:r>
                          <w:rPr>
                            <w:rFonts w:ascii="宋体" w:hAnsi="宋体" w:cs="宋体" w:eastAsia="宋体" w:hint="default"/>
                            <w:sz w:val="18"/>
                            <w:szCs w:val="18"/>
                          </w:rPr>
                          <w:t>企业更正已公布的财务报告；</w:t>
                        </w:r>
                        <w:r>
                          <w:rPr>
                            <w:rFonts w:ascii="Times New Roman" w:hAnsi="Times New Roman" w:cs="Times New Roman" w:eastAsia="Times New Roman" w:hint="default"/>
                            <w:sz w:val="18"/>
                            <w:szCs w:val="18"/>
                          </w:rPr>
                          <w:t>(3) </w:t>
                        </w:r>
                        <w:r>
                          <w:rPr>
                            <w:rFonts w:ascii="宋体" w:hAnsi="宋体" w:cs="宋体" w:eastAsia="宋体" w:hint="default"/>
                            <w:sz w:val="18"/>
                            <w:szCs w:val="18"/>
                          </w:rPr>
                          <w:t>外部审计披露的重大错报而不是由公司首 先发现的；</w:t>
                        </w:r>
                        <w:r>
                          <w:rPr>
                            <w:rFonts w:ascii="Times New Roman" w:hAnsi="Times New Roman" w:cs="Times New Roman" w:eastAsia="Times New Roman" w:hint="default"/>
                            <w:sz w:val="18"/>
                            <w:szCs w:val="18"/>
                          </w:rPr>
                          <w:t>(4)</w:t>
                        </w:r>
                        <w:r>
                          <w:rPr>
                            <w:rFonts w:ascii="宋体" w:hAnsi="宋体" w:cs="宋体" w:eastAsia="宋体" w:hint="default"/>
                            <w:sz w:val="18"/>
                            <w:szCs w:val="18"/>
                          </w:rPr>
                          <w:t>企业审计委员会和内部审计 机构对内部控制的监督无效；</w:t>
                        </w:r>
                        <w:r>
                          <w:rPr>
                            <w:rFonts w:ascii="Times New Roman" w:hAnsi="Times New Roman" w:cs="Times New Roman" w:eastAsia="Times New Roman" w:hint="default"/>
                            <w:sz w:val="18"/>
                            <w:szCs w:val="18"/>
                          </w:rPr>
                          <w:t>(5)</w:t>
                        </w:r>
                        <w:r>
                          <w:rPr>
                            <w:rFonts w:ascii="宋体" w:hAnsi="宋体" w:cs="宋体" w:eastAsia="宋体" w:hint="default"/>
                            <w:sz w:val="18"/>
                            <w:szCs w:val="18"/>
                          </w:rPr>
                          <w:t>已经发现 并报告给管理层的重大内部控制缺陷在经 过合理的时间后，并未加以改正。重要缺 陷：单独缺陷或连同其他缺陷导致不能及 时防止或发现并纠正财务报告中虽然未达 到和超过重要性水平，仍应引起管理层重 视的错报。一般缺陷：不构成重大缺陷或 重要缺陷的其他内部控制缺陷。</w:t>
                        </w:r>
                      </w:p>
                    </w:tc>
                    <w:tc>
                      <w:tcPr>
                        <w:tcW w:w="3050" w:type="dxa"/>
                        <w:vMerge w:val="restart"/>
                        <w:tcBorders>
                          <w:top w:val="single" w:sz="4" w:space="0" w:color="000000"/>
                          <w:left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28"/>
                          <w:ind w:left="22" w:right="20"/>
                          <w:jc w:val="left"/>
                          <w:rPr>
                            <w:rFonts w:ascii="宋体" w:hAnsi="宋体" w:cs="宋体" w:eastAsia="宋体" w:hint="default"/>
                            <w:sz w:val="18"/>
                            <w:szCs w:val="18"/>
                          </w:rPr>
                        </w:pPr>
                        <w:r>
                          <w:rPr>
                            <w:rFonts w:ascii="宋体" w:hAnsi="宋体" w:cs="宋体" w:eastAsia="宋体" w:hint="default"/>
                            <w:spacing w:val="-4"/>
                            <w:sz w:val="18"/>
                            <w:szCs w:val="18"/>
                          </w:rPr>
                          <w:t>出现以下情形的，认定为重大缺陷，其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他情形按影响程度分别确定为重要缺 陷或一般缺陷：</w:t>
                        </w:r>
                        <w:r>
                          <w:rPr>
                            <w:rFonts w:ascii="宋体" w:hAnsi="宋体" w:cs="宋体" w:eastAsia="宋体" w:hint="default"/>
                            <w:spacing w:val="-38"/>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）企业决策程序不</w:t>
                        </w:r>
                        <w:r>
                          <w:rPr>
                            <w:rFonts w:ascii="宋体" w:hAnsi="宋体" w:cs="宋体" w:eastAsia="宋体" w:hint="default"/>
                            <w:sz w:val="18"/>
                            <w:szCs w:val="18"/>
                          </w:rPr>
                          <w:t> 科学，如决策失误，导致并购不成功</w:t>
                        </w:r>
                      </w:p>
                      <w:p>
                        <w:pPr>
                          <w:pStyle w:val="TableParagraph"/>
                          <w:spacing w:line="300" w:lineRule="auto" w:before="22"/>
                          <w:ind w:left="22" w:right="4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）违犯国家法律、法规，如环境污 </w:t>
                        </w:r>
                        <w:r>
                          <w:rPr>
                            <w:rFonts w:ascii="宋体" w:hAnsi="宋体" w:cs="宋体" w:eastAsia="宋体" w:hint="default"/>
                            <w:spacing w:val="-14"/>
                            <w:sz w:val="18"/>
                            <w:szCs w:val="18"/>
                          </w:rPr>
                          <w:t>染；（</w:t>
                        </w:r>
                        <w:r>
                          <w:rPr>
                            <w:rFonts w:ascii="Times New Roman" w:hAnsi="Times New Roman" w:cs="Times New Roman" w:eastAsia="Times New Roman" w:hint="default"/>
                            <w:spacing w:val="-14"/>
                            <w:sz w:val="18"/>
                            <w:szCs w:val="18"/>
                          </w:rPr>
                          <w:t>3</w:t>
                        </w:r>
                        <w:r>
                          <w:rPr>
                            <w:rFonts w:ascii="宋体" w:hAnsi="宋体" w:cs="宋体" w:eastAsia="宋体" w:hint="default"/>
                            <w:spacing w:val="-14"/>
                            <w:sz w:val="18"/>
                            <w:szCs w:val="18"/>
                          </w:rPr>
                          <w:t>）管理人员或技术人员纷纷流失</w:t>
                        </w:r>
                      </w:p>
                      <w:p>
                        <w:pPr>
                          <w:pStyle w:val="TableParagraph"/>
                          <w:spacing w:line="304" w:lineRule="auto" w:before="13"/>
                          <w:ind w:left="22" w:right="2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）媒体负面新闻频现；（</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）内部控</w:t>
                        </w:r>
                        <w:r>
                          <w:rPr>
                            <w:rFonts w:ascii="宋体" w:hAnsi="宋体" w:cs="宋体" w:eastAsia="宋体" w:hint="default"/>
                            <w:sz w:val="18"/>
                            <w:szCs w:val="18"/>
                          </w:rPr>
                          <w:t> 制评价的结果特别是重大或重要缺陷 </w:t>
                        </w:r>
                        <w:r>
                          <w:rPr>
                            <w:rFonts w:ascii="宋体" w:hAnsi="宋体" w:cs="宋体" w:eastAsia="宋体" w:hint="default"/>
                            <w:spacing w:val="-9"/>
                            <w:sz w:val="18"/>
                            <w:szCs w:val="18"/>
                          </w:rPr>
                          <w:t>未得到整改；（</w:t>
                        </w:r>
                        <w:r>
                          <w:rPr>
                            <w:rFonts w:ascii="Times New Roman" w:hAnsi="Times New Roman" w:cs="Times New Roman" w:eastAsia="Times New Roman" w:hint="default"/>
                            <w:spacing w:val="-9"/>
                            <w:sz w:val="18"/>
                            <w:szCs w:val="18"/>
                          </w:rPr>
                          <w:t>6</w:t>
                        </w:r>
                        <w:r>
                          <w:rPr>
                            <w:rFonts w:ascii="宋体" w:hAnsi="宋体" w:cs="宋体" w:eastAsia="宋体" w:hint="default"/>
                            <w:spacing w:val="-9"/>
                            <w:sz w:val="18"/>
                            <w:szCs w:val="18"/>
                          </w:rPr>
                          <w:t>）重要业务缺乏制度控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制或制度系统性失效；（</w:t>
                        </w:r>
                        <w:r>
                          <w:rPr>
                            <w:rFonts w:ascii="Times New Roman" w:hAnsi="Times New Roman" w:cs="Times New Roman" w:eastAsia="Times New Roman" w:hint="default"/>
                            <w:spacing w:val="-9"/>
                            <w:sz w:val="18"/>
                            <w:szCs w:val="18"/>
                          </w:rPr>
                          <w:t>7</w:t>
                        </w:r>
                        <w:r>
                          <w:rPr>
                            <w:rFonts w:ascii="宋体" w:hAnsi="宋体" w:cs="宋体" w:eastAsia="宋体" w:hint="default"/>
                            <w:spacing w:val="-9"/>
                            <w:sz w:val="18"/>
                            <w:szCs w:val="18"/>
                          </w:rPr>
                          <w:t>）并购重组失</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败，或新扩充下属单位经营难以为继</w:t>
                        </w:r>
                      </w:p>
                      <w:p>
                        <w:pPr>
                          <w:pStyle w:val="TableParagraph"/>
                          <w:spacing w:line="302" w:lineRule="auto" w:before="28"/>
                          <w:ind w:left="22" w:right="4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）发生重大负面事项，并对企业定 期报告披露造成负面影响。</w:t>
                        </w:r>
                      </w:p>
                    </w:tc>
                  </w:tr>
                  <w:tr>
                    <w:trPr>
                      <w:trHeight w:val="392" w:hRule="exact"/>
                    </w:trPr>
                    <w:tc>
                      <w:tcPr>
                        <w:tcW w:w="317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3D3D3"/>
                          <w:right w:val="single" w:sz="4" w:space="0" w:color="000000"/>
                        </w:tcBorders>
                        <w:shd w:val="clear" w:color="auto" w:fill="C7EDCC"/>
                      </w:tcPr>
                      <w:p>
                        <w:pPr/>
                      </w:p>
                    </w:tc>
                    <w:tc>
                      <w:tcPr>
                        <w:tcW w:w="3050" w:type="dxa"/>
                        <w:vMerge/>
                        <w:tcBorders>
                          <w:left w:val="single" w:sz="4" w:space="0" w:color="000000"/>
                          <w:right w:val="single" w:sz="4" w:space="0" w:color="000000"/>
                        </w:tcBorders>
                        <w:shd w:val="clear" w:color="auto" w:fill="C7EDCC"/>
                      </w:tcPr>
                      <w:p>
                        <w:pPr/>
                      </w:p>
                    </w:tc>
                  </w:tr>
                  <w:tr>
                    <w:trPr>
                      <w:trHeight w:val="2189" w:hRule="exact"/>
                    </w:trPr>
                    <w:tc>
                      <w:tcPr>
                        <w:tcW w:w="3177" w:type="dxa"/>
                        <w:tcBorders>
                          <w:top w:val="nil" w:sz="6" w:space="0" w:color="auto"/>
                          <w:left w:val="single" w:sz="4" w:space="0" w:color="000000"/>
                          <w:bottom w:val="single" w:sz="4" w:space="0" w:color="000000"/>
                          <w:right w:val="single" w:sz="4" w:space="0" w:color="000000"/>
                        </w:tcBorders>
                        <w:shd w:val="clear" w:color="auto" w:fill="D3D3D3"/>
                      </w:tcPr>
                      <w:p>
                        <w:pPr/>
                      </w:p>
                    </w:tc>
                    <w:tc>
                      <w:tcPr>
                        <w:tcW w:w="3329" w:type="dxa"/>
                        <w:vMerge/>
                        <w:tcBorders>
                          <w:left w:val="single" w:sz="9" w:space="0" w:color="D3D3D3"/>
                          <w:bottom w:val="single" w:sz="4" w:space="0" w:color="000000"/>
                          <w:right w:val="single" w:sz="4" w:space="0" w:color="000000"/>
                        </w:tcBorders>
                        <w:shd w:val="clear" w:color="auto" w:fill="C7EDCC"/>
                      </w:tcPr>
                      <w:p>
                        <w:pPr/>
                      </w:p>
                    </w:tc>
                    <w:tc>
                      <w:tcPr>
                        <w:tcW w:w="3050" w:type="dxa"/>
                        <w:vMerge/>
                        <w:tcBorders>
                          <w:left w:val="single" w:sz="4" w:space="0" w:color="000000"/>
                          <w:bottom w:val="single" w:sz="4" w:space="0" w:color="000000"/>
                          <w:right w:val="single" w:sz="4" w:space="0" w:color="000000"/>
                        </w:tcBorders>
                        <w:shd w:val="clear" w:color="auto" w:fill="C7EDCC"/>
                      </w:tcPr>
                      <w:p>
                        <w:pPr/>
                      </w:p>
                    </w:tc>
                  </w:tr>
                  <w:tr>
                    <w:trPr>
                      <w:trHeight w:val="452" w:hRule="exact"/>
                    </w:trPr>
                    <w:tc>
                      <w:tcPr>
                        <w:tcW w:w="3177" w:type="dxa"/>
                        <w:tcBorders>
                          <w:top w:val="single" w:sz="4" w:space="0" w:color="000000"/>
                          <w:left w:val="single" w:sz="4" w:space="0" w:color="000000"/>
                          <w:bottom w:val="nil" w:sz="6" w:space="0" w:color="auto"/>
                          <w:right w:val="single" w:sz="4" w:space="0" w:color="000000"/>
                        </w:tcBorders>
                        <w:shd w:val="clear" w:color="auto" w:fill="D3D3D3"/>
                      </w:tcPr>
                      <w:p>
                        <w:pPr/>
                      </w:p>
                    </w:tc>
                    <w:tc>
                      <w:tcPr>
                        <w:tcW w:w="3329" w:type="dxa"/>
                        <w:vMerge w:val="restart"/>
                        <w:tcBorders>
                          <w:top w:val="single" w:sz="4" w:space="0" w:color="000000"/>
                          <w:left w:val="single" w:sz="9" w:space="0" w:color="D3D3D3"/>
                          <w:right w:val="single" w:sz="4" w:space="0" w:color="000000"/>
                        </w:tcBorders>
                        <w:shd w:val="clear" w:color="auto" w:fill="C7EDCC"/>
                      </w:tcPr>
                      <w:p>
                        <w:pPr>
                          <w:pStyle w:val="TableParagraph"/>
                          <w:spacing w:line="300" w:lineRule="auto" w:before="51"/>
                          <w:ind w:left="22" w:right="24"/>
                          <w:jc w:val="both"/>
                          <w:rPr>
                            <w:rFonts w:ascii="Times New Roman" w:hAnsi="Times New Roman" w:cs="Times New Roman" w:eastAsia="Times New Roman" w:hint="default"/>
                            <w:sz w:val="18"/>
                            <w:szCs w:val="18"/>
                          </w:rPr>
                        </w:pPr>
                        <w:r>
                          <w:rPr>
                            <w:rFonts w:ascii="宋体" w:hAnsi="宋体" w:cs="宋体" w:eastAsia="宋体" w:hint="default"/>
                            <w:sz w:val="18"/>
                            <w:szCs w:val="18"/>
                          </w:rPr>
                          <w:t>重大缺陷：潜在错报金额 </w:t>
                        </w:r>
                        <w:r>
                          <w:rPr>
                            <w:rFonts w:ascii="Times New Roman" w:hAnsi="Times New Roman" w:cs="Times New Roman" w:eastAsia="Times New Roman" w:hint="default"/>
                            <w:sz w:val="18"/>
                            <w:szCs w:val="18"/>
                          </w:rPr>
                          <w:t>≥ </w:t>
                        </w:r>
                        <w:r>
                          <w:rPr>
                            <w:rFonts w:ascii="宋体" w:hAnsi="宋体" w:cs="宋体" w:eastAsia="宋体" w:hint="default"/>
                            <w:sz w:val="18"/>
                            <w:szCs w:val="18"/>
                          </w:rPr>
                          <w:t>利润总额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或潜在错报金额 </w:t>
                        </w:r>
                        <w:r>
                          <w:rPr>
                            <w:rFonts w:ascii="Times New Roman" w:hAnsi="Times New Roman" w:cs="Times New Roman" w:eastAsia="Times New Roman" w:hint="default"/>
                            <w:sz w:val="18"/>
                            <w:szCs w:val="18"/>
                          </w:rPr>
                          <w:t>≥ </w:t>
                        </w:r>
                        <w:r>
                          <w:rPr>
                            <w:rFonts w:ascii="宋体" w:hAnsi="宋体" w:cs="宋体" w:eastAsia="宋体" w:hint="default"/>
                            <w:sz w:val="18"/>
                            <w:szCs w:val="18"/>
                          </w:rPr>
                          <w:t>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或潜在错 报金额 </w:t>
                        </w:r>
                        <w:r>
                          <w:rPr>
                            <w:rFonts w:ascii="Times New Roman" w:hAnsi="Times New Roman" w:cs="Times New Roman" w:eastAsia="Times New Roman" w:hint="default"/>
                            <w:sz w:val="18"/>
                            <w:szCs w:val="18"/>
                          </w:rPr>
                          <w:t>≥ </w:t>
                        </w:r>
                        <w:r>
                          <w:rPr>
                            <w:rFonts w:ascii="宋体" w:hAnsi="宋体" w:cs="宋体" w:eastAsia="宋体" w:hint="default"/>
                            <w:sz w:val="18"/>
                            <w:szCs w:val="18"/>
                          </w:rPr>
                          <w:t>营业收入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。重要缺陷：未达 到重大缺陷定量标准，但利润总额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Times New Roman" w:hAnsi="Times New Roman" w:cs="Times New Roman" w:eastAsia="Times New Roman" w:hint="default"/>
                            <w:sz w:val="18"/>
                            <w:szCs w:val="18"/>
                          </w:rPr>
                          <w:t>≤</w:t>
                        </w:r>
                      </w:p>
                    </w:tc>
                    <w:tc>
                      <w:tcPr>
                        <w:tcW w:w="3050" w:type="dxa"/>
                        <w:vMerge w:val="restart"/>
                        <w:tcBorders>
                          <w:top w:val="single" w:sz="4" w:space="0" w:color="000000"/>
                          <w:left w:val="single" w:sz="4" w:space="0" w:color="000000"/>
                          <w:right w:val="single" w:sz="4" w:space="0" w:color="000000"/>
                        </w:tcBorders>
                        <w:shd w:val="clear" w:color="auto" w:fill="C7EDCC"/>
                      </w:tcPr>
                      <w:p>
                        <w:pPr>
                          <w:pStyle w:val="TableParagraph"/>
                          <w:spacing w:line="300"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重大缺陷：直接财产损失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利润总额 </w:t>
                        </w:r>
                        <w:r>
                          <w:rPr>
                            <w:rFonts w:ascii="Times New Roman" w:hAnsi="Times New Roman" w:cs="Times New Roman" w:eastAsia="Times New Roman" w:hint="default"/>
                            <w:sz w:val="18"/>
                            <w:szCs w:val="18"/>
                          </w:rPr>
                          <w:t>5%</w:t>
                        </w:r>
                        <w:r>
                          <w:rPr>
                            <w:rFonts w:ascii="宋体" w:hAnsi="宋体" w:cs="宋体" w:eastAsia="宋体" w:hint="default"/>
                            <w:sz w:val="18"/>
                            <w:szCs w:val="18"/>
                          </w:rPr>
                          <w:t>或直接财产损失 </w:t>
                        </w:r>
                        <w:r>
                          <w:rPr>
                            <w:rFonts w:ascii="Times New Roman" w:hAnsi="Times New Roman" w:cs="Times New Roman" w:eastAsia="Times New Roman" w:hint="default"/>
                            <w:sz w:val="18"/>
                            <w:szCs w:val="18"/>
                          </w:rPr>
                          <w:t>≥ </w:t>
                        </w:r>
                        <w:r>
                          <w:rPr>
                            <w:rFonts w:ascii="宋体" w:hAnsi="宋体" w:cs="宋体" w:eastAsia="宋体" w:hint="default"/>
                            <w:sz w:val="18"/>
                            <w:szCs w:val="18"/>
                          </w:rPr>
                          <w:t>资产总额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 直接财产损失 </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营业收入</w:t>
                        </w:r>
                        <w:r>
                          <w:rPr>
                            <w:rFonts w:ascii="宋体" w:hAnsi="宋体" w:cs="宋体" w:eastAsia="宋体" w:hint="default"/>
                            <w:spacing w:val="-46"/>
                            <w:sz w:val="18"/>
                            <w:szCs w:val="18"/>
                          </w:rPr>
                          <w:t> </w:t>
                        </w: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。重要缺</w:t>
                        </w:r>
                        <w:r>
                          <w:rPr>
                            <w:rFonts w:ascii="宋体" w:hAnsi="宋体" w:cs="宋体" w:eastAsia="宋体" w:hint="default"/>
                            <w:sz w:val="18"/>
                            <w:szCs w:val="18"/>
                          </w:rPr>
                          <w:t> </w:t>
                        </w:r>
                        <w:r>
                          <w:rPr>
                            <w:rFonts w:ascii="宋体" w:hAnsi="宋体" w:cs="宋体" w:eastAsia="宋体" w:hint="default"/>
                            <w:spacing w:val="-4"/>
                            <w:sz w:val="18"/>
                            <w:szCs w:val="18"/>
                          </w:rPr>
                          <w:t>陷：未达到重大缺陷定量标准，但利润</w:t>
                        </w:r>
                      </w:p>
                    </w:tc>
                  </w:tr>
                  <w:tr>
                    <w:trPr>
                      <w:trHeight w:val="393" w:hRule="exact"/>
                    </w:trPr>
                    <w:tc>
                      <w:tcPr>
                        <w:tcW w:w="317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9" w:space="0" w:color="D3D3D3"/>
                          <w:right w:val="single" w:sz="4" w:space="0" w:color="000000"/>
                        </w:tcBorders>
                        <w:shd w:val="clear" w:color="auto" w:fill="C7EDCC"/>
                      </w:tcPr>
                      <w:p>
                        <w:pPr/>
                      </w:p>
                    </w:tc>
                    <w:tc>
                      <w:tcPr>
                        <w:tcW w:w="3050" w:type="dxa"/>
                        <w:vMerge/>
                        <w:tcBorders>
                          <w:left w:val="single" w:sz="4" w:space="0" w:color="000000"/>
                          <w:right w:val="single" w:sz="4" w:space="0" w:color="000000"/>
                        </w:tcBorders>
                        <w:shd w:val="clear" w:color="auto" w:fill="C7EDCC"/>
                      </w:tcPr>
                      <w:p>
                        <w:pPr/>
                      </w:p>
                    </w:tc>
                  </w:tr>
                  <w:tr>
                    <w:trPr>
                      <w:trHeight w:val="453" w:hRule="exact"/>
                    </w:trPr>
                    <w:tc>
                      <w:tcPr>
                        <w:tcW w:w="3177" w:type="dxa"/>
                        <w:tcBorders>
                          <w:top w:val="nil" w:sz="6" w:space="0" w:color="auto"/>
                          <w:left w:val="single" w:sz="4" w:space="0" w:color="000000"/>
                          <w:bottom w:val="single" w:sz="4" w:space="0" w:color="000000"/>
                          <w:right w:val="single" w:sz="4" w:space="0" w:color="000000"/>
                        </w:tcBorders>
                        <w:shd w:val="clear" w:color="auto" w:fill="D3D3D3"/>
                      </w:tcPr>
                      <w:p>
                        <w:pPr/>
                      </w:p>
                    </w:tc>
                    <w:tc>
                      <w:tcPr>
                        <w:tcW w:w="3329" w:type="dxa"/>
                        <w:vMerge/>
                        <w:tcBorders>
                          <w:left w:val="single" w:sz="9" w:space="0" w:color="D3D3D3"/>
                          <w:bottom w:val="single" w:sz="4" w:space="0" w:color="000000"/>
                          <w:right w:val="single" w:sz="4" w:space="0" w:color="000000"/>
                        </w:tcBorders>
                        <w:shd w:val="clear" w:color="auto" w:fill="C7EDCC"/>
                      </w:tcPr>
                      <w:p>
                        <w:pPr/>
                      </w:p>
                    </w:tc>
                    <w:tc>
                      <w:tcPr>
                        <w:tcW w:w="3050" w:type="dxa"/>
                        <w:vMerge/>
                        <w:tcBorders>
                          <w:left w:val="single" w:sz="4" w:space="0" w:color="000000"/>
                          <w:bottom w:val="single" w:sz="4" w:space="0" w:color="000000"/>
                          <w:right w:val="single" w:sz="4" w:space="0" w:color="000000"/>
                        </w:tcBorders>
                        <w:shd w:val="clear" w:color="auto" w:fill="C7EDCC"/>
                      </w:tcPr>
                      <w:p>
                        <w:pP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26"/>
          <w:szCs w:val="26"/>
        </w:rPr>
      </w:pPr>
    </w:p>
    <w:p>
      <w:pPr>
        <w:spacing w:before="44"/>
        <w:ind w:left="0" w:right="21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before="44"/>
        <w:ind w:left="0" w:right="243"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877" w:footer="982" w:top="1100" w:bottom="1180" w:left="980" w:right="92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4"/>
        <w:gridCol w:w="3323"/>
        <w:gridCol w:w="3050"/>
      </w:tblGrid>
      <w:tr>
        <w:trPr>
          <w:trHeight w:val="322" w:hRule="exact"/>
        </w:trPr>
        <w:tc>
          <w:tcPr>
            <w:tcW w:w="3194" w:type="dxa"/>
            <w:vMerge w:val="restart"/>
            <w:tcBorders>
              <w:top w:val="single" w:sz="4" w:space="0" w:color="000000"/>
              <w:left w:val="single" w:sz="4" w:space="0" w:color="000000"/>
              <w:right w:val="single" w:sz="4" w:space="0" w:color="000000"/>
            </w:tcBorders>
            <w:shd w:val="clear" w:color="auto" w:fill="D3D3D3"/>
          </w:tcPr>
          <w:p>
            <w:pPr/>
          </w:p>
        </w:tc>
        <w:tc>
          <w:tcPr>
            <w:tcW w:w="3323"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潜在错报风险 </w:t>
            </w:r>
            <w:r>
              <w:rPr>
                <w:rFonts w:ascii="Times New Roman" w:hAnsi="Times New Roman" w:cs="Times New Roman" w:eastAsia="Times New Roman" w:hint="default"/>
                <w:sz w:val="18"/>
                <w:szCs w:val="18"/>
              </w:rPr>
              <w:t>&lt;  </w:t>
            </w:r>
            <w:r>
              <w:rPr>
                <w:rFonts w:ascii="宋体" w:hAnsi="宋体" w:cs="宋体" w:eastAsia="宋体" w:hint="default"/>
                <w:sz w:val="18"/>
                <w:szCs w:val="18"/>
              </w:rPr>
              <w:t>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或资产总额</w:t>
            </w:r>
          </w:p>
        </w:tc>
        <w:tc>
          <w:tcPr>
            <w:tcW w:w="305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总额 </w:t>
            </w:r>
            <w:r>
              <w:rPr>
                <w:rFonts w:ascii="Times New Roman" w:hAnsi="Times New Roman" w:cs="Times New Roman" w:eastAsia="Times New Roman" w:hint="default"/>
                <w:sz w:val="18"/>
                <w:szCs w:val="18"/>
              </w:rPr>
              <w:t>3% </w:t>
            </w:r>
            <w:r>
              <w:rPr>
                <w:rFonts w:ascii="Times New Roman" w:hAnsi="Times New Roman" w:cs="Times New Roman" w:eastAsia="Times New Roman" w:hint="default"/>
                <w:sz w:val="18"/>
                <w:szCs w:val="18"/>
              </w:rPr>
              <w:t>≤  </w:t>
            </w:r>
            <w:r>
              <w:rPr>
                <w:rFonts w:ascii="宋体" w:hAnsi="宋体" w:cs="宋体" w:eastAsia="宋体" w:hint="default"/>
                <w:sz w:val="18"/>
                <w:szCs w:val="18"/>
              </w:rPr>
              <w:t>直接财产损失 </w:t>
            </w:r>
            <w:r>
              <w:rPr>
                <w:rFonts w:ascii="Times New Roman" w:hAnsi="Times New Roman" w:cs="Times New Roman" w:eastAsia="Times New Roman" w:hint="default"/>
                <w:sz w:val="18"/>
                <w:szCs w:val="18"/>
              </w:rPr>
              <w:t>&lt;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利润总额</w:t>
            </w: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Times New Roman" w:hAnsi="Times New Roman" w:cs="Times New Roman" w:eastAsia="Times New Roman" w:hint="default"/>
                <w:sz w:val="18"/>
                <w:szCs w:val="18"/>
              </w:rPr>
              <w:t>≤  </w:t>
            </w:r>
            <w:r>
              <w:rPr>
                <w:rFonts w:ascii="宋体" w:hAnsi="宋体" w:cs="宋体" w:eastAsia="宋体" w:hint="default"/>
                <w:sz w:val="18"/>
                <w:szCs w:val="18"/>
              </w:rPr>
              <w:t>潜在错报风险 </w:t>
            </w:r>
            <w:r>
              <w:rPr>
                <w:rFonts w:ascii="Times New Roman" w:hAnsi="Times New Roman" w:cs="Times New Roman" w:eastAsia="Times New Roman" w:hint="default"/>
                <w:sz w:val="18"/>
                <w:szCs w:val="18"/>
              </w:rPr>
              <w:t>&lt;  </w:t>
            </w:r>
            <w:r>
              <w:rPr>
                <w:rFonts w:ascii="宋体" w:hAnsi="宋体" w:cs="宋体" w:eastAsia="宋体" w:hint="default"/>
                <w:sz w:val="18"/>
                <w:szCs w:val="18"/>
              </w:rPr>
              <w:t>资产总额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w:t>
            </w:r>
          </w:p>
        </w:tc>
        <w:tc>
          <w:tcPr>
            <w:tcW w:w="305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或资产总额 </w:t>
            </w:r>
            <w:r>
              <w:rPr>
                <w:rFonts w:ascii="Times New Roman" w:hAnsi="Times New Roman" w:cs="Times New Roman" w:eastAsia="Times New Roman" w:hint="default"/>
                <w:sz w:val="18"/>
                <w:szCs w:val="18"/>
              </w:rPr>
              <w:t>0.5%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直接财产损失</w:t>
            </w: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营业收入 </w:t>
            </w:r>
            <w:r>
              <w:rPr>
                <w:rFonts w:ascii="Times New Roman" w:hAnsi="Times New Roman" w:cs="Times New Roman" w:eastAsia="Times New Roman" w:hint="default"/>
                <w:sz w:val="18"/>
                <w:szCs w:val="18"/>
              </w:rPr>
              <w:t>0.5% </w:t>
            </w:r>
            <w:r>
              <w:rPr>
                <w:rFonts w:ascii="Times New Roman" w:hAnsi="Times New Roman" w:cs="Times New Roman" w:eastAsia="Times New Roman" w:hint="default"/>
                <w:sz w:val="18"/>
                <w:szCs w:val="18"/>
              </w:rPr>
              <w:t>≤  </w:t>
            </w:r>
            <w:r>
              <w:rPr>
                <w:rFonts w:ascii="宋体" w:hAnsi="宋体" w:cs="宋体" w:eastAsia="宋体" w:hint="default"/>
                <w:sz w:val="18"/>
                <w:szCs w:val="18"/>
              </w:rPr>
              <w:t>潜在错报风险 </w:t>
            </w:r>
            <w:r>
              <w:rPr>
                <w:rFonts w:ascii="Times New Roman" w:hAnsi="Times New Roman" w:cs="Times New Roman" w:eastAsia="Times New Roman" w:hint="default"/>
                <w:sz w:val="18"/>
                <w:szCs w:val="18"/>
              </w:rPr>
              <w:t>&lt;</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营业收</w:t>
            </w:r>
          </w:p>
        </w:tc>
        <w:tc>
          <w:tcPr>
            <w:tcW w:w="305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&lt;  </w:t>
            </w:r>
            <w:r>
              <w:rPr>
                <w:rFonts w:ascii="宋体" w:hAnsi="宋体" w:cs="宋体" w:eastAsia="宋体" w:hint="default"/>
                <w:sz w:val="18"/>
                <w:szCs w:val="18"/>
              </w:rPr>
              <w:t>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或营业收入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直</w:t>
            </w: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入</w:t>
            </w:r>
            <w:r>
              <w:rPr>
                <w:rFonts w:ascii="宋体" w:hAnsi="宋体" w:cs="宋体" w:eastAsia="宋体" w:hint="default"/>
                <w:spacing w:val="-36"/>
                <w:sz w:val="18"/>
                <w:szCs w:val="18"/>
              </w:rPr>
              <w:t>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。一般缺陷：潜在错报未达到重大缺</w:t>
            </w:r>
          </w:p>
        </w:tc>
        <w:tc>
          <w:tcPr>
            <w:tcW w:w="305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接财产损失 </w:t>
            </w:r>
            <w:r>
              <w:rPr>
                <w:rFonts w:ascii="Times New Roman" w:hAnsi="Times New Roman" w:cs="Times New Roman" w:eastAsia="Times New Roman" w:hint="default"/>
                <w:sz w:val="18"/>
                <w:szCs w:val="18"/>
              </w:rPr>
              <w:t>&lt;  </w:t>
            </w:r>
            <w:r>
              <w:rPr>
                <w:rFonts w:ascii="宋体" w:hAnsi="宋体" w:cs="宋体" w:eastAsia="宋体" w:hint="default"/>
                <w:sz w:val="18"/>
                <w:szCs w:val="18"/>
              </w:rPr>
              <w:t>营业收入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。一般缺</w:t>
            </w:r>
          </w:p>
        </w:tc>
      </w:tr>
      <w:tr>
        <w:trPr>
          <w:trHeight w:val="308"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陷、重要缺陷标准。</w:t>
            </w:r>
          </w:p>
        </w:tc>
        <w:tc>
          <w:tcPr>
            <w:tcW w:w="305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陷：直接财产损失未达到重大缺陷、重</w:t>
            </w:r>
          </w:p>
        </w:tc>
      </w:tr>
      <w:tr>
        <w:trPr>
          <w:trHeight w:val="356" w:hRule="exact"/>
        </w:trPr>
        <w:tc>
          <w:tcPr>
            <w:tcW w:w="3194" w:type="dxa"/>
            <w:vMerge/>
            <w:tcBorders>
              <w:left w:val="single" w:sz="4" w:space="0" w:color="000000"/>
              <w:bottom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single" w:sz="4" w:space="0" w:color="000000"/>
              <w:right w:val="single" w:sz="4" w:space="0" w:color="000000"/>
            </w:tcBorders>
            <w:shd w:val="clear" w:color="auto" w:fill="C7EDCC"/>
          </w:tcPr>
          <w:p>
            <w:pPr/>
          </w:p>
        </w:tc>
        <w:tc>
          <w:tcPr>
            <w:tcW w:w="305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要缺陷标准。</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3"/>
        <w:spacing w:line="240" w:lineRule="auto" w:before="26"/>
        <w:ind w:right="0"/>
        <w:jc w:val="left"/>
        <w:rPr>
          <w:b w:val="0"/>
          <w:bCs w:val="0"/>
        </w:rPr>
      </w:pPr>
      <w:r>
        <w:rPr/>
        <w:t>十、内部控制审计报告</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650"/>
        <w:gridCol w:w="6917"/>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3"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2"/>
              <w:ind w:left="22" w:right="84"/>
              <w:jc w:val="left"/>
              <w:rPr>
                <w:rFonts w:ascii="宋体" w:hAnsi="宋体" w:cs="宋体" w:eastAsia="宋体" w:hint="default"/>
                <w:sz w:val="18"/>
                <w:szCs w:val="18"/>
              </w:rPr>
            </w:pPr>
            <w:r>
              <w:rPr>
                <w:rFonts w:ascii="宋体" w:hAnsi="宋体" w:cs="宋体" w:eastAsia="宋体" w:hint="default"/>
                <w:sz w:val="18"/>
                <w:szCs w:val="18"/>
              </w:rPr>
              <w:t>我们认为，浙江华媒控股股份有限公司于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日按照《企业内部控制基本规范》和相关规定在所有重大方面 保持了有效的财务报告内部控制。</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17" w:type="dxa"/>
            <w:tcBorders>
              <w:top w:val="single" w:sz="4" w:space="0" w:color="000000"/>
              <w:left w:val="single" w:sz="13" w:space="0" w:color="D3D3D3"/>
              <w:bottom w:val="single" w:sz="4" w:space="0" w:color="000000"/>
              <w:right w:val="single" w:sz="4" w:space="0" w:color="000000"/>
            </w:tcBorders>
            <w:shd w:val="clear" w:color="auto" w:fill="C7EDCC"/>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会计师事务所是否出具非标准意见的内部控制审计报告</w:t>
      </w:r>
    </w:p>
    <w:p>
      <w:pPr>
        <w:spacing w:line="340" w:lineRule="auto" w:before="116"/>
        <w:ind w:left="154" w:right="36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会计师事务所出具的内部控制审计报告与董事会的自我评价报告意见是否一致</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2783"/>
        <w:jc w:val="center"/>
        <w:rPr>
          <w:b w:val="0"/>
          <w:bCs w:val="0"/>
        </w:rPr>
      </w:pPr>
      <w:bookmarkStart w:name="_TOC_250001" w:id="10"/>
      <w:r>
        <w:rPr/>
        <w:t>第十节</w:t>
      </w:r>
      <w:r>
        <w:rPr>
          <w:spacing w:val="-5"/>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[2016]33090016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徐殷鹏，李可虎</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b/>
          <w:bCs/>
          <w:sz w:val="28"/>
          <w:szCs w:val="28"/>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w w:val="95"/>
          <w:sz w:val="21"/>
          <w:szCs w:val="21"/>
        </w:rPr>
        <w:t>浙江华媒控股股份有限公司全体股东：</w:t>
      </w:r>
      <w:r>
        <w:rPr>
          <w:rFonts w:ascii="宋体" w:hAnsi="宋体" w:cs="宋体" w:eastAsia="宋体" w:hint="default"/>
          <w:sz w:val="21"/>
          <w:szCs w:val="21"/>
        </w:rPr>
      </w:r>
    </w:p>
    <w:p>
      <w:pPr>
        <w:spacing w:before="51"/>
        <w:ind w:left="15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审计报告正文</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3736" w:space="543"/>
            <w:col w:w="5671"/>
          </w:cols>
        </w:sectPr>
      </w:pPr>
    </w:p>
    <w:p>
      <w:pPr>
        <w:spacing w:line="240" w:lineRule="auto" w:before="13"/>
        <w:rPr>
          <w:rFonts w:ascii="宋体" w:hAnsi="宋体" w:cs="宋体" w:eastAsia="宋体" w:hint="default"/>
          <w:sz w:val="23"/>
          <w:szCs w:val="23"/>
        </w:rPr>
      </w:pPr>
    </w:p>
    <w:p>
      <w:pPr>
        <w:spacing w:line="256" w:lineRule="auto" w:before="35"/>
        <w:ind w:left="154" w:right="149" w:firstLine="479"/>
        <w:jc w:val="both"/>
        <w:rPr>
          <w:rFonts w:ascii="宋体" w:hAnsi="宋体" w:cs="宋体" w:eastAsia="宋体" w:hint="default"/>
          <w:sz w:val="21"/>
          <w:szCs w:val="21"/>
        </w:rPr>
      </w:pPr>
      <w:r>
        <w:rPr>
          <w:rFonts w:ascii="宋体" w:hAnsi="宋体" w:cs="宋体" w:eastAsia="宋体" w:hint="default"/>
          <w:spacing w:val="2"/>
          <w:sz w:val="21"/>
          <w:szCs w:val="21"/>
        </w:rPr>
        <w:t>我们审计了后附的浙江华媒控股股份有限公司（以下简称</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华媒控股公司</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）的财务报表，包括</w:t>
      </w:r>
      <w:r>
        <w:rPr>
          <w:rFonts w:ascii="Times New Roman" w:hAnsi="Times New Roman" w:cs="Times New Roman" w:eastAsia="Times New Roman" w:hint="default"/>
          <w:spacing w:val="2"/>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31</w:t>
      </w:r>
      <w:r>
        <w:rPr>
          <w:rFonts w:ascii="宋体" w:hAnsi="宋体" w:cs="宋体" w:eastAsia="宋体" w:hint="default"/>
          <w:spacing w:val="-1"/>
          <w:sz w:val="21"/>
          <w:szCs w:val="21"/>
        </w:rPr>
        <w:t>日合并及公司的资产负债表，</w:t>
      </w:r>
      <w:r>
        <w:rPr>
          <w:rFonts w:ascii="Times New Roman" w:hAnsi="Times New Roman" w:cs="Times New Roman" w:eastAsia="Times New Roman" w:hint="default"/>
          <w:spacing w:val="-1"/>
          <w:sz w:val="21"/>
          <w:szCs w:val="21"/>
        </w:rPr>
        <w:t>2015</w:t>
      </w:r>
      <w:r>
        <w:rPr>
          <w:rFonts w:ascii="宋体" w:hAnsi="宋体" w:cs="宋体" w:eastAsia="宋体" w:hint="default"/>
          <w:spacing w:val="-1"/>
          <w:sz w:val="21"/>
          <w:szCs w:val="21"/>
        </w:rPr>
        <w:t>年度合并及公司的利润表、合并及公司的现金流量表和合并及</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公司的股东权益变动表以及财务报表附注。</w:t>
      </w:r>
    </w:p>
    <w:p>
      <w:pPr>
        <w:spacing w:line="240" w:lineRule="auto" w:before="7"/>
        <w:rPr>
          <w:rFonts w:ascii="宋体" w:hAnsi="宋体" w:cs="宋体" w:eastAsia="宋体" w:hint="default"/>
          <w:sz w:val="25"/>
          <w:szCs w:val="25"/>
        </w:rPr>
      </w:pPr>
    </w:p>
    <w:p>
      <w:pPr>
        <w:spacing w:line="273" w:lineRule="auto" w:before="0"/>
        <w:ind w:left="634" w:right="0"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spacing w:val="1"/>
          <w:w w:val="99"/>
          <w:sz w:val="21"/>
          <w:szCs w:val="21"/>
        </w:rPr>
        <w:t> </w:t>
      </w:r>
      <w:r>
        <w:rPr>
          <w:rFonts w:ascii="宋体" w:hAnsi="宋体" w:cs="宋体" w:eastAsia="宋体" w:hint="default"/>
          <w:sz w:val="21"/>
          <w:szCs w:val="21"/>
        </w:rPr>
        <w:t>编制和公允列报财务报表是华媒控股公司管理层的责任。这种责任包括：（</w:t>
      </w:r>
      <w:r>
        <w:rPr>
          <w:rFonts w:ascii="Times New Roman" w:hAnsi="Times New Roman" w:cs="Times New Roman" w:eastAsia="Times New Roman" w:hint="default"/>
          <w:sz w:val="21"/>
          <w:szCs w:val="21"/>
        </w:rPr>
        <w:t>1</w:t>
      </w:r>
      <w:r>
        <w:rPr>
          <w:rFonts w:ascii="宋体" w:hAnsi="宋体" w:cs="宋体" w:eastAsia="宋体" w:hint="default"/>
          <w:sz w:val="21"/>
          <w:szCs w:val="21"/>
        </w:rPr>
        <w:t>）按照企业会计准则的</w:t>
      </w:r>
    </w:p>
    <w:p>
      <w:pPr>
        <w:spacing w:line="256" w:lineRule="auto" w:before="0"/>
        <w:ind w:left="154" w:right="0" w:hanging="1"/>
        <w:jc w:val="left"/>
        <w:rPr>
          <w:rFonts w:ascii="宋体" w:hAnsi="宋体" w:cs="宋体" w:eastAsia="宋体" w:hint="default"/>
          <w:sz w:val="21"/>
          <w:szCs w:val="21"/>
        </w:rPr>
      </w:pPr>
      <w:r>
        <w:rPr>
          <w:rFonts w:ascii="宋体" w:hAnsi="宋体" w:cs="宋体" w:eastAsia="宋体" w:hint="default"/>
          <w:sz w:val="21"/>
          <w:szCs w:val="21"/>
        </w:rPr>
        <w:t>规定编制财务报表，并使其实现公允反映；（</w:t>
      </w:r>
      <w:r>
        <w:rPr>
          <w:rFonts w:ascii="Times New Roman" w:hAnsi="Times New Roman" w:cs="Times New Roman" w:eastAsia="Times New Roman" w:hint="default"/>
          <w:sz w:val="21"/>
          <w:szCs w:val="21"/>
        </w:rPr>
        <w:t>2</w:t>
      </w:r>
      <w:r>
        <w:rPr>
          <w:rFonts w:ascii="宋体" w:hAnsi="宋体" w:cs="宋体" w:eastAsia="宋体" w:hint="default"/>
          <w:sz w:val="21"/>
          <w:szCs w:val="21"/>
        </w:rPr>
        <w:t>）设计、执行和维护必要的内部控制，以使财务报表不存</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在由于舞弊或错误导致的重大错报。</w:t>
      </w:r>
    </w:p>
    <w:p>
      <w:pPr>
        <w:spacing w:line="240" w:lineRule="auto" w:before="7"/>
        <w:rPr>
          <w:rFonts w:ascii="宋体" w:hAnsi="宋体" w:cs="宋体" w:eastAsia="宋体" w:hint="default"/>
          <w:sz w:val="25"/>
          <w:szCs w:val="25"/>
        </w:rPr>
      </w:pPr>
    </w:p>
    <w:p>
      <w:pPr>
        <w:spacing w:line="273" w:lineRule="auto" w:before="0"/>
        <w:ind w:left="634" w:right="138" w:firstLine="2"/>
        <w:jc w:val="left"/>
        <w:rPr>
          <w:rFonts w:ascii="宋体" w:hAnsi="宋体" w:cs="宋体" w:eastAsia="宋体" w:hint="default"/>
          <w:sz w:val="21"/>
          <w:szCs w:val="21"/>
        </w:rPr>
      </w:pPr>
      <w:r>
        <w:rPr>
          <w:rFonts w:ascii="宋体" w:hAnsi="宋体" w:cs="宋体" w:eastAsia="宋体" w:hint="default"/>
          <w:b/>
          <w:bCs/>
          <w:sz w:val="21"/>
          <w:szCs w:val="21"/>
        </w:rPr>
        <w:t>二、注册会计师的责任</w:t>
      </w:r>
      <w:r>
        <w:rPr>
          <w:rFonts w:ascii="宋体" w:hAnsi="宋体" w:cs="宋体" w:eastAsia="宋体" w:hint="default"/>
          <w:b/>
          <w:bCs/>
          <w:w w:val="99"/>
          <w:sz w:val="21"/>
          <w:szCs w:val="21"/>
        </w:rPr>
        <w:t> </w:t>
      </w:r>
      <w:r>
        <w:rPr>
          <w:rFonts w:ascii="宋体" w:hAnsi="宋体" w:cs="宋体" w:eastAsia="宋体" w:hint="default"/>
          <w:spacing w:val="-2"/>
          <w:sz w:val="21"/>
          <w:szCs w:val="21"/>
        </w:rPr>
        <w:t>我们的责任是在执行审计工作的基础上对财务报表发表审计意见。我们按照中国注册会计师审计准则</w:t>
      </w:r>
    </w:p>
    <w:p>
      <w:pPr>
        <w:spacing w:line="273" w:lineRule="auto" w:before="7"/>
        <w:ind w:left="154" w:right="0" w:firstLine="0"/>
        <w:jc w:val="left"/>
        <w:rPr>
          <w:rFonts w:ascii="宋体" w:hAnsi="宋体" w:cs="宋体" w:eastAsia="宋体" w:hint="default"/>
          <w:sz w:val="21"/>
          <w:szCs w:val="21"/>
        </w:rPr>
      </w:pPr>
      <w:r>
        <w:rPr>
          <w:rFonts w:ascii="宋体" w:hAnsi="宋体" w:cs="宋体" w:eastAsia="宋体" w:hint="default"/>
          <w:spacing w:val="-1"/>
          <w:sz w:val="21"/>
          <w:szCs w:val="21"/>
        </w:rPr>
        <w:t>的规定执行了审计工作。中国注册会计师审计准则要求我们遵守中国注册会计师职业道德守则，计划和执</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行审计工作以对财务报表是否不存在重大错报获取合理保证。</w:t>
      </w:r>
    </w:p>
    <w:p>
      <w:pPr>
        <w:spacing w:line="273" w:lineRule="auto" w:before="7"/>
        <w:ind w:left="154" w:right="149" w:firstLine="480"/>
        <w:jc w:val="both"/>
        <w:rPr>
          <w:rFonts w:ascii="宋体" w:hAnsi="宋体" w:cs="宋体" w:eastAsia="宋体" w:hint="default"/>
          <w:sz w:val="21"/>
          <w:szCs w:val="21"/>
        </w:rPr>
      </w:pPr>
      <w:r>
        <w:rPr>
          <w:rFonts w:ascii="宋体" w:hAnsi="宋体" w:cs="宋体" w:eastAsia="宋体" w:hint="default"/>
          <w:spacing w:val="-2"/>
          <w:sz w:val="21"/>
          <w:szCs w:val="21"/>
        </w:rPr>
        <w:t>审计工作涉及实施审计程序，以获取有关财务报表金额和披露的审计证据。选择的审计程序取决于注</w:t>
      </w:r>
      <w:r>
        <w:rPr>
          <w:rFonts w:ascii="宋体" w:hAnsi="宋体" w:cs="宋体" w:eastAsia="宋体" w:hint="default"/>
          <w:sz w:val="21"/>
          <w:szCs w:val="21"/>
        </w:rPr>
        <w:t> </w:t>
      </w:r>
      <w:r>
        <w:rPr>
          <w:rFonts w:ascii="宋体" w:hAnsi="宋体" w:cs="宋体" w:eastAsia="宋体" w:hint="default"/>
          <w:spacing w:val="-1"/>
          <w:sz w:val="21"/>
          <w:szCs w:val="21"/>
        </w:rPr>
        <w:t>册会计师的判断，包括对由于舞弊或错误导致的财务报表重大错报风险的评估。在进行风险评估时，注册</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1"/>
          <w:sz w:val="21"/>
          <w:szCs w:val="21"/>
        </w:rPr>
        <w:t>会计师考虑与财务报表编制和公允列报相关的内部控制，以设计恰当的审计程序。审计工作还包括评价管</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理层选用会计政策的恰当性和作出会计估计的合理性，以及评价财务报表的总体列报。</w:t>
      </w:r>
    </w:p>
    <w:p>
      <w:pPr>
        <w:spacing w:line="624" w:lineRule="exact" w:before="66"/>
        <w:ind w:left="636" w:right="1941" w:hanging="3"/>
        <w:jc w:val="left"/>
        <w:rPr>
          <w:rFonts w:ascii="宋体" w:hAnsi="宋体" w:cs="宋体" w:eastAsia="宋体" w:hint="default"/>
          <w:sz w:val="21"/>
          <w:szCs w:val="21"/>
        </w:rPr>
      </w:pPr>
      <w:r>
        <w:rPr>
          <w:rFonts w:ascii="宋体" w:hAnsi="宋体" w:cs="宋体" w:eastAsia="宋体" w:hint="default"/>
          <w:sz w:val="21"/>
          <w:szCs w:val="21"/>
        </w:rPr>
        <w:t>我们相信，我们获取的审计证据是充分、适当的，为发表审计意见提供了基础。 </w:t>
      </w:r>
      <w:r>
        <w:rPr>
          <w:rFonts w:ascii="宋体" w:hAnsi="宋体" w:cs="宋体" w:eastAsia="宋体" w:hint="default"/>
          <w:b/>
          <w:bCs/>
          <w:sz w:val="21"/>
          <w:szCs w:val="21"/>
        </w:rPr>
        <w:t>三、审计意见</w:t>
      </w:r>
      <w:r>
        <w:rPr>
          <w:rFonts w:ascii="宋体" w:hAnsi="宋体" w:cs="宋体" w:eastAsia="宋体" w:hint="default"/>
          <w:sz w:val="21"/>
          <w:szCs w:val="21"/>
        </w:rPr>
      </w:r>
    </w:p>
    <w:p>
      <w:pPr>
        <w:spacing w:line="217" w:lineRule="exact" w:before="0"/>
        <w:ind w:left="634" w:right="0" w:firstLine="0"/>
        <w:jc w:val="left"/>
        <w:rPr>
          <w:rFonts w:ascii="宋体" w:hAnsi="宋体" w:cs="宋体" w:eastAsia="宋体" w:hint="default"/>
          <w:sz w:val="21"/>
          <w:szCs w:val="21"/>
        </w:rPr>
      </w:pPr>
      <w:r>
        <w:rPr>
          <w:rFonts w:ascii="宋体" w:hAnsi="宋体" w:cs="宋体" w:eastAsia="宋体" w:hint="default"/>
          <w:sz w:val="21"/>
          <w:szCs w:val="21"/>
        </w:rPr>
        <w:t>我们认为，上述财务报表在所有重大方面按照企业会计准则的规定编制，公允反映了浙江华媒控股股</w:t>
      </w:r>
    </w:p>
    <w:p>
      <w:pPr>
        <w:spacing w:before="37"/>
        <w:ind w:left="154" w:right="0" w:firstLine="0"/>
        <w:jc w:val="left"/>
        <w:rPr>
          <w:rFonts w:ascii="宋体" w:hAnsi="宋体" w:cs="宋体" w:eastAsia="宋体" w:hint="default"/>
          <w:sz w:val="21"/>
          <w:szCs w:val="21"/>
        </w:rPr>
      </w:pPr>
      <w:r>
        <w:rPr>
          <w:rFonts w:ascii="宋体" w:hAnsi="宋体" w:cs="宋体" w:eastAsia="宋体" w:hint="default"/>
          <w:sz w:val="21"/>
          <w:szCs w:val="21"/>
        </w:rPr>
        <w:t>份有限公司</w:t>
      </w: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日合并及公司的财务状况以及</w:t>
      </w:r>
      <w:r>
        <w:rPr>
          <w:rFonts w:ascii="Times New Roman" w:hAnsi="Times New Roman" w:cs="Times New Roman" w:eastAsia="Times New Roman" w:hint="default"/>
          <w:sz w:val="21"/>
          <w:szCs w:val="21"/>
        </w:rPr>
        <w:t>2015</w:t>
      </w:r>
      <w:r>
        <w:rPr>
          <w:rFonts w:ascii="宋体" w:hAnsi="宋体" w:cs="宋体" w:eastAsia="宋体" w:hint="default"/>
          <w:sz w:val="21"/>
          <w:szCs w:val="21"/>
        </w:rPr>
        <w:t>年度合并及公司的经营成果和现金流量。</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after="0"/>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9"/>
        <w:rPr>
          <w:rFonts w:ascii="宋体" w:hAnsi="宋体" w:cs="宋体" w:eastAsia="宋体" w:hint="default"/>
          <w:sz w:val="20"/>
          <w:szCs w:val="20"/>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编制单位：浙江华媒控股股份有限公司</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39"/>
        <w:gridCol w:w="3317"/>
        <w:gridCol w:w="3300"/>
      </w:tblGrid>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919,068,496.22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453,740,819.94</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1"/>
              <w:ind w:left="11" w:right="3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24,167,267.21</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2,674,941.13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7,497,515.80</w:t>
            </w: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474,472,388.18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388,516,762.51</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12,067,965.42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9,304,020.45</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5,176.91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472,763.71</w:t>
            </w: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6,213,033.60</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15,581,650.37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377,399,359.77</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41,855,184.45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35,018,591.10</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28,439,096.03</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47,029,455.97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154,619,267.11</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1,512,755,258.65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1,485,388,497.23</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340,000.00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900,000.00</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331,633,842.31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127,390,124.05</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260,867,752.82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251,845,621.81</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34,310,691.31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18,909,433.09</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181,787,928.75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5,389,912.25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7,126,621.53</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639,335.43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881,770.46</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67,075,346.32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60,510,679.11</w:t>
            </w: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882,044,809.19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467,564,250.05</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2,394,800,067.84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1,952,952,747.28</w:t>
            </w: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7,745,000.00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250"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期损益的金融负债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55,177,043.00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55,336,000.00</w:t>
            </w:r>
          </w:p>
        </w:tc>
      </w:tr>
      <w:tr>
        <w:trPr>
          <w:trHeight w:val="250"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122,387,716.24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104,307,379.02</w:t>
            </w:r>
          </w:p>
        </w:tc>
      </w:tr>
      <w:tr>
        <w:trPr>
          <w:trHeight w:val="25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243,216,685.99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253,887,566.86</w:t>
            </w:r>
          </w:p>
        </w:tc>
      </w:tr>
      <w:tr>
        <w:trPr>
          <w:trHeight w:val="250"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46,023,409.64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53,534,365.97</w:t>
            </w:r>
          </w:p>
        </w:tc>
      </w:tr>
      <w:tr>
        <w:trPr>
          <w:trHeight w:val="250"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68,892,333.22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67,914,143.06</w:t>
            </w:r>
          </w:p>
        </w:tc>
      </w:tr>
      <w:tr>
        <w:trPr>
          <w:trHeight w:val="250"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10,612.77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4,042,171.22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4,042,171.22</w:t>
            </w:r>
          </w:p>
        </w:tc>
      </w:tr>
      <w:tr>
        <w:trPr>
          <w:trHeight w:val="250"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132,155,537.00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84,470,520.73</w:t>
            </w:r>
          </w:p>
        </w:tc>
      </w:tr>
      <w:tr>
        <w:trPr>
          <w:trHeight w:val="250"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679,650,509.08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623,492,146.86</w:t>
            </w:r>
          </w:p>
        </w:tc>
      </w:tr>
      <w:tr>
        <w:trPr>
          <w:trHeight w:val="250"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50"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3,600,000.04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4,562,000.02</w:t>
            </w:r>
          </w:p>
        </w:tc>
      </w:tr>
      <w:tr>
        <w:trPr>
          <w:trHeight w:val="250"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1,957,059.81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5,557,059.85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4,562,000.02</w:t>
            </w:r>
          </w:p>
        </w:tc>
      </w:tr>
      <w:tr>
        <w:trPr>
          <w:trHeight w:val="250"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685,207,568.93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628,054,146.88</w:t>
            </w:r>
          </w:p>
        </w:tc>
      </w:tr>
      <w:tr>
        <w:trPr>
          <w:trHeight w:val="25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50"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1,017,698,410.00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1,017,698,410.00</w:t>
            </w:r>
          </w:p>
        </w:tc>
      </w:tr>
      <w:tr>
        <w:trPr>
          <w:trHeight w:val="250"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-234,762,836.82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-234,762,836.82</w:t>
            </w:r>
          </w:p>
        </w:tc>
      </w:tr>
      <w:tr>
        <w:trPr>
          <w:trHeight w:val="25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44,825,690.60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50,425,366.04</w:t>
            </w:r>
          </w:p>
        </w:tc>
      </w:tr>
      <w:tr>
        <w:trPr>
          <w:trHeight w:val="250"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711,912,027.37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428,402,403.86</w:t>
            </w:r>
          </w:p>
        </w:tc>
      </w:tr>
      <w:tr>
        <w:trPr>
          <w:trHeight w:val="25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1"/>
                <w:sz w:val="18"/>
              </w:rPr>
              <w:t>1,539,673,291.15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pacing w:val="-1"/>
                <w:sz w:val="18"/>
              </w:rPr>
              <w:t>1,261,763,343.08</w:t>
            </w:r>
          </w:p>
        </w:tc>
      </w:tr>
      <w:tr>
        <w:trPr>
          <w:trHeight w:val="250"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169,919,207.76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63,135,257.32</w:t>
            </w:r>
          </w:p>
        </w:tc>
      </w:tr>
      <w:tr>
        <w:trPr>
          <w:trHeight w:val="250"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1,709,592,498.91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1,324,898,600.40</w:t>
            </w:r>
          </w:p>
        </w:tc>
      </w:tr>
      <w:tr>
        <w:trPr>
          <w:trHeight w:val="251"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2"/>
              <w:jc w:val="right"/>
              <w:rPr>
                <w:rFonts w:ascii="Times New Roman" w:hAnsi="Times New Roman" w:cs="Times New Roman" w:eastAsia="Times New Roman" w:hint="default"/>
                <w:sz w:val="18"/>
                <w:szCs w:val="18"/>
              </w:rPr>
            </w:pPr>
            <w:r>
              <w:rPr>
                <w:rFonts w:ascii="Times New Roman"/>
                <w:spacing w:val="-1"/>
                <w:sz w:val="18"/>
              </w:rPr>
              <w:t>2,394,800,067.84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pacing w:val="-1"/>
                <w:sz w:val="18"/>
              </w:rPr>
              <w:t>1,952,952,747.28</w:t>
            </w:r>
          </w:p>
        </w:tc>
      </w:tr>
    </w:tbl>
    <w:p>
      <w:pPr>
        <w:spacing w:line="240" w:lineRule="auto" w:before="6"/>
        <w:rPr>
          <w:rFonts w:ascii="宋体" w:hAnsi="宋体" w:cs="宋体" w:eastAsia="宋体" w:hint="default"/>
          <w:sz w:val="20"/>
          <w:szCs w:val="20"/>
        </w:rPr>
      </w:pPr>
    </w:p>
    <w:p>
      <w:pPr>
        <w:tabs>
          <w:tab w:pos="3483" w:val="left" w:leader="none"/>
          <w:tab w:pos="771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法定代表人：赵晴</w:t>
        <w:tab/>
        <w:t>主管会计工作负责人：郭勤勇</w:t>
        <w:tab/>
        <w:t>会计机构负责人：郭勤勇</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0"/>
        <w:rPr>
          <w:rFonts w:ascii="宋体" w:hAnsi="宋体" w:cs="宋体" w:eastAsia="宋体" w:hint="default"/>
          <w:sz w:val="22"/>
          <w:szCs w:val="22"/>
        </w:rPr>
      </w:pPr>
    </w:p>
    <w:p>
      <w:pPr>
        <w:spacing w:before="146"/>
        <w:ind w:left="154" w:right="-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p>
      <w:pPr>
        <w:spacing w:before="32"/>
        <w:ind w:left="0" w:right="151" w:firstLine="0"/>
        <w:jc w:val="right"/>
        <w:rPr>
          <w:rFonts w:ascii="宋体" w:hAnsi="宋体" w:cs="宋体" w:eastAsia="宋体" w:hint="default"/>
          <w:sz w:val="18"/>
          <w:szCs w:val="18"/>
        </w:rPr>
      </w:pPr>
      <w:r>
        <w:rPr/>
        <w:br w:type="column"/>
      </w:r>
      <w:r>
        <w:rPr>
          <w:rFonts w:ascii="宋体" w:hAnsi="宋体" w:cs="宋体" w:eastAsia="宋体" w:hint="default"/>
          <w:sz w:val="18"/>
          <w:szCs w:val="18"/>
        </w:rPr>
        <w:t>浙江华媒控股股份有限公司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spacing w:before="0"/>
        <w:ind w:left="0" w:right="150" w:firstLine="0"/>
        <w:jc w:val="right"/>
        <w:rPr>
          <w:rFonts w:ascii="宋体" w:hAnsi="宋体" w:cs="宋体" w:eastAsia="宋体" w:hint="default"/>
          <w:sz w:val="18"/>
          <w:szCs w:val="18"/>
        </w:rPr>
      </w:pPr>
      <w:r>
        <w:rPr/>
        <w:pict>
          <v:group style="position:absolute;margin-left:55.200001pt;margin-top:-19.307941pt;width:484.95pt;height:.1pt;mso-position-horizontal-relative:page;mso-position-vertical-relative:paragraph;z-index:1720" coordorigin="1104,-386" coordsize="9699,2">
            <v:shape style="position:absolute;left:1104;top:-386;width:9699;height:2" coordorigin="1104,-386" coordsize="9699,0" path="m1104,-386l10802,-386e" filled="false" stroked="true" strokeweight=".71997pt" strokecolor="#000000">
              <v:path arrowok="t"/>
            </v:shape>
            <w10:wrap type="none"/>
          </v:group>
        </w:pict>
      </w: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headerReference w:type="default" r:id="rId20"/>
          <w:footerReference w:type="default" r:id="rId21"/>
          <w:pgSz w:w="11910" w:h="16840"/>
          <w:pgMar w:header="0" w:footer="0" w:top="80" w:bottom="0" w:left="980" w:right="980"/>
          <w:cols w:num="2" w:equalWidth="0">
            <w:col w:w="2158" w:space="3611"/>
            <w:col w:w="4181"/>
          </w:cols>
        </w:sectPr>
      </w:pPr>
    </w:p>
    <w:tbl>
      <w:tblPr>
        <w:tblW w:w="0" w:type="auto"/>
        <w:jc w:val="left"/>
        <w:tblInd w:w="133" w:type="dxa"/>
        <w:tblLayout w:type="fixed"/>
        <w:tblCellMar>
          <w:top w:w="0" w:type="dxa"/>
          <w:left w:w="0" w:type="dxa"/>
          <w:bottom w:w="0" w:type="dxa"/>
          <w:right w:w="0" w:type="dxa"/>
        </w:tblCellMar>
        <w:tblLook w:val="01E0"/>
      </w:tblPr>
      <w:tblGrid>
        <w:gridCol w:w="4549"/>
        <w:gridCol w:w="2717"/>
        <w:gridCol w:w="2416"/>
      </w:tblGrid>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2"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27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12" w:right="0"/>
              <w:jc w:val="center"/>
              <w:rPr>
                <w:rFonts w:ascii="宋体" w:hAnsi="宋体" w:cs="宋体" w:eastAsia="宋体" w:hint="default"/>
                <w:sz w:val="16"/>
                <w:szCs w:val="16"/>
              </w:rPr>
            </w:pPr>
            <w:r>
              <w:rPr>
                <w:rFonts w:ascii="宋体" w:hAnsi="宋体" w:cs="宋体" w:eastAsia="宋体" w:hint="default"/>
                <w:sz w:val="16"/>
                <w:szCs w:val="16"/>
              </w:rPr>
              <w:t>期末余额</w:t>
            </w:r>
          </w:p>
        </w:tc>
        <w:tc>
          <w:tcPr>
            <w:tcW w:w="2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right="1"/>
              <w:jc w:val="center"/>
              <w:rPr>
                <w:rFonts w:ascii="宋体" w:hAnsi="宋体" w:cs="宋体" w:eastAsia="宋体" w:hint="default"/>
                <w:sz w:val="16"/>
                <w:szCs w:val="16"/>
              </w:rPr>
            </w:pPr>
            <w:r>
              <w:rPr>
                <w:rFonts w:ascii="宋体" w:hAnsi="宋体" w:cs="宋体" w:eastAsia="宋体" w:hint="default"/>
                <w:sz w:val="16"/>
                <w:szCs w:val="16"/>
              </w:rPr>
              <w:t>期初余额</w:t>
            </w: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11" w:right="0"/>
              <w:jc w:val="left"/>
              <w:rPr>
                <w:rFonts w:ascii="宋体" w:hAnsi="宋体" w:cs="宋体" w:eastAsia="宋体" w:hint="default"/>
                <w:sz w:val="16"/>
                <w:szCs w:val="16"/>
              </w:rPr>
            </w:pPr>
            <w:r>
              <w:rPr>
                <w:rFonts w:ascii="宋体" w:hAnsi="宋体" w:cs="宋体" w:eastAsia="宋体" w:hint="default"/>
                <w:sz w:val="16"/>
                <w:szCs w:val="16"/>
              </w:rPr>
              <w:t>流动资产：</w:t>
            </w:r>
          </w:p>
        </w:tc>
        <w:tc>
          <w:tcPr>
            <w:tcW w:w="27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1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91"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8" w:lineRule="exact"/>
              <w:ind w:left="330" w:right="0"/>
              <w:jc w:val="left"/>
              <w:rPr>
                <w:rFonts w:ascii="宋体" w:hAnsi="宋体" w:cs="宋体" w:eastAsia="宋体" w:hint="default"/>
                <w:sz w:val="16"/>
                <w:szCs w:val="16"/>
              </w:rPr>
            </w:pPr>
            <w:r>
              <w:rPr>
                <w:rFonts w:ascii="宋体" w:hAnsi="宋体" w:cs="宋体" w:eastAsia="宋体" w:hint="default"/>
                <w:sz w:val="16"/>
                <w:szCs w:val="16"/>
              </w:rPr>
              <w:t>货币资金</w:t>
            </w:r>
          </w:p>
        </w:tc>
        <w:tc>
          <w:tcPr>
            <w:tcW w:w="2717" w:type="dxa"/>
            <w:tcBorders>
              <w:top w:val="single" w:sz="4" w:space="0" w:color="000000"/>
              <w:left w:val="single" w:sz="9" w:space="0" w:color="D3D3D3"/>
              <w:bottom w:val="single" w:sz="4" w:space="0" w:color="000000"/>
              <w:right w:val="single" w:sz="4" w:space="0" w:color="000000"/>
            </w:tcBorders>
          </w:tcPr>
          <w:p>
            <w:pPr>
              <w:pStyle w:val="TableParagraph"/>
              <w:spacing w:line="180" w:lineRule="exact"/>
              <w:ind w:right="21"/>
              <w:jc w:val="right"/>
              <w:rPr>
                <w:rFonts w:ascii="Times New Roman" w:hAnsi="Times New Roman" w:cs="Times New Roman" w:eastAsia="Times New Roman" w:hint="default"/>
                <w:sz w:val="16"/>
                <w:szCs w:val="16"/>
              </w:rPr>
            </w:pPr>
            <w:r>
              <w:rPr>
                <w:rFonts w:ascii="Times New Roman"/>
                <w:spacing w:val="-1"/>
                <w:sz w:val="16"/>
              </w:rPr>
              <w:t>110,431,428.82</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ind w:right="19"/>
              <w:jc w:val="right"/>
              <w:rPr>
                <w:rFonts w:ascii="Times New Roman" w:hAnsi="Times New Roman" w:cs="Times New Roman" w:eastAsia="Times New Roman" w:hint="default"/>
                <w:sz w:val="16"/>
                <w:szCs w:val="16"/>
              </w:rPr>
            </w:pPr>
            <w:r>
              <w:rPr>
                <w:rFonts w:ascii="Times New Roman"/>
                <w:spacing w:val="-1"/>
                <w:sz w:val="16"/>
              </w:rPr>
              <w:t>278,938.94</w:t>
            </w: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right="688"/>
              <w:jc w:val="right"/>
              <w:rPr>
                <w:rFonts w:ascii="宋体" w:hAnsi="宋体" w:cs="宋体" w:eastAsia="宋体" w:hint="default"/>
                <w:sz w:val="16"/>
                <w:szCs w:val="16"/>
              </w:rPr>
            </w:pPr>
            <w:r>
              <w:rPr>
                <w:rFonts w:ascii="宋体" w:hAnsi="宋体" w:cs="宋体" w:eastAsia="宋体" w:hint="default"/>
                <w:w w:val="95"/>
                <w:sz w:val="16"/>
                <w:szCs w:val="16"/>
              </w:rPr>
              <w:t>以公允价值计量且其变动计入当期损益的金融资产</w:t>
            </w:r>
            <w:r>
              <w:rPr>
                <w:rFonts w:ascii="宋体" w:hAnsi="宋体" w:cs="宋体" w:eastAsia="宋体" w:hint="default"/>
                <w:sz w:val="16"/>
                <w:szCs w:val="16"/>
              </w:rPr>
            </w:r>
          </w:p>
        </w:tc>
        <w:tc>
          <w:tcPr>
            <w:tcW w:w="2717" w:type="dxa"/>
            <w:tcBorders>
              <w:top w:val="single" w:sz="4" w:space="0" w:color="000000"/>
              <w:left w:val="single" w:sz="9" w:space="0" w:color="D3D3D3"/>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330" w:right="0"/>
              <w:jc w:val="left"/>
              <w:rPr>
                <w:rFonts w:ascii="宋体" w:hAnsi="宋体" w:cs="宋体" w:eastAsia="宋体" w:hint="default"/>
                <w:sz w:val="16"/>
                <w:szCs w:val="16"/>
              </w:rPr>
            </w:pPr>
            <w:r>
              <w:rPr>
                <w:rFonts w:ascii="宋体" w:hAnsi="宋体" w:cs="宋体" w:eastAsia="宋体" w:hint="default"/>
                <w:sz w:val="16"/>
                <w:szCs w:val="16"/>
              </w:rPr>
              <w:t>衍生金融资产</w:t>
            </w:r>
          </w:p>
        </w:tc>
        <w:tc>
          <w:tcPr>
            <w:tcW w:w="2717" w:type="dxa"/>
            <w:tcBorders>
              <w:top w:val="single" w:sz="4" w:space="0" w:color="000000"/>
              <w:left w:val="single" w:sz="9" w:space="0" w:color="D3D3D3"/>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1"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8" w:lineRule="exact"/>
              <w:ind w:left="330" w:right="0"/>
              <w:jc w:val="left"/>
              <w:rPr>
                <w:rFonts w:ascii="宋体" w:hAnsi="宋体" w:cs="宋体" w:eastAsia="宋体" w:hint="default"/>
                <w:sz w:val="16"/>
                <w:szCs w:val="16"/>
              </w:rPr>
            </w:pPr>
            <w:r>
              <w:rPr>
                <w:rFonts w:ascii="宋体" w:hAnsi="宋体" w:cs="宋体" w:eastAsia="宋体" w:hint="default"/>
                <w:sz w:val="16"/>
                <w:szCs w:val="16"/>
              </w:rPr>
              <w:t>应收票据</w:t>
            </w:r>
          </w:p>
        </w:tc>
        <w:tc>
          <w:tcPr>
            <w:tcW w:w="2717" w:type="dxa"/>
            <w:tcBorders>
              <w:top w:val="single" w:sz="4" w:space="0" w:color="000000"/>
              <w:left w:val="single" w:sz="9" w:space="0" w:color="D3D3D3"/>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330" w:right="0"/>
              <w:jc w:val="left"/>
              <w:rPr>
                <w:rFonts w:ascii="宋体" w:hAnsi="宋体" w:cs="宋体" w:eastAsia="宋体" w:hint="default"/>
                <w:sz w:val="16"/>
                <w:szCs w:val="16"/>
              </w:rPr>
            </w:pPr>
            <w:r>
              <w:rPr>
                <w:rFonts w:ascii="宋体" w:hAnsi="宋体" w:cs="宋体" w:eastAsia="宋体" w:hint="default"/>
                <w:sz w:val="16"/>
                <w:szCs w:val="16"/>
              </w:rPr>
              <w:t>应收账款</w:t>
            </w:r>
          </w:p>
        </w:tc>
        <w:tc>
          <w:tcPr>
            <w:tcW w:w="2717" w:type="dxa"/>
            <w:tcBorders>
              <w:top w:val="single" w:sz="4" w:space="0" w:color="000000"/>
              <w:left w:val="single" w:sz="9" w:space="0" w:color="D3D3D3"/>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330" w:right="0"/>
              <w:jc w:val="left"/>
              <w:rPr>
                <w:rFonts w:ascii="宋体" w:hAnsi="宋体" w:cs="宋体" w:eastAsia="宋体" w:hint="default"/>
                <w:sz w:val="16"/>
                <w:szCs w:val="16"/>
              </w:rPr>
            </w:pPr>
            <w:r>
              <w:rPr>
                <w:rFonts w:ascii="宋体" w:hAnsi="宋体" w:cs="宋体" w:eastAsia="宋体" w:hint="default"/>
                <w:sz w:val="16"/>
                <w:szCs w:val="16"/>
              </w:rPr>
              <w:t>预付款项</w:t>
            </w:r>
          </w:p>
        </w:tc>
        <w:tc>
          <w:tcPr>
            <w:tcW w:w="2717" w:type="dxa"/>
            <w:tcBorders>
              <w:top w:val="single" w:sz="4" w:space="0" w:color="000000"/>
              <w:left w:val="single" w:sz="9" w:space="0" w:color="D3D3D3"/>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1"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8" w:lineRule="exact"/>
              <w:ind w:left="330" w:right="0"/>
              <w:jc w:val="left"/>
              <w:rPr>
                <w:rFonts w:ascii="宋体" w:hAnsi="宋体" w:cs="宋体" w:eastAsia="宋体" w:hint="default"/>
                <w:sz w:val="16"/>
                <w:szCs w:val="16"/>
              </w:rPr>
            </w:pPr>
            <w:r>
              <w:rPr>
                <w:rFonts w:ascii="宋体" w:hAnsi="宋体" w:cs="宋体" w:eastAsia="宋体" w:hint="default"/>
                <w:sz w:val="16"/>
                <w:szCs w:val="16"/>
              </w:rPr>
              <w:t>应收利息</w:t>
            </w:r>
          </w:p>
        </w:tc>
        <w:tc>
          <w:tcPr>
            <w:tcW w:w="2717" w:type="dxa"/>
            <w:tcBorders>
              <w:top w:val="single" w:sz="4" w:space="0" w:color="000000"/>
              <w:left w:val="single" w:sz="9" w:space="0" w:color="D3D3D3"/>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330" w:right="0"/>
              <w:jc w:val="left"/>
              <w:rPr>
                <w:rFonts w:ascii="宋体" w:hAnsi="宋体" w:cs="宋体" w:eastAsia="宋体" w:hint="default"/>
                <w:sz w:val="16"/>
                <w:szCs w:val="16"/>
              </w:rPr>
            </w:pPr>
            <w:r>
              <w:rPr>
                <w:rFonts w:ascii="宋体" w:hAnsi="宋体" w:cs="宋体" w:eastAsia="宋体" w:hint="default"/>
                <w:sz w:val="16"/>
                <w:szCs w:val="16"/>
              </w:rPr>
              <w:t>应收股利</w:t>
            </w:r>
          </w:p>
        </w:tc>
        <w:tc>
          <w:tcPr>
            <w:tcW w:w="2717" w:type="dxa"/>
            <w:tcBorders>
              <w:top w:val="single" w:sz="4" w:space="0" w:color="000000"/>
              <w:left w:val="single" w:sz="9" w:space="0" w:color="D3D3D3"/>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330" w:right="0"/>
              <w:jc w:val="left"/>
              <w:rPr>
                <w:rFonts w:ascii="宋体" w:hAnsi="宋体" w:cs="宋体" w:eastAsia="宋体" w:hint="default"/>
                <w:sz w:val="16"/>
                <w:szCs w:val="16"/>
              </w:rPr>
            </w:pPr>
            <w:r>
              <w:rPr>
                <w:rFonts w:ascii="宋体" w:hAnsi="宋体" w:cs="宋体" w:eastAsia="宋体" w:hint="default"/>
                <w:sz w:val="16"/>
                <w:szCs w:val="16"/>
              </w:rPr>
              <w:t>其他应收款</w:t>
            </w:r>
          </w:p>
        </w:tc>
        <w:tc>
          <w:tcPr>
            <w:tcW w:w="2717" w:type="dxa"/>
            <w:tcBorders>
              <w:top w:val="single" w:sz="4" w:space="0" w:color="000000"/>
              <w:left w:val="single" w:sz="9" w:space="0" w:color="D3D3D3"/>
              <w:bottom w:val="single" w:sz="4" w:space="0" w:color="000000"/>
              <w:right w:val="single" w:sz="4" w:space="0" w:color="000000"/>
            </w:tcBorders>
          </w:tcPr>
          <w:p>
            <w:pPr>
              <w:pStyle w:val="TableParagraph"/>
              <w:spacing w:line="179" w:lineRule="exact"/>
              <w:ind w:right="21"/>
              <w:jc w:val="right"/>
              <w:rPr>
                <w:rFonts w:ascii="Times New Roman" w:hAnsi="Times New Roman" w:cs="Times New Roman" w:eastAsia="Times New Roman" w:hint="default"/>
                <w:sz w:val="16"/>
                <w:szCs w:val="16"/>
              </w:rPr>
            </w:pPr>
            <w:r>
              <w:rPr>
                <w:rFonts w:ascii="Times New Roman"/>
                <w:spacing w:val="-1"/>
                <w:sz w:val="16"/>
              </w:rPr>
              <w:t>148,758,023.59</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0"/>
              <w:jc w:val="right"/>
              <w:rPr>
                <w:rFonts w:ascii="Times New Roman" w:hAnsi="Times New Roman" w:cs="Times New Roman" w:eastAsia="Times New Roman" w:hint="default"/>
                <w:sz w:val="16"/>
                <w:szCs w:val="16"/>
              </w:rPr>
            </w:pPr>
            <w:r>
              <w:rPr>
                <w:rFonts w:ascii="Times New Roman"/>
                <w:spacing w:val="-1"/>
                <w:sz w:val="16"/>
              </w:rPr>
              <w:t>368,504,060.08</w:t>
            </w:r>
          </w:p>
        </w:tc>
      </w:tr>
      <w:tr>
        <w:trPr>
          <w:trHeight w:val="191"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8" w:lineRule="exact"/>
              <w:ind w:left="330" w:right="0"/>
              <w:jc w:val="left"/>
              <w:rPr>
                <w:rFonts w:ascii="宋体" w:hAnsi="宋体" w:cs="宋体" w:eastAsia="宋体" w:hint="default"/>
                <w:sz w:val="16"/>
                <w:szCs w:val="16"/>
              </w:rPr>
            </w:pPr>
            <w:r>
              <w:rPr>
                <w:rFonts w:ascii="宋体" w:hAnsi="宋体" w:cs="宋体" w:eastAsia="宋体" w:hint="default"/>
                <w:sz w:val="16"/>
                <w:szCs w:val="16"/>
              </w:rPr>
              <w:t>存货</w:t>
            </w:r>
          </w:p>
        </w:tc>
        <w:tc>
          <w:tcPr>
            <w:tcW w:w="2717" w:type="dxa"/>
            <w:tcBorders>
              <w:top w:val="single" w:sz="4" w:space="0" w:color="000000"/>
              <w:left w:val="single" w:sz="9" w:space="0" w:color="D3D3D3"/>
              <w:bottom w:val="single" w:sz="4" w:space="0" w:color="000000"/>
              <w:right w:val="single" w:sz="4" w:space="0" w:color="000000"/>
            </w:tcBorders>
          </w:tcPr>
          <w:p>
            <w:pPr>
              <w:pStyle w:val="TableParagraph"/>
              <w:spacing w:line="180" w:lineRule="exact"/>
              <w:ind w:right="21"/>
              <w:jc w:val="right"/>
              <w:rPr>
                <w:rFonts w:ascii="Times New Roman" w:hAnsi="Times New Roman" w:cs="Times New Roman" w:eastAsia="Times New Roman" w:hint="default"/>
                <w:sz w:val="16"/>
                <w:szCs w:val="16"/>
              </w:rPr>
            </w:pPr>
            <w:r>
              <w:rPr>
                <w:rFonts w:ascii="Times New Roman"/>
                <w:spacing w:val="-1"/>
                <w:sz w:val="16"/>
              </w:rPr>
              <w:t>17,665.66</w:t>
            </w: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330" w:right="0"/>
              <w:jc w:val="left"/>
              <w:rPr>
                <w:rFonts w:ascii="宋体" w:hAnsi="宋体" w:cs="宋体" w:eastAsia="宋体" w:hint="default"/>
                <w:sz w:val="16"/>
                <w:szCs w:val="16"/>
              </w:rPr>
            </w:pPr>
            <w:r>
              <w:rPr>
                <w:rFonts w:ascii="宋体" w:hAnsi="宋体" w:cs="宋体" w:eastAsia="宋体" w:hint="default"/>
                <w:sz w:val="16"/>
                <w:szCs w:val="16"/>
              </w:rPr>
              <w:t>划分为持有待售的资产</w:t>
            </w:r>
          </w:p>
        </w:tc>
        <w:tc>
          <w:tcPr>
            <w:tcW w:w="2717" w:type="dxa"/>
            <w:tcBorders>
              <w:top w:val="single" w:sz="4" w:space="0" w:color="000000"/>
              <w:left w:val="single" w:sz="9" w:space="0" w:color="D3D3D3"/>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9"/>
              <w:jc w:val="right"/>
              <w:rPr>
                <w:rFonts w:ascii="Times New Roman" w:hAnsi="Times New Roman" w:cs="Times New Roman" w:eastAsia="Times New Roman" w:hint="default"/>
                <w:sz w:val="16"/>
                <w:szCs w:val="16"/>
              </w:rPr>
            </w:pPr>
            <w:r>
              <w:rPr>
                <w:rFonts w:ascii="Times New Roman"/>
                <w:spacing w:val="-1"/>
                <w:sz w:val="16"/>
              </w:rPr>
              <w:t>28,439,096.03</w:t>
            </w: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330" w:right="0"/>
              <w:jc w:val="left"/>
              <w:rPr>
                <w:rFonts w:ascii="宋体" w:hAnsi="宋体" w:cs="宋体" w:eastAsia="宋体" w:hint="default"/>
                <w:sz w:val="16"/>
                <w:szCs w:val="16"/>
              </w:rPr>
            </w:pPr>
            <w:r>
              <w:rPr>
                <w:rFonts w:ascii="宋体" w:hAnsi="宋体" w:cs="宋体" w:eastAsia="宋体" w:hint="default"/>
                <w:sz w:val="16"/>
                <w:szCs w:val="16"/>
              </w:rPr>
              <w:t>一年内到期的非流动资产</w:t>
            </w:r>
          </w:p>
        </w:tc>
        <w:tc>
          <w:tcPr>
            <w:tcW w:w="2717" w:type="dxa"/>
            <w:tcBorders>
              <w:top w:val="single" w:sz="4" w:space="0" w:color="000000"/>
              <w:left w:val="single" w:sz="9" w:space="0" w:color="D3D3D3"/>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1"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8" w:lineRule="exact"/>
              <w:ind w:left="330" w:right="0"/>
              <w:jc w:val="left"/>
              <w:rPr>
                <w:rFonts w:ascii="宋体" w:hAnsi="宋体" w:cs="宋体" w:eastAsia="宋体" w:hint="default"/>
                <w:sz w:val="16"/>
                <w:szCs w:val="16"/>
              </w:rPr>
            </w:pPr>
            <w:r>
              <w:rPr>
                <w:rFonts w:ascii="宋体" w:hAnsi="宋体" w:cs="宋体" w:eastAsia="宋体" w:hint="default"/>
                <w:sz w:val="16"/>
                <w:szCs w:val="16"/>
              </w:rPr>
              <w:t>其他流动资产</w:t>
            </w:r>
          </w:p>
        </w:tc>
        <w:tc>
          <w:tcPr>
            <w:tcW w:w="2717" w:type="dxa"/>
            <w:tcBorders>
              <w:top w:val="single" w:sz="4" w:space="0" w:color="000000"/>
              <w:left w:val="single" w:sz="9" w:space="0" w:color="D3D3D3"/>
              <w:bottom w:val="single" w:sz="4" w:space="0" w:color="000000"/>
              <w:right w:val="single" w:sz="4" w:space="0" w:color="000000"/>
            </w:tcBorders>
          </w:tcPr>
          <w:p>
            <w:pPr>
              <w:pStyle w:val="TableParagraph"/>
              <w:spacing w:line="180" w:lineRule="exact"/>
              <w:ind w:right="20"/>
              <w:jc w:val="right"/>
              <w:rPr>
                <w:rFonts w:ascii="Times New Roman" w:hAnsi="Times New Roman" w:cs="Times New Roman" w:eastAsia="Times New Roman" w:hint="default"/>
                <w:sz w:val="16"/>
                <w:szCs w:val="16"/>
              </w:rPr>
            </w:pPr>
            <w:r>
              <w:rPr>
                <w:rFonts w:ascii="Times New Roman"/>
                <w:spacing w:val="-1"/>
                <w:sz w:val="16"/>
              </w:rPr>
              <w:t>1,306,072.60</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ind w:right="19"/>
              <w:jc w:val="right"/>
              <w:rPr>
                <w:rFonts w:ascii="Times New Roman" w:hAnsi="Times New Roman" w:cs="Times New Roman" w:eastAsia="Times New Roman" w:hint="default"/>
                <w:sz w:val="16"/>
                <w:szCs w:val="16"/>
              </w:rPr>
            </w:pPr>
            <w:r>
              <w:rPr>
                <w:rFonts w:ascii="Times New Roman"/>
                <w:spacing w:val="-1"/>
                <w:sz w:val="16"/>
              </w:rPr>
              <w:t>872,454.58</w:t>
            </w: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11" w:right="0"/>
              <w:jc w:val="left"/>
              <w:rPr>
                <w:rFonts w:ascii="宋体" w:hAnsi="宋体" w:cs="宋体" w:eastAsia="宋体" w:hint="default"/>
                <w:sz w:val="16"/>
                <w:szCs w:val="16"/>
              </w:rPr>
            </w:pPr>
            <w:r>
              <w:rPr>
                <w:rFonts w:ascii="宋体" w:hAnsi="宋体" w:cs="宋体" w:eastAsia="宋体" w:hint="default"/>
                <w:sz w:val="16"/>
                <w:szCs w:val="16"/>
              </w:rPr>
              <w:t>流动资产合计</w:t>
            </w:r>
          </w:p>
        </w:tc>
        <w:tc>
          <w:tcPr>
            <w:tcW w:w="2717" w:type="dxa"/>
            <w:tcBorders>
              <w:top w:val="single" w:sz="4" w:space="0" w:color="000000"/>
              <w:left w:val="single" w:sz="9" w:space="0" w:color="D3D3D3"/>
              <w:bottom w:val="single" w:sz="4" w:space="0" w:color="000000"/>
              <w:right w:val="single" w:sz="4" w:space="0" w:color="000000"/>
            </w:tcBorders>
          </w:tcPr>
          <w:p>
            <w:pPr>
              <w:pStyle w:val="TableParagraph"/>
              <w:spacing w:line="179" w:lineRule="exact"/>
              <w:ind w:right="21"/>
              <w:jc w:val="right"/>
              <w:rPr>
                <w:rFonts w:ascii="Times New Roman" w:hAnsi="Times New Roman" w:cs="Times New Roman" w:eastAsia="Times New Roman" w:hint="default"/>
                <w:sz w:val="16"/>
                <w:szCs w:val="16"/>
              </w:rPr>
            </w:pPr>
            <w:r>
              <w:rPr>
                <w:rFonts w:ascii="Times New Roman"/>
                <w:spacing w:val="-1"/>
                <w:sz w:val="16"/>
              </w:rPr>
              <w:t>260,513,190.67</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0"/>
              <w:jc w:val="right"/>
              <w:rPr>
                <w:rFonts w:ascii="Times New Roman" w:hAnsi="Times New Roman" w:cs="Times New Roman" w:eastAsia="Times New Roman" w:hint="default"/>
                <w:sz w:val="16"/>
                <w:szCs w:val="16"/>
              </w:rPr>
            </w:pPr>
            <w:r>
              <w:rPr>
                <w:rFonts w:ascii="Times New Roman"/>
                <w:spacing w:val="-1"/>
                <w:sz w:val="16"/>
              </w:rPr>
              <w:t>398,094,549.63</w:t>
            </w: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11" w:right="0"/>
              <w:jc w:val="left"/>
              <w:rPr>
                <w:rFonts w:ascii="宋体" w:hAnsi="宋体" w:cs="宋体" w:eastAsia="宋体" w:hint="default"/>
                <w:sz w:val="16"/>
                <w:szCs w:val="16"/>
              </w:rPr>
            </w:pPr>
            <w:r>
              <w:rPr>
                <w:rFonts w:ascii="宋体" w:hAnsi="宋体" w:cs="宋体" w:eastAsia="宋体" w:hint="default"/>
                <w:sz w:val="16"/>
                <w:szCs w:val="16"/>
              </w:rPr>
              <w:t>非流动资产：</w:t>
            </w:r>
          </w:p>
        </w:tc>
        <w:tc>
          <w:tcPr>
            <w:tcW w:w="27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1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91"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8" w:lineRule="exact"/>
              <w:ind w:left="330" w:right="0"/>
              <w:jc w:val="left"/>
              <w:rPr>
                <w:rFonts w:ascii="宋体" w:hAnsi="宋体" w:cs="宋体" w:eastAsia="宋体" w:hint="default"/>
                <w:sz w:val="16"/>
                <w:szCs w:val="16"/>
              </w:rPr>
            </w:pPr>
            <w:r>
              <w:rPr>
                <w:rFonts w:ascii="宋体" w:hAnsi="宋体" w:cs="宋体" w:eastAsia="宋体" w:hint="default"/>
                <w:sz w:val="16"/>
                <w:szCs w:val="16"/>
              </w:rPr>
              <w:t>可供出售金融资产</w:t>
            </w:r>
          </w:p>
        </w:tc>
        <w:tc>
          <w:tcPr>
            <w:tcW w:w="2717" w:type="dxa"/>
            <w:tcBorders>
              <w:top w:val="single" w:sz="4" w:space="0" w:color="000000"/>
              <w:left w:val="single" w:sz="9" w:space="0" w:color="D3D3D3"/>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330" w:right="0"/>
              <w:jc w:val="left"/>
              <w:rPr>
                <w:rFonts w:ascii="宋体" w:hAnsi="宋体" w:cs="宋体" w:eastAsia="宋体" w:hint="default"/>
                <w:sz w:val="16"/>
                <w:szCs w:val="16"/>
              </w:rPr>
            </w:pPr>
            <w:r>
              <w:rPr>
                <w:rFonts w:ascii="宋体" w:hAnsi="宋体" w:cs="宋体" w:eastAsia="宋体" w:hint="default"/>
                <w:sz w:val="16"/>
                <w:szCs w:val="16"/>
              </w:rPr>
              <w:t>持有至到期投资</w:t>
            </w:r>
          </w:p>
        </w:tc>
        <w:tc>
          <w:tcPr>
            <w:tcW w:w="2717" w:type="dxa"/>
            <w:tcBorders>
              <w:top w:val="single" w:sz="4" w:space="0" w:color="000000"/>
              <w:left w:val="single" w:sz="9" w:space="0" w:color="D3D3D3"/>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330" w:right="0"/>
              <w:jc w:val="left"/>
              <w:rPr>
                <w:rFonts w:ascii="宋体" w:hAnsi="宋体" w:cs="宋体" w:eastAsia="宋体" w:hint="default"/>
                <w:sz w:val="16"/>
                <w:szCs w:val="16"/>
              </w:rPr>
            </w:pPr>
            <w:r>
              <w:rPr>
                <w:rFonts w:ascii="宋体" w:hAnsi="宋体" w:cs="宋体" w:eastAsia="宋体" w:hint="default"/>
                <w:sz w:val="16"/>
                <w:szCs w:val="16"/>
              </w:rPr>
              <w:t>长期应收款</w:t>
            </w:r>
          </w:p>
        </w:tc>
        <w:tc>
          <w:tcPr>
            <w:tcW w:w="2717" w:type="dxa"/>
            <w:tcBorders>
              <w:top w:val="single" w:sz="4" w:space="0" w:color="000000"/>
              <w:left w:val="single" w:sz="9" w:space="0" w:color="D3D3D3"/>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1"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8" w:lineRule="exact"/>
              <w:ind w:left="330" w:right="0"/>
              <w:jc w:val="left"/>
              <w:rPr>
                <w:rFonts w:ascii="宋体" w:hAnsi="宋体" w:cs="宋体" w:eastAsia="宋体" w:hint="default"/>
                <w:sz w:val="16"/>
                <w:szCs w:val="16"/>
              </w:rPr>
            </w:pPr>
            <w:r>
              <w:rPr>
                <w:rFonts w:ascii="宋体" w:hAnsi="宋体" w:cs="宋体" w:eastAsia="宋体" w:hint="default"/>
                <w:sz w:val="16"/>
                <w:szCs w:val="16"/>
              </w:rPr>
              <w:t>长期股权投资</w:t>
            </w:r>
          </w:p>
        </w:tc>
        <w:tc>
          <w:tcPr>
            <w:tcW w:w="2717" w:type="dxa"/>
            <w:tcBorders>
              <w:top w:val="single" w:sz="4" w:space="0" w:color="000000"/>
              <w:left w:val="single" w:sz="9" w:space="0" w:color="D3D3D3"/>
              <w:bottom w:val="single" w:sz="4" w:space="0" w:color="000000"/>
              <w:right w:val="single" w:sz="4" w:space="0" w:color="000000"/>
            </w:tcBorders>
          </w:tcPr>
          <w:p>
            <w:pPr>
              <w:pStyle w:val="TableParagraph"/>
              <w:spacing w:line="180" w:lineRule="exact"/>
              <w:ind w:right="21"/>
              <w:jc w:val="right"/>
              <w:rPr>
                <w:rFonts w:ascii="Times New Roman" w:hAnsi="Times New Roman" w:cs="Times New Roman" w:eastAsia="Times New Roman" w:hint="default"/>
                <w:sz w:val="16"/>
                <w:szCs w:val="16"/>
              </w:rPr>
            </w:pPr>
            <w:r>
              <w:rPr>
                <w:rFonts w:ascii="Times New Roman"/>
                <w:spacing w:val="-1"/>
                <w:sz w:val="16"/>
              </w:rPr>
              <w:t>2,351,667,254.37</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ind w:right="20"/>
              <w:jc w:val="right"/>
              <w:rPr>
                <w:rFonts w:ascii="Times New Roman" w:hAnsi="Times New Roman" w:cs="Times New Roman" w:eastAsia="Times New Roman" w:hint="default"/>
                <w:sz w:val="16"/>
                <w:szCs w:val="16"/>
              </w:rPr>
            </w:pPr>
            <w:r>
              <w:rPr>
                <w:rFonts w:ascii="Times New Roman"/>
                <w:spacing w:val="-1"/>
                <w:sz w:val="16"/>
              </w:rPr>
              <w:t>2,231,158,600.00</w:t>
            </w: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330" w:right="0"/>
              <w:jc w:val="left"/>
              <w:rPr>
                <w:rFonts w:ascii="宋体" w:hAnsi="宋体" w:cs="宋体" w:eastAsia="宋体" w:hint="default"/>
                <w:sz w:val="16"/>
                <w:szCs w:val="16"/>
              </w:rPr>
            </w:pPr>
            <w:r>
              <w:rPr>
                <w:rFonts w:ascii="宋体" w:hAnsi="宋体" w:cs="宋体" w:eastAsia="宋体" w:hint="default"/>
                <w:sz w:val="16"/>
                <w:szCs w:val="16"/>
              </w:rPr>
              <w:t>投资性房地产</w:t>
            </w:r>
          </w:p>
        </w:tc>
        <w:tc>
          <w:tcPr>
            <w:tcW w:w="2717" w:type="dxa"/>
            <w:tcBorders>
              <w:top w:val="single" w:sz="4" w:space="0" w:color="000000"/>
              <w:left w:val="single" w:sz="9" w:space="0" w:color="D3D3D3"/>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330" w:right="0"/>
              <w:jc w:val="left"/>
              <w:rPr>
                <w:rFonts w:ascii="宋体" w:hAnsi="宋体" w:cs="宋体" w:eastAsia="宋体" w:hint="default"/>
                <w:sz w:val="16"/>
                <w:szCs w:val="16"/>
              </w:rPr>
            </w:pPr>
            <w:r>
              <w:rPr>
                <w:rFonts w:ascii="宋体" w:hAnsi="宋体" w:cs="宋体" w:eastAsia="宋体" w:hint="default"/>
                <w:sz w:val="16"/>
                <w:szCs w:val="16"/>
              </w:rPr>
              <w:t>固定资产</w:t>
            </w:r>
          </w:p>
        </w:tc>
        <w:tc>
          <w:tcPr>
            <w:tcW w:w="2717" w:type="dxa"/>
            <w:tcBorders>
              <w:top w:val="single" w:sz="4" w:space="0" w:color="000000"/>
              <w:left w:val="single" w:sz="9" w:space="0" w:color="D3D3D3"/>
              <w:bottom w:val="single" w:sz="4" w:space="0" w:color="000000"/>
              <w:right w:val="single" w:sz="4" w:space="0" w:color="000000"/>
            </w:tcBorders>
          </w:tcPr>
          <w:p>
            <w:pPr>
              <w:pStyle w:val="TableParagraph"/>
              <w:spacing w:line="179" w:lineRule="exact"/>
              <w:ind w:right="20"/>
              <w:jc w:val="right"/>
              <w:rPr>
                <w:rFonts w:ascii="Times New Roman" w:hAnsi="Times New Roman" w:cs="Times New Roman" w:eastAsia="Times New Roman" w:hint="default"/>
                <w:sz w:val="16"/>
                <w:szCs w:val="16"/>
              </w:rPr>
            </w:pPr>
            <w:r>
              <w:rPr>
                <w:rFonts w:ascii="Times New Roman"/>
                <w:spacing w:val="-1"/>
                <w:sz w:val="16"/>
              </w:rPr>
              <w:t>607,497.05</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0"/>
              <w:jc w:val="right"/>
              <w:rPr>
                <w:rFonts w:ascii="Times New Roman" w:hAnsi="Times New Roman" w:cs="Times New Roman" w:eastAsia="Times New Roman" w:hint="default"/>
                <w:sz w:val="16"/>
                <w:szCs w:val="16"/>
              </w:rPr>
            </w:pPr>
            <w:r>
              <w:rPr>
                <w:rFonts w:ascii="Times New Roman"/>
                <w:spacing w:val="-1"/>
                <w:sz w:val="16"/>
              </w:rPr>
              <w:t>12,720.01</w:t>
            </w:r>
          </w:p>
        </w:tc>
      </w:tr>
      <w:tr>
        <w:trPr>
          <w:trHeight w:val="191"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8" w:lineRule="exact"/>
              <w:ind w:left="330" w:right="0"/>
              <w:jc w:val="left"/>
              <w:rPr>
                <w:rFonts w:ascii="宋体" w:hAnsi="宋体" w:cs="宋体" w:eastAsia="宋体" w:hint="default"/>
                <w:sz w:val="16"/>
                <w:szCs w:val="16"/>
              </w:rPr>
            </w:pPr>
            <w:r>
              <w:rPr>
                <w:rFonts w:ascii="宋体" w:hAnsi="宋体" w:cs="宋体" w:eastAsia="宋体" w:hint="default"/>
                <w:sz w:val="16"/>
                <w:szCs w:val="16"/>
              </w:rPr>
              <w:t>在建工程</w:t>
            </w:r>
          </w:p>
        </w:tc>
        <w:tc>
          <w:tcPr>
            <w:tcW w:w="2717" w:type="dxa"/>
            <w:tcBorders>
              <w:top w:val="single" w:sz="4" w:space="0" w:color="000000"/>
              <w:left w:val="single" w:sz="9" w:space="0" w:color="D3D3D3"/>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330" w:right="0"/>
              <w:jc w:val="left"/>
              <w:rPr>
                <w:rFonts w:ascii="宋体" w:hAnsi="宋体" w:cs="宋体" w:eastAsia="宋体" w:hint="default"/>
                <w:sz w:val="16"/>
                <w:szCs w:val="16"/>
              </w:rPr>
            </w:pPr>
            <w:r>
              <w:rPr>
                <w:rFonts w:ascii="宋体" w:hAnsi="宋体" w:cs="宋体" w:eastAsia="宋体" w:hint="default"/>
                <w:sz w:val="16"/>
                <w:szCs w:val="16"/>
              </w:rPr>
              <w:t>工程物资</w:t>
            </w:r>
          </w:p>
        </w:tc>
        <w:tc>
          <w:tcPr>
            <w:tcW w:w="2717" w:type="dxa"/>
            <w:tcBorders>
              <w:top w:val="single" w:sz="4" w:space="0" w:color="000000"/>
              <w:left w:val="single" w:sz="9" w:space="0" w:color="D3D3D3"/>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330" w:right="0"/>
              <w:jc w:val="left"/>
              <w:rPr>
                <w:rFonts w:ascii="宋体" w:hAnsi="宋体" w:cs="宋体" w:eastAsia="宋体" w:hint="default"/>
                <w:sz w:val="16"/>
                <w:szCs w:val="16"/>
              </w:rPr>
            </w:pPr>
            <w:r>
              <w:rPr>
                <w:rFonts w:ascii="宋体" w:hAnsi="宋体" w:cs="宋体" w:eastAsia="宋体" w:hint="default"/>
                <w:sz w:val="16"/>
                <w:szCs w:val="16"/>
              </w:rPr>
              <w:t>固定资产清理</w:t>
            </w:r>
          </w:p>
        </w:tc>
        <w:tc>
          <w:tcPr>
            <w:tcW w:w="2717" w:type="dxa"/>
            <w:tcBorders>
              <w:top w:val="single" w:sz="4" w:space="0" w:color="000000"/>
              <w:left w:val="single" w:sz="9" w:space="0" w:color="D3D3D3"/>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1"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8" w:lineRule="exact"/>
              <w:ind w:left="330" w:right="0"/>
              <w:jc w:val="left"/>
              <w:rPr>
                <w:rFonts w:ascii="宋体" w:hAnsi="宋体" w:cs="宋体" w:eastAsia="宋体" w:hint="default"/>
                <w:sz w:val="16"/>
                <w:szCs w:val="16"/>
              </w:rPr>
            </w:pPr>
            <w:r>
              <w:rPr>
                <w:rFonts w:ascii="宋体" w:hAnsi="宋体" w:cs="宋体" w:eastAsia="宋体" w:hint="default"/>
                <w:sz w:val="16"/>
                <w:szCs w:val="16"/>
              </w:rPr>
              <w:t>生产性生物资产</w:t>
            </w:r>
          </w:p>
        </w:tc>
        <w:tc>
          <w:tcPr>
            <w:tcW w:w="2717" w:type="dxa"/>
            <w:tcBorders>
              <w:top w:val="single" w:sz="4" w:space="0" w:color="000000"/>
              <w:left w:val="single" w:sz="9" w:space="0" w:color="D3D3D3"/>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330" w:right="0"/>
              <w:jc w:val="left"/>
              <w:rPr>
                <w:rFonts w:ascii="宋体" w:hAnsi="宋体" w:cs="宋体" w:eastAsia="宋体" w:hint="default"/>
                <w:sz w:val="16"/>
                <w:szCs w:val="16"/>
              </w:rPr>
            </w:pPr>
            <w:r>
              <w:rPr>
                <w:rFonts w:ascii="宋体" w:hAnsi="宋体" w:cs="宋体" w:eastAsia="宋体" w:hint="default"/>
                <w:sz w:val="16"/>
                <w:szCs w:val="16"/>
              </w:rPr>
              <w:t>油气资产</w:t>
            </w:r>
          </w:p>
        </w:tc>
        <w:tc>
          <w:tcPr>
            <w:tcW w:w="2717" w:type="dxa"/>
            <w:tcBorders>
              <w:top w:val="single" w:sz="4" w:space="0" w:color="000000"/>
              <w:left w:val="single" w:sz="9" w:space="0" w:color="D3D3D3"/>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330" w:right="0"/>
              <w:jc w:val="left"/>
              <w:rPr>
                <w:rFonts w:ascii="宋体" w:hAnsi="宋体" w:cs="宋体" w:eastAsia="宋体" w:hint="default"/>
                <w:sz w:val="16"/>
                <w:szCs w:val="16"/>
              </w:rPr>
            </w:pPr>
            <w:r>
              <w:rPr>
                <w:rFonts w:ascii="宋体" w:hAnsi="宋体" w:cs="宋体" w:eastAsia="宋体" w:hint="default"/>
                <w:sz w:val="16"/>
                <w:szCs w:val="16"/>
              </w:rPr>
              <w:t>无形资产</w:t>
            </w:r>
          </w:p>
        </w:tc>
        <w:tc>
          <w:tcPr>
            <w:tcW w:w="2717" w:type="dxa"/>
            <w:tcBorders>
              <w:top w:val="single" w:sz="4" w:space="0" w:color="000000"/>
              <w:left w:val="single" w:sz="9" w:space="0" w:color="D3D3D3"/>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1"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8" w:lineRule="exact"/>
              <w:ind w:left="330" w:right="0"/>
              <w:jc w:val="left"/>
              <w:rPr>
                <w:rFonts w:ascii="宋体" w:hAnsi="宋体" w:cs="宋体" w:eastAsia="宋体" w:hint="default"/>
                <w:sz w:val="16"/>
                <w:szCs w:val="16"/>
              </w:rPr>
            </w:pPr>
            <w:r>
              <w:rPr>
                <w:rFonts w:ascii="宋体" w:hAnsi="宋体" w:cs="宋体" w:eastAsia="宋体" w:hint="default"/>
                <w:sz w:val="16"/>
                <w:szCs w:val="16"/>
              </w:rPr>
              <w:t>开发支出</w:t>
            </w:r>
          </w:p>
        </w:tc>
        <w:tc>
          <w:tcPr>
            <w:tcW w:w="2717" w:type="dxa"/>
            <w:tcBorders>
              <w:top w:val="single" w:sz="4" w:space="0" w:color="000000"/>
              <w:left w:val="single" w:sz="9" w:space="0" w:color="D3D3D3"/>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330" w:right="0"/>
              <w:jc w:val="left"/>
              <w:rPr>
                <w:rFonts w:ascii="宋体" w:hAnsi="宋体" w:cs="宋体" w:eastAsia="宋体" w:hint="default"/>
                <w:sz w:val="16"/>
                <w:szCs w:val="16"/>
              </w:rPr>
            </w:pPr>
            <w:r>
              <w:rPr>
                <w:rFonts w:ascii="宋体" w:hAnsi="宋体" w:cs="宋体" w:eastAsia="宋体" w:hint="default"/>
                <w:sz w:val="16"/>
                <w:szCs w:val="16"/>
              </w:rPr>
              <w:t>商誉</w:t>
            </w:r>
          </w:p>
        </w:tc>
        <w:tc>
          <w:tcPr>
            <w:tcW w:w="2717" w:type="dxa"/>
            <w:tcBorders>
              <w:top w:val="single" w:sz="4" w:space="0" w:color="000000"/>
              <w:left w:val="single" w:sz="9" w:space="0" w:color="D3D3D3"/>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330" w:right="0"/>
              <w:jc w:val="left"/>
              <w:rPr>
                <w:rFonts w:ascii="宋体" w:hAnsi="宋体" w:cs="宋体" w:eastAsia="宋体" w:hint="default"/>
                <w:sz w:val="16"/>
                <w:szCs w:val="16"/>
              </w:rPr>
            </w:pPr>
            <w:r>
              <w:rPr>
                <w:rFonts w:ascii="宋体" w:hAnsi="宋体" w:cs="宋体" w:eastAsia="宋体" w:hint="default"/>
                <w:sz w:val="16"/>
                <w:szCs w:val="16"/>
              </w:rPr>
              <w:t>长期待摊费用</w:t>
            </w:r>
          </w:p>
        </w:tc>
        <w:tc>
          <w:tcPr>
            <w:tcW w:w="2717" w:type="dxa"/>
            <w:tcBorders>
              <w:top w:val="single" w:sz="4" w:space="0" w:color="000000"/>
              <w:left w:val="single" w:sz="9" w:space="0" w:color="D3D3D3"/>
              <w:bottom w:val="single" w:sz="4" w:space="0" w:color="000000"/>
              <w:right w:val="single" w:sz="4" w:space="0" w:color="000000"/>
            </w:tcBorders>
          </w:tcPr>
          <w:p>
            <w:pPr>
              <w:pStyle w:val="TableParagraph"/>
              <w:spacing w:line="179" w:lineRule="exact"/>
              <w:ind w:right="20"/>
              <w:jc w:val="right"/>
              <w:rPr>
                <w:rFonts w:ascii="Times New Roman" w:hAnsi="Times New Roman" w:cs="Times New Roman" w:eastAsia="Times New Roman" w:hint="default"/>
                <w:sz w:val="16"/>
                <w:szCs w:val="16"/>
              </w:rPr>
            </w:pPr>
            <w:r>
              <w:rPr>
                <w:rFonts w:ascii="Times New Roman"/>
                <w:spacing w:val="-1"/>
                <w:sz w:val="16"/>
              </w:rPr>
              <w:t>102,573.29</w:t>
            </w: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1"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8" w:lineRule="exact"/>
              <w:ind w:left="330" w:right="0"/>
              <w:jc w:val="left"/>
              <w:rPr>
                <w:rFonts w:ascii="宋体" w:hAnsi="宋体" w:cs="宋体" w:eastAsia="宋体" w:hint="default"/>
                <w:sz w:val="16"/>
                <w:szCs w:val="16"/>
              </w:rPr>
            </w:pPr>
            <w:r>
              <w:rPr>
                <w:rFonts w:ascii="宋体" w:hAnsi="宋体" w:cs="宋体" w:eastAsia="宋体" w:hint="default"/>
                <w:sz w:val="16"/>
                <w:szCs w:val="16"/>
              </w:rPr>
              <w:t>递延所得税资产</w:t>
            </w:r>
          </w:p>
        </w:tc>
        <w:tc>
          <w:tcPr>
            <w:tcW w:w="2717" w:type="dxa"/>
            <w:tcBorders>
              <w:top w:val="single" w:sz="4" w:space="0" w:color="000000"/>
              <w:left w:val="single" w:sz="9" w:space="0" w:color="D3D3D3"/>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330" w:right="0"/>
              <w:jc w:val="left"/>
              <w:rPr>
                <w:rFonts w:ascii="宋体" w:hAnsi="宋体" w:cs="宋体" w:eastAsia="宋体" w:hint="default"/>
                <w:sz w:val="16"/>
                <w:szCs w:val="16"/>
              </w:rPr>
            </w:pPr>
            <w:r>
              <w:rPr>
                <w:rFonts w:ascii="宋体" w:hAnsi="宋体" w:cs="宋体" w:eastAsia="宋体" w:hint="default"/>
                <w:sz w:val="16"/>
                <w:szCs w:val="16"/>
              </w:rPr>
              <w:t>其他非流动资产</w:t>
            </w:r>
          </w:p>
        </w:tc>
        <w:tc>
          <w:tcPr>
            <w:tcW w:w="2717" w:type="dxa"/>
            <w:tcBorders>
              <w:top w:val="single" w:sz="4" w:space="0" w:color="000000"/>
              <w:left w:val="single" w:sz="9" w:space="0" w:color="D3D3D3"/>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11" w:right="0"/>
              <w:jc w:val="left"/>
              <w:rPr>
                <w:rFonts w:ascii="宋体" w:hAnsi="宋体" w:cs="宋体" w:eastAsia="宋体" w:hint="default"/>
                <w:sz w:val="16"/>
                <w:szCs w:val="16"/>
              </w:rPr>
            </w:pPr>
            <w:r>
              <w:rPr>
                <w:rFonts w:ascii="宋体" w:hAnsi="宋体" w:cs="宋体" w:eastAsia="宋体" w:hint="default"/>
                <w:sz w:val="16"/>
                <w:szCs w:val="16"/>
              </w:rPr>
              <w:t>非流动资产合计</w:t>
            </w:r>
          </w:p>
        </w:tc>
        <w:tc>
          <w:tcPr>
            <w:tcW w:w="2717" w:type="dxa"/>
            <w:tcBorders>
              <w:top w:val="single" w:sz="4" w:space="0" w:color="000000"/>
              <w:left w:val="single" w:sz="9" w:space="0" w:color="D3D3D3"/>
              <w:bottom w:val="single" w:sz="4" w:space="0" w:color="000000"/>
              <w:right w:val="single" w:sz="4" w:space="0" w:color="000000"/>
            </w:tcBorders>
          </w:tcPr>
          <w:p>
            <w:pPr>
              <w:pStyle w:val="TableParagraph"/>
              <w:spacing w:line="179" w:lineRule="exact"/>
              <w:ind w:right="21"/>
              <w:jc w:val="right"/>
              <w:rPr>
                <w:rFonts w:ascii="Times New Roman" w:hAnsi="Times New Roman" w:cs="Times New Roman" w:eastAsia="Times New Roman" w:hint="default"/>
                <w:sz w:val="16"/>
                <w:szCs w:val="16"/>
              </w:rPr>
            </w:pPr>
            <w:r>
              <w:rPr>
                <w:rFonts w:ascii="Times New Roman"/>
                <w:spacing w:val="-1"/>
                <w:sz w:val="16"/>
              </w:rPr>
              <w:t>2,352,377,324.71</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0"/>
              <w:jc w:val="right"/>
              <w:rPr>
                <w:rFonts w:ascii="Times New Roman" w:hAnsi="Times New Roman" w:cs="Times New Roman" w:eastAsia="Times New Roman" w:hint="default"/>
                <w:sz w:val="16"/>
                <w:szCs w:val="16"/>
              </w:rPr>
            </w:pPr>
            <w:r>
              <w:rPr>
                <w:rFonts w:ascii="Times New Roman"/>
                <w:spacing w:val="-1"/>
                <w:sz w:val="16"/>
              </w:rPr>
              <w:t>2,231,171,320.01</w:t>
            </w:r>
          </w:p>
        </w:tc>
      </w:tr>
      <w:tr>
        <w:trPr>
          <w:trHeight w:val="191"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8" w:lineRule="exact"/>
              <w:ind w:left="11" w:right="0"/>
              <w:jc w:val="left"/>
              <w:rPr>
                <w:rFonts w:ascii="宋体" w:hAnsi="宋体" w:cs="宋体" w:eastAsia="宋体" w:hint="default"/>
                <w:sz w:val="16"/>
                <w:szCs w:val="16"/>
              </w:rPr>
            </w:pPr>
            <w:r>
              <w:rPr>
                <w:rFonts w:ascii="宋体" w:hAnsi="宋体" w:cs="宋体" w:eastAsia="宋体" w:hint="default"/>
                <w:sz w:val="16"/>
                <w:szCs w:val="16"/>
              </w:rPr>
              <w:t>资产总计</w:t>
            </w:r>
          </w:p>
        </w:tc>
        <w:tc>
          <w:tcPr>
            <w:tcW w:w="2717" w:type="dxa"/>
            <w:tcBorders>
              <w:top w:val="single" w:sz="4" w:space="0" w:color="000000"/>
              <w:left w:val="single" w:sz="9" w:space="0" w:color="D3D3D3"/>
              <w:bottom w:val="single" w:sz="4" w:space="0" w:color="000000"/>
              <w:right w:val="single" w:sz="4" w:space="0" w:color="000000"/>
            </w:tcBorders>
          </w:tcPr>
          <w:p>
            <w:pPr>
              <w:pStyle w:val="TableParagraph"/>
              <w:spacing w:line="180" w:lineRule="exact"/>
              <w:ind w:right="21"/>
              <w:jc w:val="right"/>
              <w:rPr>
                <w:rFonts w:ascii="Times New Roman" w:hAnsi="Times New Roman" w:cs="Times New Roman" w:eastAsia="Times New Roman" w:hint="default"/>
                <w:sz w:val="16"/>
                <w:szCs w:val="16"/>
              </w:rPr>
            </w:pPr>
            <w:r>
              <w:rPr>
                <w:rFonts w:ascii="Times New Roman"/>
                <w:spacing w:val="-1"/>
                <w:sz w:val="16"/>
              </w:rPr>
              <w:t>2,612,890,515.38</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ind w:right="20"/>
              <w:jc w:val="right"/>
              <w:rPr>
                <w:rFonts w:ascii="Times New Roman" w:hAnsi="Times New Roman" w:cs="Times New Roman" w:eastAsia="Times New Roman" w:hint="default"/>
                <w:sz w:val="16"/>
                <w:szCs w:val="16"/>
              </w:rPr>
            </w:pPr>
            <w:r>
              <w:rPr>
                <w:rFonts w:ascii="Times New Roman"/>
                <w:spacing w:val="-1"/>
                <w:sz w:val="16"/>
              </w:rPr>
              <w:t>2,629,265,869.64</w:t>
            </w: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11" w:right="0"/>
              <w:jc w:val="left"/>
              <w:rPr>
                <w:rFonts w:ascii="宋体" w:hAnsi="宋体" w:cs="宋体" w:eastAsia="宋体" w:hint="default"/>
                <w:sz w:val="16"/>
                <w:szCs w:val="16"/>
              </w:rPr>
            </w:pPr>
            <w:r>
              <w:rPr>
                <w:rFonts w:ascii="宋体" w:hAnsi="宋体" w:cs="宋体" w:eastAsia="宋体" w:hint="default"/>
                <w:sz w:val="16"/>
                <w:szCs w:val="16"/>
              </w:rPr>
              <w:t>流动负债：</w:t>
            </w:r>
          </w:p>
        </w:tc>
        <w:tc>
          <w:tcPr>
            <w:tcW w:w="27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1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330" w:right="0"/>
              <w:jc w:val="left"/>
              <w:rPr>
                <w:rFonts w:ascii="宋体" w:hAnsi="宋体" w:cs="宋体" w:eastAsia="宋体" w:hint="default"/>
                <w:sz w:val="16"/>
                <w:szCs w:val="16"/>
              </w:rPr>
            </w:pPr>
            <w:r>
              <w:rPr>
                <w:rFonts w:ascii="宋体" w:hAnsi="宋体" w:cs="宋体" w:eastAsia="宋体" w:hint="default"/>
                <w:sz w:val="16"/>
                <w:szCs w:val="16"/>
              </w:rPr>
              <w:t>短期借款</w:t>
            </w:r>
          </w:p>
        </w:tc>
        <w:tc>
          <w:tcPr>
            <w:tcW w:w="2717" w:type="dxa"/>
            <w:tcBorders>
              <w:top w:val="single" w:sz="4" w:space="0" w:color="000000"/>
              <w:left w:val="single" w:sz="9" w:space="0" w:color="D3D3D3"/>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1"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8" w:lineRule="exact"/>
              <w:ind w:right="688"/>
              <w:jc w:val="right"/>
              <w:rPr>
                <w:rFonts w:ascii="宋体" w:hAnsi="宋体" w:cs="宋体" w:eastAsia="宋体" w:hint="default"/>
                <w:sz w:val="16"/>
                <w:szCs w:val="16"/>
              </w:rPr>
            </w:pPr>
            <w:r>
              <w:rPr>
                <w:rFonts w:ascii="宋体" w:hAnsi="宋体" w:cs="宋体" w:eastAsia="宋体" w:hint="default"/>
                <w:w w:val="95"/>
                <w:sz w:val="16"/>
                <w:szCs w:val="16"/>
              </w:rPr>
              <w:t>以公允价值计量且其变动计入当期损益的金融负债</w:t>
            </w:r>
            <w:r>
              <w:rPr>
                <w:rFonts w:ascii="宋体" w:hAnsi="宋体" w:cs="宋体" w:eastAsia="宋体" w:hint="default"/>
                <w:sz w:val="16"/>
                <w:szCs w:val="16"/>
              </w:rPr>
            </w:r>
          </w:p>
        </w:tc>
        <w:tc>
          <w:tcPr>
            <w:tcW w:w="2717" w:type="dxa"/>
            <w:tcBorders>
              <w:top w:val="single" w:sz="4" w:space="0" w:color="000000"/>
              <w:left w:val="single" w:sz="9" w:space="0" w:color="D3D3D3"/>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330" w:right="0"/>
              <w:jc w:val="left"/>
              <w:rPr>
                <w:rFonts w:ascii="宋体" w:hAnsi="宋体" w:cs="宋体" w:eastAsia="宋体" w:hint="default"/>
                <w:sz w:val="16"/>
                <w:szCs w:val="16"/>
              </w:rPr>
            </w:pPr>
            <w:r>
              <w:rPr>
                <w:rFonts w:ascii="宋体" w:hAnsi="宋体" w:cs="宋体" w:eastAsia="宋体" w:hint="default"/>
                <w:sz w:val="16"/>
                <w:szCs w:val="16"/>
              </w:rPr>
              <w:t>衍生金融负债</w:t>
            </w:r>
          </w:p>
        </w:tc>
        <w:tc>
          <w:tcPr>
            <w:tcW w:w="2717" w:type="dxa"/>
            <w:tcBorders>
              <w:top w:val="single" w:sz="4" w:space="0" w:color="000000"/>
              <w:left w:val="single" w:sz="9" w:space="0" w:color="D3D3D3"/>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330" w:right="0"/>
              <w:jc w:val="left"/>
              <w:rPr>
                <w:rFonts w:ascii="宋体" w:hAnsi="宋体" w:cs="宋体" w:eastAsia="宋体" w:hint="default"/>
                <w:sz w:val="16"/>
                <w:szCs w:val="16"/>
              </w:rPr>
            </w:pPr>
            <w:r>
              <w:rPr>
                <w:rFonts w:ascii="宋体" w:hAnsi="宋体" w:cs="宋体" w:eastAsia="宋体" w:hint="default"/>
                <w:sz w:val="16"/>
                <w:szCs w:val="16"/>
              </w:rPr>
              <w:t>应付票据</w:t>
            </w:r>
          </w:p>
        </w:tc>
        <w:tc>
          <w:tcPr>
            <w:tcW w:w="2717" w:type="dxa"/>
            <w:tcBorders>
              <w:top w:val="single" w:sz="4" w:space="0" w:color="000000"/>
              <w:left w:val="single" w:sz="9" w:space="0" w:color="D3D3D3"/>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1"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8" w:lineRule="exact"/>
              <w:ind w:left="330" w:right="0"/>
              <w:jc w:val="left"/>
              <w:rPr>
                <w:rFonts w:ascii="宋体" w:hAnsi="宋体" w:cs="宋体" w:eastAsia="宋体" w:hint="default"/>
                <w:sz w:val="16"/>
                <w:szCs w:val="16"/>
              </w:rPr>
            </w:pPr>
            <w:r>
              <w:rPr>
                <w:rFonts w:ascii="宋体" w:hAnsi="宋体" w:cs="宋体" w:eastAsia="宋体" w:hint="default"/>
                <w:sz w:val="16"/>
                <w:szCs w:val="16"/>
              </w:rPr>
              <w:t>应付账款</w:t>
            </w:r>
          </w:p>
        </w:tc>
        <w:tc>
          <w:tcPr>
            <w:tcW w:w="2717" w:type="dxa"/>
            <w:tcBorders>
              <w:top w:val="single" w:sz="4" w:space="0" w:color="000000"/>
              <w:left w:val="single" w:sz="9" w:space="0" w:color="D3D3D3"/>
              <w:bottom w:val="single" w:sz="4" w:space="0" w:color="000000"/>
              <w:right w:val="single" w:sz="4" w:space="0" w:color="000000"/>
            </w:tcBorders>
          </w:tcPr>
          <w:p>
            <w:pPr>
              <w:pStyle w:val="TableParagraph"/>
              <w:spacing w:line="180" w:lineRule="exact"/>
              <w:ind w:right="20"/>
              <w:jc w:val="right"/>
              <w:rPr>
                <w:rFonts w:ascii="Times New Roman" w:hAnsi="Times New Roman" w:cs="Times New Roman" w:eastAsia="Times New Roman" w:hint="default"/>
                <w:sz w:val="16"/>
                <w:szCs w:val="16"/>
              </w:rPr>
            </w:pPr>
            <w:r>
              <w:rPr>
                <w:rFonts w:ascii="Times New Roman"/>
                <w:spacing w:val="-1"/>
                <w:sz w:val="16"/>
              </w:rPr>
              <w:t>3,500.00</w:t>
            </w: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330" w:right="0"/>
              <w:jc w:val="left"/>
              <w:rPr>
                <w:rFonts w:ascii="宋体" w:hAnsi="宋体" w:cs="宋体" w:eastAsia="宋体" w:hint="default"/>
                <w:sz w:val="16"/>
                <w:szCs w:val="16"/>
              </w:rPr>
            </w:pPr>
            <w:r>
              <w:rPr>
                <w:rFonts w:ascii="宋体" w:hAnsi="宋体" w:cs="宋体" w:eastAsia="宋体" w:hint="default"/>
                <w:sz w:val="16"/>
                <w:szCs w:val="16"/>
              </w:rPr>
              <w:t>预收款项</w:t>
            </w:r>
          </w:p>
        </w:tc>
        <w:tc>
          <w:tcPr>
            <w:tcW w:w="2717" w:type="dxa"/>
            <w:tcBorders>
              <w:top w:val="single" w:sz="4" w:space="0" w:color="000000"/>
              <w:left w:val="single" w:sz="9" w:space="0" w:color="D3D3D3"/>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330" w:right="0"/>
              <w:jc w:val="left"/>
              <w:rPr>
                <w:rFonts w:ascii="宋体" w:hAnsi="宋体" w:cs="宋体" w:eastAsia="宋体" w:hint="default"/>
                <w:sz w:val="16"/>
                <w:szCs w:val="16"/>
              </w:rPr>
            </w:pPr>
            <w:r>
              <w:rPr>
                <w:rFonts w:ascii="宋体" w:hAnsi="宋体" w:cs="宋体" w:eastAsia="宋体" w:hint="default"/>
                <w:sz w:val="16"/>
                <w:szCs w:val="16"/>
              </w:rPr>
              <w:t>应付职工薪酬</w:t>
            </w:r>
          </w:p>
        </w:tc>
        <w:tc>
          <w:tcPr>
            <w:tcW w:w="2717" w:type="dxa"/>
            <w:tcBorders>
              <w:top w:val="single" w:sz="4" w:space="0" w:color="000000"/>
              <w:left w:val="single" w:sz="9" w:space="0" w:color="D3D3D3"/>
              <w:bottom w:val="single" w:sz="4" w:space="0" w:color="000000"/>
              <w:right w:val="single" w:sz="4" w:space="0" w:color="000000"/>
            </w:tcBorders>
          </w:tcPr>
          <w:p>
            <w:pPr>
              <w:pStyle w:val="TableParagraph"/>
              <w:spacing w:line="179" w:lineRule="exact"/>
              <w:ind w:right="20"/>
              <w:jc w:val="right"/>
              <w:rPr>
                <w:rFonts w:ascii="Times New Roman" w:hAnsi="Times New Roman" w:cs="Times New Roman" w:eastAsia="Times New Roman" w:hint="default"/>
                <w:sz w:val="16"/>
                <w:szCs w:val="16"/>
              </w:rPr>
            </w:pPr>
            <w:r>
              <w:rPr>
                <w:rFonts w:ascii="Times New Roman"/>
                <w:spacing w:val="-1"/>
                <w:sz w:val="16"/>
              </w:rPr>
              <w:t>475,255.62</w:t>
            </w: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1"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8" w:lineRule="exact"/>
              <w:ind w:left="330" w:right="0"/>
              <w:jc w:val="left"/>
              <w:rPr>
                <w:rFonts w:ascii="宋体" w:hAnsi="宋体" w:cs="宋体" w:eastAsia="宋体" w:hint="default"/>
                <w:sz w:val="16"/>
                <w:szCs w:val="16"/>
              </w:rPr>
            </w:pPr>
            <w:r>
              <w:rPr>
                <w:rFonts w:ascii="宋体" w:hAnsi="宋体" w:cs="宋体" w:eastAsia="宋体" w:hint="default"/>
                <w:sz w:val="16"/>
                <w:szCs w:val="16"/>
              </w:rPr>
              <w:t>应交税费</w:t>
            </w:r>
          </w:p>
        </w:tc>
        <w:tc>
          <w:tcPr>
            <w:tcW w:w="2717" w:type="dxa"/>
            <w:tcBorders>
              <w:top w:val="single" w:sz="4" w:space="0" w:color="000000"/>
              <w:left w:val="single" w:sz="9" w:space="0" w:color="D3D3D3"/>
              <w:bottom w:val="single" w:sz="4" w:space="0" w:color="000000"/>
              <w:right w:val="single" w:sz="4" w:space="0" w:color="000000"/>
            </w:tcBorders>
          </w:tcPr>
          <w:p>
            <w:pPr>
              <w:pStyle w:val="TableParagraph"/>
              <w:spacing w:line="180" w:lineRule="exact"/>
              <w:ind w:right="20"/>
              <w:jc w:val="right"/>
              <w:rPr>
                <w:rFonts w:ascii="Times New Roman" w:hAnsi="Times New Roman" w:cs="Times New Roman" w:eastAsia="Times New Roman" w:hint="default"/>
                <w:sz w:val="16"/>
                <w:szCs w:val="16"/>
              </w:rPr>
            </w:pPr>
            <w:r>
              <w:rPr>
                <w:rFonts w:ascii="Times New Roman"/>
                <w:spacing w:val="-1"/>
                <w:sz w:val="16"/>
              </w:rPr>
              <w:t>503,312.77</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ind w:right="19"/>
              <w:jc w:val="right"/>
              <w:rPr>
                <w:rFonts w:ascii="Times New Roman" w:hAnsi="Times New Roman" w:cs="Times New Roman" w:eastAsia="Times New Roman" w:hint="default"/>
                <w:sz w:val="16"/>
                <w:szCs w:val="16"/>
              </w:rPr>
            </w:pPr>
            <w:r>
              <w:rPr>
                <w:rFonts w:ascii="Times New Roman"/>
                <w:spacing w:val="-1"/>
                <w:sz w:val="16"/>
              </w:rPr>
              <w:t>50,445,057.61</w:t>
            </w: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330" w:right="0"/>
              <w:jc w:val="left"/>
              <w:rPr>
                <w:rFonts w:ascii="宋体" w:hAnsi="宋体" w:cs="宋体" w:eastAsia="宋体" w:hint="default"/>
                <w:sz w:val="16"/>
                <w:szCs w:val="16"/>
              </w:rPr>
            </w:pPr>
            <w:r>
              <w:rPr>
                <w:rFonts w:ascii="宋体" w:hAnsi="宋体" w:cs="宋体" w:eastAsia="宋体" w:hint="default"/>
                <w:sz w:val="16"/>
                <w:szCs w:val="16"/>
              </w:rPr>
              <w:t>应付利息</w:t>
            </w:r>
          </w:p>
        </w:tc>
        <w:tc>
          <w:tcPr>
            <w:tcW w:w="2717" w:type="dxa"/>
            <w:tcBorders>
              <w:top w:val="single" w:sz="4" w:space="0" w:color="000000"/>
              <w:left w:val="single" w:sz="9" w:space="0" w:color="D3D3D3"/>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330" w:right="0"/>
              <w:jc w:val="left"/>
              <w:rPr>
                <w:rFonts w:ascii="宋体" w:hAnsi="宋体" w:cs="宋体" w:eastAsia="宋体" w:hint="default"/>
                <w:sz w:val="16"/>
                <w:szCs w:val="16"/>
              </w:rPr>
            </w:pPr>
            <w:r>
              <w:rPr>
                <w:rFonts w:ascii="宋体" w:hAnsi="宋体" w:cs="宋体" w:eastAsia="宋体" w:hint="default"/>
                <w:sz w:val="16"/>
                <w:szCs w:val="16"/>
              </w:rPr>
              <w:t>应付股利</w:t>
            </w:r>
          </w:p>
        </w:tc>
        <w:tc>
          <w:tcPr>
            <w:tcW w:w="2717" w:type="dxa"/>
            <w:tcBorders>
              <w:top w:val="single" w:sz="4" w:space="0" w:color="000000"/>
              <w:left w:val="single" w:sz="9" w:space="0" w:color="D3D3D3"/>
              <w:bottom w:val="single" w:sz="4" w:space="0" w:color="000000"/>
              <w:right w:val="single" w:sz="4" w:space="0" w:color="000000"/>
            </w:tcBorders>
          </w:tcPr>
          <w:p>
            <w:pPr>
              <w:pStyle w:val="TableParagraph"/>
              <w:spacing w:line="179" w:lineRule="exact"/>
              <w:ind w:right="20"/>
              <w:jc w:val="right"/>
              <w:rPr>
                <w:rFonts w:ascii="Times New Roman" w:hAnsi="Times New Roman" w:cs="Times New Roman" w:eastAsia="Times New Roman" w:hint="default"/>
                <w:sz w:val="16"/>
                <w:szCs w:val="16"/>
              </w:rPr>
            </w:pPr>
            <w:r>
              <w:rPr>
                <w:rFonts w:ascii="Times New Roman"/>
                <w:spacing w:val="-1"/>
                <w:w w:val="95"/>
                <w:sz w:val="16"/>
              </w:rPr>
              <w:t>2,158,114.00</w:t>
            </w:r>
            <w:r>
              <w:rPr>
                <w:rFonts w:ascii="Times New Roman"/>
                <w:spacing w:val="-1"/>
                <w:sz w:val="16"/>
              </w:rPr>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9"/>
              <w:jc w:val="right"/>
              <w:rPr>
                <w:rFonts w:ascii="Times New Roman" w:hAnsi="Times New Roman" w:cs="Times New Roman" w:eastAsia="Times New Roman" w:hint="default"/>
                <w:sz w:val="16"/>
                <w:szCs w:val="16"/>
              </w:rPr>
            </w:pPr>
            <w:r>
              <w:rPr>
                <w:rFonts w:ascii="Times New Roman"/>
                <w:spacing w:val="-1"/>
                <w:w w:val="95"/>
                <w:sz w:val="16"/>
              </w:rPr>
              <w:t>2,158,114.00</w:t>
            </w:r>
            <w:r>
              <w:rPr>
                <w:rFonts w:ascii="Times New Roman"/>
                <w:spacing w:val="-1"/>
                <w:sz w:val="16"/>
              </w:rPr>
            </w:r>
          </w:p>
        </w:tc>
      </w:tr>
      <w:tr>
        <w:trPr>
          <w:trHeight w:val="191"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8" w:lineRule="exact"/>
              <w:ind w:left="330" w:right="0"/>
              <w:jc w:val="left"/>
              <w:rPr>
                <w:rFonts w:ascii="宋体" w:hAnsi="宋体" w:cs="宋体" w:eastAsia="宋体" w:hint="default"/>
                <w:sz w:val="16"/>
                <w:szCs w:val="16"/>
              </w:rPr>
            </w:pPr>
            <w:r>
              <w:rPr>
                <w:rFonts w:ascii="宋体" w:hAnsi="宋体" w:cs="宋体" w:eastAsia="宋体" w:hint="default"/>
                <w:sz w:val="16"/>
                <w:szCs w:val="16"/>
              </w:rPr>
              <w:t>其他应付款</w:t>
            </w:r>
          </w:p>
        </w:tc>
        <w:tc>
          <w:tcPr>
            <w:tcW w:w="2717" w:type="dxa"/>
            <w:tcBorders>
              <w:top w:val="single" w:sz="4" w:space="0" w:color="000000"/>
              <w:left w:val="single" w:sz="9" w:space="0" w:color="D3D3D3"/>
              <w:bottom w:val="single" w:sz="4" w:space="0" w:color="000000"/>
              <w:right w:val="single" w:sz="4" w:space="0" w:color="000000"/>
            </w:tcBorders>
          </w:tcPr>
          <w:p>
            <w:pPr>
              <w:pStyle w:val="TableParagraph"/>
              <w:spacing w:line="180" w:lineRule="exact"/>
              <w:ind w:right="20"/>
              <w:jc w:val="right"/>
              <w:rPr>
                <w:rFonts w:ascii="Times New Roman" w:hAnsi="Times New Roman" w:cs="Times New Roman" w:eastAsia="Times New Roman" w:hint="default"/>
                <w:sz w:val="16"/>
                <w:szCs w:val="16"/>
              </w:rPr>
            </w:pPr>
            <w:r>
              <w:rPr>
                <w:rFonts w:ascii="Times New Roman"/>
                <w:spacing w:val="-1"/>
                <w:sz w:val="16"/>
              </w:rPr>
              <w:t>49,846,982.93</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ind w:right="19"/>
              <w:jc w:val="right"/>
              <w:rPr>
                <w:rFonts w:ascii="Times New Roman" w:hAnsi="Times New Roman" w:cs="Times New Roman" w:eastAsia="Times New Roman" w:hint="default"/>
                <w:sz w:val="16"/>
                <w:szCs w:val="16"/>
              </w:rPr>
            </w:pPr>
            <w:r>
              <w:rPr>
                <w:rFonts w:ascii="Times New Roman"/>
                <w:spacing w:val="-1"/>
                <w:sz w:val="16"/>
              </w:rPr>
              <w:t>30,192,996.64</w:t>
            </w: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330" w:right="0"/>
              <w:jc w:val="left"/>
              <w:rPr>
                <w:rFonts w:ascii="宋体" w:hAnsi="宋体" w:cs="宋体" w:eastAsia="宋体" w:hint="default"/>
                <w:sz w:val="16"/>
                <w:szCs w:val="16"/>
              </w:rPr>
            </w:pPr>
            <w:r>
              <w:rPr>
                <w:rFonts w:ascii="宋体" w:hAnsi="宋体" w:cs="宋体" w:eastAsia="宋体" w:hint="default"/>
                <w:sz w:val="16"/>
                <w:szCs w:val="16"/>
              </w:rPr>
              <w:t>划分为持有待售的负债</w:t>
            </w:r>
          </w:p>
        </w:tc>
        <w:tc>
          <w:tcPr>
            <w:tcW w:w="2717" w:type="dxa"/>
            <w:tcBorders>
              <w:top w:val="single" w:sz="4" w:space="0" w:color="000000"/>
              <w:left w:val="single" w:sz="9" w:space="0" w:color="D3D3D3"/>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330" w:right="0"/>
              <w:jc w:val="left"/>
              <w:rPr>
                <w:rFonts w:ascii="宋体" w:hAnsi="宋体" w:cs="宋体" w:eastAsia="宋体" w:hint="default"/>
                <w:sz w:val="16"/>
                <w:szCs w:val="16"/>
              </w:rPr>
            </w:pPr>
            <w:r>
              <w:rPr>
                <w:rFonts w:ascii="宋体" w:hAnsi="宋体" w:cs="宋体" w:eastAsia="宋体" w:hint="default"/>
                <w:sz w:val="16"/>
                <w:szCs w:val="16"/>
              </w:rPr>
              <w:t>一年内到期的非流动负债</w:t>
            </w:r>
          </w:p>
        </w:tc>
        <w:tc>
          <w:tcPr>
            <w:tcW w:w="2717" w:type="dxa"/>
            <w:tcBorders>
              <w:top w:val="single" w:sz="4" w:space="0" w:color="000000"/>
              <w:left w:val="single" w:sz="9" w:space="0" w:color="D3D3D3"/>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1"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8" w:lineRule="exact"/>
              <w:ind w:left="330" w:right="0"/>
              <w:jc w:val="left"/>
              <w:rPr>
                <w:rFonts w:ascii="宋体" w:hAnsi="宋体" w:cs="宋体" w:eastAsia="宋体" w:hint="default"/>
                <w:sz w:val="16"/>
                <w:szCs w:val="16"/>
              </w:rPr>
            </w:pPr>
            <w:r>
              <w:rPr>
                <w:rFonts w:ascii="宋体" w:hAnsi="宋体" w:cs="宋体" w:eastAsia="宋体" w:hint="default"/>
                <w:sz w:val="16"/>
                <w:szCs w:val="16"/>
              </w:rPr>
              <w:t>其他流动负债</w:t>
            </w:r>
          </w:p>
        </w:tc>
        <w:tc>
          <w:tcPr>
            <w:tcW w:w="2717" w:type="dxa"/>
            <w:tcBorders>
              <w:top w:val="single" w:sz="4" w:space="0" w:color="000000"/>
              <w:left w:val="single" w:sz="9" w:space="0" w:color="D3D3D3"/>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11" w:right="0"/>
              <w:jc w:val="left"/>
              <w:rPr>
                <w:rFonts w:ascii="宋体" w:hAnsi="宋体" w:cs="宋体" w:eastAsia="宋体" w:hint="default"/>
                <w:sz w:val="16"/>
                <w:szCs w:val="16"/>
              </w:rPr>
            </w:pPr>
            <w:r>
              <w:rPr>
                <w:rFonts w:ascii="宋体" w:hAnsi="宋体" w:cs="宋体" w:eastAsia="宋体" w:hint="default"/>
                <w:sz w:val="16"/>
                <w:szCs w:val="16"/>
              </w:rPr>
              <w:t>流动负债合计</w:t>
            </w:r>
          </w:p>
        </w:tc>
        <w:tc>
          <w:tcPr>
            <w:tcW w:w="2717" w:type="dxa"/>
            <w:tcBorders>
              <w:top w:val="single" w:sz="4" w:space="0" w:color="000000"/>
              <w:left w:val="single" w:sz="9" w:space="0" w:color="D3D3D3"/>
              <w:bottom w:val="single" w:sz="4" w:space="0" w:color="000000"/>
              <w:right w:val="single" w:sz="4" w:space="0" w:color="000000"/>
            </w:tcBorders>
          </w:tcPr>
          <w:p>
            <w:pPr>
              <w:pStyle w:val="TableParagraph"/>
              <w:spacing w:line="179" w:lineRule="exact"/>
              <w:ind w:right="20"/>
              <w:jc w:val="right"/>
              <w:rPr>
                <w:rFonts w:ascii="Times New Roman" w:hAnsi="Times New Roman" w:cs="Times New Roman" w:eastAsia="Times New Roman" w:hint="default"/>
                <w:sz w:val="16"/>
                <w:szCs w:val="16"/>
              </w:rPr>
            </w:pPr>
            <w:r>
              <w:rPr>
                <w:rFonts w:ascii="Times New Roman"/>
                <w:spacing w:val="-1"/>
                <w:sz w:val="16"/>
              </w:rPr>
              <w:t>52,987,165.32</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9"/>
              <w:jc w:val="right"/>
              <w:rPr>
                <w:rFonts w:ascii="Times New Roman" w:hAnsi="Times New Roman" w:cs="Times New Roman" w:eastAsia="Times New Roman" w:hint="default"/>
                <w:sz w:val="16"/>
                <w:szCs w:val="16"/>
              </w:rPr>
            </w:pPr>
            <w:r>
              <w:rPr>
                <w:rFonts w:ascii="Times New Roman"/>
                <w:spacing w:val="-1"/>
                <w:sz w:val="16"/>
              </w:rPr>
              <w:t>82,796,168.25</w:t>
            </w: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11" w:right="0"/>
              <w:jc w:val="left"/>
              <w:rPr>
                <w:rFonts w:ascii="宋体" w:hAnsi="宋体" w:cs="宋体" w:eastAsia="宋体" w:hint="default"/>
                <w:sz w:val="16"/>
                <w:szCs w:val="16"/>
              </w:rPr>
            </w:pPr>
            <w:r>
              <w:rPr>
                <w:rFonts w:ascii="宋体" w:hAnsi="宋体" w:cs="宋体" w:eastAsia="宋体" w:hint="default"/>
                <w:sz w:val="16"/>
                <w:szCs w:val="16"/>
              </w:rPr>
              <w:t>非流动负债：</w:t>
            </w:r>
          </w:p>
        </w:tc>
        <w:tc>
          <w:tcPr>
            <w:tcW w:w="27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1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91"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8" w:lineRule="exact"/>
              <w:ind w:left="330" w:right="0"/>
              <w:jc w:val="left"/>
              <w:rPr>
                <w:rFonts w:ascii="宋体" w:hAnsi="宋体" w:cs="宋体" w:eastAsia="宋体" w:hint="default"/>
                <w:sz w:val="16"/>
                <w:szCs w:val="16"/>
              </w:rPr>
            </w:pPr>
            <w:r>
              <w:rPr>
                <w:rFonts w:ascii="宋体" w:hAnsi="宋体" w:cs="宋体" w:eastAsia="宋体" w:hint="default"/>
                <w:sz w:val="16"/>
                <w:szCs w:val="16"/>
              </w:rPr>
              <w:t>长期借款</w:t>
            </w:r>
          </w:p>
        </w:tc>
        <w:tc>
          <w:tcPr>
            <w:tcW w:w="2717" w:type="dxa"/>
            <w:tcBorders>
              <w:top w:val="single" w:sz="4" w:space="0" w:color="000000"/>
              <w:left w:val="single" w:sz="9" w:space="0" w:color="D3D3D3"/>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330" w:right="0"/>
              <w:jc w:val="left"/>
              <w:rPr>
                <w:rFonts w:ascii="宋体" w:hAnsi="宋体" w:cs="宋体" w:eastAsia="宋体" w:hint="default"/>
                <w:sz w:val="16"/>
                <w:szCs w:val="16"/>
              </w:rPr>
            </w:pPr>
            <w:r>
              <w:rPr>
                <w:rFonts w:ascii="宋体" w:hAnsi="宋体" w:cs="宋体" w:eastAsia="宋体" w:hint="default"/>
                <w:sz w:val="16"/>
                <w:szCs w:val="16"/>
              </w:rPr>
              <w:t>应付债券</w:t>
            </w:r>
          </w:p>
        </w:tc>
        <w:tc>
          <w:tcPr>
            <w:tcW w:w="2717" w:type="dxa"/>
            <w:tcBorders>
              <w:top w:val="single" w:sz="4" w:space="0" w:color="000000"/>
              <w:left w:val="single" w:sz="9" w:space="0" w:color="D3D3D3"/>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490" w:right="0"/>
              <w:jc w:val="left"/>
              <w:rPr>
                <w:rFonts w:ascii="宋体" w:hAnsi="宋体" w:cs="宋体" w:eastAsia="宋体" w:hint="default"/>
                <w:sz w:val="16"/>
                <w:szCs w:val="16"/>
              </w:rPr>
            </w:pPr>
            <w:r>
              <w:rPr>
                <w:rFonts w:ascii="宋体" w:hAnsi="宋体" w:cs="宋体" w:eastAsia="宋体" w:hint="default"/>
                <w:sz w:val="16"/>
                <w:szCs w:val="16"/>
              </w:rPr>
              <w:t>其中：优先股</w:t>
            </w:r>
          </w:p>
        </w:tc>
        <w:tc>
          <w:tcPr>
            <w:tcW w:w="2717" w:type="dxa"/>
            <w:tcBorders>
              <w:top w:val="single" w:sz="4" w:space="0" w:color="000000"/>
              <w:left w:val="single" w:sz="9" w:space="0" w:color="D3D3D3"/>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1"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8" w:lineRule="exact"/>
              <w:ind w:left="970" w:right="0"/>
              <w:jc w:val="left"/>
              <w:rPr>
                <w:rFonts w:ascii="宋体" w:hAnsi="宋体" w:cs="宋体" w:eastAsia="宋体" w:hint="default"/>
                <w:sz w:val="16"/>
                <w:szCs w:val="16"/>
              </w:rPr>
            </w:pPr>
            <w:r>
              <w:rPr>
                <w:rFonts w:ascii="宋体" w:hAnsi="宋体" w:cs="宋体" w:eastAsia="宋体" w:hint="default"/>
                <w:sz w:val="16"/>
                <w:szCs w:val="16"/>
              </w:rPr>
              <w:t>永续债</w:t>
            </w:r>
          </w:p>
        </w:tc>
        <w:tc>
          <w:tcPr>
            <w:tcW w:w="2717" w:type="dxa"/>
            <w:tcBorders>
              <w:top w:val="single" w:sz="4" w:space="0" w:color="000000"/>
              <w:left w:val="single" w:sz="9" w:space="0" w:color="D3D3D3"/>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330" w:right="0"/>
              <w:jc w:val="left"/>
              <w:rPr>
                <w:rFonts w:ascii="宋体" w:hAnsi="宋体" w:cs="宋体" w:eastAsia="宋体" w:hint="default"/>
                <w:sz w:val="16"/>
                <w:szCs w:val="16"/>
              </w:rPr>
            </w:pPr>
            <w:r>
              <w:rPr>
                <w:rFonts w:ascii="宋体" w:hAnsi="宋体" w:cs="宋体" w:eastAsia="宋体" w:hint="default"/>
                <w:sz w:val="16"/>
                <w:szCs w:val="16"/>
              </w:rPr>
              <w:t>长期应付款</w:t>
            </w:r>
          </w:p>
        </w:tc>
        <w:tc>
          <w:tcPr>
            <w:tcW w:w="2717" w:type="dxa"/>
            <w:tcBorders>
              <w:top w:val="single" w:sz="4" w:space="0" w:color="000000"/>
              <w:left w:val="single" w:sz="9" w:space="0" w:color="D3D3D3"/>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330" w:right="0"/>
              <w:jc w:val="left"/>
              <w:rPr>
                <w:rFonts w:ascii="宋体" w:hAnsi="宋体" w:cs="宋体" w:eastAsia="宋体" w:hint="default"/>
                <w:sz w:val="16"/>
                <w:szCs w:val="16"/>
              </w:rPr>
            </w:pPr>
            <w:r>
              <w:rPr>
                <w:rFonts w:ascii="宋体" w:hAnsi="宋体" w:cs="宋体" w:eastAsia="宋体" w:hint="default"/>
                <w:sz w:val="16"/>
                <w:szCs w:val="16"/>
              </w:rPr>
              <w:t>长期应付职工薪酬</w:t>
            </w:r>
          </w:p>
        </w:tc>
        <w:tc>
          <w:tcPr>
            <w:tcW w:w="2717" w:type="dxa"/>
            <w:tcBorders>
              <w:top w:val="single" w:sz="4" w:space="0" w:color="000000"/>
              <w:left w:val="single" w:sz="9" w:space="0" w:color="D3D3D3"/>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1"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8" w:lineRule="exact"/>
              <w:ind w:left="330" w:right="0"/>
              <w:jc w:val="left"/>
              <w:rPr>
                <w:rFonts w:ascii="宋体" w:hAnsi="宋体" w:cs="宋体" w:eastAsia="宋体" w:hint="default"/>
                <w:sz w:val="16"/>
                <w:szCs w:val="16"/>
              </w:rPr>
            </w:pPr>
            <w:r>
              <w:rPr>
                <w:rFonts w:ascii="宋体" w:hAnsi="宋体" w:cs="宋体" w:eastAsia="宋体" w:hint="default"/>
                <w:sz w:val="16"/>
                <w:szCs w:val="16"/>
              </w:rPr>
              <w:t>专项应付款</w:t>
            </w:r>
          </w:p>
        </w:tc>
        <w:tc>
          <w:tcPr>
            <w:tcW w:w="2717" w:type="dxa"/>
            <w:tcBorders>
              <w:top w:val="single" w:sz="4" w:space="0" w:color="000000"/>
              <w:left w:val="single" w:sz="9" w:space="0" w:color="D3D3D3"/>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330" w:right="0"/>
              <w:jc w:val="left"/>
              <w:rPr>
                <w:rFonts w:ascii="宋体" w:hAnsi="宋体" w:cs="宋体" w:eastAsia="宋体" w:hint="default"/>
                <w:sz w:val="16"/>
                <w:szCs w:val="16"/>
              </w:rPr>
            </w:pPr>
            <w:r>
              <w:rPr>
                <w:rFonts w:ascii="宋体" w:hAnsi="宋体" w:cs="宋体" w:eastAsia="宋体" w:hint="default"/>
                <w:sz w:val="16"/>
                <w:szCs w:val="16"/>
              </w:rPr>
              <w:t>预计负债</w:t>
            </w:r>
          </w:p>
        </w:tc>
        <w:tc>
          <w:tcPr>
            <w:tcW w:w="2717" w:type="dxa"/>
            <w:tcBorders>
              <w:top w:val="single" w:sz="4" w:space="0" w:color="000000"/>
              <w:left w:val="single" w:sz="9" w:space="0" w:color="D3D3D3"/>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330" w:right="0"/>
              <w:jc w:val="left"/>
              <w:rPr>
                <w:rFonts w:ascii="宋体" w:hAnsi="宋体" w:cs="宋体" w:eastAsia="宋体" w:hint="default"/>
                <w:sz w:val="16"/>
                <w:szCs w:val="16"/>
              </w:rPr>
            </w:pPr>
            <w:r>
              <w:rPr>
                <w:rFonts w:ascii="宋体" w:hAnsi="宋体" w:cs="宋体" w:eastAsia="宋体" w:hint="default"/>
                <w:sz w:val="16"/>
                <w:szCs w:val="16"/>
              </w:rPr>
              <w:t>递延收益</w:t>
            </w:r>
          </w:p>
        </w:tc>
        <w:tc>
          <w:tcPr>
            <w:tcW w:w="2717" w:type="dxa"/>
            <w:tcBorders>
              <w:top w:val="single" w:sz="4" w:space="0" w:color="000000"/>
              <w:left w:val="single" w:sz="9" w:space="0" w:color="D3D3D3"/>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1"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8" w:lineRule="exact"/>
              <w:ind w:left="330" w:right="0"/>
              <w:jc w:val="left"/>
              <w:rPr>
                <w:rFonts w:ascii="宋体" w:hAnsi="宋体" w:cs="宋体" w:eastAsia="宋体" w:hint="default"/>
                <w:sz w:val="16"/>
                <w:szCs w:val="16"/>
              </w:rPr>
            </w:pPr>
            <w:r>
              <w:rPr>
                <w:rFonts w:ascii="宋体" w:hAnsi="宋体" w:cs="宋体" w:eastAsia="宋体" w:hint="default"/>
                <w:sz w:val="16"/>
                <w:szCs w:val="16"/>
              </w:rPr>
              <w:t>递延所得税负债</w:t>
            </w:r>
          </w:p>
        </w:tc>
        <w:tc>
          <w:tcPr>
            <w:tcW w:w="2717" w:type="dxa"/>
            <w:tcBorders>
              <w:top w:val="single" w:sz="4" w:space="0" w:color="000000"/>
              <w:left w:val="single" w:sz="9" w:space="0" w:color="D3D3D3"/>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330" w:right="0"/>
              <w:jc w:val="left"/>
              <w:rPr>
                <w:rFonts w:ascii="宋体" w:hAnsi="宋体" w:cs="宋体" w:eastAsia="宋体" w:hint="default"/>
                <w:sz w:val="16"/>
                <w:szCs w:val="16"/>
              </w:rPr>
            </w:pPr>
            <w:r>
              <w:rPr>
                <w:rFonts w:ascii="宋体" w:hAnsi="宋体" w:cs="宋体" w:eastAsia="宋体" w:hint="default"/>
                <w:sz w:val="16"/>
                <w:szCs w:val="16"/>
              </w:rPr>
              <w:t>其他非流动负债</w:t>
            </w:r>
          </w:p>
        </w:tc>
        <w:tc>
          <w:tcPr>
            <w:tcW w:w="2717" w:type="dxa"/>
            <w:tcBorders>
              <w:top w:val="single" w:sz="4" w:space="0" w:color="000000"/>
              <w:left w:val="single" w:sz="9" w:space="0" w:color="D3D3D3"/>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11" w:right="0"/>
              <w:jc w:val="left"/>
              <w:rPr>
                <w:rFonts w:ascii="宋体" w:hAnsi="宋体" w:cs="宋体" w:eastAsia="宋体" w:hint="default"/>
                <w:sz w:val="16"/>
                <w:szCs w:val="16"/>
              </w:rPr>
            </w:pPr>
            <w:r>
              <w:rPr>
                <w:rFonts w:ascii="宋体" w:hAnsi="宋体" w:cs="宋体" w:eastAsia="宋体" w:hint="default"/>
                <w:sz w:val="16"/>
                <w:szCs w:val="16"/>
              </w:rPr>
              <w:t>非流动负债合计</w:t>
            </w:r>
          </w:p>
        </w:tc>
        <w:tc>
          <w:tcPr>
            <w:tcW w:w="2717" w:type="dxa"/>
            <w:tcBorders>
              <w:top w:val="single" w:sz="4" w:space="0" w:color="000000"/>
              <w:left w:val="single" w:sz="9" w:space="0" w:color="D3D3D3"/>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1"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8" w:lineRule="exact"/>
              <w:ind w:left="11" w:right="0"/>
              <w:jc w:val="left"/>
              <w:rPr>
                <w:rFonts w:ascii="宋体" w:hAnsi="宋体" w:cs="宋体" w:eastAsia="宋体" w:hint="default"/>
                <w:sz w:val="16"/>
                <w:szCs w:val="16"/>
              </w:rPr>
            </w:pPr>
            <w:r>
              <w:rPr>
                <w:rFonts w:ascii="宋体" w:hAnsi="宋体" w:cs="宋体" w:eastAsia="宋体" w:hint="default"/>
                <w:sz w:val="16"/>
                <w:szCs w:val="16"/>
              </w:rPr>
              <w:t>负债合计</w:t>
            </w:r>
          </w:p>
        </w:tc>
        <w:tc>
          <w:tcPr>
            <w:tcW w:w="2717" w:type="dxa"/>
            <w:tcBorders>
              <w:top w:val="single" w:sz="4" w:space="0" w:color="000000"/>
              <w:left w:val="single" w:sz="9" w:space="0" w:color="D3D3D3"/>
              <w:bottom w:val="single" w:sz="4" w:space="0" w:color="000000"/>
              <w:right w:val="single" w:sz="4" w:space="0" w:color="000000"/>
            </w:tcBorders>
          </w:tcPr>
          <w:p>
            <w:pPr>
              <w:pStyle w:val="TableParagraph"/>
              <w:spacing w:line="180" w:lineRule="exact"/>
              <w:ind w:right="20"/>
              <w:jc w:val="right"/>
              <w:rPr>
                <w:rFonts w:ascii="Times New Roman" w:hAnsi="Times New Roman" w:cs="Times New Roman" w:eastAsia="Times New Roman" w:hint="default"/>
                <w:sz w:val="16"/>
                <w:szCs w:val="16"/>
              </w:rPr>
            </w:pPr>
            <w:r>
              <w:rPr>
                <w:rFonts w:ascii="Times New Roman"/>
                <w:spacing w:val="-1"/>
                <w:sz w:val="16"/>
              </w:rPr>
              <w:t>52,987,165.32</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ind w:right="19"/>
              <w:jc w:val="right"/>
              <w:rPr>
                <w:rFonts w:ascii="Times New Roman" w:hAnsi="Times New Roman" w:cs="Times New Roman" w:eastAsia="Times New Roman" w:hint="default"/>
                <w:sz w:val="16"/>
                <w:szCs w:val="16"/>
              </w:rPr>
            </w:pPr>
            <w:r>
              <w:rPr>
                <w:rFonts w:ascii="Times New Roman"/>
                <w:spacing w:val="-1"/>
                <w:sz w:val="16"/>
              </w:rPr>
              <w:t>82,796,168.25</w:t>
            </w: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11" w:right="0"/>
              <w:jc w:val="left"/>
              <w:rPr>
                <w:rFonts w:ascii="宋体" w:hAnsi="宋体" w:cs="宋体" w:eastAsia="宋体" w:hint="default"/>
                <w:sz w:val="16"/>
                <w:szCs w:val="16"/>
              </w:rPr>
            </w:pPr>
            <w:r>
              <w:rPr>
                <w:rFonts w:ascii="宋体" w:hAnsi="宋体" w:cs="宋体" w:eastAsia="宋体" w:hint="default"/>
                <w:sz w:val="16"/>
                <w:szCs w:val="16"/>
              </w:rPr>
              <w:t>所有者权益：</w:t>
            </w:r>
          </w:p>
        </w:tc>
        <w:tc>
          <w:tcPr>
            <w:tcW w:w="27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1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330" w:right="0"/>
              <w:jc w:val="left"/>
              <w:rPr>
                <w:rFonts w:ascii="宋体" w:hAnsi="宋体" w:cs="宋体" w:eastAsia="宋体" w:hint="default"/>
                <w:sz w:val="16"/>
                <w:szCs w:val="16"/>
              </w:rPr>
            </w:pPr>
            <w:r>
              <w:rPr>
                <w:rFonts w:ascii="宋体" w:hAnsi="宋体" w:cs="宋体" w:eastAsia="宋体" w:hint="default"/>
                <w:sz w:val="16"/>
                <w:szCs w:val="16"/>
              </w:rPr>
              <w:t>股本</w:t>
            </w:r>
          </w:p>
        </w:tc>
        <w:tc>
          <w:tcPr>
            <w:tcW w:w="2717" w:type="dxa"/>
            <w:tcBorders>
              <w:top w:val="single" w:sz="4" w:space="0" w:color="000000"/>
              <w:left w:val="single" w:sz="9" w:space="0" w:color="D3D3D3"/>
              <w:bottom w:val="single" w:sz="4" w:space="0" w:color="000000"/>
              <w:right w:val="single" w:sz="4" w:space="0" w:color="000000"/>
            </w:tcBorders>
          </w:tcPr>
          <w:p>
            <w:pPr>
              <w:pStyle w:val="TableParagraph"/>
              <w:spacing w:line="179" w:lineRule="exact"/>
              <w:ind w:right="21"/>
              <w:jc w:val="right"/>
              <w:rPr>
                <w:rFonts w:ascii="Times New Roman" w:hAnsi="Times New Roman" w:cs="Times New Roman" w:eastAsia="Times New Roman" w:hint="default"/>
                <w:sz w:val="16"/>
                <w:szCs w:val="16"/>
              </w:rPr>
            </w:pPr>
            <w:r>
              <w:rPr>
                <w:rFonts w:ascii="Times New Roman"/>
                <w:spacing w:val="-1"/>
                <w:sz w:val="16"/>
              </w:rPr>
              <w:t>1,017,698,410.00</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0"/>
              <w:jc w:val="right"/>
              <w:rPr>
                <w:rFonts w:ascii="Times New Roman" w:hAnsi="Times New Roman" w:cs="Times New Roman" w:eastAsia="Times New Roman" w:hint="default"/>
                <w:sz w:val="16"/>
                <w:szCs w:val="16"/>
              </w:rPr>
            </w:pPr>
            <w:r>
              <w:rPr>
                <w:rFonts w:ascii="Times New Roman"/>
                <w:spacing w:val="-1"/>
                <w:sz w:val="16"/>
              </w:rPr>
              <w:t>1,017,698,410.00</w:t>
            </w:r>
          </w:p>
        </w:tc>
      </w:tr>
      <w:tr>
        <w:trPr>
          <w:trHeight w:val="191"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8" w:lineRule="exact"/>
              <w:ind w:left="330" w:right="0"/>
              <w:jc w:val="left"/>
              <w:rPr>
                <w:rFonts w:ascii="宋体" w:hAnsi="宋体" w:cs="宋体" w:eastAsia="宋体" w:hint="default"/>
                <w:sz w:val="16"/>
                <w:szCs w:val="16"/>
              </w:rPr>
            </w:pPr>
            <w:r>
              <w:rPr>
                <w:rFonts w:ascii="宋体" w:hAnsi="宋体" w:cs="宋体" w:eastAsia="宋体" w:hint="default"/>
                <w:sz w:val="16"/>
                <w:szCs w:val="16"/>
              </w:rPr>
              <w:t>其他权益工具</w:t>
            </w:r>
          </w:p>
        </w:tc>
        <w:tc>
          <w:tcPr>
            <w:tcW w:w="2717" w:type="dxa"/>
            <w:tcBorders>
              <w:top w:val="single" w:sz="4" w:space="0" w:color="000000"/>
              <w:left w:val="single" w:sz="9" w:space="0" w:color="D3D3D3"/>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490" w:right="0"/>
              <w:jc w:val="left"/>
              <w:rPr>
                <w:rFonts w:ascii="宋体" w:hAnsi="宋体" w:cs="宋体" w:eastAsia="宋体" w:hint="default"/>
                <w:sz w:val="16"/>
                <w:szCs w:val="16"/>
              </w:rPr>
            </w:pPr>
            <w:r>
              <w:rPr>
                <w:rFonts w:ascii="宋体" w:hAnsi="宋体" w:cs="宋体" w:eastAsia="宋体" w:hint="default"/>
                <w:sz w:val="16"/>
                <w:szCs w:val="16"/>
              </w:rPr>
              <w:t>其中：优先股</w:t>
            </w:r>
          </w:p>
        </w:tc>
        <w:tc>
          <w:tcPr>
            <w:tcW w:w="2717" w:type="dxa"/>
            <w:tcBorders>
              <w:top w:val="single" w:sz="4" w:space="0" w:color="000000"/>
              <w:left w:val="single" w:sz="9" w:space="0" w:color="D3D3D3"/>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970" w:right="0"/>
              <w:jc w:val="left"/>
              <w:rPr>
                <w:rFonts w:ascii="宋体" w:hAnsi="宋体" w:cs="宋体" w:eastAsia="宋体" w:hint="default"/>
                <w:sz w:val="16"/>
                <w:szCs w:val="16"/>
              </w:rPr>
            </w:pPr>
            <w:r>
              <w:rPr>
                <w:rFonts w:ascii="宋体" w:hAnsi="宋体" w:cs="宋体" w:eastAsia="宋体" w:hint="default"/>
                <w:sz w:val="16"/>
                <w:szCs w:val="16"/>
              </w:rPr>
              <w:t>永续债</w:t>
            </w:r>
          </w:p>
        </w:tc>
        <w:tc>
          <w:tcPr>
            <w:tcW w:w="2717" w:type="dxa"/>
            <w:tcBorders>
              <w:top w:val="single" w:sz="4" w:space="0" w:color="000000"/>
              <w:left w:val="single" w:sz="9" w:space="0" w:color="D3D3D3"/>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1"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8" w:lineRule="exact"/>
              <w:ind w:left="330" w:right="0"/>
              <w:jc w:val="left"/>
              <w:rPr>
                <w:rFonts w:ascii="宋体" w:hAnsi="宋体" w:cs="宋体" w:eastAsia="宋体" w:hint="default"/>
                <w:sz w:val="16"/>
                <w:szCs w:val="16"/>
              </w:rPr>
            </w:pPr>
            <w:r>
              <w:rPr>
                <w:rFonts w:ascii="宋体" w:hAnsi="宋体" w:cs="宋体" w:eastAsia="宋体" w:hint="default"/>
                <w:sz w:val="16"/>
                <w:szCs w:val="16"/>
              </w:rPr>
              <w:t>资本公积</w:t>
            </w:r>
          </w:p>
        </w:tc>
        <w:tc>
          <w:tcPr>
            <w:tcW w:w="2717" w:type="dxa"/>
            <w:tcBorders>
              <w:top w:val="single" w:sz="4" w:space="0" w:color="000000"/>
              <w:left w:val="single" w:sz="9" w:space="0" w:color="D3D3D3"/>
              <w:bottom w:val="single" w:sz="4" w:space="0" w:color="000000"/>
              <w:right w:val="single" w:sz="4" w:space="0" w:color="000000"/>
            </w:tcBorders>
          </w:tcPr>
          <w:p>
            <w:pPr>
              <w:pStyle w:val="TableParagraph"/>
              <w:spacing w:line="180" w:lineRule="exact"/>
              <w:ind w:right="21"/>
              <w:jc w:val="right"/>
              <w:rPr>
                <w:rFonts w:ascii="Times New Roman" w:hAnsi="Times New Roman" w:cs="Times New Roman" w:eastAsia="Times New Roman" w:hint="default"/>
                <w:sz w:val="16"/>
                <w:szCs w:val="16"/>
              </w:rPr>
            </w:pPr>
            <w:r>
              <w:rPr>
                <w:rFonts w:ascii="Times New Roman"/>
                <w:spacing w:val="-1"/>
                <w:sz w:val="16"/>
              </w:rPr>
              <w:t>1,809,704,919.76</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ind w:right="20"/>
              <w:jc w:val="right"/>
              <w:rPr>
                <w:rFonts w:ascii="Times New Roman" w:hAnsi="Times New Roman" w:cs="Times New Roman" w:eastAsia="Times New Roman" w:hint="default"/>
                <w:sz w:val="16"/>
                <w:szCs w:val="16"/>
              </w:rPr>
            </w:pPr>
            <w:r>
              <w:rPr>
                <w:rFonts w:ascii="Times New Roman"/>
                <w:spacing w:val="-1"/>
                <w:sz w:val="16"/>
              </w:rPr>
              <w:t>1,809,704,919.76</w:t>
            </w: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330" w:right="0"/>
              <w:jc w:val="left"/>
              <w:rPr>
                <w:rFonts w:ascii="宋体" w:hAnsi="宋体" w:cs="宋体" w:eastAsia="宋体" w:hint="default"/>
                <w:sz w:val="16"/>
                <w:szCs w:val="16"/>
              </w:rPr>
            </w:pPr>
            <w:r>
              <w:rPr>
                <w:rFonts w:ascii="宋体" w:hAnsi="宋体" w:cs="宋体" w:eastAsia="宋体" w:hint="default"/>
                <w:sz w:val="16"/>
                <w:szCs w:val="16"/>
              </w:rPr>
              <w:t>减：库存股</w:t>
            </w:r>
          </w:p>
        </w:tc>
        <w:tc>
          <w:tcPr>
            <w:tcW w:w="2717" w:type="dxa"/>
            <w:tcBorders>
              <w:top w:val="single" w:sz="4" w:space="0" w:color="000000"/>
              <w:left w:val="single" w:sz="9" w:space="0" w:color="D3D3D3"/>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330" w:right="0"/>
              <w:jc w:val="left"/>
              <w:rPr>
                <w:rFonts w:ascii="宋体" w:hAnsi="宋体" w:cs="宋体" w:eastAsia="宋体" w:hint="default"/>
                <w:sz w:val="16"/>
                <w:szCs w:val="16"/>
              </w:rPr>
            </w:pPr>
            <w:r>
              <w:rPr>
                <w:rFonts w:ascii="宋体" w:hAnsi="宋体" w:cs="宋体" w:eastAsia="宋体" w:hint="default"/>
                <w:sz w:val="16"/>
                <w:szCs w:val="16"/>
              </w:rPr>
              <w:t>其他综合收益</w:t>
            </w:r>
          </w:p>
        </w:tc>
        <w:tc>
          <w:tcPr>
            <w:tcW w:w="2717" w:type="dxa"/>
            <w:tcBorders>
              <w:top w:val="single" w:sz="4" w:space="0" w:color="000000"/>
              <w:left w:val="single" w:sz="9" w:space="0" w:color="D3D3D3"/>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1"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8" w:lineRule="exact"/>
              <w:ind w:left="330" w:right="0"/>
              <w:jc w:val="left"/>
              <w:rPr>
                <w:rFonts w:ascii="宋体" w:hAnsi="宋体" w:cs="宋体" w:eastAsia="宋体" w:hint="default"/>
                <w:sz w:val="16"/>
                <w:szCs w:val="16"/>
              </w:rPr>
            </w:pPr>
            <w:r>
              <w:rPr>
                <w:rFonts w:ascii="宋体" w:hAnsi="宋体" w:cs="宋体" w:eastAsia="宋体" w:hint="default"/>
                <w:sz w:val="16"/>
                <w:szCs w:val="16"/>
              </w:rPr>
              <w:t>专项储备</w:t>
            </w:r>
          </w:p>
        </w:tc>
        <w:tc>
          <w:tcPr>
            <w:tcW w:w="2717" w:type="dxa"/>
            <w:tcBorders>
              <w:top w:val="single" w:sz="4" w:space="0" w:color="000000"/>
              <w:left w:val="single" w:sz="9" w:space="0" w:color="D3D3D3"/>
              <w:bottom w:val="single" w:sz="4" w:space="0" w:color="000000"/>
              <w:right w:val="single" w:sz="4" w:space="0" w:color="000000"/>
            </w:tcBorders>
          </w:tcPr>
          <w:p>
            <w:pPr/>
          </w:p>
        </w:tc>
        <w:tc>
          <w:tcPr>
            <w:tcW w:w="2416" w:type="dxa"/>
            <w:tcBorders>
              <w:top w:val="single" w:sz="4" w:space="0" w:color="000000"/>
              <w:left w:val="single" w:sz="4" w:space="0" w:color="000000"/>
              <w:bottom w:val="single" w:sz="4" w:space="0" w:color="000000"/>
              <w:right w:val="single" w:sz="4" w:space="0" w:color="000000"/>
            </w:tcBorders>
          </w:tcPr>
          <w:p>
            <w:pP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330" w:right="0"/>
              <w:jc w:val="left"/>
              <w:rPr>
                <w:rFonts w:ascii="宋体" w:hAnsi="宋体" w:cs="宋体" w:eastAsia="宋体" w:hint="default"/>
                <w:sz w:val="16"/>
                <w:szCs w:val="16"/>
              </w:rPr>
            </w:pPr>
            <w:r>
              <w:rPr>
                <w:rFonts w:ascii="宋体" w:hAnsi="宋体" w:cs="宋体" w:eastAsia="宋体" w:hint="default"/>
                <w:sz w:val="16"/>
                <w:szCs w:val="16"/>
              </w:rPr>
              <w:t>盈余公积</w:t>
            </w:r>
          </w:p>
        </w:tc>
        <w:tc>
          <w:tcPr>
            <w:tcW w:w="2717" w:type="dxa"/>
            <w:tcBorders>
              <w:top w:val="single" w:sz="4" w:space="0" w:color="000000"/>
              <w:left w:val="single" w:sz="9" w:space="0" w:color="D3D3D3"/>
              <w:bottom w:val="single" w:sz="4" w:space="0" w:color="000000"/>
              <w:right w:val="single" w:sz="4" w:space="0" w:color="000000"/>
            </w:tcBorders>
          </w:tcPr>
          <w:p>
            <w:pPr>
              <w:pStyle w:val="TableParagraph"/>
              <w:spacing w:line="179" w:lineRule="exact"/>
              <w:ind w:right="20"/>
              <w:jc w:val="right"/>
              <w:rPr>
                <w:rFonts w:ascii="Times New Roman" w:hAnsi="Times New Roman" w:cs="Times New Roman" w:eastAsia="Times New Roman" w:hint="default"/>
                <w:sz w:val="16"/>
                <w:szCs w:val="16"/>
              </w:rPr>
            </w:pPr>
            <w:r>
              <w:rPr>
                <w:rFonts w:ascii="Times New Roman"/>
                <w:spacing w:val="-1"/>
                <w:sz w:val="16"/>
              </w:rPr>
              <w:t>28,791,805.68</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9"/>
              <w:jc w:val="right"/>
              <w:rPr>
                <w:rFonts w:ascii="Times New Roman" w:hAnsi="Times New Roman" w:cs="Times New Roman" w:eastAsia="Times New Roman" w:hint="default"/>
                <w:sz w:val="16"/>
                <w:szCs w:val="16"/>
              </w:rPr>
            </w:pPr>
            <w:r>
              <w:rPr>
                <w:rFonts w:ascii="Times New Roman"/>
                <w:spacing w:val="-1"/>
                <w:sz w:val="16"/>
              </w:rPr>
              <w:t>28,791,805.68</w:t>
            </w: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330" w:right="0"/>
              <w:jc w:val="left"/>
              <w:rPr>
                <w:rFonts w:ascii="宋体" w:hAnsi="宋体" w:cs="宋体" w:eastAsia="宋体" w:hint="default"/>
                <w:sz w:val="16"/>
                <w:szCs w:val="16"/>
              </w:rPr>
            </w:pPr>
            <w:r>
              <w:rPr>
                <w:rFonts w:ascii="宋体" w:hAnsi="宋体" w:cs="宋体" w:eastAsia="宋体" w:hint="default"/>
                <w:sz w:val="16"/>
                <w:szCs w:val="16"/>
              </w:rPr>
              <w:t>未分配利润</w:t>
            </w:r>
          </w:p>
        </w:tc>
        <w:tc>
          <w:tcPr>
            <w:tcW w:w="2717" w:type="dxa"/>
            <w:tcBorders>
              <w:top w:val="single" w:sz="4" w:space="0" w:color="000000"/>
              <w:left w:val="single" w:sz="9" w:space="0" w:color="D3D3D3"/>
              <w:bottom w:val="single" w:sz="4" w:space="0" w:color="000000"/>
              <w:right w:val="single" w:sz="4" w:space="0" w:color="000000"/>
            </w:tcBorders>
          </w:tcPr>
          <w:p>
            <w:pPr>
              <w:pStyle w:val="TableParagraph"/>
              <w:spacing w:line="179" w:lineRule="exact"/>
              <w:ind w:right="20"/>
              <w:jc w:val="right"/>
              <w:rPr>
                <w:rFonts w:ascii="Times New Roman" w:hAnsi="Times New Roman" w:cs="Times New Roman" w:eastAsia="Times New Roman" w:hint="default"/>
                <w:sz w:val="16"/>
                <w:szCs w:val="16"/>
              </w:rPr>
            </w:pPr>
            <w:r>
              <w:rPr>
                <w:rFonts w:ascii="Times New Roman"/>
                <w:spacing w:val="-1"/>
                <w:sz w:val="16"/>
              </w:rPr>
              <w:t>-296,291,785.38</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19"/>
              <w:jc w:val="right"/>
              <w:rPr>
                <w:rFonts w:ascii="Times New Roman" w:hAnsi="Times New Roman" w:cs="Times New Roman" w:eastAsia="Times New Roman" w:hint="default"/>
                <w:sz w:val="16"/>
                <w:szCs w:val="16"/>
              </w:rPr>
            </w:pPr>
            <w:r>
              <w:rPr>
                <w:rFonts w:ascii="Times New Roman"/>
                <w:spacing w:val="-1"/>
                <w:sz w:val="16"/>
              </w:rPr>
              <w:t>-309,725,434.05</w:t>
            </w:r>
          </w:p>
        </w:tc>
      </w:tr>
      <w:tr>
        <w:trPr>
          <w:trHeight w:val="191"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8" w:lineRule="exact"/>
              <w:ind w:left="11" w:right="0"/>
              <w:jc w:val="left"/>
              <w:rPr>
                <w:rFonts w:ascii="宋体" w:hAnsi="宋体" w:cs="宋体" w:eastAsia="宋体" w:hint="default"/>
                <w:sz w:val="16"/>
                <w:szCs w:val="16"/>
              </w:rPr>
            </w:pPr>
            <w:r>
              <w:rPr>
                <w:rFonts w:ascii="宋体" w:hAnsi="宋体" w:cs="宋体" w:eastAsia="宋体" w:hint="default"/>
                <w:sz w:val="16"/>
                <w:szCs w:val="16"/>
              </w:rPr>
              <w:t>所有者权益合计</w:t>
            </w:r>
          </w:p>
        </w:tc>
        <w:tc>
          <w:tcPr>
            <w:tcW w:w="2717" w:type="dxa"/>
            <w:tcBorders>
              <w:top w:val="single" w:sz="4" w:space="0" w:color="000000"/>
              <w:left w:val="single" w:sz="9" w:space="0" w:color="D3D3D3"/>
              <w:bottom w:val="single" w:sz="4" w:space="0" w:color="000000"/>
              <w:right w:val="single" w:sz="4" w:space="0" w:color="000000"/>
            </w:tcBorders>
          </w:tcPr>
          <w:p>
            <w:pPr>
              <w:pStyle w:val="TableParagraph"/>
              <w:spacing w:line="180" w:lineRule="exact"/>
              <w:ind w:right="21"/>
              <w:jc w:val="right"/>
              <w:rPr>
                <w:rFonts w:ascii="Times New Roman" w:hAnsi="Times New Roman" w:cs="Times New Roman" w:eastAsia="Times New Roman" w:hint="default"/>
                <w:sz w:val="16"/>
                <w:szCs w:val="16"/>
              </w:rPr>
            </w:pPr>
            <w:r>
              <w:rPr>
                <w:rFonts w:ascii="Times New Roman"/>
                <w:spacing w:val="-1"/>
                <w:sz w:val="16"/>
              </w:rPr>
              <w:t>2,559,903,350.06</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ind w:right="20"/>
              <w:jc w:val="right"/>
              <w:rPr>
                <w:rFonts w:ascii="Times New Roman" w:hAnsi="Times New Roman" w:cs="Times New Roman" w:eastAsia="Times New Roman" w:hint="default"/>
                <w:sz w:val="16"/>
                <w:szCs w:val="16"/>
              </w:rPr>
            </w:pPr>
            <w:r>
              <w:rPr>
                <w:rFonts w:ascii="Times New Roman"/>
                <w:spacing w:val="-1"/>
                <w:sz w:val="16"/>
              </w:rPr>
              <w:t>2,546,469,701.39</w:t>
            </w:r>
          </w:p>
        </w:tc>
      </w:tr>
      <w:tr>
        <w:trPr>
          <w:trHeight w:val="190" w:hRule="exact"/>
        </w:trPr>
        <w:tc>
          <w:tcPr>
            <w:tcW w:w="45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166" w:lineRule="exact"/>
              <w:ind w:left="11" w:right="0"/>
              <w:jc w:val="left"/>
              <w:rPr>
                <w:rFonts w:ascii="宋体" w:hAnsi="宋体" w:cs="宋体" w:eastAsia="宋体" w:hint="default"/>
                <w:sz w:val="16"/>
                <w:szCs w:val="16"/>
              </w:rPr>
            </w:pPr>
            <w:r>
              <w:rPr>
                <w:rFonts w:ascii="宋体" w:hAnsi="宋体" w:cs="宋体" w:eastAsia="宋体" w:hint="default"/>
                <w:sz w:val="16"/>
                <w:szCs w:val="16"/>
              </w:rPr>
              <w:t>负债和所有者权益总计</w:t>
            </w:r>
          </w:p>
        </w:tc>
        <w:tc>
          <w:tcPr>
            <w:tcW w:w="2717" w:type="dxa"/>
            <w:tcBorders>
              <w:top w:val="single" w:sz="4" w:space="0" w:color="000000"/>
              <w:left w:val="single" w:sz="9" w:space="0" w:color="D3D3D3"/>
              <w:bottom w:val="single" w:sz="4" w:space="0" w:color="000000"/>
              <w:right w:val="single" w:sz="4" w:space="0" w:color="000000"/>
            </w:tcBorders>
          </w:tcPr>
          <w:p>
            <w:pPr>
              <w:pStyle w:val="TableParagraph"/>
              <w:spacing w:line="179" w:lineRule="exact"/>
              <w:ind w:right="21"/>
              <w:jc w:val="right"/>
              <w:rPr>
                <w:rFonts w:ascii="Times New Roman" w:hAnsi="Times New Roman" w:cs="Times New Roman" w:eastAsia="Times New Roman" w:hint="default"/>
                <w:sz w:val="16"/>
                <w:szCs w:val="16"/>
              </w:rPr>
            </w:pPr>
            <w:r>
              <w:rPr>
                <w:rFonts w:ascii="Times New Roman"/>
                <w:spacing w:val="-1"/>
                <w:sz w:val="16"/>
              </w:rPr>
              <w:t>2,612,890,515.38</w:t>
            </w:r>
          </w:p>
        </w:tc>
        <w:tc>
          <w:tcPr>
            <w:tcW w:w="241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right="20"/>
              <w:jc w:val="right"/>
              <w:rPr>
                <w:rFonts w:ascii="Times New Roman" w:hAnsi="Times New Roman" w:cs="Times New Roman" w:eastAsia="Times New Roman" w:hint="default"/>
                <w:sz w:val="16"/>
                <w:szCs w:val="16"/>
              </w:rPr>
            </w:pPr>
            <w:r>
              <w:rPr>
                <w:rFonts w:ascii="Times New Roman"/>
                <w:spacing w:val="-1"/>
                <w:sz w:val="16"/>
              </w:rPr>
              <w:t>2,629,265,869.64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spacing w:before="76"/>
        <w:ind w:left="0" w:right="150" w:firstLine="0"/>
        <w:jc w:val="right"/>
        <w:rPr>
          <w:rFonts w:ascii="Times New Roman" w:hAnsi="Times New Roman" w:cs="Times New Roman" w:eastAsia="Times New Roman" w:hint="default"/>
          <w:sz w:val="18"/>
          <w:szCs w:val="18"/>
        </w:rPr>
      </w:pPr>
      <w:r>
        <w:rPr>
          <w:rFonts w:ascii="Times New Roman"/>
          <w:sz w:val="18"/>
        </w:rPr>
        <w:t>83</w:t>
      </w:r>
    </w:p>
    <w:p>
      <w:pPr>
        <w:spacing w:after="0"/>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8"/>
        <w:rPr>
          <w:rFonts w:ascii="Times New Roman" w:hAnsi="Times New Roman" w:cs="Times New Roman" w:eastAsia="Times New Roman" w:hint="default"/>
          <w:sz w:val="24"/>
          <w:szCs w:val="24"/>
        </w:rPr>
      </w:pPr>
    </w:p>
    <w:p>
      <w:pPr>
        <w:spacing w:after="0" w:line="240" w:lineRule="auto"/>
        <w:rPr>
          <w:rFonts w:ascii="Times New Roman" w:hAnsi="Times New Roman" w:cs="Times New Roman" w:eastAsia="Times New Roman" w:hint="default"/>
          <w:sz w:val="24"/>
          <w:szCs w:val="24"/>
        </w:rPr>
        <w:sectPr>
          <w:headerReference w:type="default" r:id="rId22"/>
          <w:footerReference w:type="default" r:id="rId23"/>
          <w:pgSz w:w="11910" w:h="16840"/>
          <w:pgMar w:header="877" w:footer="0" w:top="1060" w:bottom="280" w:left="980" w:right="980"/>
        </w:sect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3</w:t>
      </w:r>
      <w:r>
        <w:rPr>
          <w:rFonts w:ascii="宋体" w:hAnsi="宋体" w:cs="宋体" w:eastAsia="宋体" w:hint="default"/>
          <w:b/>
          <w:bCs/>
          <w:w w:val="95"/>
          <w:sz w:val="21"/>
          <w:szCs w:val="21"/>
        </w:rPr>
        <w:t>、合并利润表</w:t>
      </w:r>
      <w:r>
        <w:rPr>
          <w:rFonts w:ascii="宋体" w:hAnsi="宋体" w:cs="宋体" w:eastAsia="宋体" w:hint="default"/>
          <w:sz w:val="21"/>
          <w:szCs w:val="21"/>
        </w:rPr>
      </w:r>
    </w:p>
    <w:p>
      <w:pPr>
        <w:spacing w:line="240" w:lineRule="auto" w:before="9"/>
        <w:rPr>
          <w:rFonts w:ascii="宋体" w:hAnsi="宋体" w:cs="宋体" w:eastAsia="宋体" w:hint="default"/>
          <w:b/>
          <w:bCs/>
          <w:sz w:val="23"/>
          <w:szCs w:val="23"/>
        </w:rPr>
      </w:pPr>
      <w:r>
        <w:rPr/>
        <w:br w:type="column"/>
      </w:r>
      <w:r>
        <w:rPr>
          <w:rFonts w:ascii="宋体"/>
          <w:b/>
          <w:sz w:val="23"/>
        </w:rPr>
      </w: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1524" w:space="7395"/>
            <w:col w:w="1031"/>
          </w:cols>
        </w:sectPr>
      </w:pPr>
    </w:p>
    <w:tbl>
      <w:tblPr>
        <w:tblW w:w="0" w:type="auto"/>
        <w:jc w:val="left"/>
        <w:tblInd w:w="133" w:type="dxa"/>
        <w:tblLayout w:type="fixed"/>
        <w:tblCellMar>
          <w:top w:w="0" w:type="dxa"/>
          <w:left w:w="0" w:type="dxa"/>
          <w:bottom w:w="0" w:type="dxa"/>
          <w:right w:w="0" w:type="dxa"/>
        </w:tblCellMar>
        <w:tblLook w:val="01E0"/>
      </w:tblPr>
      <w:tblGrid>
        <w:gridCol w:w="5108"/>
        <w:gridCol w:w="2579"/>
        <w:gridCol w:w="1994"/>
      </w:tblGrid>
      <w:tr>
        <w:trPr>
          <w:trHeight w:val="250"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8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51"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5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pacing w:val="-1"/>
                <w:sz w:val="18"/>
              </w:rPr>
              <w:t>1,554,030,721.35</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pacing w:val="-1"/>
                <w:sz w:val="18"/>
              </w:rPr>
              <w:t>1,485,240,217.31</w:t>
            </w:r>
          </w:p>
        </w:tc>
      </w:tr>
      <w:tr>
        <w:trPr>
          <w:trHeight w:val="250"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5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1,554,030,721.35</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1,485,240,217.31</w:t>
            </w:r>
          </w:p>
        </w:tc>
      </w:tr>
      <w:tr>
        <w:trPr>
          <w:trHeight w:val="250"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579" w:type="dxa"/>
            <w:tcBorders>
              <w:top w:val="single" w:sz="4" w:space="0" w:color="000000"/>
              <w:left w:val="single" w:sz="13" w:space="0" w:color="D3D3D3"/>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579" w:type="dxa"/>
            <w:tcBorders>
              <w:top w:val="single" w:sz="4" w:space="0" w:color="000000"/>
              <w:left w:val="single" w:sz="13" w:space="0" w:color="D3D3D3"/>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579" w:type="dxa"/>
            <w:tcBorders>
              <w:top w:val="single" w:sz="4" w:space="0" w:color="000000"/>
              <w:left w:val="single" w:sz="13" w:space="0" w:color="D3D3D3"/>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5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1,354,359,305.86</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1,318,886,704.72</w:t>
            </w:r>
          </w:p>
        </w:tc>
      </w:tr>
      <w:tr>
        <w:trPr>
          <w:trHeight w:val="251"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5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pacing w:val="-1"/>
                <w:sz w:val="18"/>
              </w:rPr>
              <w:t>1,122,496,527.66</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pacing w:val="-1"/>
                <w:sz w:val="18"/>
              </w:rPr>
              <w:t>1,077,495,932.90</w:t>
            </w:r>
          </w:p>
        </w:tc>
      </w:tr>
      <w:tr>
        <w:trPr>
          <w:trHeight w:val="250"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579" w:type="dxa"/>
            <w:tcBorders>
              <w:top w:val="single" w:sz="4" w:space="0" w:color="000000"/>
              <w:left w:val="single" w:sz="13" w:space="0" w:color="D3D3D3"/>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579" w:type="dxa"/>
            <w:tcBorders>
              <w:top w:val="single" w:sz="4" w:space="0" w:color="000000"/>
              <w:left w:val="single" w:sz="13" w:space="0" w:color="D3D3D3"/>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579" w:type="dxa"/>
            <w:tcBorders>
              <w:top w:val="single" w:sz="4" w:space="0" w:color="000000"/>
              <w:left w:val="single" w:sz="13" w:space="0" w:color="D3D3D3"/>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579" w:type="dxa"/>
            <w:tcBorders>
              <w:top w:val="single" w:sz="4" w:space="0" w:color="000000"/>
              <w:left w:val="single" w:sz="13" w:space="0" w:color="D3D3D3"/>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2579" w:type="dxa"/>
            <w:tcBorders>
              <w:top w:val="single" w:sz="4" w:space="0" w:color="000000"/>
              <w:left w:val="single" w:sz="13" w:space="0" w:color="D3D3D3"/>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579" w:type="dxa"/>
            <w:tcBorders>
              <w:top w:val="single" w:sz="4" w:space="0" w:color="000000"/>
              <w:left w:val="single" w:sz="13" w:space="0" w:color="D3D3D3"/>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579" w:type="dxa"/>
            <w:tcBorders>
              <w:top w:val="single" w:sz="4" w:space="0" w:color="000000"/>
              <w:left w:val="single" w:sz="13" w:space="0" w:color="D3D3D3"/>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5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19,811,676.34</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19,923,507.48</w:t>
            </w:r>
          </w:p>
        </w:tc>
      </w:tr>
      <w:tr>
        <w:trPr>
          <w:trHeight w:val="251"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5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106,342,283.26</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129,684,786.35</w:t>
            </w:r>
          </w:p>
        </w:tc>
      </w:tr>
      <w:tr>
        <w:trPr>
          <w:trHeight w:val="250"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5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103,095,711.25</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83,942,833.31</w:t>
            </w:r>
          </w:p>
        </w:tc>
      </w:tr>
      <w:tr>
        <w:trPr>
          <w:trHeight w:val="250"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5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-5,582,732.70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-3,027,300.20</w:t>
            </w:r>
          </w:p>
        </w:tc>
      </w:tr>
      <w:tr>
        <w:trPr>
          <w:trHeight w:val="251"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5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8,195,840.05</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10,866,944.88</w:t>
            </w:r>
          </w:p>
        </w:tc>
      </w:tr>
      <w:tr>
        <w:trPr>
          <w:trHeight w:val="250"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79" w:type="dxa"/>
            <w:tcBorders>
              <w:top w:val="single" w:sz="4" w:space="0" w:color="000000"/>
              <w:left w:val="single" w:sz="13" w:space="0" w:color="D3D3D3"/>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593,538.04</w:t>
            </w:r>
          </w:p>
        </w:tc>
      </w:tr>
      <w:tr>
        <w:trPr>
          <w:trHeight w:val="250"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112,048,351.83</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32,681,764.17</w:t>
            </w:r>
          </w:p>
        </w:tc>
      </w:tr>
      <w:tr>
        <w:trPr>
          <w:trHeight w:val="251"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731"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5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34,502,721.17</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22,853,972.11</w:t>
            </w:r>
          </w:p>
        </w:tc>
      </w:tr>
      <w:tr>
        <w:trPr>
          <w:trHeight w:val="250"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731"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79" w:type="dxa"/>
            <w:tcBorders>
              <w:top w:val="single" w:sz="4" w:space="0" w:color="000000"/>
              <w:left w:val="single" w:sz="13" w:space="0" w:color="D3D3D3"/>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311,719,767.32</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199,628,814.80</w:t>
            </w:r>
          </w:p>
        </w:tc>
      </w:tr>
      <w:tr>
        <w:trPr>
          <w:trHeight w:val="251"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5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9,818,819.68</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6,356,506.58</w:t>
            </w:r>
          </w:p>
        </w:tc>
      </w:tr>
      <w:tr>
        <w:trPr>
          <w:trHeight w:val="250"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25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98,238.85</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41,845.77</w:t>
            </w:r>
          </w:p>
        </w:tc>
      </w:tr>
      <w:tr>
        <w:trPr>
          <w:trHeight w:val="250"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5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2,416,840.78</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2,633,717.23</w:t>
            </w:r>
          </w:p>
        </w:tc>
      </w:tr>
      <w:tr>
        <w:trPr>
          <w:trHeight w:val="251"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731"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25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z w:val="18"/>
              </w:rPr>
              <w:t>64,210.37</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z w:val="18"/>
              </w:rPr>
              <w:t>155,078.86</w:t>
            </w:r>
          </w:p>
        </w:tc>
      </w:tr>
      <w:tr>
        <w:trPr>
          <w:trHeight w:val="250"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319,121,746.22</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203,351,604.15</w:t>
            </w:r>
          </w:p>
        </w:tc>
      </w:tr>
      <w:tr>
        <w:trPr>
          <w:trHeight w:val="250"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5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3,820,907.83</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59,121.66</w:t>
            </w:r>
          </w:p>
        </w:tc>
      </w:tr>
      <w:tr>
        <w:trPr>
          <w:trHeight w:val="251"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315,300,838.39</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203,292,482.49</w:t>
            </w:r>
          </w:p>
        </w:tc>
      </w:tr>
      <w:tr>
        <w:trPr>
          <w:trHeight w:val="250"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25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283,509,623.51</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188,665,289.66</w:t>
            </w:r>
          </w:p>
        </w:tc>
      </w:tr>
      <w:tr>
        <w:trPr>
          <w:trHeight w:val="250"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5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31,791,214.88</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14,627,192.83</w:t>
            </w:r>
          </w:p>
        </w:tc>
      </w:tr>
      <w:tr>
        <w:trPr>
          <w:trHeight w:val="251"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579" w:type="dxa"/>
            <w:tcBorders>
              <w:top w:val="single" w:sz="4" w:space="0" w:color="000000"/>
              <w:left w:val="single" w:sz="13" w:space="0" w:color="D3D3D3"/>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91"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579" w:type="dxa"/>
            <w:tcBorders>
              <w:top w:val="single" w:sz="4" w:space="0" w:color="000000"/>
              <w:left w:val="single" w:sz="13" w:space="0" w:color="D3D3D3"/>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2579" w:type="dxa"/>
            <w:tcBorders>
              <w:top w:val="single" w:sz="4" w:space="0" w:color="000000"/>
              <w:left w:val="single" w:sz="13" w:space="0" w:color="D3D3D3"/>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2579" w:type="dxa"/>
            <w:tcBorders>
              <w:top w:val="single" w:sz="4" w:space="0" w:color="000000"/>
              <w:left w:val="single" w:sz="13" w:space="0" w:color="D3D3D3"/>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1" w:right="9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权益法下在被投资单位不能重分类进损益的其他综 合收益中享有的份额</w:t>
            </w:r>
          </w:p>
        </w:tc>
        <w:tc>
          <w:tcPr>
            <w:tcW w:w="2579" w:type="dxa"/>
            <w:tcBorders>
              <w:top w:val="single" w:sz="4" w:space="0" w:color="000000"/>
              <w:left w:val="single" w:sz="13" w:space="0" w:color="D3D3D3"/>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2579" w:type="dxa"/>
            <w:tcBorders>
              <w:top w:val="single" w:sz="4" w:space="0" w:color="000000"/>
              <w:left w:val="single" w:sz="13" w:space="0" w:color="D3D3D3"/>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1"/>
              <w:ind w:left="11" w:right="9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权益法下在被投资单位以后将重分类进损益的其他 综合收益中享有的份额</w:t>
            </w:r>
          </w:p>
        </w:tc>
        <w:tc>
          <w:tcPr>
            <w:tcW w:w="2579" w:type="dxa"/>
            <w:tcBorders>
              <w:top w:val="single" w:sz="4" w:space="0" w:color="000000"/>
              <w:left w:val="single" w:sz="13" w:space="0" w:color="D3D3D3"/>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2579" w:type="dxa"/>
            <w:tcBorders>
              <w:top w:val="single" w:sz="4" w:space="0" w:color="000000"/>
              <w:left w:val="single" w:sz="13" w:space="0" w:color="D3D3D3"/>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2579" w:type="dxa"/>
            <w:tcBorders>
              <w:top w:val="single" w:sz="4" w:space="0" w:color="000000"/>
              <w:left w:val="single" w:sz="13" w:space="0" w:color="D3D3D3"/>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2579" w:type="dxa"/>
            <w:tcBorders>
              <w:top w:val="single" w:sz="4" w:space="0" w:color="000000"/>
              <w:left w:val="single" w:sz="13" w:space="0" w:color="D3D3D3"/>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579" w:type="dxa"/>
            <w:tcBorders>
              <w:top w:val="single" w:sz="4" w:space="0" w:color="000000"/>
              <w:left w:val="single" w:sz="13" w:space="0" w:color="D3D3D3"/>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579" w:type="dxa"/>
            <w:tcBorders>
              <w:top w:val="single" w:sz="4" w:space="0" w:color="000000"/>
              <w:left w:val="single" w:sz="13" w:space="0" w:color="D3D3D3"/>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91"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579" w:type="dxa"/>
            <w:tcBorders>
              <w:top w:val="single" w:sz="4" w:space="0" w:color="000000"/>
              <w:left w:val="single" w:sz="13" w:space="0" w:color="D3D3D3"/>
              <w:bottom w:val="single" w:sz="4" w:space="0" w:color="000000"/>
              <w:right w:val="single" w:sz="4" w:space="0" w:color="000000"/>
            </w:tcBorders>
          </w:tcPr>
          <w:p>
            <w:pPr/>
          </w:p>
        </w:tc>
        <w:tc>
          <w:tcPr>
            <w:tcW w:w="1994"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5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315,300,838.39</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203,292,482.49</w:t>
            </w:r>
          </w:p>
        </w:tc>
      </w:tr>
      <w:tr>
        <w:trPr>
          <w:trHeight w:val="250"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5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283,509,623.51</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188,665,289.66</w:t>
            </w:r>
          </w:p>
        </w:tc>
      </w:tr>
      <w:tr>
        <w:trPr>
          <w:trHeight w:val="251"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5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31,791,214.88</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14,627,192.83</w:t>
            </w:r>
          </w:p>
        </w:tc>
      </w:tr>
      <w:tr>
        <w:trPr>
          <w:trHeight w:val="250"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57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50"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5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0.280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0.360</w:t>
            </w:r>
          </w:p>
        </w:tc>
      </w:tr>
      <w:tr>
        <w:trPr>
          <w:trHeight w:val="251" w:hRule="exact"/>
        </w:trPr>
        <w:tc>
          <w:tcPr>
            <w:tcW w:w="51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5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z w:val="18"/>
              </w:rPr>
              <w:t>0.280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z w:val="18"/>
              </w:rPr>
              <w:t>0.360</w:t>
            </w:r>
          </w:p>
        </w:tc>
      </w:tr>
    </w:tbl>
    <w:p>
      <w:pPr>
        <w:tabs>
          <w:tab w:pos="3329" w:val="left" w:leader="none"/>
          <w:tab w:pos="7559" w:val="left" w:leader="none"/>
        </w:tabs>
        <w:spacing w:before="4"/>
        <w:ind w:left="0" w:right="248" w:firstLine="0"/>
        <w:jc w:val="right"/>
        <w:rPr>
          <w:rFonts w:ascii="宋体" w:hAnsi="宋体" w:cs="宋体" w:eastAsia="宋体" w:hint="default"/>
          <w:sz w:val="18"/>
          <w:szCs w:val="18"/>
        </w:rPr>
      </w:pPr>
      <w:r>
        <w:rPr>
          <w:rFonts w:ascii="宋体" w:hAnsi="宋体" w:cs="宋体" w:eastAsia="宋体" w:hint="default"/>
          <w:sz w:val="18"/>
          <w:szCs w:val="18"/>
        </w:rPr>
        <w:t>法定代表人：赵晴</w:t>
        <w:tab/>
        <w:t>主管会计工作负责人：郭勤勇</w:t>
        <w:tab/>
        <w:t>会计机构负责人：郭勤勇</w:t>
      </w:r>
    </w:p>
    <w:p>
      <w:pPr>
        <w:spacing w:before="129"/>
        <w:ind w:left="0" w:right="150" w:firstLine="0"/>
        <w:jc w:val="right"/>
        <w:rPr>
          <w:rFonts w:ascii="Times New Roman" w:hAnsi="Times New Roman" w:cs="Times New Roman" w:eastAsia="Times New Roman" w:hint="default"/>
          <w:sz w:val="18"/>
          <w:szCs w:val="18"/>
        </w:rPr>
      </w:pPr>
      <w:r>
        <w:rPr>
          <w:rFonts w:ascii="Times New Roman"/>
          <w:sz w:val="18"/>
        </w:rPr>
        <w:t>84</w:t>
      </w:r>
    </w:p>
    <w:p>
      <w:pPr>
        <w:spacing w:after="0"/>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9"/>
          <w:szCs w:val="29"/>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tabs>
          <w:tab w:pos="4320" w:val="left" w:leader="none"/>
          <w:tab w:pos="7621" w:val="left" w:leader="none"/>
        </w:tabs>
        <w:spacing w:before="97"/>
        <w:ind w:left="1457" w:right="0" w:firstLine="0"/>
        <w:jc w:val="left"/>
        <w:rPr>
          <w:rFonts w:ascii="宋体" w:hAnsi="宋体" w:cs="宋体" w:eastAsia="宋体" w:hint="default"/>
          <w:sz w:val="18"/>
          <w:szCs w:val="18"/>
        </w:rPr>
      </w:pPr>
      <w:r>
        <w:rPr/>
        <w:pict>
          <v:group style="position:absolute;margin-left:54.990002pt;margin-top:4.981974pt;width:480.6pt;height:609.2pt;mso-position-horizontal-relative:page;mso-position-vertical-relative:paragraph;z-index:-1260040" coordorigin="1100,100" coordsize="9612,12184">
            <v:group style="position:absolute;left:1150;top:115;width:2;height:240" coordorigin="1150,115" coordsize="2,240">
              <v:shape style="position:absolute;left:1150;top:115;width:2;height:240" coordorigin="1150,115" coordsize="0,240" path="m1150,115l1150,355e" filled="false" stroked="true" strokeweight="1.140pt" strokecolor="#d3d3d3">
                <v:path arrowok="t"/>
              </v:shape>
            </v:group>
            <v:group style="position:absolute;left:4084;top:115;width:2;height:240" coordorigin="4084,115" coordsize="2,240">
              <v:shape style="position:absolute;left:4084;top:115;width:2;height:240" coordorigin="4084,115" coordsize="0,240" path="m4084,115l4084,355e" filled="false" stroked="true" strokeweight="1.140pt" strokecolor="#d3d3d3">
                <v:path arrowok="t"/>
              </v:shape>
            </v:group>
            <v:group style="position:absolute;left:1162;top:115;width:2912;height:240" coordorigin="1162,115" coordsize="2912,240">
              <v:shape style="position:absolute;left:1162;top:115;width:2912;height:240" coordorigin="1162,115" coordsize="2912,240" path="m1162,355l4073,355,4073,115,1162,115,1162,355xe" filled="true" fillcolor="#d3d3d3" stroked="false">
                <v:path arrowok="t"/>
                <v:fill type="solid"/>
              </v:shape>
            </v:group>
            <v:group style="position:absolute;left:4118;top:115;width:2;height:240" coordorigin="4118,115" coordsize="2,240">
              <v:shape style="position:absolute;left:4118;top:115;width:2;height:240" coordorigin="4118,115" coordsize="0,240" path="m4118,115l4118,355e" filled="false" stroked="true" strokeweight="1.140pt" strokecolor="#d3d3d3">
                <v:path arrowok="t"/>
              </v:shape>
            </v:group>
            <v:group style="position:absolute;left:7384;top:115;width:2;height:240" coordorigin="7384,115" coordsize="2,240">
              <v:shape style="position:absolute;left:7384;top:115;width:2;height:240" coordorigin="7384,115" coordsize="0,240" path="m7384,115l7384,355e" filled="false" stroked="true" strokeweight="1.140pt" strokecolor="#d3d3d3">
                <v:path arrowok="t"/>
              </v:shape>
            </v:group>
            <v:group style="position:absolute;left:4129;top:115;width:3244;height:240" coordorigin="4129,115" coordsize="3244,240">
              <v:shape style="position:absolute;left:4129;top:115;width:3244;height:240" coordorigin="4129,115" coordsize="3244,240" path="m4129,355l7373,355,7373,115,4129,115,4129,355xe" filled="true" fillcolor="#d3d3d3" stroked="false">
                <v:path arrowok="t"/>
                <v:fill type="solid"/>
              </v:shape>
            </v:group>
            <v:group style="position:absolute;left:7418;top:115;width:2;height:240" coordorigin="7418,115" coordsize="2,240">
              <v:shape style="position:absolute;left:7418;top:115;width:2;height:240" coordorigin="7418,115" coordsize="0,240" path="m7418,115l7418,355e" filled="false" stroked="true" strokeweight="1.140pt" strokecolor="#d3d3d3">
                <v:path arrowok="t"/>
              </v:shape>
            </v:group>
            <v:group style="position:absolute;left:10685;top:115;width:2;height:240" coordorigin="10685,115" coordsize="2,240">
              <v:shape style="position:absolute;left:10685;top:115;width:2;height:240" coordorigin="10685,115" coordsize="0,240" path="m10685,115l10685,355e" filled="false" stroked="true" strokeweight="1.140pt" strokecolor="#d3d3d3">
                <v:path arrowok="t"/>
              </v:shape>
            </v:group>
            <v:group style="position:absolute;left:7429;top:115;width:3245;height:240" coordorigin="7429,115" coordsize="3245,240">
              <v:shape style="position:absolute;left:7429;top:115;width:3245;height:240" coordorigin="7429,115" coordsize="3245,240" path="m7429,355l10674,355,10674,115,7429,115,7429,355xe" filled="true" fillcolor="#d3d3d3" stroked="false">
                <v:path arrowok="t"/>
                <v:fill type="solid"/>
              </v:shape>
            </v:group>
            <v:group style="position:absolute;left:1129;top:109;width:9578;height:2" coordorigin="1129,109" coordsize="9578,2">
              <v:shape style="position:absolute;left:1129;top:109;width:9578;height:2" coordorigin="1129,109" coordsize="9578,0" path="m1129,109l10706,109e" filled="false" stroked="true" strokeweight=".48004pt" strokecolor="#000000">
                <v:path arrowok="t"/>
              </v:shape>
            </v:group>
            <v:group style="position:absolute;left:4102;top:114;width:2;height:242" coordorigin="4102,114" coordsize="2,242">
              <v:shape style="position:absolute;left:4102;top:114;width:2;height:242" coordorigin="4102,114" coordsize="0,242" path="m4102,114l4102,355e" filled="false" stroked="true" strokeweight=".47998pt" strokecolor="#000000">
                <v:path arrowok="t"/>
              </v:shape>
            </v:group>
            <v:group style="position:absolute;left:7402;top:114;width:2;height:242" coordorigin="7402,114" coordsize="2,242">
              <v:shape style="position:absolute;left:7402;top:114;width:2;height:242" coordorigin="7402,114" coordsize="0,242" path="m7402,114l7402,355e" filled="false" stroked="true" strokeweight=".48001pt" strokecolor="#000000">
                <v:path arrowok="t"/>
              </v:shape>
            </v:group>
            <v:group style="position:absolute;left:1150;top:365;width:2;height:240" coordorigin="1150,365" coordsize="2,240">
              <v:shape style="position:absolute;left:1150;top:365;width:2;height:240" coordorigin="1150,365" coordsize="0,240" path="m1150,365l1150,605e" filled="false" stroked="true" strokeweight="1.140pt" strokecolor="#d3d3d3">
                <v:path arrowok="t"/>
              </v:shape>
            </v:group>
            <v:group style="position:absolute;left:4084;top:365;width:2;height:240" coordorigin="4084,365" coordsize="2,240">
              <v:shape style="position:absolute;left:4084;top:365;width:2;height:240" coordorigin="4084,365" coordsize="0,240" path="m4084,365l4084,605e" filled="false" stroked="true" strokeweight="1.140pt" strokecolor="#d3d3d3">
                <v:path arrowok="t"/>
              </v:shape>
            </v:group>
            <v:group style="position:absolute;left:1162;top:365;width:2912;height:240" coordorigin="1162,365" coordsize="2912,240">
              <v:shape style="position:absolute;left:1162;top:365;width:2912;height:240" coordorigin="1162,365" coordsize="2912,240" path="m1162,605l4073,605,4073,365,1162,365,1162,605xe" filled="true" fillcolor="#d3d3d3" stroked="false">
                <v:path arrowok="t"/>
                <v:fill type="solid"/>
              </v:shape>
            </v:group>
            <v:group style="position:absolute;left:1129;top:360;width:9578;height:2" coordorigin="1129,360" coordsize="9578,2">
              <v:shape style="position:absolute;left:1129;top:360;width:9578;height:2" coordorigin="1129,360" coordsize="9578,0" path="m1129,360l10706,360e" filled="false" stroked="true" strokeweight=".48004pt" strokecolor="#000000">
                <v:path arrowok="t"/>
              </v:shape>
            </v:group>
            <v:group style="position:absolute;left:4102;top:365;width:2;height:240" coordorigin="4102,365" coordsize="2,240">
              <v:shape style="position:absolute;left:4102;top:365;width:2;height:240" coordorigin="4102,365" coordsize="0,240" path="m4102,365l4102,605e" filled="false" stroked="true" strokeweight=".47998pt" strokecolor="#000000">
                <v:path arrowok="t"/>
              </v:shape>
            </v:group>
            <v:group style="position:absolute;left:7402;top:365;width:2;height:240" coordorigin="7402,365" coordsize="2,240">
              <v:shape style="position:absolute;left:7402;top:365;width:2;height:240" coordorigin="7402,365" coordsize="0,240" path="m7402,365l7402,605e" filled="false" stroked="true" strokeweight=".48001pt" strokecolor="#000000">
                <v:path arrowok="t"/>
              </v:shape>
            </v:group>
            <v:group style="position:absolute;left:1150;top:614;width:2;height:240" coordorigin="1150,614" coordsize="2,240">
              <v:shape style="position:absolute;left:1150;top:614;width:2;height:240" coordorigin="1150,614" coordsize="0,240" path="m1150,614l1150,854e" filled="false" stroked="true" strokeweight="1.140pt" strokecolor="#d3d3d3">
                <v:path arrowok="t"/>
              </v:shape>
            </v:group>
            <v:group style="position:absolute;left:4084;top:614;width:2;height:240" coordorigin="4084,614" coordsize="2,240">
              <v:shape style="position:absolute;left:4084;top:614;width:2;height:240" coordorigin="4084,614" coordsize="0,240" path="m4084,614l4084,854e" filled="false" stroked="true" strokeweight="1.140pt" strokecolor="#d3d3d3">
                <v:path arrowok="t"/>
              </v:shape>
            </v:group>
            <v:group style="position:absolute;left:1162;top:614;width:2912;height:240" coordorigin="1162,614" coordsize="2912,240">
              <v:shape style="position:absolute;left:1162;top:614;width:2912;height:240" coordorigin="1162,614" coordsize="2912,240" path="m1162,854l4073,854,4073,614,1162,614,1162,854xe" filled="true" fillcolor="#d3d3d3" stroked="false">
                <v:path arrowok="t"/>
                <v:fill type="solid"/>
              </v:shape>
            </v:group>
            <v:group style="position:absolute;left:1129;top:610;width:9578;height:2" coordorigin="1129,610" coordsize="9578,2">
              <v:shape style="position:absolute;left:1129;top:610;width:9578;height:2" coordorigin="1129,610" coordsize="9578,0" path="m1129,610l10706,610e" filled="false" stroked="true" strokeweight=".47998pt" strokecolor="#000000">
                <v:path arrowok="t"/>
              </v:shape>
            </v:group>
            <v:group style="position:absolute;left:4102;top:614;width:2;height:240" coordorigin="4102,614" coordsize="2,240">
              <v:shape style="position:absolute;left:4102;top:614;width:2;height:240" coordorigin="4102,614" coordsize="0,240" path="m4102,614l4102,854e" filled="false" stroked="true" strokeweight=".47998pt" strokecolor="#000000">
                <v:path arrowok="t"/>
              </v:shape>
            </v:group>
            <v:group style="position:absolute;left:7402;top:614;width:2;height:240" coordorigin="7402,614" coordsize="2,240">
              <v:shape style="position:absolute;left:7402;top:614;width:2;height:240" coordorigin="7402,614" coordsize="0,240" path="m7402,614l7402,854e" filled="false" stroked="true" strokeweight=".48001pt" strokecolor="#000000">
                <v:path arrowok="t"/>
              </v:shape>
            </v:group>
            <v:group style="position:absolute;left:1150;top:865;width:2;height:240" coordorigin="1150,865" coordsize="2,240">
              <v:shape style="position:absolute;left:1150;top:865;width:2;height:240" coordorigin="1150,865" coordsize="0,240" path="m1150,865l1150,1105e" filled="false" stroked="true" strokeweight="1.140pt" strokecolor="#d3d3d3">
                <v:path arrowok="t"/>
              </v:shape>
            </v:group>
            <v:group style="position:absolute;left:4084;top:865;width:2;height:240" coordorigin="4084,865" coordsize="2,240">
              <v:shape style="position:absolute;left:4084;top:865;width:2;height:240" coordorigin="4084,865" coordsize="0,240" path="m4084,865l4084,1105e" filled="false" stroked="true" strokeweight="1.140pt" strokecolor="#d3d3d3">
                <v:path arrowok="t"/>
              </v:shape>
            </v:group>
            <v:group style="position:absolute;left:1162;top:865;width:2912;height:240" coordorigin="1162,865" coordsize="2912,240">
              <v:shape style="position:absolute;left:1162;top:865;width:2912;height:240" coordorigin="1162,865" coordsize="2912,240" path="m1162,1105l4073,1105,4073,865,1162,865,1162,1105xe" filled="true" fillcolor="#d3d3d3" stroked="false">
                <v:path arrowok="t"/>
                <v:fill type="solid"/>
              </v:shape>
            </v:group>
            <v:group style="position:absolute;left:1129;top:859;width:9578;height:2" coordorigin="1129,859" coordsize="9578,2">
              <v:shape style="position:absolute;left:1129;top:859;width:9578;height:2" coordorigin="1129,859" coordsize="9578,0" path="m1129,859l10706,859e" filled="false" stroked="true" strokeweight=".48004pt" strokecolor="#000000">
                <v:path arrowok="t"/>
              </v:shape>
            </v:group>
            <v:group style="position:absolute;left:4102;top:864;width:2;height:242" coordorigin="4102,864" coordsize="2,242">
              <v:shape style="position:absolute;left:4102;top:864;width:2;height:242" coordorigin="4102,864" coordsize="0,242" path="m4102,864l4102,1105e" filled="false" stroked="true" strokeweight=".47998pt" strokecolor="#000000">
                <v:path arrowok="t"/>
              </v:shape>
            </v:group>
            <v:group style="position:absolute;left:7402;top:864;width:2;height:242" coordorigin="7402,864" coordsize="2,242">
              <v:shape style="position:absolute;left:7402;top:864;width:2;height:242" coordorigin="7402,864" coordsize="0,242" path="m7402,864l7402,1105e" filled="false" stroked="true" strokeweight=".48001pt" strokecolor="#000000">
                <v:path arrowok="t"/>
              </v:shape>
            </v:group>
            <v:group style="position:absolute;left:1150;top:1115;width:2;height:240" coordorigin="1150,1115" coordsize="2,240">
              <v:shape style="position:absolute;left:1150;top:1115;width:2;height:240" coordorigin="1150,1115" coordsize="0,240" path="m1150,1115l1150,1355e" filled="false" stroked="true" strokeweight="1.140pt" strokecolor="#d3d3d3">
                <v:path arrowok="t"/>
              </v:shape>
            </v:group>
            <v:group style="position:absolute;left:4084;top:1115;width:2;height:240" coordorigin="4084,1115" coordsize="2,240">
              <v:shape style="position:absolute;left:4084;top:1115;width:2;height:240" coordorigin="4084,1115" coordsize="0,240" path="m4084,1115l4084,1355e" filled="false" stroked="true" strokeweight="1.140pt" strokecolor="#d3d3d3">
                <v:path arrowok="t"/>
              </v:shape>
            </v:group>
            <v:group style="position:absolute;left:1162;top:1115;width:2912;height:240" coordorigin="1162,1115" coordsize="2912,240">
              <v:shape style="position:absolute;left:1162;top:1115;width:2912;height:240" coordorigin="1162,1115" coordsize="2912,240" path="m1162,1355l4073,1355,4073,1115,1162,1115,1162,1355xe" filled="true" fillcolor="#d3d3d3" stroked="false">
                <v:path arrowok="t"/>
                <v:fill type="solid"/>
              </v:shape>
            </v:group>
            <v:group style="position:absolute;left:1129;top:1110;width:9578;height:2" coordorigin="1129,1110" coordsize="9578,2">
              <v:shape style="position:absolute;left:1129;top:1110;width:9578;height:2" coordorigin="1129,1110" coordsize="9578,0" path="m1129,1110l10706,1110e" filled="false" stroked="true" strokeweight=".48004pt" strokecolor="#000000">
                <v:path arrowok="t"/>
              </v:shape>
            </v:group>
            <v:group style="position:absolute;left:4102;top:1115;width:2;height:240" coordorigin="4102,1115" coordsize="2,240">
              <v:shape style="position:absolute;left:4102;top:1115;width:2;height:240" coordorigin="4102,1115" coordsize="0,240" path="m4102,1115l4102,1355e" filled="false" stroked="true" strokeweight=".47998pt" strokecolor="#000000">
                <v:path arrowok="t"/>
              </v:shape>
            </v:group>
            <v:group style="position:absolute;left:7402;top:1115;width:2;height:240" coordorigin="7402,1115" coordsize="2,240">
              <v:shape style="position:absolute;left:7402;top:1115;width:2;height:240" coordorigin="7402,1115" coordsize="0,240" path="m7402,1115l7402,1355e" filled="false" stroked="true" strokeweight=".48001pt" strokecolor="#000000">
                <v:path arrowok="t"/>
              </v:shape>
            </v:group>
            <v:group style="position:absolute;left:1150;top:1364;width:2;height:240" coordorigin="1150,1364" coordsize="2,240">
              <v:shape style="position:absolute;left:1150;top:1364;width:2;height:240" coordorigin="1150,1364" coordsize="0,240" path="m1150,1364l1150,1604e" filled="false" stroked="true" strokeweight="1.140pt" strokecolor="#d3d3d3">
                <v:path arrowok="t"/>
              </v:shape>
            </v:group>
            <v:group style="position:absolute;left:4084;top:1364;width:2;height:240" coordorigin="4084,1364" coordsize="2,240">
              <v:shape style="position:absolute;left:4084;top:1364;width:2;height:240" coordorigin="4084,1364" coordsize="0,240" path="m4084,1364l4084,1604e" filled="false" stroked="true" strokeweight="1.140pt" strokecolor="#d3d3d3">
                <v:path arrowok="t"/>
              </v:shape>
            </v:group>
            <v:group style="position:absolute;left:1162;top:1364;width:2912;height:240" coordorigin="1162,1364" coordsize="2912,240">
              <v:shape style="position:absolute;left:1162;top:1364;width:2912;height:240" coordorigin="1162,1364" coordsize="2912,240" path="m1162,1604l4073,1604,4073,1364,1162,1364,1162,1604xe" filled="true" fillcolor="#d3d3d3" stroked="false">
                <v:path arrowok="t"/>
                <v:fill type="solid"/>
              </v:shape>
            </v:group>
            <v:group style="position:absolute;left:1129;top:1360;width:9578;height:2" coordorigin="1129,1360" coordsize="9578,2">
              <v:shape style="position:absolute;left:1129;top:1360;width:9578;height:2" coordorigin="1129,1360" coordsize="9578,0" path="m1129,1360l10706,1360e" filled="false" stroked="true" strokeweight=".47998pt" strokecolor="#000000">
                <v:path arrowok="t"/>
              </v:shape>
            </v:group>
            <v:group style="position:absolute;left:4102;top:1364;width:2;height:240" coordorigin="4102,1364" coordsize="2,240">
              <v:shape style="position:absolute;left:4102;top:1364;width:2;height:240" coordorigin="4102,1364" coordsize="0,240" path="m4102,1364l4102,1604e" filled="false" stroked="true" strokeweight=".47998pt" strokecolor="#000000">
                <v:path arrowok="t"/>
              </v:shape>
            </v:group>
            <v:group style="position:absolute;left:7402;top:1364;width:2;height:240" coordorigin="7402,1364" coordsize="2,240">
              <v:shape style="position:absolute;left:7402;top:1364;width:2;height:240" coordorigin="7402,1364" coordsize="0,240" path="m7402,1364l7402,1604e" filled="false" stroked="true" strokeweight=".48001pt" strokecolor="#000000">
                <v:path arrowok="t"/>
              </v:shape>
            </v:group>
            <v:group style="position:absolute;left:1150;top:1615;width:2;height:240" coordorigin="1150,1615" coordsize="2,240">
              <v:shape style="position:absolute;left:1150;top:1615;width:2;height:240" coordorigin="1150,1615" coordsize="0,240" path="m1150,1615l1150,1855e" filled="false" stroked="true" strokeweight="1.140pt" strokecolor="#d3d3d3">
                <v:path arrowok="t"/>
              </v:shape>
            </v:group>
            <v:group style="position:absolute;left:4084;top:1615;width:2;height:240" coordorigin="4084,1615" coordsize="2,240">
              <v:shape style="position:absolute;left:4084;top:1615;width:2;height:240" coordorigin="4084,1615" coordsize="0,240" path="m4084,1615l4084,1855e" filled="false" stroked="true" strokeweight="1.140pt" strokecolor="#d3d3d3">
                <v:path arrowok="t"/>
              </v:shape>
            </v:group>
            <v:group style="position:absolute;left:1162;top:1615;width:2912;height:240" coordorigin="1162,1615" coordsize="2912,240">
              <v:shape style="position:absolute;left:1162;top:1615;width:2912;height:240" coordorigin="1162,1615" coordsize="2912,240" path="m1162,1855l4073,1855,4073,1615,1162,1615,1162,1855xe" filled="true" fillcolor="#d3d3d3" stroked="false">
                <v:path arrowok="t"/>
                <v:fill type="solid"/>
              </v:shape>
            </v:group>
            <v:group style="position:absolute;left:1129;top:1609;width:9578;height:2" coordorigin="1129,1609" coordsize="9578,2">
              <v:shape style="position:absolute;left:1129;top:1609;width:9578;height:2" coordorigin="1129,1609" coordsize="9578,0" path="m1129,1609l10706,1609e" filled="false" stroked="true" strokeweight=".47998pt" strokecolor="#000000">
                <v:path arrowok="t"/>
              </v:shape>
            </v:group>
            <v:group style="position:absolute;left:4102;top:1614;width:2;height:242" coordorigin="4102,1614" coordsize="2,242">
              <v:shape style="position:absolute;left:4102;top:1614;width:2;height:242" coordorigin="4102,1614" coordsize="0,242" path="m4102,1614l4102,1855e" filled="false" stroked="true" strokeweight=".47998pt" strokecolor="#000000">
                <v:path arrowok="t"/>
              </v:shape>
            </v:group>
            <v:group style="position:absolute;left:7402;top:1614;width:2;height:242" coordorigin="7402,1614" coordsize="2,242">
              <v:shape style="position:absolute;left:7402;top:1614;width:2;height:242" coordorigin="7402,1614" coordsize="0,242" path="m7402,1614l7402,1855e" filled="false" stroked="true" strokeweight=".48001pt" strokecolor="#000000">
                <v:path arrowok="t"/>
              </v:shape>
            </v:group>
            <v:group style="position:absolute;left:1150;top:1865;width:2;height:240" coordorigin="1150,1865" coordsize="2,240">
              <v:shape style="position:absolute;left:1150;top:1865;width:2;height:240" coordorigin="1150,1865" coordsize="0,240" path="m1150,1865l1150,2105e" filled="false" stroked="true" strokeweight="1.140pt" strokecolor="#d3d3d3">
                <v:path arrowok="t"/>
              </v:shape>
            </v:group>
            <v:group style="position:absolute;left:4084;top:1865;width:2;height:240" coordorigin="4084,1865" coordsize="2,240">
              <v:shape style="position:absolute;left:4084;top:1865;width:2;height:240" coordorigin="4084,1865" coordsize="0,240" path="m4084,1865l4084,2105e" filled="false" stroked="true" strokeweight="1.140pt" strokecolor="#d3d3d3">
                <v:path arrowok="t"/>
              </v:shape>
            </v:group>
            <v:group style="position:absolute;left:1162;top:1865;width:2912;height:240" coordorigin="1162,1865" coordsize="2912,240">
              <v:shape style="position:absolute;left:1162;top:1865;width:2912;height:240" coordorigin="1162,1865" coordsize="2912,240" path="m1162,2105l4073,2105,4073,1865,1162,1865,1162,2105xe" filled="true" fillcolor="#d3d3d3" stroked="false">
                <v:path arrowok="t"/>
                <v:fill type="solid"/>
              </v:shape>
            </v:group>
            <v:group style="position:absolute;left:1129;top:1860;width:9578;height:2" coordorigin="1129,1860" coordsize="9578,2">
              <v:shape style="position:absolute;left:1129;top:1860;width:9578;height:2" coordorigin="1129,1860" coordsize="9578,0" path="m1129,1860l10706,1860e" filled="false" stroked="true" strokeweight=".48004pt" strokecolor="#000000">
                <v:path arrowok="t"/>
              </v:shape>
            </v:group>
            <v:group style="position:absolute;left:4102;top:1865;width:2;height:240" coordorigin="4102,1865" coordsize="2,240">
              <v:shape style="position:absolute;left:4102;top:1865;width:2;height:240" coordorigin="4102,1865" coordsize="0,240" path="m4102,1865l4102,2105e" filled="false" stroked="true" strokeweight=".47998pt" strokecolor="#000000">
                <v:path arrowok="t"/>
              </v:shape>
            </v:group>
            <v:group style="position:absolute;left:7402;top:1865;width:2;height:240" coordorigin="7402,1865" coordsize="2,240">
              <v:shape style="position:absolute;left:7402;top:1865;width:2;height:240" coordorigin="7402,1865" coordsize="0,240" path="m7402,1865l7402,2105e" filled="false" stroked="true" strokeweight=".48001pt" strokecolor="#000000">
                <v:path arrowok="t"/>
              </v:shape>
            </v:group>
            <v:group style="position:absolute;left:1150;top:2114;width:2;height:480" coordorigin="1150,2114" coordsize="2,480">
              <v:shape style="position:absolute;left:1150;top:2114;width:2;height:480" coordorigin="1150,2114" coordsize="0,480" path="m1150,2114l1150,2594e" filled="false" stroked="true" strokeweight="1.140pt" strokecolor="#d3d3d3">
                <v:path arrowok="t"/>
              </v:shape>
            </v:group>
            <v:group style="position:absolute;left:4084;top:2114;width:2;height:480" coordorigin="4084,2114" coordsize="2,480">
              <v:shape style="position:absolute;left:4084;top:2114;width:2;height:480" coordorigin="4084,2114" coordsize="0,480" path="m4084,2114l4084,2594e" filled="false" stroked="true" strokeweight="1.140pt" strokecolor="#d3d3d3">
                <v:path arrowok="t"/>
              </v:shape>
            </v:group>
            <v:group style="position:absolute;left:1162;top:2114;width:2912;height:240" coordorigin="1162,2114" coordsize="2912,240">
              <v:shape style="position:absolute;left:1162;top:2114;width:2912;height:240" coordorigin="1162,2114" coordsize="2912,240" path="m1162,2354l4073,2354,4073,2114,1162,2114,1162,2354xe" filled="true" fillcolor="#d3d3d3" stroked="false">
                <v:path arrowok="t"/>
                <v:fill type="solid"/>
              </v:shape>
            </v:group>
            <v:group style="position:absolute;left:1162;top:2354;width:2912;height:240" coordorigin="1162,2354" coordsize="2912,240">
              <v:shape style="position:absolute;left:1162;top:2354;width:2912;height:240" coordorigin="1162,2354" coordsize="2912,240" path="m1162,2594l4073,2594,4073,2354,1162,2354,1162,2594xe" filled="true" fillcolor="#d3d3d3" stroked="false">
                <v:path arrowok="t"/>
                <v:fill type="solid"/>
              </v:shape>
            </v:group>
            <v:group style="position:absolute;left:1129;top:2110;width:9578;height:2" coordorigin="1129,2110" coordsize="9578,2">
              <v:shape style="position:absolute;left:1129;top:2110;width:9578;height:2" coordorigin="1129,2110" coordsize="9578,0" path="m1129,2110l10706,2110e" filled="false" stroked="true" strokeweight=".47998pt" strokecolor="#000000">
                <v:path arrowok="t"/>
              </v:shape>
            </v:group>
            <v:group style="position:absolute;left:4102;top:2114;width:2;height:480" coordorigin="4102,2114" coordsize="2,480">
              <v:shape style="position:absolute;left:4102;top:2114;width:2;height:480" coordorigin="4102,2114" coordsize="0,480" path="m4102,2114l4102,2594e" filled="false" stroked="true" strokeweight=".47998pt" strokecolor="#000000">
                <v:path arrowok="t"/>
              </v:shape>
            </v:group>
            <v:group style="position:absolute;left:7402;top:2114;width:2;height:480" coordorigin="7402,2114" coordsize="2,480">
              <v:shape style="position:absolute;left:7402;top:2114;width:2;height:480" coordorigin="7402,2114" coordsize="0,480" path="m7402,2114l7402,2594e" filled="false" stroked="true" strokeweight=".48001pt" strokecolor="#000000">
                <v:path arrowok="t"/>
              </v:shape>
            </v:group>
            <v:group style="position:absolute;left:1150;top:2605;width:2;height:480" coordorigin="1150,2605" coordsize="2,480">
              <v:shape style="position:absolute;left:1150;top:2605;width:2;height:480" coordorigin="1150,2605" coordsize="0,480" path="m1150,2605l1150,3085e" filled="false" stroked="true" strokeweight="1.140pt" strokecolor="#d3d3d3">
                <v:path arrowok="t"/>
              </v:shape>
            </v:group>
            <v:group style="position:absolute;left:4084;top:2605;width:2;height:480" coordorigin="4084,2605" coordsize="2,480">
              <v:shape style="position:absolute;left:4084;top:2605;width:2;height:480" coordorigin="4084,2605" coordsize="0,480" path="m4084,2605l4084,3085e" filled="false" stroked="true" strokeweight="1.140pt" strokecolor="#d3d3d3">
                <v:path arrowok="t"/>
              </v:shape>
            </v:group>
            <v:group style="position:absolute;left:1162;top:2605;width:2912;height:240" coordorigin="1162,2605" coordsize="2912,240">
              <v:shape style="position:absolute;left:1162;top:2605;width:2912;height:240" coordorigin="1162,2605" coordsize="2912,240" path="m1162,2845l4073,2845,4073,2605,1162,2605,1162,2845xe" filled="true" fillcolor="#d3d3d3" stroked="false">
                <v:path arrowok="t"/>
                <v:fill type="solid"/>
              </v:shape>
            </v:group>
            <v:group style="position:absolute;left:1162;top:2845;width:2912;height:240" coordorigin="1162,2845" coordsize="2912,240">
              <v:shape style="position:absolute;left:1162;top:2845;width:2912;height:240" coordorigin="1162,2845" coordsize="2912,240" path="m1162,3085l4073,3085,4073,2845,1162,2845,1162,3085xe" filled="true" fillcolor="#d3d3d3" stroked="false">
                <v:path arrowok="t"/>
                <v:fill type="solid"/>
              </v:shape>
            </v:group>
            <v:group style="position:absolute;left:1129;top:2599;width:9578;height:2" coordorigin="1129,2599" coordsize="9578,2">
              <v:shape style="position:absolute;left:1129;top:2599;width:9578;height:2" coordorigin="1129,2599" coordsize="9578,0" path="m1129,2599l10706,2599e" filled="false" stroked="true" strokeweight=".47998pt" strokecolor="#000000">
                <v:path arrowok="t"/>
              </v:shape>
            </v:group>
            <v:group style="position:absolute;left:4102;top:2604;width:2;height:482" coordorigin="4102,2604" coordsize="2,482">
              <v:shape style="position:absolute;left:4102;top:2604;width:2;height:482" coordorigin="4102,2604" coordsize="0,482" path="m4102,2604l4102,3085e" filled="false" stroked="true" strokeweight=".47998pt" strokecolor="#000000">
                <v:path arrowok="t"/>
              </v:shape>
            </v:group>
            <v:group style="position:absolute;left:7402;top:2604;width:2;height:482" coordorigin="7402,2604" coordsize="2,482">
              <v:shape style="position:absolute;left:7402;top:2604;width:2;height:482" coordorigin="7402,2604" coordsize="0,482" path="m7402,2604l7402,3085e" filled="false" stroked="true" strokeweight=".48001pt" strokecolor="#000000">
                <v:path arrowok="t"/>
              </v:shape>
            </v:group>
            <v:group style="position:absolute;left:1150;top:3095;width:2;height:480" coordorigin="1150,3095" coordsize="2,480">
              <v:shape style="position:absolute;left:1150;top:3095;width:2;height:480" coordorigin="1150,3095" coordsize="0,480" path="m1150,3095l1150,3575e" filled="false" stroked="true" strokeweight="1.140pt" strokecolor="#d3d3d3">
                <v:path arrowok="t"/>
              </v:shape>
            </v:group>
            <v:group style="position:absolute;left:4084;top:3095;width:2;height:480" coordorigin="4084,3095" coordsize="2,480">
              <v:shape style="position:absolute;left:4084;top:3095;width:2;height:480" coordorigin="4084,3095" coordsize="0,480" path="m4084,3095l4084,3575e" filled="false" stroked="true" strokeweight="1.140pt" strokecolor="#d3d3d3">
                <v:path arrowok="t"/>
              </v:shape>
            </v:group>
            <v:group style="position:absolute;left:1162;top:3095;width:2912;height:240" coordorigin="1162,3095" coordsize="2912,240">
              <v:shape style="position:absolute;left:1162;top:3095;width:2912;height:240" coordorigin="1162,3095" coordsize="2912,240" path="m1162,3335l4073,3335,4073,3095,1162,3095,1162,3335xe" filled="true" fillcolor="#d3d3d3" stroked="false">
                <v:path arrowok="t"/>
                <v:fill type="solid"/>
              </v:shape>
            </v:group>
            <v:group style="position:absolute;left:1162;top:3335;width:2912;height:240" coordorigin="1162,3335" coordsize="2912,240">
              <v:shape style="position:absolute;left:1162;top:3335;width:2912;height:240" coordorigin="1162,3335" coordsize="2912,240" path="m1162,3575l4073,3575,4073,3335,1162,3335,1162,3575xe" filled="true" fillcolor="#d3d3d3" stroked="false">
                <v:path arrowok="t"/>
                <v:fill type="solid"/>
              </v:shape>
            </v:group>
            <v:group style="position:absolute;left:1129;top:3090;width:9578;height:2" coordorigin="1129,3090" coordsize="9578,2">
              <v:shape style="position:absolute;left:1129;top:3090;width:9578;height:2" coordorigin="1129,3090" coordsize="9578,0" path="m1129,3090l10706,3090e" filled="false" stroked="true" strokeweight=".47998pt" strokecolor="#000000">
                <v:path arrowok="t"/>
              </v:shape>
            </v:group>
            <v:group style="position:absolute;left:4102;top:3095;width:2;height:480" coordorigin="4102,3095" coordsize="2,480">
              <v:shape style="position:absolute;left:4102;top:3095;width:2;height:480" coordorigin="4102,3095" coordsize="0,480" path="m4102,3095l4102,3575e" filled="false" stroked="true" strokeweight=".47998pt" strokecolor="#000000">
                <v:path arrowok="t"/>
              </v:shape>
            </v:group>
            <v:group style="position:absolute;left:7402;top:3095;width:2;height:480" coordorigin="7402,3095" coordsize="2,480">
              <v:shape style="position:absolute;left:7402;top:3095;width:2;height:480" coordorigin="7402,3095" coordsize="0,480" path="m7402,3095l7402,3575e" filled="false" stroked="true" strokeweight=".48001pt" strokecolor="#000000">
                <v:path arrowok="t"/>
              </v:shape>
            </v:group>
            <v:group style="position:absolute;left:1150;top:3584;width:2;height:240" coordorigin="1150,3584" coordsize="2,240">
              <v:shape style="position:absolute;left:1150;top:3584;width:2;height:240" coordorigin="1150,3584" coordsize="0,240" path="m1150,3584l1150,3824e" filled="false" stroked="true" strokeweight="1.140pt" strokecolor="#d3d3d3">
                <v:path arrowok="t"/>
              </v:shape>
            </v:group>
            <v:group style="position:absolute;left:4084;top:3584;width:2;height:240" coordorigin="4084,3584" coordsize="2,240">
              <v:shape style="position:absolute;left:4084;top:3584;width:2;height:240" coordorigin="4084,3584" coordsize="0,240" path="m4084,3584l4084,3824e" filled="false" stroked="true" strokeweight="1.140pt" strokecolor="#d3d3d3">
                <v:path arrowok="t"/>
              </v:shape>
            </v:group>
            <v:group style="position:absolute;left:1162;top:3584;width:2912;height:240" coordorigin="1162,3584" coordsize="2912,240">
              <v:shape style="position:absolute;left:1162;top:3584;width:2912;height:240" coordorigin="1162,3584" coordsize="2912,240" path="m1162,3824l4073,3824,4073,3584,1162,3584,1162,3824xe" filled="true" fillcolor="#d3d3d3" stroked="false">
                <v:path arrowok="t"/>
                <v:fill type="solid"/>
              </v:shape>
            </v:group>
            <v:group style="position:absolute;left:1129;top:3580;width:9578;height:2" coordorigin="1129,3580" coordsize="9578,2">
              <v:shape style="position:absolute;left:1129;top:3580;width:9578;height:2" coordorigin="1129,3580" coordsize="9578,0" path="m1129,3580l10706,3580e" filled="false" stroked="true" strokeweight=".48004pt" strokecolor="#000000">
                <v:path arrowok="t"/>
              </v:shape>
            </v:group>
            <v:group style="position:absolute;left:4102;top:3584;width:2;height:240" coordorigin="4102,3584" coordsize="2,240">
              <v:shape style="position:absolute;left:4102;top:3584;width:2;height:240" coordorigin="4102,3584" coordsize="0,240" path="m4102,3584l4102,3824e" filled="false" stroked="true" strokeweight=".47998pt" strokecolor="#000000">
                <v:path arrowok="t"/>
              </v:shape>
            </v:group>
            <v:group style="position:absolute;left:7402;top:3584;width:2;height:240" coordorigin="7402,3584" coordsize="2,240">
              <v:shape style="position:absolute;left:7402;top:3584;width:2;height:240" coordorigin="7402,3584" coordsize="0,240" path="m7402,3584l7402,3824e" filled="false" stroked="true" strokeweight=".48001pt" strokecolor="#000000">
                <v:path arrowok="t"/>
              </v:shape>
            </v:group>
            <v:group style="position:absolute;left:1150;top:3835;width:2;height:240" coordorigin="1150,3835" coordsize="2,240">
              <v:shape style="position:absolute;left:1150;top:3835;width:2;height:240" coordorigin="1150,3835" coordsize="0,240" path="m1150,3835l1150,4075e" filled="false" stroked="true" strokeweight="1.140pt" strokecolor="#d3d3d3">
                <v:path arrowok="t"/>
              </v:shape>
            </v:group>
            <v:group style="position:absolute;left:4084;top:3835;width:2;height:240" coordorigin="4084,3835" coordsize="2,240">
              <v:shape style="position:absolute;left:4084;top:3835;width:2;height:240" coordorigin="4084,3835" coordsize="0,240" path="m4084,3835l4084,4075e" filled="false" stroked="true" strokeweight="1.140pt" strokecolor="#d3d3d3">
                <v:path arrowok="t"/>
              </v:shape>
            </v:group>
            <v:group style="position:absolute;left:1162;top:3835;width:2912;height:240" coordorigin="1162,3835" coordsize="2912,240">
              <v:shape style="position:absolute;left:1162;top:3835;width:2912;height:240" coordorigin="1162,3835" coordsize="2912,240" path="m1162,4075l4073,4075,4073,3835,1162,3835,1162,4075xe" filled="true" fillcolor="#d3d3d3" stroked="false">
                <v:path arrowok="t"/>
                <v:fill type="solid"/>
              </v:shape>
            </v:group>
            <v:group style="position:absolute;left:1129;top:3829;width:9578;height:2" coordorigin="1129,3829" coordsize="9578,2">
              <v:shape style="position:absolute;left:1129;top:3829;width:9578;height:2" coordorigin="1129,3829" coordsize="9578,0" path="m1129,3829l10706,3829e" filled="false" stroked="true" strokeweight=".47998pt" strokecolor="#000000">
                <v:path arrowok="t"/>
              </v:shape>
            </v:group>
            <v:group style="position:absolute;left:4102;top:3834;width:2;height:242" coordorigin="4102,3834" coordsize="2,242">
              <v:shape style="position:absolute;left:4102;top:3834;width:2;height:242" coordorigin="4102,3834" coordsize="0,242" path="m4102,3834l4102,4075e" filled="false" stroked="true" strokeweight=".47998pt" strokecolor="#000000">
                <v:path arrowok="t"/>
              </v:shape>
            </v:group>
            <v:group style="position:absolute;left:7402;top:3834;width:2;height:242" coordorigin="7402,3834" coordsize="2,242">
              <v:shape style="position:absolute;left:7402;top:3834;width:2;height:242" coordorigin="7402,3834" coordsize="0,242" path="m7402,3834l7402,4075e" filled="false" stroked="true" strokeweight=".48001pt" strokecolor="#000000">
                <v:path arrowok="t"/>
              </v:shape>
            </v:group>
            <v:group style="position:absolute;left:1150;top:4085;width:2;height:240" coordorigin="1150,4085" coordsize="2,240">
              <v:shape style="position:absolute;left:1150;top:4085;width:2;height:240" coordorigin="1150,4085" coordsize="0,240" path="m1150,4085l1150,4325e" filled="false" stroked="true" strokeweight="1.140pt" strokecolor="#d3d3d3">
                <v:path arrowok="t"/>
              </v:shape>
            </v:group>
            <v:group style="position:absolute;left:4084;top:4085;width:2;height:240" coordorigin="4084,4085" coordsize="2,240">
              <v:shape style="position:absolute;left:4084;top:4085;width:2;height:240" coordorigin="4084,4085" coordsize="0,240" path="m4084,4085l4084,4325e" filled="false" stroked="true" strokeweight="1.140pt" strokecolor="#d3d3d3">
                <v:path arrowok="t"/>
              </v:shape>
            </v:group>
            <v:group style="position:absolute;left:1162;top:4085;width:2912;height:240" coordorigin="1162,4085" coordsize="2912,240">
              <v:shape style="position:absolute;left:1162;top:4085;width:2912;height:240" coordorigin="1162,4085" coordsize="2912,240" path="m1162,4325l4073,4325,4073,4085,1162,4085,1162,4325xe" filled="true" fillcolor="#d3d3d3" stroked="false">
                <v:path arrowok="t"/>
                <v:fill type="solid"/>
              </v:shape>
            </v:group>
            <v:group style="position:absolute;left:1129;top:4080;width:9578;height:2" coordorigin="1129,4080" coordsize="9578,2">
              <v:shape style="position:absolute;left:1129;top:4080;width:9578;height:2" coordorigin="1129,4080" coordsize="9578,0" path="m1129,4080l10706,4080e" filled="false" stroked="true" strokeweight=".48001pt" strokecolor="#000000">
                <v:path arrowok="t"/>
              </v:shape>
            </v:group>
            <v:group style="position:absolute;left:4102;top:4085;width:2;height:240" coordorigin="4102,4085" coordsize="2,240">
              <v:shape style="position:absolute;left:4102;top:4085;width:2;height:240" coordorigin="4102,4085" coordsize="0,240" path="m4102,4085l4102,4325e" filled="false" stroked="true" strokeweight=".47998pt" strokecolor="#000000">
                <v:path arrowok="t"/>
              </v:shape>
            </v:group>
            <v:group style="position:absolute;left:7402;top:4085;width:2;height:240" coordorigin="7402,4085" coordsize="2,240">
              <v:shape style="position:absolute;left:7402;top:4085;width:2;height:240" coordorigin="7402,4085" coordsize="0,240" path="m7402,4085l7402,4325e" filled="false" stroked="true" strokeweight=".48001pt" strokecolor="#000000">
                <v:path arrowok="t"/>
              </v:shape>
            </v:group>
            <v:group style="position:absolute;left:1150;top:4334;width:2;height:240" coordorigin="1150,4334" coordsize="2,240">
              <v:shape style="position:absolute;left:1150;top:4334;width:2;height:240" coordorigin="1150,4334" coordsize="0,240" path="m1150,4334l1150,4574e" filled="false" stroked="true" strokeweight="1.140pt" strokecolor="#d3d3d3">
                <v:path arrowok="t"/>
              </v:shape>
            </v:group>
            <v:group style="position:absolute;left:4084;top:4334;width:2;height:240" coordorigin="4084,4334" coordsize="2,240">
              <v:shape style="position:absolute;left:4084;top:4334;width:2;height:240" coordorigin="4084,4334" coordsize="0,240" path="m4084,4334l4084,4574e" filled="false" stroked="true" strokeweight="1.140pt" strokecolor="#d3d3d3">
                <v:path arrowok="t"/>
              </v:shape>
            </v:group>
            <v:group style="position:absolute;left:1162;top:4334;width:2912;height:240" coordorigin="1162,4334" coordsize="2912,240">
              <v:shape style="position:absolute;left:1162;top:4334;width:2912;height:240" coordorigin="1162,4334" coordsize="2912,240" path="m1162,4574l4073,4574,4073,4334,1162,4334,1162,4574xe" filled="true" fillcolor="#d3d3d3" stroked="false">
                <v:path arrowok="t"/>
                <v:fill type="solid"/>
              </v:shape>
            </v:group>
            <v:group style="position:absolute;left:1129;top:4330;width:9578;height:2" coordorigin="1129,4330" coordsize="9578,2">
              <v:shape style="position:absolute;left:1129;top:4330;width:9578;height:2" coordorigin="1129,4330" coordsize="9578,0" path="m1129,4330l10706,4330e" filled="false" stroked="true" strokeweight=".48001pt" strokecolor="#000000">
                <v:path arrowok="t"/>
              </v:shape>
            </v:group>
            <v:group style="position:absolute;left:4102;top:4334;width:2;height:240" coordorigin="4102,4334" coordsize="2,240">
              <v:shape style="position:absolute;left:4102;top:4334;width:2;height:240" coordorigin="4102,4334" coordsize="0,240" path="m4102,4334l4102,4574e" filled="false" stroked="true" strokeweight=".47998pt" strokecolor="#000000">
                <v:path arrowok="t"/>
              </v:shape>
            </v:group>
            <v:group style="position:absolute;left:7402;top:4334;width:2;height:240" coordorigin="7402,4334" coordsize="2,240">
              <v:shape style="position:absolute;left:7402;top:4334;width:2;height:240" coordorigin="7402,4334" coordsize="0,240" path="m7402,4334l7402,4574e" filled="false" stroked="true" strokeweight=".48001pt" strokecolor="#000000">
                <v:path arrowok="t"/>
              </v:shape>
            </v:group>
            <v:group style="position:absolute;left:1150;top:4585;width:2;height:240" coordorigin="1150,4585" coordsize="2,240">
              <v:shape style="position:absolute;left:1150;top:4585;width:2;height:240" coordorigin="1150,4585" coordsize="0,240" path="m1150,4585l1150,4825e" filled="false" stroked="true" strokeweight="1.140pt" strokecolor="#d3d3d3">
                <v:path arrowok="t"/>
              </v:shape>
            </v:group>
            <v:group style="position:absolute;left:4084;top:4585;width:2;height:240" coordorigin="4084,4585" coordsize="2,240">
              <v:shape style="position:absolute;left:4084;top:4585;width:2;height:240" coordorigin="4084,4585" coordsize="0,240" path="m4084,4585l4084,4825e" filled="false" stroked="true" strokeweight="1.140pt" strokecolor="#d3d3d3">
                <v:path arrowok="t"/>
              </v:shape>
            </v:group>
            <v:group style="position:absolute;left:1162;top:4585;width:2912;height:240" coordorigin="1162,4585" coordsize="2912,240">
              <v:shape style="position:absolute;left:1162;top:4585;width:2912;height:240" coordorigin="1162,4585" coordsize="2912,240" path="m1162,4825l4073,4825,4073,4585,1162,4585,1162,4825xe" filled="true" fillcolor="#d3d3d3" stroked="false">
                <v:path arrowok="t"/>
                <v:fill type="solid"/>
              </v:shape>
            </v:group>
            <v:group style="position:absolute;left:1129;top:4579;width:9578;height:2" coordorigin="1129,4579" coordsize="9578,2">
              <v:shape style="position:absolute;left:1129;top:4579;width:9578;height:2" coordorigin="1129,4579" coordsize="9578,0" path="m1129,4579l10706,4579e" filled="false" stroked="true" strokeweight=".47998pt" strokecolor="#000000">
                <v:path arrowok="t"/>
              </v:shape>
            </v:group>
            <v:group style="position:absolute;left:4102;top:4584;width:2;height:242" coordorigin="4102,4584" coordsize="2,242">
              <v:shape style="position:absolute;left:4102;top:4584;width:2;height:242" coordorigin="4102,4584" coordsize="0,242" path="m4102,4584l4102,4825e" filled="false" stroked="true" strokeweight=".47998pt" strokecolor="#000000">
                <v:path arrowok="t"/>
              </v:shape>
            </v:group>
            <v:group style="position:absolute;left:7402;top:4584;width:2;height:242" coordorigin="7402,4584" coordsize="2,242">
              <v:shape style="position:absolute;left:7402;top:4584;width:2;height:242" coordorigin="7402,4584" coordsize="0,242" path="m7402,4584l7402,4825e" filled="false" stroked="true" strokeweight=".48001pt" strokecolor="#000000">
                <v:path arrowok="t"/>
              </v:shape>
            </v:group>
            <v:group style="position:absolute;left:1150;top:4835;width:2;height:480" coordorigin="1150,4835" coordsize="2,480">
              <v:shape style="position:absolute;left:1150;top:4835;width:2;height:480" coordorigin="1150,4835" coordsize="0,480" path="m1150,4835l1150,5315e" filled="false" stroked="true" strokeweight="1.140pt" strokecolor="#d3d3d3">
                <v:path arrowok="t"/>
              </v:shape>
            </v:group>
            <v:group style="position:absolute;left:4084;top:4835;width:2;height:480" coordorigin="4084,4835" coordsize="2,480">
              <v:shape style="position:absolute;left:4084;top:4835;width:2;height:480" coordorigin="4084,4835" coordsize="0,480" path="m4084,4835l4084,5315e" filled="false" stroked="true" strokeweight="1.140pt" strokecolor="#d3d3d3">
                <v:path arrowok="t"/>
              </v:shape>
            </v:group>
            <v:group style="position:absolute;left:1162;top:4835;width:2912;height:240" coordorigin="1162,4835" coordsize="2912,240">
              <v:shape style="position:absolute;left:1162;top:4835;width:2912;height:240" coordorigin="1162,4835" coordsize="2912,240" path="m1162,5075l4073,5075,4073,4835,1162,4835,1162,5075xe" filled="true" fillcolor="#d3d3d3" stroked="false">
                <v:path arrowok="t"/>
                <v:fill type="solid"/>
              </v:shape>
            </v:group>
            <v:group style="position:absolute;left:1162;top:5075;width:2912;height:240" coordorigin="1162,5075" coordsize="2912,240">
              <v:shape style="position:absolute;left:1162;top:5075;width:2912;height:240" coordorigin="1162,5075" coordsize="2912,240" path="m1162,5315l4073,5315,4073,5075,1162,5075,1162,5315xe" filled="true" fillcolor="#d3d3d3" stroked="false">
                <v:path arrowok="t"/>
                <v:fill type="solid"/>
              </v:shape>
            </v:group>
            <v:group style="position:absolute;left:1129;top:4830;width:9578;height:2" coordorigin="1129,4830" coordsize="9578,2">
              <v:shape style="position:absolute;left:1129;top:4830;width:9578;height:2" coordorigin="1129,4830" coordsize="9578,0" path="m1129,4830l10706,4830e" filled="false" stroked="true" strokeweight=".48001pt" strokecolor="#000000">
                <v:path arrowok="t"/>
              </v:shape>
            </v:group>
            <v:group style="position:absolute;left:4102;top:4835;width:2;height:480" coordorigin="4102,4835" coordsize="2,480">
              <v:shape style="position:absolute;left:4102;top:4835;width:2;height:480" coordorigin="4102,4835" coordsize="0,480" path="m4102,4835l4102,5315e" filled="false" stroked="true" strokeweight=".47998pt" strokecolor="#000000">
                <v:path arrowok="t"/>
              </v:shape>
            </v:group>
            <v:group style="position:absolute;left:7402;top:4835;width:2;height:480" coordorigin="7402,4835" coordsize="2,480">
              <v:shape style="position:absolute;left:7402;top:4835;width:2;height:480" coordorigin="7402,4835" coordsize="0,480" path="m7402,4835l7402,5315e" filled="false" stroked="true" strokeweight=".48001pt" strokecolor="#000000">
                <v:path arrowok="t"/>
              </v:shape>
            </v:group>
            <v:group style="position:absolute;left:1150;top:5324;width:2;height:240" coordorigin="1150,5324" coordsize="2,240">
              <v:shape style="position:absolute;left:1150;top:5324;width:2;height:240" coordorigin="1150,5324" coordsize="0,240" path="m1150,5324l1150,5564e" filled="false" stroked="true" strokeweight="1.140pt" strokecolor="#d3d3d3">
                <v:path arrowok="t"/>
              </v:shape>
            </v:group>
            <v:group style="position:absolute;left:4084;top:5324;width:2;height:240" coordorigin="4084,5324" coordsize="2,240">
              <v:shape style="position:absolute;left:4084;top:5324;width:2;height:240" coordorigin="4084,5324" coordsize="0,240" path="m4084,5324l4084,5564e" filled="false" stroked="true" strokeweight="1.140pt" strokecolor="#d3d3d3">
                <v:path arrowok="t"/>
              </v:shape>
            </v:group>
            <v:group style="position:absolute;left:1162;top:5324;width:2912;height:240" coordorigin="1162,5324" coordsize="2912,240">
              <v:shape style="position:absolute;left:1162;top:5324;width:2912;height:240" coordorigin="1162,5324" coordsize="2912,240" path="m1162,5564l4073,5564,4073,5324,1162,5324,1162,5564xe" filled="true" fillcolor="#d3d3d3" stroked="false">
                <v:path arrowok="t"/>
                <v:fill type="solid"/>
              </v:shape>
            </v:group>
            <v:group style="position:absolute;left:1129;top:5320;width:9578;height:2" coordorigin="1129,5320" coordsize="9578,2">
              <v:shape style="position:absolute;left:1129;top:5320;width:9578;height:2" coordorigin="1129,5320" coordsize="9578,0" path="m1129,5320l10706,5320e" filled="false" stroked="true" strokeweight=".48001pt" strokecolor="#000000">
                <v:path arrowok="t"/>
              </v:shape>
            </v:group>
            <v:group style="position:absolute;left:4102;top:5324;width:2;height:240" coordorigin="4102,5324" coordsize="2,240">
              <v:shape style="position:absolute;left:4102;top:5324;width:2;height:240" coordorigin="4102,5324" coordsize="0,240" path="m4102,5324l4102,5564e" filled="false" stroked="true" strokeweight=".47998pt" strokecolor="#000000">
                <v:path arrowok="t"/>
              </v:shape>
            </v:group>
            <v:group style="position:absolute;left:7402;top:5324;width:2;height:240" coordorigin="7402,5324" coordsize="2,240">
              <v:shape style="position:absolute;left:7402;top:5324;width:2;height:240" coordorigin="7402,5324" coordsize="0,240" path="m7402,5324l7402,5564e" filled="false" stroked="true" strokeweight=".48001pt" strokecolor="#000000">
                <v:path arrowok="t"/>
              </v:shape>
            </v:group>
            <v:group style="position:absolute;left:1150;top:5575;width:2;height:240" coordorigin="1150,5575" coordsize="2,240">
              <v:shape style="position:absolute;left:1150;top:5575;width:2;height:240" coordorigin="1150,5575" coordsize="0,240" path="m1150,5575l1150,5815e" filled="false" stroked="true" strokeweight="1.140pt" strokecolor="#d3d3d3">
                <v:path arrowok="t"/>
              </v:shape>
            </v:group>
            <v:group style="position:absolute;left:4084;top:5575;width:2;height:240" coordorigin="4084,5575" coordsize="2,240">
              <v:shape style="position:absolute;left:4084;top:5575;width:2;height:240" coordorigin="4084,5575" coordsize="0,240" path="m4084,5575l4084,5815e" filled="false" stroked="true" strokeweight="1.140pt" strokecolor="#d3d3d3">
                <v:path arrowok="t"/>
              </v:shape>
            </v:group>
            <v:group style="position:absolute;left:1162;top:5575;width:2912;height:240" coordorigin="1162,5575" coordsize="2912,240">
              <v:shape style="position:absolute;left:1162;top:5575;width:2912;height:240" coordorigin="1162,5575" coordsize="2912,240" path="m1162,5815l4073,5815,4073,5575,1162,5575,1162,5815xe" filled="true" fillcolor="#d3d3d3" stroked="false">
                <v:path arrowok="t"/>
                <v:fill type="solid"/>
              </v:shape>
            </v:group>
            <v:group style="position:absolute;left:1129;top:5569;width:9578;height:2" coordorigin="1129,5569" coordsize="9578,2">
              <v:shape style="position:absolute;left:1129;top:5569;width:9578;height:2" coordorigin="1129,5569" coordsize="9578,0" path="m1129,5569l10706,5569e" filled="false" stroked="true" strokeweight=".47998pt" strokecolor="#000000">
                <v:path arrowok="t"/>
              </v:shape>
            </v:group>
            <v:group style="position:absolute;left:4102;top:5574;width:2;height:242" coordorigin="4102,5574" coordsize="2,242">
              <v:shape style="position:absolute;left:4102;top:5574;width:2;height:242" coordorigin="4102,5574" coordsize="0,242" path="m4102,5574l4102,5815e" filled="false" stroked="true" strokeweight=".47998pt" strokecolor="#000000">
                <v:path arrowok="t"/>
              </v:shape>
            </v:group>
            <v:group style="position:absolute;left:7402;top:5574;width:2;height:242" coordorigin="7402,5574" coordsize="2,242">
              <v:shape style="position:absolute;left:7402;top:5574;width:2;height:242" coordorigin="7402,5574" coordsize="0,242" path="m7402,5574l7402,5815e" filled="false" stroked="true" strokeweight=".48001pt" strokecolor="#000000">
                <v:path arrowok="t"/>
              </v:shape>
            </v:group>
            <v:group style="position:absolute;left:1150;top:5825;width:2;height:240" coordorigin="1150,5825" coordsize="2,240">
              <v:shape style="position:absolute;left:1150;top:5825;width:2;height:240" coordorigin="1150,5825" coordsize="0,240" path="m1150,5825l1150,6065e" filled="false" stroked="true" strokeweight="1.140pt" strokecolor="#d3d3d3">
                <v:path arrowok="t"/>
              </v:shape>
            </v:group>
            <v:group style="position:absolute;left:4084;top:5825;width:2;height:240" coordorigin="4084,5825" coordsize="2,240">
              <v:shape style="position:absolute;left:4084;top:5825;width:2;height:240" coordorigin="4084,5825" coordsize="0,240" path="m4084,5825l4084,6065e" filled="false" stroked="true" strokeweight="1.140pt" strokecolor="#d3d3d3">
                <v:path arrowok="t"/>
              </v:shape>
            </v:group>
            <v:group style="position:absolute;left:1162;top:5825;width:2912;height:240" coordorigin="1162,5825" coordsize="2912,240">
              <v:shape style="position:absolute;left:1162;top:5825;width:2912;height:240" coordorigin="1162,5825" coordsize="2912,240" path="m1162,6065l4073,6065,4073,5825,1162,5825,1162,6065xe" filled="true" fillcolor="#d3d3d3" stroked="false">
                <v:path arrowok="t"/>
                <v:fill type="solid"/>
              </v:shape>
            </v:group>
            <v:group style="position:absolute;left:1129;top:5820;width:9578;height:2" coordorigin="1129,5820" coordsize="9578,2">
              <v:shape style="position:absolute;left:1129;top:5820;width:9578;height:2" coordorigin="1129,5820" coordsize="9578,0" path="m1129,5820l10706,5820e" filled="false" stroked="true" strokeweight=".48001pt" strokecolor="#000000">
                <v:path arrowok="t"/>
              </v:shape>
            </v:group>
            <v:group style="position:absolute;left:4102;top:5825;width:2;height:240" coordorigin="4102,5825" coordsize="2,240">
              <v:shape style="position:absolute;left:4102;top:5825;width:2;height:240" coordorigin="4102,5825" coordsize="0,240" path="m4102,5825l4102,6065e" filled="false" stroked="true" strokeweight=".47998pt" strokecolor="#000000">
                <v:path arrowok="t"/>
              </v:shape>
            </v:group>
            <v:group style="position:absolute;left:7402;top:5825;width:2;height:240" coordorigin="7402,5825" coordsize="2,240">
              <v:shape style="position:absolute;left:7402;top:5825;width:2;height:240" coordorigin="7402,5825" coordsize="0,240" path="m7402,5825l7402,6065e" filled="false" stroked="true" strokeweight=".48001pt" strokecolor="#000000">
                <v:path arrowok="t"/>
              </v:shape>
            </v:group>
            <v:group style="position:absolute;left:1150;top:6074;width:2;height:480" coordorigin="1150,6074" coordsize="2,480">
              <v:shape style="position:absolute;left:1150;top:6074;width:2;height:480" coordorigin="1150,6074" coordsize="0,480" path="m1150,6074l1150,6554e" filled="false" stroked="true" strokeweight="1.140pt" strokecolor="#d3d3d3">
                <v:path arrowok="t"/>
              </v:shape>
            </v:group>
            <v:group style="position:absolute;left:4084;top:6074;width:2;height:480" coordorigin="4084,6074" coordsize="2,480">
              <v:shape style="position:absolute;left:4084;top:6074;width:2;height:480" coordorigin="4084,6074" coordsize="0,480" path="m4084,6074l4084,6554e" filled="false" stroked="true" strokeweight="1.140pt" strokecolor="#d3d3d3">
                <v:path arrowok="t"/>
              </v:shape>
            </v:group>
            <v:group style="position:absolute;left:1162;top:6074;width:2912;height:240" coordorigin="1162,6074" coordsize="2912,240">
              <v:shape style="position:absolute;left:1162;top:6074;width:2912;height:240" coordorigin="1162,6074" coordsize="2912,240" path="m1162,6314l4073,6314,4073,6074,1162,6074,1162,6314xe" filled="true" fillcolor="#d3d3d3" stroked="false">
                <v:path arrowok="t"/>
                <v:fill type="solid"/>
              </v:shape>
            </v:group>
            <v:group style="position:absolute;left:1162;top:6314;width:2912;height:240" coordorigin="1162,6314" coordsize="2912,240">
              <v:shape style="position:absolute;left:1162;top:6314;width:2912;height:240" coordorigin="1162,6314" coordsize="2912,240" path="m1162,6554l4073,6554,4073,6314,1162,6314,1162,6554xe" filled="true" fillcolor="#d3d3d3" stroked="false">
                <v:path arrowok="t"/>
                <v:fill type="solid"/>
              </v:shape>
            </v:group>
            <v:group style="position:absolute;left:1129;top:6070;width:9578;height:2" coordorigin="1129,6070" coordsize="9578,2">
              <v:shape style="position:absolute;left:1129;top:6070;width:9578;height:2" coordorigin="1129,6070" coordsize="9578,0" path="m1129,6070l10706,6070e" filled="false" stroked="true" strokeweight=".48001pt" strokecolor="#000000">
                <v:path arrowok="t"/>
              </v:shape>
            </v:group>
            <v:group style="position:absolute;left:4102;top:6074;width:2;height:480" coordorigin="4102,6074" coordsize="2,480">
              <v:shape style="position:absolute;left:4102;top:6074;width:2;height:480" coordorigin="4102,6074" coordsize="0,480" path="m4102,6074l4102,6554e" filled="false" stroked="true" strokeweight=".47998pt" strokecolor="#000000">
                <v:path arrowok="t"/>
              </v:shape>
            </v:group>
            <v:group style="position:absolute;left:7402;top:6074;width:2;height:480" coordorigin="7402,6074" coordsize="2,480">
              <v:shape style="position:absolute;left:7402;top:6074;width:2;height:480" coordorigin="7402,6074" coordsize="0,480" path="m7402,6074l7402,6554e" filled="false" stroked="true" strokeweight=".48001pt" strokecolor="#000000">
                <v:path arrowok="t"/>
              </v:shape>
            </v:group>
            <v:group style="position:absolute;left:1150;top:6565;width:2;height:480" coordorigin="1150,6565" coordsize="2,480">
              <v:shape style="position:absolute;left:1150;top:6565;width:2;height:480" coordorigin="1150,6565" coordsize="0,480" path="m1150,6565l1150,7045e" filled="false" stroked="true" strokeweight="1.140pt" strokecolor="#d3d3d3">
                <v:path arrowok="t"/>
              </v:shape>
            </v:group>
            <v:group style="position:absolute;left:4084;top:6565;width:2;height:480" coordorigin="4084,6565" coordsize="2,480">
              <v:shape style="position:absolute;left:4084;top:6565;width:2;height:480" coordorigin="4084,6565" coordsize="0,480" path="m4084,6565l4084,7045e" filled="false" stroked="true" strokeweight="1.140pt" strokecolor="#d3d3d3">
                <v:path arrowok="t"/>
              </v:shape>
            </v:group>
            <v:group style="position:absolute;left:1162;top:6565;width:2912;height:240" coordorigin="1162,6565" coordsize="2912,240">
              <v:shape style="position:absolute;left:1162;top:6565;width:2912;height:240" coordorigin="1162,6565" coordsize="2912,240" path="m1162,6805l4073,6805,4073,6565,1162,6565,1162,6805xe" filled="true" fillcolor="#d3d3d3" stroked="false">
                <v:path arrowok="t"/>
                <v:fill type="solid"/>
              </v:shape>
            </v:group>
            <v:group style="position:absolute;left:1162;top:6805;width:2912;height:240" coordorigin="1162,6805" coordsize="2912,240">
              <v:shape style="position:absolute;left:1162;top:6805;width:2912;height:240" coordorigin="1162,6805" coordsize="2912,240" path="m1162,7045l4073,7045,4073,6805,1162,6805,1162,7045xe" filled="true" fillcolor="#d3d3d3" stroked="false">
                <v:path arrowok="t"/>
                <v:fill type="solid"/>
              </v:shape>
            </v:group>
            <v:group style="position:absolute;left:1129;top:6559;width:9578;height:2" coordorigin="1129,6559" coordsize="9578,2">
              <v:shape style="position:absolute;left:1129;top:6559;width:9578;height:2" coordorigin="1129,6559" coordsize="9578,0" path="m1129,6559l10706,6559e" filled="false" stroked="true" strokeweight=".47998pt" strokecolor="#000000">
                <v:path arrowok="t"/>
              </v:shape>
            </v:group>
            <v:group style="position:absolute;left:4102;top:6564;width:2;height:482" coordorigin="4102,6564" coordsize="2,482">
              <v:shape style="position:absolute;left:4102;top:6564;width:2;height:482" coordorigin="4102,6564" coordsize="0,482" path="m4102,6564l4102,7045e" filled="false" stroked="true" strokeweight=".47998pt" strokecolor="#000000">
                <v:path arrowok="t"/>
              </v:shape>
            </v:group>
            <v:group style="position:absolute;left:7402;top:6564;width:2;height:482" coordorigin="7402,6564" coordsize="2,482">
              <v:shape style="position:absolute;left:7402;top:6564;width:2;height:482" coordorigin="7402,6564" coordsize="0,482" path="m7402,6564l7402,7045e" filled="false" stroked="true" strokeweight=".48001pt" strokecolor="#000000">
                <v:path arrowok="t"/>
              </v:shape>
            </v:group>
            <v:group style="position:absolute;left:1150;top:7055;width:2;height:720" coordorigin="1150,7055" coordsize="2,720">
              <v:shape style="position:absolute;left:1150;top:7055;width:2;height:720" coordorigin="1150,7055" coordsize="0,720" path="m1150,7055l1150,7775e" filled="false" stroked="true" strokeweight="1.140pt" strokecolor="#d3d3d3">
                <v:path arrowok="t"/>
              </v:shape>
            </v:group>
            <v:group style="position:absolute;left:4084;top:7055;width:2;height:720" coordorigin="4084,7055" coordsize="2,720">
              <v:shape style="position:absolute;left:4084;top:7055;width:2;height:720" coordorigin="4084,7055" coordsize="0,720" path="m4084,7055l4084,7775e" filled="false" stroked="true" strokeweight="1.140pt" strokecolor="#d3d3d3">
                <v:path arrowok="t"/>
              </v:shape>
            </v:group>
            <v:group style="position:absolute;left:1162;top:7055;width:2912;height:240" coordorigin="1162,7055" coordsize="2912,240">
              <v:shape style="position:absolute;left:1162;top:7055;width:2912;height:240" coordorigin="1162,7055" coordsize="2912,240" path="m1162,7295l4073,7295,4073,7055,1162,7055,1162,7295xe" filled="true" fillcolor="#d3d3d3" stroked="false">
                <v:path arrowok="t"/>
                <v:fill type="solid"/>
              </v:shape>
            </v:group>
            <v:group style="position:absolute;left:1162;top:7295;width:2912;height:240" coordorigin="1162,7295" coordsize="2912,240">
              <v:shape style="position:absolute;left:1162;top:7295;width:2912;height:240" coordorigin="1162,7295" coordsize="2912,240" path="m1162,7535l4073,7535,4073,7295,1162,7295,1162,7535xe" filled="true" fillcolor="#d3d3d3" stroked="false">
                <v:path arrowok="t"/>
                <v:fill type="solid"/>
              </v:shape>
            </v:group>
            <v:group style="position:absolute;left:1162;top:7535;width:2912;height:240" coordorigin="1162,7535" coordsize="2912,240">
              <v:shape style="position:absolute;left:1162;top:7535;width:2912;height:240" coordorigin="1162,7535" coordsize="2912,240" path="m1162,7775l4073,7775,4073,7535,1162,7535,1162,7775xe" filled="true" fillcolor="#d3d3d3" stroked="false">
                <v:path arrowok="t"/>
                <v:fill type="solid"/>
              </v:shape>
            </v:group>
            <v:group style="position:absolute;left:1129;top:7050;width:9578;height:2" coordorigin="1129,7050" coordsize="9578,2">
              <v:shape style="position:absolute;left:1129;top:7050;width:9578;height:2" coordorigin="1129,7050" coordsize="9578,0" path="m1129,7050l10706,7050e" filled="false" stroked="true" strokeweight=".48001pt" strokecolor="#000000">
                <v:path arrowok="t"/>
              </v:shape>
            </v:group>
            <v:group style="position:absolute;left:4102;top:7055;width:2;height:720" coordorigin="4102,7055" coordsize="2,720">
              <v:shape style="position:absolute;left:4102;top:7055;width:2;height:720" coordorigin="4102,7055" coordsize="0,720" path="m4102,7055l4102,7775e" filled="false" stroked="true" strokeweight=".47998pt" strokecolor="#000000">
                <v:path arrowok="t"/>
              </v:shape>
            </v:group>
            <v:group style="position:absolute;left:7402;top:7055;width:2;height:720" coordorigin="7402,7055" coordsize="2,720">
              <v:shape style="position:absolute;left:7402;top:7055;width:2;height:720" coordorigin="7402,7055" coordsize="0,720" path="m7402,7055l7402,7775e" filled="false" stroked="true" strokeweight=".48001pt" strokecolor="#000000">
                <v:path arrowok="t"/>
              </v:shape>
            </v:group>
            <v:group style="position:absolute;left:1150;top:7784;width:2;height:480" coordorigin="1150,7784" coordsize="2,480">
              <v:shape style="position:absolute;left:1150;top:7784;width:2;height:480" coordorigin="1150,7784" coordsize="0,480" path="m1150,7784l1150,8264e" filled="false" stroked="true" strokeweight="1.140pt" strokecolor="#d3d3d3">
                <v:path arrowok="t"/>
              </v:shape>
            </v:group>
            <v:group style="position:absolute;left:4084;top:7784;width:2;height:480" coordorigin="4084,7784" coordsize="2,480">
              <v:shape style="position:absolute;left:4084;top:7784;width:2;height:480" coordorigin="4084,7784" coordsize="0,480" path="m4084,7784l4084,8264e" filled="false" stroked="true" strokeweight="1.140pt" strokecolor="#d3d3d3">
                <v:path arrowok="t"/>
              </v:shape>
            </v:group>
            <v:group style="position:absolute;left:1162;top:7784;width:2912;height:240" coordorigin="1162,7784" coordsize="2912,240">
              <v:shape style="position:absolute;left:1162;top:7784;width:2912;height:240" coordorigin="1162,7784" coordsize="2912,240" path="m1162,8024l4073,8024,4073,7784,1162,7784,1162,8024xe" filled="true" fillcolor="#d3d3d3" stroked="false">
                <v:path arrowok="t"/>
                <v:fill type="solid"/>
              </v:shape>
            </v:group>
            <v:group style="position:absolute;left:1162;top:8024;width:2912;height:240" coordorigin="1162,8024" coordsize="2912,240">
              <v:shape style="position:absolute;left:1162;top:8024;width:2912;height:240" coordorigin="1162,8024" coordsize="2912,240" path="m1162,8264l4073,8264,4073,8024,1162,8024,1162,8264xe" filled="true" fillcolor="#d3d3d3" stroked="false">
                <v:path arrowok="t"/>
                <v:fill type="solid"/>
              </v:shape>
            </v:group>
            <v:group style="position:absolute;left:1129;top:7780;width:9578;height:2" coordorigin="1129,7780" coordsize="9578,2">
              <v:shape style="position:absolute;left:1129;top:7780;width:9578;height:2" coordorigin="1129,7780" coordsize="9578,0" path="m1129,7780l10706,7780e" filled="false" stroked="true" strokeweight=".48001pt" strokecolor="#000000">
                <v:path arrowok="t"/>
              </v:shape>
            </v:group>
            <v:group style="position:absolute;left:4102;top:7784;width:2;height:480" coordorigin="4102,7784" coordsize="2,480">
              <v:shape style="position:absolute;left:4102;top:7784;width:2;height:480" coordorigin="4102,7784" coordsize="0,480" path="m4102,7784l4102,8264e" filled="false" stroked="true" strokeweight=".47998pt" strokecolor="#000000">
                <v:path arrowok="t"/>
              </v:shape>
            </v:group>
            <v:group style="position:absolute;left:7402;top:7784;width:2;height:480" coordorigin="7402,7784" coordsize="2,480">
              <v:shape style="position:absolute;left:7402;top:7784;width:2;height:480" coordorigin="7402,7784" coordsize="0,480" path="m7402,7784l7402,8264e" filled="false" stroked="true" strokeweight=".48001pt" strokecolor="#000000">
                <v:path arrowok="t"/>
              </v:shape>
            </v:group>
            <v:group style="position:absolute;left:1150;top:8275;width:2;height:720" coordorigin="1150,8275" coordsize="2,720">
              <v:shape style="position:absolute;left:1150;top:8275;width:2;height:720" coordorigin="1150,8275" coordsize="0,720" path="m1150,8275l1150,8995e" filled="false" stroked="true" strokeweight="1.140pt" strokecolor="#d3d3d3">
                <v:path arrowok="t"/>
              </v:shape>
            </v:group>
            <v:group style="position:absolute;left:4084;top:8275;width:2;height:720" coordorigin="4084,8275" coordsize="2,720">
              <v:shape style="position:absolute;left:4084;top:8275;width:2;height:720" coordorigin="4084,8275" coordsize="0,720" path="m4084,8275l4084,8995e" filled="false" stroked="true" strokeweight="1.140pt" strokecolor="#d3d3d3">
                <v:path arrowok="t"/>
              </v:shape>
            </v:group>
            <v:group style="position:absolute;left:1162;top:8275;width:2912;height:240" coordorigin="1162,8275" coordsize="2912,240">
              <v:shape style="position:absolute;left:1162;top:8275;width:2912;height:240" coordorigin="1162,8275" coordsize="2912,240" path="m1162,8515l4073,8515,4073,8275,1162,8275,1162,8515xe" filled="true" fillcolor="#d3d3d3" stroked="false">
                <v:path arrowok="t"/>
                <v:fill type="solid"/>
              </v:shape>
            </v:group>
            <v:group style="position:absolute;left:1162;top:8515;width:2912;height:240" coordorigin="1162,8515" coordsize="2912,240">
              <v:shape style="position:absolute;left:1162;top:8515;width:2912;height:240" coordorigin="1162,8515" coordsize="2912,240" path="m1162,8755l4073,8755,4073,8515,1162,8515,1162,8755xe" filled="true" fillcolor="#d3d3d3" stroked="false">
                <v:path arrowok="t"/>
                <v:fill type="solid"/>
              </v:shape>
            </v:group>
            <v:group style="position:absolute;left:1162;top:8755;width:2912;height:240" coordorigin="1162,8755" coordsize="2912,240">
              <v:shape style="position:absolute;left:1162;top:8755;width:2912;height:240" coordorigin="1162,8755" coordsize="2912,240" path="m1162,8995l4073,8995,4073,8755,1162,8755,1162,8995xe" filled="true" fillcolor="#d3d3d3" stroked="false">
                <v:path arrowok="t"/>
                <v:fill type="solid"/>
              </v:shape>
            </v:group>
            <v:group style="position:absolute;left:1129;top:8269;width:9578;height:2" coordorigin="1129,8269" coordsize="9578,2">
              <v:shape style="position:absolute;left:1129;top:8269;width:9578;height:2" coordorigin="1129,8269" coordsize="9578,0" path="m1129,8269l10706,8269e" filled="false" stroked="true" strokeweight=".48001pt" strokecolor="#000000">
                <v:path arrowok="t"/>
              </v:shape>
            </v:group>
            <v:group style="position:absolute;left:4102;top:8274;width:2;height:722" coordorigin="4102,8274" coordsize="2,722">
              <v:shape style="position:absolute;left:4102;top:8274;width:2;height:722" coordorigin="4102,8274" coordsize="0,722" path="m4102,8274l4102,8995e" filled="false" stroked="true" strokeweight=".47998pt" strokecolor="#000000">
                <v:path arrowok="t"/>
              </v:shape>
            </v:group>
            <v:group style="position:absolute;left:7402;top:8274;width:2;height:722" coordorigin="7402,8274" coordsize="2,722">
              <v:shape style="position:absolute;left:7402;top:8274;width:2;height:722" coordorigin="7402,8274" coordsize="0,722" path="m7402,8274l7402,8995e" filled="false" stroked="true" strokeweight=".48001pt" strokecolor="#000000">
                <v:path arrowok="t"/>
              </v:shape>
            </v:group>
            <v:group style="position:absolute;left:1150;top:9005;width:2;height:480" coordorigin="1150,9005" coordsize="2,480">
              <v:shape style="position:absolute;left:1150;top:9005;width:2;height:480" coordorigin="1150,9005" coordsize="0,480" path="m1150,9005l1150,9485e" filled="false" stroked="true" strokeweight="1.140pt" strokecolor="#d3d3d3">
                <v:path arrowok="t"/>
              </v:shape>
            </v:group>
            <v:group style="position:absolute;left:4084;top:9005;width:2;height:480" coordorigin="4084,9005" coordsize="2,480">
              <v:shape style="position:absolute;left:4084;top:9005;width:2;height:480" coordorigin="4084,9005" coordsize="0,480" path="m4084,9005l4084,9485e" filled="false" stroked="true" strokeweight="1.140pt" strokecolor="#d3d3d3">
                <v:path arrowok="t"/>
              </v:shape>
            </v:group>
            <v:group style="position:absolute;left:1162;top:9005;width:2912;height:240" coordorigin="1162,9005" coordsize="2912,240">
              <v:shape style="position:absolute;left:1162;top:9005;width:2912;height:240" coordorigin="1162,9005" coordsize="2912,240" path="m1162,9245l4073,9245,4073,9005,1162,9005,1162,9245xe" filled="true" fillcolor="#d3d3d3" stroked="false">
                <v:path arrowok="t"/>
                <v:fill type="solid"/>
              </v:shape>
            </v:group>
            <v:group style="position:absolute;left:1162;top:9245;width:2912;height:240" coordorigin="1162,9245" coordsize="2912,240">
              <v:shape style="position:absolute;left:1162;top:9245;width:2912;height:240" coordorigin="1162,9245" coordsize="2912,240" path="m1162,9485l4073,9485,4073,9245,1162,9245,1162,9485xe" filled="true" fillcolor="#d3d3d3" stroked="false">
                <v:path arrowok="t"/>
                <v:fill type="solid"/>
              </v:shape>
            </v:group>
            <v:group style="position:absolute;left:1129;top:9000;width:9578;height:2" coordorigin="1129,9000" coordsize="9578,2">
              <v:shape style="position:absolute;left:1129;top:9000;width:9578;height:2" coordorigin="1129,9000" coordsize="9578,0" path="m1129,9000l10706,9000e" filled="false" stroked="true" strokeweight=".47998pt" strokecolor="#000000">
                <v:path arrowok="t"/>
              </v:shape>
            </v:group>
            <v:group style="position:absolute;left:4102;top:9005;width:2;height:480" coordorigin="4102,9005" coordsize="2,480">
              <v:shape style="position:absolute;left:4102;top:9005;width:2;height:480" coordorigin="4102,9005" coordsize="0,480" path="m4102,9005l4102,9485e" filled="false" stroked="true" strokeweight=".47998pt" strokecolor="#000000">
                <v:path arrowok="t"/>
              </v:shape>
            </v:group>
            <v:group style="position:absolute;left:7402;top:9005;width:2;height:480" coordorigin="7402,9005" coordsize="2,480">
              <v:shape style="position:absolute;left:7402;top:9005;width:2;height:480" coordorigin="7402,9005" coordsize="0,480" path="m7402,9005l7402,9485e" filled="false" stroked="true" strokeweight=".48001pt" strokecolor="#000000">
                <v:path arrowok="t"/>
              </v:shape>
            </v:group>
            <v:group style="position:absolute;left:1150;top:9494;width:2;height:480" coordorigin="1150,9494" coordsize="2,480">
              <v:shape style="position:absolute;left:1150;top:9494;width:2;height:480" coordorigin="1150,9494" coordsize="0,480" path="m1150,9494l1150,9974e" filled="false" stroked="true" strokeweight="1.140pt" strokecolor="#d3d3d3">
                <v:path arrowok="t"/>
              </v:shape>
            </v:group>
            <v:group style="position:absolute;left:4084;top:9494;width:2;height:480" coordorigin="4084,9494" coordsize="2,480">
              <v:shape style="position:absolute;left:4084;top:9494;width:2;height:480" coordorigin="4084,9494" coordsize="0,480" path="m4084,9494l4084,9974e" filled="false" stroked="true" strokeweight="1.140pt" strokecolor="#d3d3d3">
                <v:path arrowok="t"/>
              </v:shape>
            </v:group>
            <v:group style="position:absolute;left:1162;top:9494;width:2912;height:240" coordorigin="1162,9494" coordsize="2912,240">
              <v:shape style="position:absolute;left:1162;top:9494;width:2912;height:240" coordorigin="1162,9494" coordsize="2912,240" path="m1162,9734l4073,9734,4073,9494,1162,9494,1162,9734xe" filled="true" fillcolor="#d3d3d3" stroked="false">
                <v:path arrowok="t"/>
                <v:fill type="solid"/>
              </v:shape>
            </v:group>
            <v:group style="position:absolute;left:1162;top:9734;width:2912;height:240" coordorigin="1162,9734" coordsize="2912,240">
              <v:shape style="position:absolute;left:1162;top:9734;width:2912;height:240" coordorigin="1162,9734" coordsize="2912,240" path="m1162,9974l4073,9974,4073,9734,1162,9734,1162,9974xe" filled="true" fillcolor="#d3d3d3" stroked="false">
                <v:path arrowok="t"/>
                <v:fill type="solid"/>
              </v:shape>
            </v:group>
            <v:group style="position:absolute;left:1129;top:9490;width:9578;height:2" coordorigin="1129,9490" coordsize="9578,2">
              <v:shape style="position:absolute;left:1129;top:9490;width:9578;height:2" coordorigin="1129,9490" coordsize="9578,0" path="m1129,9490l10706,9490e" filled="false" stroked="true" strokeweight=".48pt" strokecolor="#000000">
                <v:path arrowok="t"/>
              </v:shape>
            </v:group>
            <v:group style="position:absolute;left:4102;top:9494;width:2;height:480" coordorigin="4102,9494" coordsize="2,480">
              <v:shape style="position:absolute;left:4102;top:9494;width:2;height:480" coordorigin="4102,9494" coordsize="0,480" path="m4102,9494l4102,9974e" filled="false" stroked="true" strokeweight=".47998pt" strokecolor="#000000">
                <v:path arrowok="t"/>
              </v:shape>
            </v:group>
            <v:group style="position:absolute;left:7402;top:9494;width:2;height:480" coordorigin="7402,9494" coordsize="2,480">
              <v:shape style="position:absolute;left:7402;top:9494;width:2;height:480" coordorigin="7402,9494" coordsize="0,480" path="m7402,9494l7402,9974e" filled="false" stroked="true" strokeweight=".48001pt" strokecolor="#000000">
                <v:path arrowok="t"/>
              </v:shape>
            </v:group>
            <v:group style="position:absolute;left:1150;top:9985;width:2;height:480" coordorigin="1150,9985" coordsize="2,480">
              <v:shape style="position:absolute;left:1150;top:9985;width:2;height:480" coordorigin="1150,9985" coordsize="0,480" path="m1150,9985l1150,10465e" filled="false" stroked="true" strokeweight="1.140pt" strokecolor="#d3d3d3">
                <v:path arrowok="t"/>
              </v:shape>
            </v:group>
            <v:group style="position:absolute;left:4084;top:9985;width:2;height:480" coordorigin="4084,9985" coordsize="2,480">
              <v:shape style="position:absolute;left:4084;top:9985;width:2;height:480" coordorigin="4084,9985" coordsize="0,480" path="m4084,9985l4084,10465e" filled="false" stroked="true" strokeweight="1.140pt" strokecolor="#d3d3d3">
                <v:path arrowok="t"/>
              </v:shape>
            </v:group>
            <v:group style="position:absolute;left:1162;top:9985;width:2912;height:240" coordorigin="1162,9985" coordsize="2912,240">
              <v:shape style="position:absolute;left:1162;top:9985;width:2912;height:240" coordorigin="1162,9985" coordsize="2912,240" path="m1162,10225l4073,10225,4073,9985,1162,9985,1162,10225xe" filled="true" fillcolor="#d3d3d3" stroked="false">
                <v:path arrowok="t"/>
                <v:fill type="solid"/>
              </v:shape>
            </v:group>
            <v:group style="position:absolute;left:1162;top:10225;width:2912;height:240" coordorigin="1162,10225" coordsize="2912,240">
              <v:shape style="position:absolute;left:1162;top:10225;width:2912;height:240" coordorigin="1162,10225" coordsize="2912,240" path="m1162,10465l4073,10465,4073,10225,1162,10225,1162,10465xe" filled="true" fillcolor="#d3d3d3" stroked="false">
                <v:path arrowok="t"/>
                <v:fill type="solid"/>
              </v:shape>
            </v:group>
            <v:group style="position:absolute;left:1129;top:9979;width:9578;height:2" coordorigin="1129,9979" coordsize="9578,2">
              <v:shape style="position:absolute;left:1129;top:9979;width:9578;height:2" coordorigin="1129,9979" coordsize="9578,0" path="m1129,9979l10706,9979e" filled="false" stroked="true" strokeweight=".48pt" strokecolor="#000000">
                <v:path arrowok="t"/>
              </v:shape>
            </v:group>
            <v:group style="position:absolute;left:4102;top:9984;width:2;height:482" coordorigin="4102,9984" coordsize="2,482">
              <v:shape style="position:absolute;left:4102;top:9984;width:2;height:482" coordorigin="4102,9984" coordsize="0,482" path="m4102,9984l4102,10465e" filled="false" stroked="true" strokeweight=".47998pt" strokecolor="#000000">
                <v:path arrowok="t"/>
              </v:shape>
            </v:group>
            <v:group style="position:absolute;left:7402;top:9984;width:2;height:482" coordorigin="7402,9984" coordsize="2,482">
              <v:shape style="position:absolute;left:7402;top:9984;width:2;height:482" coordorigin="7402,9984" coordsize="0,482" path="m7402,9984l7402,10465e" filled="false" stroked="true" strokeweight=".48001pt" strokecolor="#000000">
                <v:path arrowok="t"/>
              </v:shape>
            </v:group>
            <v:group style="position:absolute;left:1150;top:10475;width:2;height:240" coordorigin="1150,10475" coordsize="2,240">
              <v:shape style="position:absolute;left:1150;top:10475;width:2;height:240" coordorigin="1150,10475" coordsize="0,240" path="m1150,10475l1150,10715e" filled="false" stroked="true" strokeweight="1.140pt" strokecolor="#d3d3d3">
                <v:path arrowok="t"/>
              </v:shape>
            </v:group>
            <v:group style="position:absolute;left:4084;top:10475;width:2;height:240" coordorigin="4084,10475" coordsize="2,240">
              <v:shape style="position:absolute;left:4084;top:10475;width:2;height:240" coordorigin="4084,10475" coordsize="0,240" path="m4084,10475l4084,10715e" filled="false" stroked="true" strokeweight="1.140pt" strokecolor="#d3d3d3">
                <v:path arrowok="t"/>
              </v:shape>
            </v:group>
            <v:group style="position:absolute;left:1162;top:10475;width:2912;height:240" coordorigin="1162,10475" coordsize="2912,240">
              <v:shape style="position:absolute;left:1162;top:10475;width:2912;height:240" coordorigin="1162,10475" coordsize="2912,240" path="m1162,10715l4073,10715,4073,10475,1162,10475,1162,10715xe" filled="true" fillcolor="#d3d3d3" stroked="false">
                <v:path arrowok="t"/>
                <v:fill type="solid"/>
              </v:shape>
            </v:group>
            <v:group style="position:absolute;left:1129;top:10470;width:9578;height:2" coordorigin="1129,10470" coordsize="9578,2">
              <v:shape style="position:absolute;left:1129;top:10470;width:9578;height:2" coordorigin="1129,10470" coordsize="9578,0" path="m1129,10470l10706,10470e" filled="false" stroked="true" strokeweight=".48pt" strokecolor="#000000">
                <v:path arrowok="t"/>
              </v:shape>
            </v:group>
            <v:group style="position:absolute;left:4102;top:10475;width:2;height:240" coordorigin="4102,10475" coordsize="2,240">
              <v:shape style="position:absolute;left:4102;top:10475;width:2;height:240" coordorigin="4102,10475" coordsize="0,240" path="m4102,10475l4102,10715e" filled="false" stroked="true" strokeweight=".47998pt" strokecolor="#000000">
                <v:path arrowok="t"/>
              </v:shape>
            </v:group>
            <v:group style="position:absolute;left:7402;top:10475;width:2;height:240" coordorigin="7402,10475" coordsize="2,240">
              <v:shape style="position:absolute;left:7402;top:10475;width:2;height:240" coordorigin="7402,10475" coordsize="0,240" path="m7402,10475l7402,10715e" filled="false" stroked="true" strokeweight=".48001pt" strokecolor="#000000">
                <v:path arrowok="t"/>
              </v:shape>
            </v:group>
            <v:group style="position:absolute;left:1150;top:10724;width:2;height:240" coordorigin="1150,10724" coordsize="2,240">
              <v:shape style="position:absolute;left:1150;top:10724;width:2;height:240" coordorigin="1150,10724" coordsize="0,240" path="m1150,10724l1150,10964e" filled="false" stroked="true" strokeweight="1.140pt" strokecolor="#d3d3d3">
                <v:path arrowok="t"/>
              </v:shape>
            </v:group>
            <v:group style="position:absolute;left:4084;top:10724;width:2;height:240" coordorigin="4084,10724" coordsize="2,240">
              <v:shape style="position:absolute;left:4084;top:10724;width:2;height:240" coordorigin="4084,10724" coordsize="0,240" path="m4084,10724l4084,10964e" filled="false" stroked="true" strokeweight="1.140pt" strokecolor="#d3d3d3">
                <v:path arrowok="t"/>
              </v:shape>
            </v:group>
            <v:group style="position:absolute;left:1162;top:10724;width:2912;height:240" coordorigin="1162,10724" coordsize="2912,240">
              <v:shape style="position:absolute;left:1162;top:10724;width:2912;height:240" coordorigin="1162,10724" coordsize="2912,240" path="m1162,10964l4073,10964,4073,10724,1162,10724,1162,10964xe" filled="true" fillcolor="#d3d3d3" stroked="false">
                <v:path arrowok="t"/>
                <v:fill type="solid"/>
              </v:shape>
            </v:group>
            <v:group style="position:absolute;left:1129;top:10720;width:9578;height:2" coordorigin="1129,10720" coordsize="9578,2">
              <v:shape style="position:absolute;left:1129;top:10720;width:9578;height:2" coordorigin="1129,10720" coordsize="9578,0" path="m1129,10720l10706,10720e" filled="false" stroked="true" strokeweight=".48pt" strokecolor="#000000">
                <v:path arrowok="t"/>
              </v:shape>
            </v:group>
            <v:group style="position:absolute;left:4102;top:10724;width:2;height:240" coordorigin="4102,10724" coordsize="2,240">
              <v:shape style="position:absolute;left:4102;top:10724;width:2;height:240" coordorigin="4102,10724" coordsize="0,240" path="m4102,10724l4102,10964e" filled="false" stroked="true" strokeweight=".47998pt" strokecolor="#000000">
                <v:path arrowok="t"/>
              </v:shape>
            </v:group>
            <v:group style="position:absolute;left:7402;top:10724;width:2;height:240" coordorigin="7402,10724" coordsize="2,240">
              <v:shape style="position:absolute;left:7402;top:10724;width:2;height:240" coordorigin="7402,10724" coordsize="0,240" path="m7402,10724l7402,10964e" filled="false" stroked="true" strokeweight=".48001pt" strokecolor="#000000">
                <v:path arrowok="t"/>
              </v:shape>
            </v:group>
            <v:group style="position:absolute;left:1150;top:10975;width:2;height:240" coordorigin="1150,10975" coordsize="2,240">
              <v:shape style="position:absolute;left:1150;top:10975;width:2;height:240" coordorigin="1150,10975" coordsize="0,240" path="m1150,10975l1150,11215e" filled="false" stroked="true" strokeweight="1.140pt" strokecolor="#d3d3d3">
                <v:path arrowok="t"/>
              </v:shape>
            </v:group>
            <v:group style="position:absolute;left:4084;top:10975;width:2;height:240" coordorigin="4084,10975" coordsize="2,240">
              <v:shape style="position:absolute;left:4084;top:10975;width:2;height:240" coordorigin="4084,10975" coordsize="0,240" path="m4084,10975l4084,11215e" filled="false" stroked="true" strokeweight="1.140pt" strokecolor="#d3d3d3">
                <v:path arrowok="t"/>
              </v:shape>
            </v:group>
            <v:group style="position:absolute;left:1162;top:10975;width:2912;height:240" coordorigin="1162,10975" coordsize="2912,240">
              <v:shape style="position:absolute;left:1162;top:10975;width:2912;height:240" coordorigin="1162,10975" coordsize="2912,240" path="m1162,11215l4073,11215,4073,10975,1162,10975,1162,11215xe" filled="true" fillcolor="#d3d3d3" stroked="false">
                <v:path arrowok="t"/>
                <v:fill type="solid"/>
              </v:shape>
            </v:group>
            <v:group style="position:absolute;left:1129;top:10969;width:9578;height:2" coordorigin="1129,10969" coordsize="9578,2">
              <v:shape style="position:absolute;left:1129;top:10969;width:9578;height:2" coordorigin="1129,10969" coordsize="9578,0" path="m1129,10969l10706,10969e" filled="false" stroked="true" strokeweight=".48001pt" strokecolor="#000000">
                <v:path arrowok="t"/>
              </v:shape>
            </v:group>
            <v:group style="position:absolute;left:4102;top:10974;width:2;height:242" coordorigin="4102,10974" coordsize="2,242">
              <v:shape style="position:absolute;left:4102;top:10974;width:2;height:242" coordorigin="4102,10974" coordsize="0,242" path="m4102,10974l4102,11215e" filled="false" stroked="true" strokeweight=".47998pt" strokecolor="#000000">
                <v:path arrowok="t"/>
              </v:shape>
            </v:group>
            <v:group style="position:absolute;left:7402;top:10974;width:2;height:242" coordorigin="7402,10974" coordsize="2,242">
              <v:shape style="position:absolute;left:7402;top:10974;width:2;height:242" coordorigin="7402,10974" coordsize="0,242" path="m7402,10974l7402,11215e" filled="false" stroked="true" strokeweight=".48001pt" strokecolor="#000000">
                <v:path arrowok="t"/>
              </v:shape>
            </v:group>
            <v:group style="position:absolute;left:1150;top:11225;width:2;height:240" coordorigin="1150,11225" coordsize="2,240">
              <v:shape style="position:absolute;left:1150;top:11225;width:2;height:240" coordorigin="1150,11225" coordsize="0,240" path="m1150,11225l1150,11465e" filled="false" stroked="true" strokeweight="1.140pt" strokecolor="#d3d3d3">
                <v:path arrowok="t"/>
              </v:shape>
            </v:group>
            <v:group style="position:absolute;left:4084;top:11225;width:2;height:240" coordorigin="4084,11225" coordsize="2,240">
              <v:shape style="position:absolute;left:4084;top:11225;width:2;height:240" coordorigin="4084,11225" coordsize="0,240" path="m4084,11225l4084,11465e" filled="false" stroked="true" strokeweight="1.140pt" strokecolor="#d3d3d3">
                <v:path arrowok="t"/>
              </v:shape>
            </v:group>
            <v:group style="position:absolute;left:1162;top:11225;width:2912;height:240" coordorigin="1162,11225" coordsize="2912,240">
              <v:shape style="position:absolute;left:1162;top:11225;width:2912;height:240" coordorigin="1162,11225" coordsize="2912,240" path="m1162,11465l4073,11465,4073,11225,1162,11225,1162,11465xe" filled="true" fillcolor="#d3d3d3" stroked="false">
                <v:path arrowok="t"/>
                <v:fill type="solid"/>
              </v:shape>
            </v:group>
            <v:group style="position:absolute;left:4118;top:11225;width:2;height:240" coordorigin="4118,11225" coordsize="2,240">
              <v:shape style="position:absolute;left:4118;top:11225;width:2;height:240" coordorigin="4118,11225" coordsize="0,240" path="m4118,11225l4118,11465e" filled="false" stroked="true" strokeweight="1.140pt" strokecolor="#d3d3d3">
                <v:path arrowok="t"/>
              </v:shape>
            </v:group>
            <v:group style="position:absolute;left:7384;top:11225;width:2;height:240" coordorigin="7384,11225" coordsize="2,240">
              <v:shape style="position:absolute;left:7384;top:11225;width:2;height:240" coordorigin="7384,11225" coordsize="0,240" path="m7384,11225l7384,11465e" filled="false" stroked="true" strokeweight="1.140pt" strokecolor="#d3d3d3">
                <v:path arrowok="t"/>
              </v:shape>
            </v:group>
            <v:group style="position:absolute;left:4129;top:11225;width:3244;height:240" coordorigin="4129,11225" coordsize="3244,240">
              <v:shape style="position:absolute;left:4129;top:11225;width:3244;height:240" coordorigin="4129,11225" coordsize="3244,240" path="m4129,11465l7373,11465,7373,11225,4129,11225,4129,11465xe" filled="true" fillcolor="#d3d3d3" stroked="false">
                <v:path arrowok="t"/>
                <v:fill type="solid"/>
              </v:shape>
            </v:group>
            <v:group style="position:absolute;left:7418;top:11225;width:2;height:240" coordorigin="7418,11225" coordsize="2,240">
              <v:shape style="position:absolute;left:7418;top:11225;width:2;height:240" coordorigin="7418,11225" coordsize="0,240" path="m7418,11225l7418,11465e" filled="false" stroked="true" strokeweight="1.140pt" strokecolor="#d3d3d3">
                <v:path arrowok="t"/>
              </v:shape>
            </v:group>
            <v:group style="position:absolute;left:10685;top:11225;width:2;height:240" coordorigin="10685,11225" coordsize="2,240">
              <v:shape style="position:absolute;left:10685;top:11225;width:2;height:240" coordorigin="10685,11225" coordsize="0,240" path="m10685,11225l10685,11465e" filled="false" stroked="true" strokeweight="1.140pt" strokecolor="#d3d3d3">
                <v:path arrowok="t"/>
              </v:shape>
            </v:group>
            <v:group style="position:absolute;left:7429;top:11225;width:3245;height:240" coordorigin="7429,11225" coordsize="3245,240">
              <v:shape style="position:absolute;left:7429;top:11225;width:3245;height:240" coordorigin="7429,11225" coordsize="3245,240" path="m7429,11465l10674,11465,10674,11225,7429,11225,7429,11465xe" filled="true" fillcolor="#d3d3d3" stroked="false">
                <v:path arrowok="t"/>
                <v:fill type="solid"/>
              </v:shape>
            </v:group>
            <v:group style="position:absolute;left:1129;top:11220;width:9578;height:2" coordorigin="1129,11220" coordsize="9578,2">
              <v:shape style="position:absolute;left:1129;top:11220;width:9578;height:2" coordorigin="1129,11220" coordsize="9578,0" path="m1129,11220l10706,11220e" filled="false" stroked="true" strokeweight=".48001pt" strokecolor="#000000">
                <v:path arrowok="t"/>
              </v:shape>
            </v:group>
            <v:group style="position:absolute;left:4102;top:11225;width:2;height:240" coordorigin="4102,11225" coordsize="2,240">
              <v:shape style="position:absolute;left:4102;top:11225;width:2;height:240" coordorigin="4102,11225" coordsize="0,240" path="m4102,11225l4102,11465e" filled="false" stroked="true" strokeweight=".47998pt" strokecolor="#000000">
                <v:path arrowok="t"/>
              </v:shape>
            </v:group>
            <v:group style="position:absolute;left:7402;top:11225;width:2;height:240" coordorigin="7402,11225" coordsize="2,240">
              <v:shape style="position:absolute;left:7402;top:11225;width:2;height:240" coordorigin="7402,11225" coordsize="0,240" path="m7402,11225l7402,11465e" filled="false" stroked="true" strokeweight=".48001pt" strokecolor="#000000">
                <v:path arrowok="t"/>
              </v:shape>
            </v:group>
            <v:group style="position:absolute;left:1150;top:11552;width:2;height:240" coordorigin="1150,11552" coordsize="2,240">
              <v:shape style="position:absolute;left:1150;top:11552;width:2;height:240" coordorigin="1150,11552" coordsize="0,240" path="m1150,11552l1150,11792e" filled="false" stroked="true" strokeweight="1.140pt" strokecolor="#d3d3d3">
                <v:path arrowok="t"/>
              </v:shape>
            </v:group>
            <v:group style="position:absolute;left:1139;top:11513;width:2957;height:2" coordorigin="1139,11513" coordsize="2957,2">
              <v:shape style="position:absolute;left:1139;top:11513;width:2957;height:2" coordorigin="1139,11513" coordsize="2957,0" path="m1139,11513l4096,11513e" filled="false" stroked="true" strokeweight="3.9pt" strokecolor="#d3d3d3">
                <v:path arrowok="t"/>
              </v:shape>
            </v:group>
            <v:group style="position:absolute;left:4084;top:11551;width:2;height:240" coordorigin="4084,11551" coordsize="2,240">
              <v:shape style="position:absolute;left:4084;top:11551;width:2;height:240" coordorigin="4084,11551" coordsize="0,240" path="m4084,11551l4084,11791e" filled="false" stroked="true" strokeweight="1.140pt" strokecolor="#d3d3d3">
                <v:path arrowok="t"/>
              </v:shape>
            </v:group>
            <v:group style="position:absolute;left:1162;top:11551;width:2912;height:240" coordorigin="1162,11551" coordsize="2912,240">
              <v:shape style="position:absolute;left:1162;top:11551;width:2912;height:240" coordorigin="1162,11551" coordsize="2912,240" path="m1162,11791l4073,11791,4073,11551,1162,11551,1162,11791xe" filled="true" fillcolor="#d3d3d3" stroked="false">
                <v:path arrowok="t"/>
                <v:fill type="solid"/>
              </v:shape>
            </v:group>
            <v:group style="position:absolute;left:1129;top:11470;width:9578;height:2" coordorigin="1129,11470" coordsize="9578,2">
              <v:shape style="position:absolute;left:1129;top:11470;width:9578;height:2" coordorigin="1129,11470" coordsize="9578,0" path="m1129,11470l10706,11470e" filled="false" stroked="true" strokeweight=".47998pt" strokecolor="#000000">
                <v:path arrowok="t"/>
              </v:shape>
            </v:group>
            <v:group style="position:absolute;left:4102;top:11474;width:2;height:393" coordorigin="4102,11474" coordsize="2,393">
              <v:shape style="position:absolute;left:4102;top:11474;width:2;height:393" coordorigin="4102,11474" coordsize="0,393" path="m4102,11474l4102,11867e" filled="false" stroked="true" strokeweight=".47998pt" strokecolor="#000000">
                <v:path arrowok="t"/>
              </v:shape>
            </v:group>
            <v:group style="position:absolute;left:7402;top:11474;width:2;height:393" coordorigin="7402,11474" coordsize="2,393">
              <v:shape style="position:absolute;left:7402;top:11474;width:2;height:393" coordorigin="7402,11474" coordsize="0,393" path="m7402,11474l7402,11867e" filled="false" stroked="true" strokeweight=".48001pt" strokecolor="#000000">
                <v:path arrowok="t"/>
              </v:shape>
            </v:group>
            <v:group style="position:absolute;left:1139;top:12232;width:2957;height:2" coordorigin="1139,12232" coordsize="2957,2">
              <v:shape style="position:absolute;left:1139;top:12232;width:2957;height:2" coordorigin="1139,12232" coordsize="2957,0" path="m1139,12232l4096,12232e" filled="false" stroked="true" strokeweight="3.8pt" strokecolor="#d3d3d3">
                <v:path arrowok="t"/>
              </v:shape>
            </v:group>
            <v:group style="position:absolute;left:1150;top:11954;width:2;height:240" coordorigin="1150,11954" coordsize="2,240">
              <v:shape style="position:absolute;left:1150;top:11954;width:2;height:240" coordorigin="1150,11954" coordsize="0,240" path="m1150,11954l1150,12194e" filled="false" stroked="true" strokeweight="1.140pt" strokecolor="#d3d3d3">
                <v:path arrowok="t"/>
              </v:shape>
            </v:group>
            <v:group style="position:absolute;left:4084;top:11953;width:2;height:240" coordorigin="4084,11953" coordsize="2,240">
              <v:shape style="position:absolute;left:4084;top:11953;width:2;height:240" coordorigin="4084,11953" coordsize="0,240" path="m4084,11953l4084,12193e" filled="false" stroked="true" strokeweight="1.140pt" strokecolor="#d3d3d3">
                <v:path arrowok="t"/>
              </v:shape>
            </v:group>
            <v:group style="position:absolute;left:1162;top:11953;width:2912;height:240" coordorigin="1162,11953" coordsize="2912,240">
              <v:shape style="position:absolute;left:1162;top:11953;width:2912;height:240" coordorigin="1162,11953" coordsize="2912,240" path="m1162,12193l4073,12193,4073,11953,1162,11953,1162,12193xe" filled="true" fillcolor="#d3d3d3" stroked="false">
                <v:path arrowok="t"/>
                <v:fill type="solid"/>
              </v:shape>
            </v:group>
            <v:group style="position:absolute;left:1134;top:104;width:2;height:12174" coordorigin="1134,104" coordsize="2,12174">
              <v:shape style="position:absolute;left:1134;top:104;width:2;height:12174" coordorigin="1134,104" coordsize="0,12174" path="m1134,104l1134,12278e" filled="false" stroked="true" strokeweight=".48001pt" strokecolor="#000000">
                <v:path arrowok="t"/>
              </v:shape>
            </v:group>
            <v:group style="position:absolute;left:1129;top:12274;width:2968;height:2" coordorigin="1129,12274" coordsize="2968,2">
              <v:shape style="position:absolute;left:1129;top:12274;width:2968;height:2" coordorigin="1129,12274" coordsize="2968,0" path="m1129,12274l4097,12274e" filled="false" stroked="true" strokeweight=".48001pt" strokecolor="#000000">
                <v:path arrowok="t"/>
              </v:shape>
            </v:group>
            <v:group style="position:absolute;left:4102;top:11876;width:2;height:402" coordorigin="4102,11876" coordsize="2,402">
              <v:shape style="position:absolute;left:4102;top:11876;width:2;height:402" coordorigin="4102,11876" coordsize="0,402" path="m4102,11876l4102,12278e" filled="false" stroked="true" strokeweight=".47998pt" strokecolor="#000000">
                <v:path arrowok="t"/>
              </v:shape>
            </v:group>
            <v:group style="position:absolute;left:4106;top:12274;width:3291;height:2" coordorigin="4106,12274" coordsize="3291,2">
              <v:shape style="position:absolute;left:4106;top:12274;width:3291;height:2" coordorigin="4106,12274" coordsize="3291,0" path="m4106,12274l7397,12274e" filled="false" stroked="true" strokeweight=".48001pt" strokecolor="#000000">
                <v:path arrowok="t"/>
              </v:shape>
            </v:group>
            <v:group style="position:absolute;left:7402;top:11876;width:2;height:402" coordorigin="7402,11876" coordsize="2,402">
              <v:shape style="position:absolute;left:7402;top:11876;width:2;height:402" coordorigin="7402,11876" coordsize="0,402" path="m7402,11876l7402,12278e" filled="false" stroked="true" strokeweight=".48001pt" strokecolor="#000000">
                <v:path arrowok="t"/>
              </v:shape>
            </v:group>
            <v:group style="position:absolute;left:7406;top:12274;width:3291;height:2" coordorigin="7406,12274" coordsize="3291,2">
              <v:shape style="position:absolute;left:7406;top:12274;width:3291;height:2" coordorigin="7406,12274" coordsize="3291,0" path="m7406,12274l10697,12274e" filled="false" stroked="true" strokeweight=".48001pt" strokecolor="#000000">
                <v:path arrowok="t"/>
              </v:shape>
            </v:group>
            <v:group style="position:absolute;left:10702;top:104;width:2;height:12174" coordorigin="10702,104" coordsize="2,12174">
              <v:shape style="position:absolute;left:10702;top:104;width:2;height:12174" coordorigin="10702,104" coordsize="0,12174" path="m10702,104l10702,12278e" filled="false" stroked="true" strokeweight=".47998pt" strokecolor="#000000">
                <v:path arrowok="t"/>
              </v:shape>
            </v:group>
            <w10:wrap type="none"/>
          </v:group>
        </w:pict>
      </w:r>
      <w:r>
        <w:rPr>
          <w:rFonts w:ascii="宋体" w:hAnsi="宋体" w:cs="宋体" w:eastAsia="宋体" w:hint="default"/>
          <w:sz w:val="18"/>
          <w:szCs w:val="18"/>
        </w:rPr>
        <w:t>项目</w:t>
        <w:tab/>
        <w:t>本期发生额</w:t>
        <w:tab/>
        <w:t>上期发生额</w:t>
      </w:r>
    </w:p>
    <w:p>
      <w:pPr>
        <w:tabs>
          <w:tab w:pos="5448" w:val="left" w:leader="none"/>
          <w:tab w:pos="8883" w:val="left" w:leader="none"/>
        </w:tabs>
        <w:spacing w:before="14"/>
        <w:ind w:left="18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一、营业收入</w:t>
        <w:tab/>
      </w:r>
      <w:r>
        <w:rPr>
          <w:rFonts w:ascii="Times New Roman" w:hAnsi="Times New Roman" w:cs="Times New Roman" w:eastAsia="Times New Roman" w:hint="default"/>
          <w:spacing w:val="-1"/>
          <w:sz w:val="18"/>
          <w:szCs w:val="18"/>
        </w:rPr>
        <w:t>1,886,792.40</w:t>
        <w:tab/>
      </w:r>
      <w:r>
        <w:rPr>
          <w:rFonts w:ascii="Times New Roman" w:hAnsi="Times New Roman" w:cs="Times New Roman" w:eastAsia="Times New Roman" w:hint="default"/>
          <w:sz w:val="18"/>
          <w:szCs w:val="18"/>
        </w:rPr>
        <w:t>541,700.00</w:t>
      </w:r>
    </w:p>
    <w:p>
      <w:pPr>
        <w:tabs>
          <w:tab w:pos="6078" w:val="left" w:leader="none"/>
          <w:tab w:pos="8883" w:val="left" w:leader="none"/>
        </w:tabs>
        <w:spacing w:before="0"/>
        <w:ind w:left="54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减：营业成本</w:t>
        <w:tab/>
      </w:r>
      <w:r>
        <w:rPr>
          <w:rFonts w:ascii="Times New Roman" w:hAnsi="Times New Roman" w:cs="Times New Roman" w:eastAsia="Times New Roman" w:hint="default"/>
          <w:sz w:val="18"/>
          <w:szCs w:val="18"/>
        </w:rPr>
        <w:t>0.00</w:t>
        <w:tab/>
        <w:t>494,566.10</w:t>
      </w:r>
    </w:p>
    <w:p>
      <w:pPr>
        <w:tabs>
          <w:tab w:pos="5672" w:val="left" w:leader="none"/>
          <w:tab w:pos="8973" w:val="left" w:leader="none"/>
        </w:tabs>
        <w:spacing w:before="1"/>
        <w:ind w:left="90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营业税金及附加</w:t>
        <w:tab/>
      </w:r>
      <w:r>
        <w:rPr>
          <w:rFonts w:ascii="Times New Roman" w:hAnsi="Times New Roman" w:cs="Times New Roman" w:eastAsia="Times New Roman" w:hint="default"/>
          <w:sz w:val="18"/>
          <w:szCs w:val="18"/>
        </w:rPr>
        <w:t>60,000.00</w:t>
        <w:tab/>
        <w:t>30,335.20</w:t>
      </w:r>
    </w:p>
    <w:p>
      <w:pPr>
        <w:spacing w:before="0"/>
        <w:ind w:left="901" w:right="0" w:firstLine="0"/>
        <w:jc w:val="left"/>
        <w:rPr>
          <w:rFonts w:ascii="宋体" w:hAnsi="宋体" w:cs="宋体" w:eastAsia="宋体" w:hint="default"/>
          <w:sz w:val="18"/>
          <w:szCs w:val="18"/>
        </w:rPr>
      </w:pPr>
      <w:r>
        <w:rPr>
          <w:rFonts w:ascii="宋体" w:hAnsi="宋体" w:cs="宋体" w:eastAsia="宋体" w:hint="default"/>
          <w:sz w:val="18"/>
          <w:szCs w:val="18"/>
        </w:rPr>
        <w:t>销售费用</w:t>
      </w:r>
    </w:p>
    <w:p>
      <w:pPr>
        <w:tabs>
          <w:tab w:pos="5358" w:val="left" w:leader="none"/>
          <w:tab w:pos="8659" w:val="left" w:leader="none"/>
        </w:tabs>
        <w:spacing w:before="14"/>
        <w:ind w:left="90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管理费用</w:t>
        <w:tab/>
      </w:r>
      <w:r>
        <w:rPr>
          <w:rFonts w:ascii="Times New Roman" w:hAnsi="Times New Roman" w:cs="Times New Roman" w:eastAsia="Times New Roman" w:hint="default"/>
          <w:spacing w:val="-1"/>
          <w:sz w:val="18"/>
          <w:szCs w:val="18"/>
        </w:rPr>
        <w:t>21,935,712.58</w:t>
        <w:tab/>
        <w:t>18,890,918.58</w:t>
      </w:r>
    </w:p>
    <w:p>
      <w:pPr>
        <w:tabs>
          <w:tab w:pos="5388" w:val="left" w:leader="none"/>
          <w:tab w:pos="8659" w:val="left" w:leader="none"/>
        </w:tabs>
        <w:spacing w:before="1"/>
        <w:ind w:left="90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财务费用</w:t>
        <w:tab/>
      </w:r>
      <w:r>
        <w:rPr>
          <w:rFonts w:ascii="Times New Roman" w:hAnsi="Times New Roman" w:cs="Times New Roman" w:eastAsia="Times New Roman" w:hint="default"/>
          <w:spacing w:val="-1"/>
          <w:sz w:val="18"/>
          <w:szCs w:val="18"/>
        </w:rPr>
        <w:t>-1,942,450.78</w:t>
        <w:tab/>
        <w:t>12,389,354.82</w:t>
      </w:r>
    </w:p>
    <w:p>
      <w:pPr>
        <w:tabs>
          <w:tab w:pos="8823" w:val="left" w:leader="none"/>
        </w:tabs>
        <w:spacing w:before="0"/>
        <w:ind w:left="90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资产减值损失</w:t>
        <w:tab/>
      </w:r>
      <w:r>
        <w:rPr>
          <w:rFonts w:ascii="Times New Roman" w:hAnsi="Times New Roman" w:cs="Times New Roman" w:eastAsia="Times New Roman" w:hint="default"/>
          <w:sz w:val="18"/>
          <w:szCs w:val="18"/>
        </w:rPr>
        <w:t>-935,583.27</w:t>
      </w:r>
    </w:p>
    <w:p>
      <w:pPr>
        <w:spacing w:before="0"/>
        <w:ind w:left="541" w:right="0" w:firstLine="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spacing w:before="4"/>
        <w:ind w:left="18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p>
      <w:pPr>
        <w:spacing w:line="206" w:lineRule="exact" w:before="1"/>
        <w:ind w:left="901" w:right="0" w:firstLine="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tabs>
          <w:tab w:pos="5358" w:val="left" w:leader="none"/>
          <w:tab w:pos="8569" w:val="left" w:leader="none"/>
        </w:tabs>
        <w:spacing w:line="270" w:lineRule="exact" w:before="0"/>
        <w:ind w:left="181"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列）</w:t>
        <w:tab/>
      </w:r>
      <w:r>
        <w:rPr>
          <w:rFonts w:ascii="Times New Roman" w:hAnsi="Times New Roman" w:cs="Times New Roman" w:eastAsia="Times New Roman" w:hint="default"/>
          <w:spacing w:val="-1"/>
          <w:sz w:val="18"/>
          <w:szCs w:val="18"/>
        </w:rPr>
        <w:t>31,703,813.37</w:t>
        <w:tab/>
        <w:t>285,065,954.38</w:t>
      </w:r>
    </w:p>
    <w:p>
      <w:pPr>
        <w:spacing w:line="199" w:lineRule="exact" w:before="14"/>
        <w:ind w:left="901" w:right="0" w:firstLine="0"/>
        <w:jc w:val="left"/>
        <w:rPr>
          <w:rFonts w:ascii="宋体" w:hAnsi="宋体" w:cs="宋体" w:eastAsia="宋体" w:hint="default"/>
          <w:sz w:val="18"/>
          <w:szCs w:val="18"/>
        </w:rPr>
      </w:pPr>
      <w:r>
        <w:rPr>
          <w:rFonts w:ascii="宋体" w:hAnsi="宋体" w:cs="宋体" w:eastAsia="宋体" w:hint="default"/>
          <w:sz w:val="18"/>
          <w:szCs w:val="18"/>
        </w:rPr>
        <w:t>其中：对联营企业和合营企</w:t>
      </w:r>
    </w:p>
    <w:p>
      <w:pPr>
        <w:tabs>
          <w:tab w:pos="5358" w:val="left" w:leader="none"/>
        </w:tabs>
        <w:spacing w:line="277" w:lineRule="exact" w:before="0"/>
        <w:ind w:left="181"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业的投资收益</w:t>
        <w:tab/>
      </w:r>
      <w:r>
        <w:rPr>
          <w:rFonts w:ascii="Times New Roman" w:hAnsi="Times New Roman" w:cs="Times New Roman" w:eastAsia="Times New Roman" w:hint="default"/>
          <w:sz w:val="18"/>
          <w:szCs w:val="18"/>
        </w:rPr>
        <w:t>15,030,031.26</w:t>
      </w:r>
    </w:p>
    <w:p>
      <w:pPr>
        <w:tabs>
          <w:tab w:pos="5358" w:val="left" w:leader="none"/>
          <w:tab w:pos="8569" w:val="left" w:leader="none"/>
        </w:tabs>
        <w:spacing w:before="14"/>
        <w:ind w:left="181" w:right="0" w:firstLine="0"/>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二、营业利润（亏损以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tab/>
      </w:r>
      <w:r>
        <w:rPr>
          <w:rFonts w:ascii="Times New Roman" w:hAnsi="Times New Roman" w:cs="Times New Roman" w:eastAsia="Times New Roman" w:hint="default"/>
          <w:spacing w:val="-1"/>
          <w:sz w:val="18"/>
          <w:szCs w:val="18"/>
        </w:rPr>
        <w:t>13,537,343.97</w:t>
        <w:tab/>
        <w:t>254,738,062.95</w:t>
      </w:r>
    </w:p>
    <w:p>
      <w:pPr>
        <w:tabs>
          <w:tab w:pos="8973" w:val="left" w:leader="none"/>
        </w:tabs>
        <w:spacing w:before="1"/>
        <w:ind w:left="54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加：营业外收入</w:t>
        <w:tab/>
      </w:r>
      <w:r>
        <w:rPr>
          <w:rFonts w:ascii="Times New Roman" w:hAnsi="Times New Roman" w:cs="Times New Roman" w:eastAsia="Times New Roman" w:hint="default"/>
          <w:sz w:val="18"/>
          <w:szCs w:val="18"/>
        </w:rPr>
        <w:t>32,041.32</w:t>
      </w:r>
    </w:p>
    <w:p>
      <w:pPr>
        <w:spacing w:before="0"/>
        <w:ind w:left="901" w:right="0" w:firstLine="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p>
      <w:pPr>
        <w:tabs>
          <w:tab w:pos="5762" w:val="left" w:leader="none"/>
        </w:tabs>
        <w:spacing w:before="14"/>
        <w:ind w:left="541"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减：营业外支出</w:t>
        <w:tab/>
      </w:r>
      <w:r>
        <w:rPr>
          <w:rFonts w:ascii="Times New Roman" w:hAnsi="Times New Roman" w:cs="Times New Roman" w:eastAsia="Times New Roman" w:hint="default"/>
          <w:sz w:val="18"/>
          <w:szCs w:val="18"/>
        </w:rPr>
        <w:t>2,586.79</w:t>
      </w:r>
    </w:p>
    <w:p>
      <w:pPr>
        <w:spacing w:line="250" w:lineRule="exact" w:before="12"/>
        <w:ind w:left="181" w:right="6863" w:firstLine="720"/>
        <w:jc w:val="left"/>
        <w:rPr>
          <w:rFonts w:ascii="宋体" w:hAnsi="宋体" w:cs="宋体" w:eastAsia="宋体" w:hint="default"/>
          <w:sz w:val="18"/>
          <w:szCs w:val="18"/>
        </w:rPr>
      </w:pPr>
      <w:r>
        <w:rPr>
          <w:rFonts w:ascii="宋体" w:hAnsi="宋体" w:cs="宋体" w:eastAsia="宋体" w:hint="default"/>
          <w:sz w:val="18"/>
          <w:szCs w:val="18"/>
        </w:rPr>
        <w:t>其中：非流动资产处置损失 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tabs>
          <w:tab w:pos="5358" w:val="left" w:leader="none"/>
          <w:tab w:pos="8569" w:val="left" w:leader="none"/>
        </w:tabs>
        <w:spacing w:line="215" w:lineRule="exact" w:before="0"/>
        <w:ind w:left="181"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列）</w:t>
        <w:tab/>
      </w:r>
      <w:r>
        <w:rPr>
          <w:rFonts w:ascii="Times New Roman" w:hAnsi="Times New Roman" w:cs="Times New Roman" w:eastAsia="Times New Roman" w:hint="default"/>
          <w:spacing w:val="-1"/>
          <w:sz w:val="18"/>
          <w:szCs w:val="18"/>
        </w:rPr>
        <w:t>13,534,757.18</w:t>
        <w:tab/>
        <w:t>254,770,104.27</w:t>
      </w:r>
    </w:p>
    <w:p>
      <w:pPr>
        <w:spacing w:line="240" w:lineRule="auto" w:before="4"/>
        <w:rPr>
          <w:rFonts w:ascii="Times New Roman" w:hAnsi="Times New Roman" w:cs="Times New Roman" w:eastAsia="Times New Roman" w:hint="default"/>
          <w:sz w:val="2"/>
          <w:szCs w:val="2"/>
        </w:rPr>
      </w:pPr>
    </w:p>
    <w:tbl>
      <w:tblPr>
        <w:tblW w:w="0" w:type="auto"/>
        <w:jc w:val="left"/>
        <w:tblInd w:w="165" w:type="dxa"/>
        <w:tblLayout w:type="fixed"/>
        <w:tblCellMar>
          <w:top w:w="0" w:type="dxa"/>
          <w:left w:w="0" w:type="dxa"/>
          <w:bottom w:w="0" w:type="dxa"/>
          <w:right w:w="0" w:type="dxa"/>
        </w:tblCellMar>
        <w:tblLook w:val="01E0"/>
      </w:tblPr>
      <w:tblGrid>
        <w:gridCol w:w="4034"/>
        <w:gridCol w:w="3282"/>
        <w:gridCol w:w="2240"/>
      </w:tblGrid>
      <w:tr>
        <w:trPr>
          <w:trHeight w:val="250" w:hRule="exact"/>
        </w:trPr>
        <w:tc>
          <w:tcPr>
            <w:tcW w:w="4034" w:type="dxa"/>
            <w:tcBorders>
              <w:top w:val="nil" w:sz="6" w:space="0" w:color="auto"/>
              <w:left w:val="nil" w:sz="6" w:space="0" w:color="auto"/>
              <w:bottom w:val="nil" w:sz="6" w:space="0" w:color="auto"/>
              <w:right w:val="nil" w:sz="6" w:space="0" w:color="auto"/>
            </w:tcBorders>
          </w:tcPr>
          <w:p>
            <w:pPr>
              <w:pStyle w:val="TableParagraph"/>
              <w:spacing w:line="222" w:lineRule="exact"/>
              <w:ind w:left="376"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8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85"/>
              <w:jc w:val="right"/>
              <w:rPr>
                <w:rFonts w:ascii="Times New Roman" w:hAnsi="Times New Roman" w:cs="Times New Roman" w:eastAsia="Times New Roman" w:hint="default"/>
                <w:sz w:val="18"/>
                <w:szCs w:val="18"/>
              </w:rPr>
            </w:pPr>
            <w:r>
              <w:rPr>
                <w:rFonts w:ascii="Times New Roman"/>
                <w:sz w:val="18"/>
              </w:rPr>
              <w:t>101,108.51</w:t>
            </w: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4"/>
              <w:jc w:val="right"/>
              <w:rPr>
                <w:rFonts w:ascii="Times New Roman" w:hAnsi="Times New Roman" w:cs="Times New Roman" w:eastAsia="Times New Roman" w:hint="default"/>
                <w:sz w:val="18"/>
                <w:szCs w:val="18"/>
              </w:rPr>
            </w:pPr>
            <w:r>
              <w:rPr>
                <w:rFonts w:ascii="Times New Roman"/>
                <w:spacing w:val="-1"/>
                <w:sz w:val="18"/>
              </w:rPr>
              <w:t>57,073,743.86</w:t>
            </w:r>
          </w:p>
        </w:tc>
      </w:tr>
      <w:tr>
        <w:trPr>
          <w:trHeight w:val="251" w:hRule="exact"/>
        </w:trPr>
        <w:tc>
          <w:tcPr>
            <w:tcW w:w="4034" w:type="dxa"/>
            <w:tcBorders>
              <w:top w:val="nil" w:sz="6" w:space="0" w:color="auto"/>
              <w:left w:val="nil" w:sz="6" w:space="0" w:color="auto"/>
              <w:bottom w:val="nil" w:sz="6" w:space="0" w:color="auto"/>
              <w:right w:val="nil" w:sz="6" w:space="0" w:color="auto"/>
            </w:tcBorders>
          </w:tcPr>
          <w:p>
            <w:pPr>
              <w:pStyle w:val="TableParagraph"/>
              <w:spacing w:line="237" w:lineRule="exact"/>
              <w:ind w:left="16"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8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85"/>
              <w:jc w:val="right"/>
              <w:rPr>
                <w:rFonts w:ascii="Times New Roman" w:hAnsi="Times New Roman" w:cs="Times New Roman" w:eastAsia="Times New Roman" w:hint="default"/>
                <w:sz w:val="18"/>
                <w:szCs w:val="18"/>
              </w:rPr>
            </w:pPr>
            <w:r>
              <w:rPr>
                <w:rFonts w:ascii="Times New Roman"/>
                <w:spacing w:val="-1"/>
                <w:sz w:val="18"/>
              </w:rPr>
              <w:t>13,433,648.67</w:t>
            </w:r>
          </w:p>
        </w:tc>
        <w:tc>
          <w:tcPr>
            <w:tcW w:w="224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4"/>
              <w:jc w:val="right"/>
              <w:rPr>
                <w:rFonts w:ascii="Times New Roman" w:hAnsi="Times New Roman" w:cs="Times New Roman" w:eastAsia="Times New Roman" w:hint="default"/>
                <w:sz w:val="18"/>
                <w:szCs w:val="18"/>
              </w:rPr>
            </w:pPr>
            <w:r>
              <w:rPr>
                <w:rFonts w:ascii="Times New Roman"/>
                <w:spacing w:val="-1"/>
                <w:sz w:val="18"/>
              </w:rPr>
              <w:t>197,696,360.41</w:t>
            </w:r>
          </w:p>
        </w:tc>
      </w:tr>
      <w:tr>
        <w:trPr>
          <w:trHeight w:val="250" w:hRule="exact"/>
        </w:trPr>
        <w:tc>
          <w:tcPr>
            <w:tcW w:w="4034" w:type="dxa"/>
            <w:tcBorders>
              <w:top w:val="nil" w:sz="6" w:space="0" w:color="auto"/>
              <w:left w:val="nil" w:sz="6" w:space="0" w:color="auto"/>
              <w:bottom w:val="nil" w:sz="6" w:space="0" w:color="auto"/>
              <w:right w:val="nil" w:sz="6" w:space="0" w:color="auto"/>
            </w:tcBorders>
          </w:tcPr>
          <w:p>
            <w:pPr>
              <w:pStyle w:val="TableParagraph"/>
              <w:spacing w:line="222" w:lineRule="exact"/>
              <w:ind w:left="16"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282" w:type="dxa"/>
            <w:tcBorders>
              <w:top w:val="nil" w:sz="6" w:space="0" w:color="auto"/>
              <w:left w:val="nil" w:sz="6" w:space="0" w:color="auto"/>
              <w:bottom w:val="nil" w:sz="6" w:space="0" w:color="auto"/>
              <w:right w:val="nil" w:sz="6" w:space="0" w:color="auto"/>
            </w:tcBorders>
          </w:tcPr>
          <w:p>
            <w:pPr/>
          </w:p>
        </w:tc>
        <w:tc>
          <w:tcPr>
            <w:tcW w:w="2240" w:type="dxa"/>
            <w:tcBorders>
              <w:top w:val="nil" w:sz="6" w:space="0" w:color="auto"/>
              <w:left w:val="nil" w:sz="6" w:space="0" w:color="auto"/>
              <w:bottom w:val="nil" w:sz="6" w:space="0" w:color="auto"/>
              <w:right w:val="nil" w:sz="6" w:space="0" w:color="auto"/>
            </w:tcBorders>
          </w:tcPr>
          <w:p>
            <w:pPr/>
          </w:p>
        </w:tc>
      </w:tr>
    </w:tbl>
    <w:p>
      <w:pPr>
        <w:spacing w:line="240" w:lineRule="exact" w:before="4"/>
        <w:ind w:left="181" w:right="6863"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p>
      <w:pPr>
        <w:spacing w:line="240" w:lineRule="exact" w:before="11"/>
        <w:ind w:left="181" w:right="6926"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p>
      <w:pPr>
        <w:spacing w:line="240" w:lineRule="exact" w:before="9"/>
        <w:ind w:left="181" w:right="6880"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p>
      <w:pPr>
        <w:spacing w:line="244" w:lineRule="auto" w:before="0"/>
        <w:ind w:left="181" w:right="6863"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p>
      <w:pPr>
        <w:spacing w:line="240" w:lineRule="exact" w:before="30"/>
        <w:ind w:left="181" w:right="6880"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p>
      <w:pPr>
        <w:spacing w:line="240" w:lineRule="exact" w:before="9"/>
        <w:ind w:left="181" w:right="6926"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p>
      <w:pPr>
        <w:spacing w:line="240" w:lineRule="exact" w:before="9"/>
        <w:ind w:left="181" w:right="6926"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p>
      <w:pPr>
        <w:spacing w:line="242" w:lineRule="exact" w:before="0"/>
        <w:ind w:left="108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spacing w:line="226" w:lineRule="exact" w:before="0"/>
        <w:ind w:left="181" w:right="0" w:firstLine="0"/>
        <w:jc w:val="left"/>
        <w:rPr>
          <w:rFonts w:ascii="宋体" w:hAnsi="宋体" w:cs="宋体" w:eastAsia="宋体" w:hint="default"/>
          <w:sz w:val="18"/>
          <w:szCs w:val="18"/>
        </w:rPr>
      </w:pPr>
      <w:r>
        <w:rPr>
          <w:rFonts w:ascii="宋体" w:hAnsi="宋体" w:cs="宋体" w:eastAsia="宋体" w:hint="default"/>
          <w:sz w:val="18"/>
          <w:szCs w:val="18"/>
        </w:rPr>
        <w:t>效部分</w:t>
      </w:r>
    </w:p>
    <w:p>
      <w:pPr>
        <w:spacing w:before="14"/>
        <w:ind w:left="1081"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bl>
      <w:tblPr>
        <w:tblW w:w="0" w:type="auto"/>
        <w:jc w:val="left"/>
        <w:tblInd w:w="165" w:type="dxa"/>
        <w:tblLayout w:type="fixed"/>
        <w:tblCellMar>
          <w:top w:w="0" w:type="dxa"/>
          <w:left w:w="0" w:type="dxa"/>
          <w:bottom w:w="0" w:type="dxa"/>
          <w:right w:w="0" w:type="dxa"/>
        </w:tblCellMar>
        <w:tblLook w:val="01E0"/>
      </w:tblPr>
      <w:tblGrid>
        <w:gridCol w:w="2950"/>
        <w:gridCol w:w="3306"/>
        <w:gridCol w:w="3300"/>
      </w:tblGrid>
      <w:tr>
        <w:trPr>
          <w:trHeight w:val="250" w:hRule="exact"/>
        </w:trPr>
        <w:tc>
          <w:tcPr>
            <w:tcW w:w="2950" w:type="dxa"/>
            <w:tcBorders>
              <w:top w:val="nil" w:sz="6" w:space="0" w:color="auto"/>
              <w:left w:val="nil" w:sz="6" w:space="0" w:color="auto"/>
              <w:bottom w:val="nil" w:sz="6" w:space="0" w:color="auto"/>
              <w:right w:val="nil" w:sz="6" w:space="0" w:color="auto"/>
            </w:tcBorders>
            <w:shd w:val="clear" w:color="auto" w:fill="D3D3D3"/>
          </w:tcPr>
          <w:p>
            <w:pPr>
              <w:pStyle w:val="TableParagraph"/>
              <w:spacing w:line="236" w:lineRule="exact"/>
              <w:ind w:left="9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606" w:type="dxa"/>
            <w:gridSpan w:val="2"/>
            <w:tcBorders>
              <w:top w:val="nil" w:sz="6" w:space="0" w:color="auto"/>
              <w:left w:val="nil" w:sz="6" w:space="0" w:color="auto"/>
              <w:bottom w:val="nil" w:sz="6" w:space="0" w:color="auto"/>
              <w:right w:val="nil" w:sz="6" w:space="0" w:color="auto"/>
            </w:tcBorders>
          </w:tcPr>
          <w:p>
            <w:pPr/>
          </w:p>
        </w:tc>
      </w:tr>
      <w:tr>
        <w:trPr>
          <w:trHeight w:val="251" w:hRule="exact"/>
        </w:trPr>
        <w:tc>
          <w:tcPr>
            <w:tcW w:w="2950" w:type="dxa"/>
            <w:tcBorders>
              <w:top w:val="nil" w:sz="6" w:space="0" w:color="auto"/>
              <w:left w:val="nil" w:sz="6" w:space="0" w:color="auto"/>
              <w:bottom w:val="nil" w:sz="6" w:space="0" w:color="auto"/>
              <w:right w:val="nil" w:sz="6" w:space="0" w:color="auto"/>
            </w:tcBorders>
            <w:shd w:val="clear" w:color="auto" w:fill="D3D3D3"/>
          </w:tcPr>
          <w:p>
            <w:pPr>
              <w:pStyle w:val="TableParagraph"/>
              <w:spacing w:line="223" w:lineRule="exact"/>
              <w:ind w:left="16"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5"/>
              <w:jc w:val="right"/>
              <w:rPr>
                <w:rFonts w:ascii="Times New Roman" w:hAnsi="Times New Roman" w:cs="Times New Roman" w:eastAsia="Times New Roman" w:hint="default"/>
                <w:sz w:val="18"/>
                <w:szCs w:val="18"/>
              </w:rPr>
            </w:pPr>
            <w:r>
              <w:rPr>
                <w:rFonts w:ascii="Times New Roman"/>
                <w:spacing w:val="-1"/>
                <w:sz w:val="18"/>
              </w:rPr>
              <w:t>13,433,648.67</w:t>
            </w:r>
          </w:p>
        </w:tc>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4"/>
              <w:jc w:val="right"/>
              <w:rPr>
                <w:rFonts w:ascii="Times New Roman" w:hAnsi="Times New Roman" w:cs="Times New Roman" w:eastAsia="Times New Roman" w:hint="default"/>
                <w:sz w:val="18"/>
                <w:szCs w:val="18"/>
              </w:rPr>
            </w:pPr>
            <w:r>
              <w:rPr>
                <w:rFonts w:ascii="Times New Roman"/>
                <w:spacing w:val="-1"/>
                <w:sz w:val="18"/>
              </w:rPr>
              <w:t>197,696,360.41</w:t>
            </w:r>
          </w:p>
        </w:tc>
      </w:tr>
      <w:tr>
        <w:trPr>
          <w:trHeight w:val="290" w:hRule="exact"/>
        </w:trPr>
        <w:tc>
          <w:tcPr>
            <w:tcW w:w="2950" w:type="dxa"/>
            <w:tcBorders>
              <w:top w:val="nil" w:sz="6" w:space="0" w:color="auto"/>
              <w:left w:val="nil" w:sz="6" w:space="0" w:color="auto"/>
              <w:bottom w:val="nil" w:sz="6" w:space="0" w:color="auto"/>
              <w:right w:val="nil" w:sz="6" w:space="0" w:color="auto"/>
            </w:tcBorders>
            <w:shd w:val="clear" w:color="auto" w:fill="D3D3D3"/>
          </w:tcPr>
          <w:p>
            <w:pPr>
              <w:pStyle w:val="TableParagraph"/>
              <w:spacing w:line="222" w:lineRule="exact"/>
              <w:ind w:left="16"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6" w:type="dxa"/>
            <w:tcBorders>
              <w:top w:val="nil" w:sz="6" w:space="0" w:color="auto"/>
              <w:left w:val="nil" w:sz="6" w:space="0" w:color="auto"/>
              <w:bottom w:val="nil" w:sz="6" w:space="0" w:color="auto"/>
              <w:right w:val="nil" w:sz="6" w:space="0" w:color="auto"/>
            </w:tcBorders>
            <w:shd w:val="clear" w:color="auto" w:fill="D3D3D3"/>
          </w:tcPr>
          <w:p>
            <w:pPr/>
          </w:p>
        </w:tc>
        <w:tc>
          <w:tcPr>
            <w:tcW w:w="3300" w:type="dxa"/>
            <w:tcBorders>
              <w:top w:val="nil" w:sz="6" w:space="0" w:color="auto"/>
              <w:left w:val="nil" w:sz="6" w:space="0" w:color="auto"/>
              <w:bottom w:val="nil" w:sz="6" w:space="0" w:color="auto"/>
              <w:right w:val="nil" w:sz="6" w:space="0" w:color="auto"/>
            </w:tcBorders>
            <w:shd w:val="clear" w:color="auto" w:fill="D3D3D3"/>
          </w:tcPr>
          <w:p>
            <w:pPr/>
          </w:p>
        </w:tc>
      </w:tr>
      <w:tr>
        <w:trPr>
          <w:trHeight w:val="321" w:hRule="exact"/>
        </w:trPr>
        <w:tc>
          <w:tcPr>
            <w:tcW w:w="2950" w:type="dxa"/>
            <w:tcBorders>
              <w:top w:val="nil" w:sz="6" w:space="0" w:color="auto"/>
              <w:left w:val="nil" w:sz="6" w:space="0" w:color="auto"/>
              <w:bottom w:val="single" w:sz="4" w:space="0" w:color="000000"/>
              <w:right w:val="nil" w:sz="6" w:space="0" w:color="auto"/>
            </w:tcBorders>
            <w:shd w:val="clear" w:color="auto" w:fill="D3D3D3"/>
          </w:tcPr>
          <w:p>
            <w:pPr>
              <w:pStyle w:val="TableParagraph"/>
              <w:spacing w:line="240" w:lineRule="auto" w:before="22"/>
              <w:ind w:right="953"/>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6"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5"/>
              <w:jc w:val="right"/>
              <w:rPr>
                <w:rFonts w:ascii="Times New Roman" w:hAnsi="Times New Roman" w:cs="Times New Roman" w:eastAsia="Times New Roman" w:hint="default"/>
                <w:sz w:val="18"/>
                <w:szCs w:val="18"/>
              </w:rPr>
            </w:pPr>
            <w:r>
              <w:rPr>
                <w:rFonts w:ascii="Times New Roman"/>
                <w:sz w:val="18"/>
              </w:rPr>
              <w:t>0.0132</w:t>
            </w:r>
          </w:p>
        </w:tc>
        <w:tc>
          <w:tcPr>
            <w:tcW w:w="3300"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4"/>
              <w:jc w:val="right"/>
              <w:rPr>
                <w:rFonts w:ascii="Times New Roman" w:hAnsi="Times New Roman" w:cs="Times New Roman" w:eastAsia="Times New Roman" w:hint="default"/>
                <w:sz w:val="18"/>
                <w:szCs w:val="18"/>
              </w:rPr>
            </w:pPr>
            <w:r>
              <w:rPr>
                <w:rFonts w:ascii="Times New Roman"/>
                <w:sz w:val="18"/>
              </w:rPr>
              <w:t>0.4053</w:t>
            </w:r>
          </w:p>
        </w:tc>
      </w:tr>
      <w:tr>
        <w:trPr>
          <w:trHeight w:val="122" w:hRule="exact"/>
        </w:trPr>
        <w:tc>
          <w:tcPr>
            <w:tcW w:w="2950" w:type="dxa"/>
            <w:tcBorders>
              <w:top w:val="single" w:sz="4" w:space="0" w:color="000000"/>
              <w:left w:val="nil" w:sz="6" w:space="0" w:color="auto"/>
              <w:bottom w:val="nil" w:sz="6" w:space="0" w:color="auto"/>
              <w:right w:val="nil" w:sz="6" w:space="0" w:color="auto"/>
            </w:tcBorders>
            <w:shd w:val="clear" w:color="auto" w:fill="D3D3D3"/>
          </w:tcPr>
          <w:p>
            <w:pPr/>
          </w:p>
        </w:tc>
        <w:tc>
          <w:tcPr>
            <w:tcW w:w="3306" w:type="dxa"/>
            <w:tcBorders>
              <w:top w:val="single" w:sz="4" w:space="0" w:color="000000"/>
              <w:left w:val="nil" w:sz="6" w:space="0" w:color="auto"/>
              <w:bottom w:val="nil" w:sz="6" w:space="0" w:color="auto"/>
              <w:right w:val="nil" w:sz="6" w:space="0" w:color="auto"/>
            </w:tcBorders>
          </w:tcPr>
          <w:p>
            <w:pPr/>
          </w:p>
        </w:tc>
        <w:tc>
          <w:tcPr>
            <w:tcW w:w="3300" w:type="dxa"/>
            <w:tcBorders>
              <w:top w:val="single" w:sz="4" w:space="0" w:color="000000"/>
              <w:left w:val="nil" w:sz="6" w:space="0" w:color="auto"/>
              <w:bottom w:val="nil" w:sz="6" w:space="0" w:color="auto"/>
              <w:right w:val="nil" w:sz="6" w:space="0" w:color="auto"/>
            </w:tcBorders>
          </w:tcPr>
          <w:p>
            <w:pPr/>
          </w:p>
        </w:tc>
      </w:tr>
      <w:tr>
        <w:trPr>
          <w:trHeight w:val="287" w:hRule="exact"/>
        </w:trPr>
        <w:tc>
          <w:tcPr>
            <w:tcW w:w="2950" w:type="dxa"/>
            <w:tcBorders>
              <w:top w:val="nil" w:sz="6" w:space="0" w:color="auto"/>
              <w:left w:val="nil" w:sz="6" w:space="0" w:color="auto"/>
              <w:bottom w:val="nil" w:sz="6" w:space="0" w:color="auto"/>
              <w:right w:val="nil" w:sz="6" w:space="0" w:color="auto"/>
            </w:tcBorders>
            <w:shd w:val="clear" w:color="auto" w:fill="D3D3D3"/>
          </w:tcPr>
          <w:p>
            <w:pPr>
              <w:pStyle w:val="TableParagraph"/>
              <w:spacing w:line="217" w:lineRule="exact"/>
              <w:ind w:right="953"/>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
              <w:jc w:val="right"/>
              <w:rPr>
                <w:rFonts w:ascii="Times New Roman" w:hAnsi="Times New Roman" w:cs="Times New Roman" w:eastAsia="Times New Roman" w:hint="default"/>
                <w:sz w:val="18"/>
                <w:szCs w:val="18"/>
              </w:rPr>
            </w:pPr>
            <w:r>
              <w:rPr>
                <w:rFonts w:ascii="Times New Roman"/>
                <w:sz w:val="18"/>
              </w:rPr>
              <w:t>0.0132</w:t>
            </w:r>
          </w:p>
        </w:tc>
        <w:tc>
          <w:tcPr>
            <w:tcW w:w="330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4"/>
              <w:jc w:val="right"/>
              <w:rPr>
                <w:rFonts w:ascii="Times New Roman" w:hAnsi="Times New Roman" w:cs="Times New Roman" w:eastAsia="Times New Roman" w:hint="default"/>
                <w:sz w:val="18"/>
                <w:szCs w:val="18"/>
              </w:rPr>
            </w:pPr>
            <w:r>
              <w:rPr>
                <w:rFonts w:ascii="Times New Roman"/>
                <w:sz w:val="18"/>
              </w:rPr>
              <w:t>0.4053</w:t>
            </w:r>
          </w:p>
        </w:tc>
      </w:tr>
    </w:tbl>
    <w:p>
      <w:pPr>
        <w:spacing w:after="0" w:line="240" w:lineRule="auto"/>
        <w:jc w:val="right"/>
        <w:rPr>
          <w:rFonts w:ascii="Times New Roman" w:hAnsi="Times New Roman" w:cs="Times New Roman" w:eastAsia="Times New Roman" w:hint="default"/>
          <w:sz w:val="18"/>
          <w:szCs w:val="18"/>
        </w:rPr>
        <w:sectPr>
          <w:footerReference w:type="default" r:id="rId24"/>
          <w:pgSz w:w="11910" w:h="16840"/>
          <w:pgMar w:footer="510" w:header="877" w:top="1100" w:bottom="700" w:left="980" w:right="980"/>
        </w:sectPr>
      </w:pPr>
    </w:p>
    <w:p>
      <w:pPr>
        <w:spacing w:before="13"/>
        <w:ind w:left="154" w:right="-19" w:firstLine="0"/>
        <w:jc w:val="left"/>
        <w:rPr>
          <w:rFonts w:ascii="宋体" w:hAnsi="宋体" w:cs="宋体" w:eastAsia="宋体" w:hint="default"/>
          <w:sz w:val="21"/>
          <w:szCs w:val="21"/>
        </w:rPr>
      </w:pPr>
      <w:r>
        <w:rPr/>
        <w:pict>
          <v:group style="position:absolute;margin-left:55.200001pt;margin-top:2.233974pt;width:484.95pt;height:.1pt;mso-position-horizontal-relative:page;mso-position-vertical-relative:paragraph;z-index:-1260016" coordorigin="1104,45" coordsize="9699,2">
            <v:shape style="position:absolute;left:1104;top:45;width:9699;height:2" coordorigin="1104,45" coordsize="9699,0" path="m1104,45l10802,45e" filled="false" stroked="true" strokeweight=".72003pt" strokecolor="#000000">
              <v:path arrowok="t"/>
            </v:shape>
            <w10:wrap type="none"/>
          </v:group>
        </w:pic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40" w:lineRule="auto" w:before="1"/>
        <w:rPr>
          <w:rFonts w:ascii="宋体" w:hAnsi="宋体" w:cs="宋体" w:eastAsia="宋体" w:hint="default"/>
          <w:b/>
          <w:bCs/>
          <w:sz w:val="22"/>
          <w:szCs w:val="22"/>
        </w:rPr>
      </w:pPr>
      <w:r>
        <w:rPr/>
        <w:br w:type="column"/>
      </w:r>
      <w:r>
        <w:rPr>
          <w:rFonts w:ascii="宋体"/>
          <w:b/>
          <w:sz w:val="22"/>
        </w:rPr>
      </w: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footerReference w:type="default" r:id="rId25"/>
          <w:pgSz w:w="11910" w:h="16840"/>
          <w:pgMar w:footer="510" w:header="877" w:top="1060" w:bottom="700" w:left="980" w:right="980"/>
          <w:cols w:num="2" w:equalWidth="0">
            <w:col w:w="1947" w:space="6971"/>
            <w:col w:w="1032"/>
          </w:cols>
        </w:sectPr>
      </w:pPr>
    </w:p>
    <w:tbl>
      <w:tblPr>
        <w:tblW w:w="0" w:type="auto"/>
        <w:jc w:val="left"/>
        <w:tblInd w:w="133" w:type="dxa"/>
        <w:tblLayout w:type="fixed"/>
        <w:tblCellMar>
          <w:top w:w="0" w:type="dxa"/>
          <w:left w:w="0" w:type="dxa"/>
          <w:bottom w:w="0" w:type="dxa"/>
          <w:right w:w="0" w:type="dxa"/>
        </w:tblCellMar>
        <w:tblLook w:val="01E0"/>
      </w:tblPr>
      <w:tblGrid>
        <w:gridCol w:w="5490"/>
        <w:gridCol w:w="2267"/>
        <w:gridCol w:w="1925"/>
      </w:tblGrid>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68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50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2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2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26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1,633,020,503.55</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1,638,445,494.88</w:t>
            </w: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267" w:type="dxa"/>
            <w:tcBorders>
              <w:top w:val="single" w:sz="4" w:space="0" w:color="000000"/>
              <w:left w:val="single" w:sz="9" w:space="0" w:color="D3D3D3"/>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267" w:type="dxa"/>
            <w:tcBorders>
              <w:top w:val="single" w:sz="4" w:space="0" w:color="000000"/>
              <w:left w:val="single" w:sz="9" w:space="0" w:color="D3D3D3"/>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267" w:type="dxa"/>
            <w:tcBorders>
              <w:top w:val="single" w:sz="4" w:space="0" w:color="000000"/>
              <w:left w:val="single" w:sz="9" w:space="0" w:color="D3D3D3"/>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267" w:type="dxa"/>
            <w:tcBorders>
              <w:top w:val="single" w:sz="4" w:space="0" w:color="000000"/>
              <w:left w:val="single" w:sz="9" w:space="0" w:color="D3D3D3"/>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2267" w:type="dxa"/>
            <w:tcBorders>
              <w:top w:val="single" w:sz="4" w:space="0" w:color="000000"/>
              <w:left w:val="single" w:sz="9" w:space="0" w:color="D3D3D3"/>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267" w:type="dxa"/>
            <w:tcBorders>
              <w:top w:val="single" w:sz="4" w:space="0" w:color="000000"/>
              <w:left w:val="single" w:sz="9" w:space="0" w:color="D3D3D3"/>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处置以公允价值计量且其变动计入当期损益的金融资产净增加额</w:t>
            </w:r>
          </w:p>
        </w:tc>
        <w:tc>
          <w:tcPr>
            <w:tcW w:w="2267" w:type="dxa"/>
            <w:tcBorders>
              <w:top w:val="single" w:sz="4" w:space="0" w:color="000000"/>
              <w:left w:val="single" w:sz="9" w:space="0" w:color="D3D3D3"/>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ind w:left="371"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267" w:type="dxa"/>
            <w:tcBorders>
              <w:top w:val="single" w:sz="4" w:space="0" w:color="000000"/>
              <w:left w:val="single" w:sz="9" w:space="0" w:color="D3D3D3"/>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267" w:type="dxa"/>
            <w:tcBorders>
              <w:top w:val="single" w:sz="4" w:space="0" w:color="000000"/>
              <w:left w:val="single" w:sz="9" w:space="0" w:color="D3D3D3"/>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267" w:type="dxa"/>
            <w:tcBorders>
              <w:top w:val="single" w:sz="4" w:space="0" w:color="000000"/>
              <w:left w:val="single" w:sz="9" w:space="0" w:color="D3D3D3"/>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26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1,369,918.50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268,511.09</w:t>
            </w: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26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44,392,100.88</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42,127,673.39</w:t>
            </w: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6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1,678,782,522.93</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1,680,841,679.36</w:t>
            </w: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26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1,039,075,100.67</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1,099,830,072.97</w:t>
            </w: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267" w:type="dxa"/>
            <w:tcBorders>
              <w:top w:val="single" w:sz="4" w:space="0" w:color="000000"/>
              <w:left w:val="single" w:sz="9" w:space="0" w:color="D3D3D3"/>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267" w:type="dxa"/>
            <w:tcBorders>
              <w:top w:val="single" w:sz="4" w:space="0" w:color="000000"/>
              <w:left w:val="single" w:sz="9" w:space="0" w:color="D3D3D3"/>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ind w:left="371"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267" w:type="dxa"/>
            <w:tcBorders>
              <w:top w:val="single" w:sz="4" w:space="0" w:color="000000"/>
              <w:left w:val="single" w:sz="9" w:space="0" w:color="D3D3D3"/>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267" w:type="dxa"/>
            <w:tcBorders>
              <w:top w:val="single" w:sz="4" w:space="0" w:color="000000"/>
              <w:left w:val="single" w:sz="9" w:space="0" w:color="D3D3D3"/>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267" w:type="dxa"/>
            <w:tcBorders>
              <w:top w:val="single" w:sz="4" w:space="0" w:color="000000"/>
              <w:left w:val="single" w:sz="9" w:space="0" w:color="D3D3D3"/>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26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279,237,166.61</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276,456,936.60</w:t>
            </w: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26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114,672,361.69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67,413,281.26</w:t>
            </w: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26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153,827,400.46</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173,388,592.47</w:t>
            </w: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6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1,586,812,029.43</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1,617,088,883.30</w:t>
            </w: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6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91,970,493.50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63,752,796.06</w:t>
            </w: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2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2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26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333,562,058.78</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99,397,787.75</w:t>
            </w: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26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19,546,028.23</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18,767,171.92</w:t>
            </w: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26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19,052,071.68</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149,824.91</w:t>
            </w: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267" w:type="dxa"/>
            <w:tcBorders>
              <w:top w:val="single" w:sz="4" w:space="0" w:color="000000"/>
              <w:left w:val="single" w:sz="9" w:space="0" w:color="D3D3D3"/>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7,584.58</w:t>
            </w: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26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368,504,060.08</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278,938.94</w:t>
            </w: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6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740,664,218.77</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118,601,308.10</w:t>
            </w: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26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69,056,795.37</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46,106,098.87</w:t>
            </w: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26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281,059,052.00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77,427,193.03</w:t>
            </w: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267" w:type="dxa"/>
            <w:tcBorders>
              <w:top w:val="single" w:sz="4" w:space="0" w:color="000000"/>
              <w:left w:val="single" w:sz="9" w:space="0" w:color="D3D3D3"/>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26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82,386,285.05</w:t>
            </w: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267" w:type="dxa"/>
            <w:tcBorders>
              <w:top w:val="single" w:sz="4" w:space="0" w:color="000000"/>
              <w:left w:val="single" w:sz="9" w:space="0" w:color="D3D3D3"/>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6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432,502,132.42</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123,533,291.90</w:t>
            </w: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6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308,162,086.35</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-4,931,983.80</w:t>
            </w: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2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25"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26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51,390,500.00</w:t>
            </w: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ind w:left="371"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26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51,390,500.00</w:t>
            </w: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26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7,745,000.00</w:t>
            </w: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267" w:type="dxa"/>
            <w:tcBorders>
              <w:top w:val="single" w:sz="4" w:space="0" w:color="000000"/>
              <w:left w:val="single" w:sz="9" w:space="0" w:color="D3D3D3"/>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26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223,011,947.25</w:t>
            </w: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6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68,135,500.00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223,011,947.25</w:t>
            </w: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26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1,300,000.00</w:t>
            </w: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26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686,794.29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891,960.52</w:t>
            </w: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267" w:type="dxa"/>
            <w:tcBorders>
              <w:top w:val="single" w:sz="4" w:space="0" w:color="000000"/>
              <w:left w:val="single" w:sz="9" w:space="0" w:color="D3D3D3"/>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26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37,417,037.25</w:t>
            </w: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6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13,986,794.29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38,308,997.77</w:t>
            </w: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6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54,148,705.71</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184,702,949.48</w:t>
            </w: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26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-1,901.37</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124,306.74</w:t>
            </w: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26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454,279,384.19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243,648,068.48</w:t>
            </w:r>
          </w:p>
        </w:tc>
      </w:tr>
      <w:tr>
        <w:trPr>
          <w:trHeight w:val="250"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26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432,673,799.93</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189,025,731.45</w:t>
            </w:r>
          </w:p>
        </w:tc>
      </w:tr>
      <w:tr>
        <w:trPr>
          <w:trHeight w:val="251" w:hRule="exact"/>
        </w:trPr>
        <w:tc>
          <w:tcPr>
            <w:tcW w:w="54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26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886,953,184.12</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432,673,799.93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0"/>
          <w:szCs w:val="20"/>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251"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50"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50"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2,031,221.32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1,950,009.26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5,788,884.67</w:t>
            </w:r>
          </w:p>
        </w:tc>
      </w:tr>
      <w:tr>
        <w:trPr>
          <w:trHeight w:val="250"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3,981,230.58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5,788,884.67</w:t>
            </w:r>
          </w:p>
        </w:tc>
      </w:tr>
      <w:tr>
        <w:trPr>
          <w:trHeight w:val="251"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z w:val="18"/>
              </w:rPr>
              <w:t>563,441.28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4"/>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10,471,976.25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1,816,421.24</w:t>
            </w:r>
          </w:p>
        </w:tc>
      </w:tr>
      <w:tr>
        <w:trPr>
          <w:trHeight w:val="250"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50,541,883.79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983,583.74</w:t>
            </w:r>
          </w:p>
        </w:tc>
      </w:tr>
      <w:tr>
        <w:trPr>
          <w:trHeight w:val="251"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162,318,763.73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8,772,602.24</w:t>
            </w:r>
          </w:p>
        </w:tc>
      </w:tr>
      <w:tr>
        <w:trPr>
          <w:trHeight w:val="250"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223,896,065.05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11,572,607.22</w:t>
            </w:r>
          </w:p>
        </w:tc>
      </w:tr>
      <w:tr>
        <w:trPr>
          <w:trHeight w:val="250"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-219,914,834.47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-5,783,722.55</w:t>
            </w:r>
          </w:p>
        </w:tc>
      </w:tr>
      <w:tr>
        <w:trPr>
          <w:trHeight w:val="251"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50"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93,702,125.00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6,213,034.00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18,939,096.03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9,500,000.00</w:t>
            </w:r>
          </w:p>
        </w:tc>
      </w:tr>
      <w:tr>
        <w:trPr>
          <w:trHeight w:val="490"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368,504,060.08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pacing w:val="-1"/>
                <w:sz w:val="18"/>
              </w:rPr>
              <w:t>487,358,315.11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9,500,000.00</w:t>
            </w:r>
          </w:p>
        </w:tc>
      </w:tr>
      <w:tr>
        <w:trPr>
          <w:trHeight w:val="490"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1"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z w:val="18"/>
              </w:rPr>
              <w:t>794,719.44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156,464,000.00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1"/>
              <w:ind w:left="11"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157,258,719.44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330,099,595.67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9,500,000.00</w:t>
            </w:r>
          </w:p>
        </w:tc>
      </w:tr>
      <w:tr>
        <w:trPr>
          <w:trHeight w:val="250"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250"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1" w:right="4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4,233,600.00</w:t>
            </w:r>
          </w:p>
        </w:tc>
      </w:tr>
      <w:tr>
        <w:trPr>
          <w:trHeight w:val="251"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4,233,600.00</w:t>
            </w:r>
          </w:p>
        </w:tc>
      </w:tr>
      <w:tr>
        <w:trPr>
          <w:trHeight w:val="250"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-4,233,600.00</w:t>
            </w:r>
          </w:p>
        </w:tc>
      </w:tr>
      <w:tr>
        <w:trPr>
          <w:trHeight w:val="491"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1"/>
              <w:ind w:left="11"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110,184,761.20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-517,322.55</w:t>
            </w:r>
          </w:p>
        </w:tc>
      </w:tr>
      <w:tr>
        <w:trPr>
          <w:trHeight w:val="250"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right="4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z w:val="18"/>
              </w:rPr>
              <w:t>246,667.62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z w:val="18"/>
              </w:rPr>
              <w:t>763,990.17</w:t>
            </w:r>
          </w:p>
        </w:tc>
      </w:tr>
      <w:tr>
        <w:trPr>
          <w:trHeight w:val="251"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5"/>
              <w:ind w:right="20"/>
              <w:jc w:val="right"/>
              <w:rPr>
                <w:rFonts w:ascii="Times New Roman" w:hAnsi="Times New Roman" w:cs="Times New Roman" w:eastAsia="Times New Roman" w:hint="default"/>
                <w:sz w:val="18"/>
                <w:szCs w:val="18"/>
              </w:rPr>
            </w:pPr>
            <w:r>
              <w:rPr>
                <w:rFonts w:ascii="Times New Roman"/>
                <w:spacing w:val="-1"/>
                <w:sz w:val="18"/>
              </w:rPr>
              <w:t>110,431,428.82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z w:val="18"/>
              </w:rPr>
              <w:t>246,667.62</w:t>
            </w:r>
          </w:p>
        </w:tc>
      </w:tr>
    </w:tbl>
    <w:p>
      <w:pPr>
        <w:spacing w:after="0" w:line="240" w:lineRule="auto"/>
        <w:jc w:val="right"/>
        <w:rPr>
          <w:rFonts w:ascii="Times New Roman" w:hAnsi="Times New Roman" w:cs="Times New Roman" w:eastAsia="Times New Roman" w:hint="default"/>
          <w:sz w:val="18"/>
          <w:szCs w:val="18"/>
        </w:rPr>
        <w:sectPr>
          <w:footerReference w:type="default" r:id="rId26"/>
          <w:pgSz w:w="11910" w:h="16840"/>
          <w:pgMar w:footer="510" w:header="877" w:top="1060" w:bottom="700" w:left="980" w:right="980"/>
        </w:sectPr>
      </w:pPr>
    </w:p>
    <w:p>
      <w:pPr>
        <w:spacing w:before="61"/>
        <w:ind w:left="139" w:right="0" w:firstLine="0"/>
        <w:jc w:val="left"/>
        <w:rPr>
          <w:rFonts w:ascii="宋体" w:hAnsi="宋体" w:cs="宋体" w:eastAsia="宋体" w:hint="default"/>
          <w:sz w:val="21"/>
          <w:szCs w:val="21"/>
        </w:rPr>
      </w:pPr>
      <w:r>
        <w:rPr/>
        <w:pict>
          <v:group style="position:absolute;margin-left:70.490997pt;margin-top:2.233677pt;width:700.95pt;height:.1pt;mso-position-horizontal-relative:page;mso-position-vertical-relative:paragraph;z-index:1816" coordorigin="1410,45" coordsize="14019,2">
            <v:shape style="position:absolute;left:1410;top:45;width:14019;height:2" coordorigin="1410,45" coordsize="14019,0" path="m1410,45l15428,45e" filled="false" stroked="true" strokeweight=".72pt" strokecolor="#000000">
              <v:path arrowok="t"/>
            </v:shape>
            <w10:wrap type="none"/>
          </v:group>
        </w:pict>
      </w:r>
      <w:r>
        <w:rPr>
          <w:rFonts w:ascii="Times New Roman" w:hAnsi="Times New Roman" w:cs="Times New Roman" w:eastAsia="Times New Roman" w:hint="default"/>
          <w:b/>
          <w:bCs/>
          <w:w w:val="95"/>
          <w:sz w:val="21"/>
          <w:szCs w:val="21"/>
        </w:rPr>
        <w:t>7</w:t>
      </w:r>
      <w:r>
        <w:rPr>
          <w:rFonts w:ascii="宋体" w:hAnsi="宋体" w:cs="宋体" w:eastAsia="宋体" w:hint="default"/>
          <w:b/>
          <w:bCs/>
          <w:w w:val="95"/>
          <w:sz w:val="21"/>
          <w:szCs w:val="21"/>
        </w:rPr>
        <w:t>、合并所有者权益变动表</w:t>
      </w:r>
      <w:r>
        <w:rPr>
          <w:rFonts w:ascii="宋体" w:hAnsi="宋体" w:cs="宋体" w:eastAsia="宋体" w:hint="default"/>
          <w:sz w:val="21"/>
          <w:szCs w:val="21"/>
        </w:rPr>
      </w:r>
    </w:p>
    <w:p>
      <w:pPr>
        <w:spacing w:before="92"/>
        <w:ind w:left="139"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39" w:right="0" w:firstLine="0"/>
        <w:jc w:val="left"/>
        <w:rPr>
          <w:rFonts w:ascii="宋体" w:hAnsi="宋体" w:cs="宋体" w:eastAsia="宋体" w:hint="default"/>
          <w:sz w:val="18"/>
          <w:szCs w:val="18"/>
        </w:rPr>
      </w:pPr>
      <w:r>
        <w:rPr/>
        <w:pict>
          <v:group style="position:absolute;margin-left:195.651001pt;margin-top:38.411411pt;width:65.3pt;height:36.5pt;mso-position-horizontal-relative:page;mso-position-vertical-relative:paragraph;z-index:-1259944" coordorigin="3913,768" coordsize="1306,730">
            <v:group style="position:absolute;left:3913;top:768;width:1306;height:730" coordorigin="3913,768" coordsize="1306,730">
              <v:shape style="position:absolute;left:3913;top:768;width:1306;height:730" coordorigin="3913,768" coordsize="1306,730" path="m5219,1013l5219,768,3913,768,4351,1013,5219,1013xe" filled="true" fillcolor="#d3d3d3" stroked="false">
                <v:path arrowok="t"/>
                <v:fill type="solid"/>
              </v:shape>
              <v:shape style="position:absolute;left:3913;top:768;width:1306;height:730" coordorigin="3913,768" coordsize="1306,730" path="m4781,1253l4351,1013,3936,1013,3936,1253,4781,1253xe" filled="true" fillcolor="#d3d3d3" stroked="false">
                <v:path arrowok="t"/>
                <v:fill type="solid"/>
              </v:shape>
              <v:shape style="position:absolute;left:3913;top:768;width:1306;height:730" coordorigin="3913,768" coordsize="1306,730" path="m5219,1498l5219,1253,4781,1253,5219,1498xe" filled="true" fillcolor="#d3d3d3" stroked="false">
                <v:path arrowok="t"/>
                <v:fill type="solid"/>
              </v:shape>
              <v:shape style="position:absolute;left:3913;top:768;width:1306;height:730" coordorigin="3913,768" coordsize="1306,730" path="m5219,1253l5219,1013,5196,1013,5196,1253,5219,1253xe" filled="true" fillcolor="#d3d3d3" stroked="false">
                <v:path arrowok="t"/>
                <v:fill type="solid"/>
              </v:shape>
            </v:group>
            <v:group style="position:absolute;left:3936;top:1013;width:1260;height:240" coordorigin="3936,1013" coordsize="1260,240">
              <v:shape style="position:absolute;left:3936;top:1013;width:1260;height:240" coordorigin="3936,1013" coordsize="1260,240" path="m3936,1013l5196,1013,5196,1253,3936,1253,3936,1013xe" filled="true" fillcolor="#d3d3d3" stroked="false">
                <v:path arrowok="t"/>
                <v:fill type="solid"/>
              </v:shape>
            </v:group>
            <w10:wrap type="none"/>
          </v:group>
        </w:pict>
      </w:r>
      <w:r>
        <w:rPr/>
        <w:pict>
          <v:group style="position:absolute;margin-left:386.990997pt;margin-top:38.411407pt;width:105.75pt;height:30.25pt;mso-position-horizontal-relative:page;mso-position-vertical-relative:paragraph;z-index:-1259920" coordorigin="7740,768" coordsize="2115,605">
            <v:group style="position:absolute;left:7740;top:768;width:743;height:605" coordorigin="7740,768" coordsize="743,605">
              <v:shape style="position:absolute;left:7740;top:768;width:743;height:605" coordorigin="7740,768" coordsize="743,605" path="m8483,893l8483,768,7740,768,7893,893,8483,893xe" filled="true" fillcolor="#d3d3d3" stroked="false">
                <v:path arrowok="t"/>
                <v:fill type="solid"/>
              </v:shape>
              <v:shape style="position:absolute;left:7740;top:768;width:743;height:605" coordorigin="7740,768" coordsize="743,605" path="m8460,1373l8460,1354,7893,893,7763,893,7763,1373,8460,1373xe" filled="true" fillcolor="#d3d3d3" stroked="false">
                <v:path arrowok="t"/>
                <v:fill type="solid"/>
              </v:shape>
              <v:shape style="position:absolute;left:7740;top:768;width:743;height:605" coordorigin="7740,768" coordsize="743,605" path="m8483,1373l8483,893,8460,893,8460,1354,8483,1373xe" filled="true" fillcolor="#d3d3d3" stroked="false">
                <v:path arrowok="t"/>
                <v:fill type="solid"/>
              </v:shape>
            </v:group>
            <v:group style="position:absolute;left:7763;top:893;width:698;height:240" coordorigin="7763,893" coordsize="698,240">
              <v:shape style="position:absolute;left:7763;top:893;width:698;height:240" coordorigin="7763,893" coordsize="698,240" path="m7763,893l7763,1133,8460,1133,8460,893,7763,893xe" filled="true" fillcolor="#d3d3d3" stroked="false">
                <v:path arrowok="t"/>
                <v:fill type="solid"/>
              </v:shape>
            </v:group>
            <v:group style="position:absolute;left:7763;top:1133;width:698;height:240" coordorigin="7763,1133" coordsize="698,240">
              <v:shape style="position:absolute;left:7763;top:1133;width:698;height:240" coordorigin="7763,1133" coordsize="698,240" path="m7763,1133l7763,1373,8460,1373,8460,1133,7763,1133xe" filled="true" fillcolor="#d3d3d3" stroked="false">
                <v:path arrowok="t"/>
                <v:fill type="solid"/>
              </v:shape>
            </v:group>
            <v:group style="position:absolute;left:8492;top:768;width:789;height:605" coordorigin="8492,768" coordsize="789,605">
              <v:shape style="position:absolute;left:8492;top:768;width:789;height:605" coordorigin="8492,768" coordsize="789,605" path="m9281,893l9281,768,8492,768,8655,893,9281,893xe" filled="true" fillcolor="#d3d3d3" stroked="false">
                <v:path arrowok="t"/>
                <v:fill type="solid"/>
              </v:shape>
              <v:shape style="position:absolute;left:8492;top:768;width:789;height:605" coordorigin="8492,768" coordsize="789,605" path="m9258,1373l9258,1356,8655,893,8516,893,8516,1373,9258,1373xe" filled="true" fillcolor="#d3d3d3" stroked="false">
                <v:path arrowok="t"/>
                <v:fill type="solid"/>
              </v:shape>
              <v:shape style="position:absolute;left:8492;top:768;width:789;height:605" coordorigin="8492,768" coordsize="789,605" path="m9281,1373l9281,893,9258,893,9258,1356,9281,1373xe" filled="true" fillcolor="#d3d3d3" stroked="false">
                <v:path arrowok="t"/>
                <v:fill type="solid"/>
              </v:shape>
            </v:group>
            <v:group style="position:absolute;left:8516;top:893;width:742;height:240" coordorigin="8516,893" coordsize="742,240">
              <v:shape style="position:absolute;left:8516;top:893;width:742;height:240" coordorigin="8516,893" coordsize="742,240" path="m8516,893l8516,1133,9258,1133,9258,893,8516,893xe" filled="true" fillcolor="#d3d3d3" stroked="false">
                <v:path arrowok="t"/>
                <v:fill type="solid"/>
              </v:shape>
            </v:group>
            <v:group style="position:absolute;left:8516;top:1133;width:742;height:240" coordorigin="8516,1133" coordsize="742,240">
              <v:shape style="position:absolute;left:8516;top:1133;width:742;height:240" coordorigin="8516,1133" coordsize="742,240" path="m8516,1133l8516,1373,9258,1373,9258,1133,8516,1133xe" filled="true" fillcolor="#d3d3d3" stroked="false">
                <v:path arrowok="t"/>
                <v:fill type="solid"/>
              </v:shape>
            </v:group>
            <v:group style="position:absolute;left:9291;top:768;width:563;height:605" coordorigin="9291,768" coordsize="563,605">
              <v:shape style="position:absolute;left:9291;top:768;width:563;height:605" coordorigin="9291,768" coordsize="563,605" path="m9854,893l9854,768,9291,768,9408,893,9854,893xe" filled="true" fillcolor="#d3d3d3" stroked="false">
                <v:path arrowok="t"/>
                <v:fill type="solid"/>
              </v:shape>
              <v:shape style="position:absolute;left:9291;top:768;width:563;height:605" coordorigin="9291,768" coordsize="563,605" path="m9831,1373l9831,1349,9408,893,9314,893,9314,1373,9831,1373xe" filled="true" fillcolor="#d3d3d3" stroked="false">
                <v:path arrowok="t"/>
                <v:fill type="solid"/>
              </v:shape>
              <v:shape style="position:absolute;left:9291;top:768;width:563;height:605" coordorigin="9291,768" coordsize="563,605" path="m9854,1373l9854,893,9831,893,9831,1349,9854,1373xe" filled="true" fillcolor="#d3d3d3" stroked="false">
                <v:path arrowok="t"/>
                <v:fill type="solid"/>
              </v:shape>
            </v:group>
            <v:group style="position:absolute;left:9314;top:893;width:518;height:240" coordorigin="9314,893" coordsize="518,240">
              <v:shape style="position:absolute;left:9314;top:893;width:518;height:240" coordorigin="9314,893" coordsize="518,240" path="m9314,893l9314,1133,9831,1133,9831,893,9314,893xe" filled="true" fillcolor="#d3d3d3" stroked="false">
                <v:path arrowok="t"/>
                <v:fill type="solid"/>
              </v:shape>
            </v:group>
            <v:group style="position:absolute;left:9314;top:1133;width:518;height:240" coordorigin="9314,1133" coordsize="518,240">
              <v:shape style="position:absolute;left:9314;top:1133;width:518;height:240" coordorigin="9314,1133" coordsize="518,240" path="m9314,1133l9314,1373,9831,1373,9831,1133,9314,1133xe" filled="true" fillcolor="#d3d3d3" stroked="false">
                <v:path arrowok="t"/>
                <v:fill type="solid"/>
              </v:shape>
            </v:group>
            <w10:wrap type="none"/>
          </v:group>
        </w:pict>
      </w: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headerReference w:type="default" r:id="rId27"/>
          <w:footerReference w:type="default" r:id="rId28"/>
          <w:pgSz w:w="16840" w:h="11910" w:orient="landscape"/>
          <w:pgMar w:header="726" w:footer="480" w:top="920" w:bottom="680" w:left="1300" w:right="1280"/>
          <w:pgNumType w:start="88"/>
          <w:cols w:num="2" w:equalWidth="0">
            <w:col w:w="2563" w:space="10675"/>
            <w:col w:w="1022"/>
          </w:cols>
        </w:sectPr>
      </w:pPr>
    </w:p>
    <w:tbl>
      <w:tblPr>
        <w:tblW w:w="0" w:type="auto"/>
        <w:jc w:val="left"/>
        <w:tblInd w:w="118" w:type="dxa"/>
        <w:tblLayout w:type="fixed"/>
        <w:tblCellMar>
          <w:top w:w="0" w:type="dxa"/>
          <w:left w:w="0" w:type="dxa"/>
          <w:bottom w:w="0" w:type="dxa"/>
          <w:right w:w="0" w:type="dxa"/>
        </w:tblCellMar>
        <w:tblLook w:val="01E0"/>
      </w:tblPr>
      <w:tblGrid>
        <w:gridCol w:w="2473"/>
        <w:gridCol w:w="1327"/>
        <w:gridCol w:w="462"/>
        <w:gridCol w:w="461"/>
        <w:gridCol w:w="348"/>
        <w:gridCol w:w="1241"/>
        <w:gridCol w:w="752"/>
        <w:gridCol w:w="798"/>
        <w:gridCol w:w="574"/>
        <w:gridCol w:w="1091"/>
        <w:gridCol w:w="798"/>
        <w:gridCol w:w="1181"/>
        <w:gridCol w:w="1181"/>
        <w:gridCol w:w="1316"/>
      </w:tblGrid>
      <w:tr>
        <w:trPr>
          <w:trHeight w:val="250" w:hRule="exact"/>
        </w:trPr>
        <w:tc>
          <w:tcPr>
            <w:tcW w:w="2473" w:type="dxa"/>
            <w:vMerge w:val="restart"/>
            <w:tcBorders>
              <w:top w:val="single" w:sz="4" w:space="0" w:color="000000"/>
              <w:left w:val="single" w:sz="4" w:space="0" w:color="000000"/>
              <w:right w:val="single" w:sz="4" w:space="0" w:color="000000"/>
            </w:tcBorders>
            <w:shd w:val="clear" w:color="auto" w:fill="D3D3D3"/>
          </w:tcPr>
          <w:p>
            <w:pPr/>
          </w:p>
        </w:tc>
        <w:tc>
          <w:tcPr>
            <w:tcW w:w="11530"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0" w:hRule="exact"/>
        </w:trPr>
        <w:tc>
          <w:tcPr>
            <w:tcW w:w="2473" w:type="dxa"/>
            <w:vMerge/>
            <w:tcBorders>
              <w:left w:val="single" w:sz="4" w:space="0" w:color="000000"/>
              <w:bottom w:val="nil" w:sz="6" w:space="0" w:color="auto"/>
              <w:right w:val="single" w:sz="4" w:space="0" w:color="000000"/>
            </w:tcBorders>
            <w:shd w:val="clear" w:color="auto" w:fill="D3D3D3"/>
          </w:tcPr>
          <w:p>
            <w:pPr/>
          </w:p>
        </w:tc>
        <w:tc>
          <w:tcPr>
            <w:tcW w:w="9032"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81" w:type="dxa"/>
            <w:vMerge w:val="restart"/>
            <w:tcBorders>
              <w:top w:val="single" w:sz="4" w:space="0" w:color="000000"/>
              <w:left w:val="single" w:sz="4" w:space="0" w:color="000000"/>
              <w:right w:val="single" w:sz="4" w:space="0" w:color="000000"/>
            </w:tcBorders>
            <w:shd w:val="clear" w:color="auto" w:fill="D3D3D3"/>
          </w:tcPr>
          <w:p>
            <w:pPr/>
          </w:p>
        </w:tc>
        <w:tc>
          <w:tcPr>
            <w:tcW w:w="1316" w:type="dxa"/>
            <w:vMerge w:val="restart"/>
            <w:tcBorders>
              <w:top w:val="single" w:sz="4" w:space="0" w:color="000000"/>
              <w:left w:val="single" w:sz="4" w:space="0" w:color="000000"/>
              <w:right w:val="single" w:sz="4" w:space="0" w:color="000000"/>
            </w:tcBorders>
            <w:shd w:val="clear" w:color="auto" w:fill="D3D3D3"/>
          </w:tcPr>
          <w:p>
            <w:pPr/>
          </w:p>
        </w:tc>
      </w:tr>
      <w:tr>
        <w:trPr>
          <w:trHeight w:val="128" w:hRule="exact"/>
        </w:trPr>
        <w:tc>
          <w:tcPr>
            <w:tcW w:w="2473" w:type="dxa"/>
            <w:vMerge w:val="restart"/>
            <w:tcBorders>
              <w:top w:val="nil" w:sz="6" w:space="0" w:color="auto"/>
              <w:left w:val="single" w:sz="4" w:space="0" w:color="000000"/>
              <w:right w:val="single" w:sz="4" w:space="0" w:color="000000"/>
            </w:tcBorders>
            <w:shd w:val="clear" w:color="auto" w:fill="D3D3D3"/>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27" w:type="dxa"/>
            <w:vMerge w:val="restart"/>
            <w:tcBorders>
              <w:top w:val="single" w:sz="4" w:space="0" w:color="000000"/>
              <w:left w:val="single" w:sz="10" w:space="0" w:color="D3D3D3"/>
              <w:right w:val="single" w:sz="13" w:space="0" w:color="D3D3D3"/>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71"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19" w:lineRule="exact"/>
              <w:ind w:left="9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41" w:type="dxa"/>
            <w:vMerge w:val="restart"/>
            <w:tcBorders>
              <w:top w:val="single" w:sz="4" w:space="0" w:color="000000"/>
              <w:left w:val="single" w:sz="4" w:space="0" w:color="000000"/>
              <w:right w:val="single" w:sz="4" w:space="0" w:color="000000"/>
            </w:tcBorders>
            <w:shd w:val="clear" w:color="auto" w:fill="D3D3D3"/>
          </w:tcPr>
          <w:p>
            <w:pPr/>
          </w:p>
        </w:tc>
        <w:tc>
          <w:tcPr>
            <w:tcW w:w="752" w:type="dxa"/>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107"/>
              <w:ind w:left="280" w:right="20" w:hanging="258"/>
              <w:jc w:val="left"/>
              <w:rPr>
                <w:rFonts w:ascii="宋体" w:hAnsi="宋体" w:cs="宋体" w:eastAsia="宋体" w:hint="default"/>
                <w:sz w:val="18"/>
                <w:szCs w:val="18"/>
              </w:rPr>
            </w:pPr>
            <w:r>
              <w:rPr>
                <w:rFonts w:ascii="宋体" w:hAnsi="宋体" w:cs="宋体" w:eastAsia="宋体" w:hint="default"/>
                <w:spacing w:val="-6"/>
                <w:sz w:val="18"/>
                <w:szCs w:val="18"/>
              </w:rPr>
              <w:t>减：库存</w:t>
            </w:r>
            <w:r>
              <w:rPr>
                <w:rFonts w:ascii="宋体" w:hAnsi="宋体" w:cs="宋体" w:eastAsia="宋体" w:hint="default"/>
                <w:sz w:val="18"/>
                <w:szCs w:val="18"/>
              </w:rPr>
              <w:t> 股</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107"/>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574" w:type="dxa"/>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107"/>
              <w:ind w:left="101" w:right="100"/>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091" w:type="dxa"/>
            <w:vMerge w:val="restart"/>
            <w:tcBorders>
              <w:top w:val="single" w:sz="4" w:space="0" w:color="000000"/>
              <w:left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1181" w:type="dxa"/>
            <w:vMerge w:val="restart"/>
            <w:tcBorders>
              <w:top w:val="single" w:sz="4" w:space="0" w:color="000000"/>
              <w:left w:val="single" w:sz="4" w:space="0" w:color="000000"/>
              <w:right w:val="single" w:sz="4" w:space="0" w:color="000000"/>
            </w:tcBorders>
            <w:shd w:val="clear" w:color="auto" w:fill="D3D3D3"/>
          </w:tcPr>
          <w:p>
            <w:pPr/>
          </w:p>
        </w:tc>
        <w:tc>
          <w:tcPr>
            <w:tcW w:w="1181" w:type="dxa"/>
            <w:vMerge/>
            <w:tcBorders>
              <w:left w:val="single" w:sz="4" w:space="0" w:color="000000"/>
              <w:bottom w:val="nil" w:sz="6" w:space="0" w:color="auto"/>
              <w:right w:val="single" w:sz="4" w:space="0" w:color="000000"/>
            </w:tcBorders>
            <w:shd w:val="clear" w:color="auto" w:fill="D3D3D3"/>
          </w:tcPr>
          <w:p>
            <w:pPr/>
          </w:p>
        </w:tc>
        <w:tc>
          <w:tcPr>
            <w:tcW w:w="1316" w:type="dxa"/>
            <w:vMerge/>
            <w:tcBorders>
              <w:left w:val="single" w:sz="4" w:space="0" w:color="000000"/>
              <w:bottom w:val="nil" w:sz="6" w:space="0" w:color="auto"/>
              <w:right w:val="single" w:sz="4" w:space="0" w:color="000000"/>
            </w:tcBorders>
            <w:shd w:val="clear" w:color="auto" w:fill="D3D3D3"/>
          </w:tcPr>
          <w:p>
            <w:pPr/>
          </w:p>
        </w:tc>
      </w:tr>
      <w:tr>
        <w:trPr>
          <w:trHeight w:val="117" w:hRule="exact"/>
        </w:trPr>
        <w:tc>
          <w:tcPr>
            <w:tcW w:w="2473" w:type="dxa"/>
            <w:vMerge/>
            <w:tcBorders>
              <w:left w:val="single" w:sz="4" w:space="0" w:color="000000"/>
              <w:bottom w:val="nil" w:sz="6" w:space="0" w:color="auto"/>
              <w:right w:val="single" w:sz="4" w:space="0" w:color="000000"/>
            </w:tcBorders>
            <w:shd w:val="clear" w:color="auto" w:fill="D3D3D3"/>
          </w:tcPr>
          <w:p>
            <w:pPr/>
          </w:p>
        </w:tc>
        <w:tc>
          <w:tcPr>
            <w:tcW w:w="1327" w:type="dxa"/>
            <w:vMerge/>
            <w:tcBorders>
              <w:left w:val="single" w:sz="10" w:space="0" w:color="D3D3D3"/>
              <w:right w:val="single" w:sz="13" w:space="0" w:color="D3D3D3"/>
            </w:tcBorders>
          </w:tcPr>
          <w:p>
            <w:pPr/>
          </w:p>
        </w:tc>
        <w:tc>
          <w:tcPr>
            <w:tcW w:w="1271" w:type="dxa"/>
            <w:gridSpan w:val="3"/>
            <w:vMerge/>
            <w:tcBorders>
              <w:left w:val="single" w:sz="4" w:space="0" w:color="000000"/>
              <w:bottom w:val="single" w:sz="4" w:space="0" w:color="000000"/>
              <w:right w:val="single" w:sz="4" w:space="0" w:color="000000"/>
            </w:tcBorders>
            <w:shd w:val="clear" w:color="auto" w:fill="D3D3D3"/>
          </w:tcPr>
          <w:p>
            <w:pPr/>
          </w:p>
        </w:tc>
        <w:tc>
          <w:tcPr>
            <w:tcW w:w="1241" w:type="dxa"/>
            <w:vMerge/>
            <w:tcBorders>
              <w:left w:val="single" w:sz="4" w:space="0" w:color="000000"/>
              <w:bottom w:val="nil" w:sz="6" w:space="0" w:color="auto"/>
              <w:right w:val="single" w:sz="4" w:space="0" w:color="000000"/>
            </w:tcBorders>
            <w:shd w:val="clear" w:color="auto" w:fill="D3D3D3"/>
          </w:tcPr>
          <w:p>
            <w:pPr/>
          </w:p>
        </w:tc>
        <w:tc>
          <w:tcPr>
            <w:tcW w:w="752"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574" w:type="dxa"/>
            <w:vMerge/>
            <w:tcBorders>
              <w:left w:val="single" w:sz="4" w:space="0" w:color="000000"/>
              <w:right w:val="single" w:sz="4" w:space="0" w:color="000000"/>
            </w:tcBorders>
            <w:shd w:val="clear" w:color="auto" w:fill="D3D3D3"/>
          </w:tcPr>
          <w:p>
            <w:pPr/>
          </w:p>
        </w:tc>
        <w:tc>
          <w:tcPr>
            <w:tcW w:w="1091" w:type="dxa"/>
            <w:vMerge/>
            <w:tcBorders>
              <w:left w:val="single" w:sz="4" w:space="0" w:color="000000"/>
              <w:bottom w:val="nil" w:sz="6" w:space="0" w:color="auto"/>
              <w:right w:val="single" w:sz="4" w:space="0" w:color="000000"/>
            </w:tcBorders>
            <w:shd w:val="clear" w:color="auto" w:fill="D3D3D3"/>
          </w:tcPr>
          <w:p>
            <w:pPr/>
          </w:p>
        </w:tc>
        <w:tc>
          <w:tcPr>
            <w:tcW w:w="7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exact" w:before="2"/>
              <w:ind w:left="213" w:right="32"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181" w:type="dxa"/>
            <w:vMerge/>
            <w:tcBorders>
              <w:left w:val="single" w:sz="4" w:space="0" w:color="000000"/>
              <w:bottom w:val="nil" w:sz="6" w:space="0" w:color="auto"/>
              <w:right w:val="single" w:sz="4" w:space="0" w:color="000000"/>
            </w:tcBorders>
            <w:shd w:val="clear" w:color="auto" w:fill="D3D3D3"/>
          </w:tcPr>
          <w:p>
            <w:pPr/>
          </w:p>
        </w:tc>
        <w:tc>
          <w:tcPr>
            <w:tcW w:w="1181" w:type="dxa"/>
            <w:vMerge w:val="restart"/>
            <w:tcBorders>
              <w:top w:val="nil" w:sz="6" w:space="0" w:color="auto"/>
              <w:left w:val="single" w:sz="9" w:space="0" w:color="D3D3D3"/>
              <w:right w:val="single" w:sz="22" w:space="0" w:color="D3D3D3"/>
            </w:tcBorders>
          </w:tcPr>
          <w:p>
            <w:pPr>
              <w:pStyle w:val="TableParagraph"/>
              <w:spacing w:line="215" w:lineRule="exact"/>
              <w:ind w:left="3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少数股东权益</w:t>
            </w:r>
            <w:r>
              <w:rPr>
                <w:rFonts w:ascii="宋体" w:hAnsi="宋体" w:cs="宋体" w:eastAsia="宋体" w:hint="default"/>
                <w:sz w:val="18"/>
                <w:szCs w:val="18"/>
              </w:rPr>
            </w:r>
          </w:p>
        </w:tc>
        <w:tc>
          <w:tcPr>
            <w:tcW w:w="1316" w:type="dxa"/>
            <w:vMerge w:val="restart"/>
            <w:tcBorders>
              <w:top w:val="nil" w:sz="6" w:space="0" w:color="auto"/>
              <w:left w:val="single" w:sz="22" w:space="0" w:color="D3D3D3"/>
              <w:right w:val="single" w:sz="13" w:space="0" w:color="D3D3D3"/>
            </w:tcBorders>
          </w:tcPr>
          <w:p>
            <w:pPr>
              <w:pStyle w:val="TableParagraph"/>
              <w:spacing w:line="215" w:lineRule="exact"/>
              <w:ind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所有者权益合计</w:t>
            </w:r>
            <w:r>
              <w:rPr>
                <w:rFonts w:ascii="宋体" w:hAnsi="宋体" w:cs="宋体" w:eastAsia="宋体" w:hint="default"/>
                <w:sz w:val="18"/>
                <w:szCs w:val="18"/>
              </w:rPr>
            </w:r>
          </w:p>
        </w:tc>
      </w:tr>
      <w:tr>
        <w:trPr>
          <w:trHeight w:val="117" w:hRule="exact"/>
        </w:trPr>
        <w:tc>
          <w:tcPr>
            <w:tcW w:w="2473" w:type="dxa"/>
            <w:vMerge w:val="restart"/>
            <w:tcBorders>
              <w:top w:val="nil" w:sz="6" w:space="0" w:color="auto"/>
              <w:left w:val="single" w:sz="4" w:space="0" w:color="000000"/>
              <w:right w:val="single" w:sz="4" w:space="0" w:color="000000"/>
            </w:tcBorders>
            <w:shd w:val="clear" w:color="auto" w:fill="D3D3D3"/>
          </w:tcPr>
          <w:p>
            <w:pPr/>
          </w:p>
        </w:tc>
        <w:tc>
          <w:tcPr>
            <w:tcW w:w="1327" w:type="dxa"/>
            <w:vMerge/>
            <w:tcBorders>
              <w:left w:val="single" w:sz="10" w:space="0" w:color="D3D3D3"/>
              <w:right w:val="single" w:sz="13" w:space="0" w:color="D3D3D3"/>
            </w:tcBorders>
          </w:tcPr>
          <w:p>
            <w:pPr/>
          </w:p>
        </w:tc>
        <w:tc>
          <w:tcPr>
            <w:tcW w:w="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before="2"/>
              <w:ind w:left="136" w:right="43"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before="2"/>
              <w:ind w:left="135" w:right="43"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34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before="2"/>
              <w:ind w:left="77" w:right="78"/>
              <w:jc w:val="left"/>
              <w:rPr>
                <w:rFonts w:ascii="宋体" w:hAnsi="宋体" w:cs="宋体" w:eastAsia="宋体" w:hint="default"/>
                <w:sz w:val="18"/>
                <w:szCs w:val="18"/>
              </w:rPr>
            </w:pPr>
            <w:r>
              <w:rPr>
                <w:rFonts w:ascii="宋体" w:hAnsi="宋体" w:cs="宋体" w:eastAsia="宋体" w:hint="default"/>
                <w:sz w:val="18"/>
                <w:szCs w:val="18"/>
              </w:rPr>
              <w:t>其 他</w:t>
            </w:r>
          </w:p>
        </w:tc>
        <w:tc>
          <w:tcPr>
            <w:tcW w:w="1241" w:type="dxa"/>
            <w:vMerge w:val="restart"/>
            <w:tcBorders>
              <w:top w:val="nil" w:sz="6" w:space="0" w:color="auto"/>
              <w:left w:val="single" w:sz="4" w:space="0" w:color="000000"/>
              <w:right w:val="single" w:sz="4" w:space="0" w:color="000000"/>
            </w:tcBorders>
            <w:shd w:val="clear" w:color="auto" w:fill="D3D3D3"/>
          </w:tcPr>
          <w:p>
            <w:pPr>
              <w:pStyle w:val="TableParagraph"/>
              <w:spacing w:line="220" w:lineRule="exact"/>
              <w:ind w:left="25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52"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574" w:type="dxa"/>
            <w:vMerge/>
            <w:tcBorders>
              <w:left w:val="single" w:sz="4" w:space="0" w:color="000000"/>
              <w:right w:val="single" w:sz="4" w:space="0" w:color="000000"/>
            </w:tcBorders>
            <w:shd w:val="clear" w:color="auto" w:fill="D3D3D3"/>
          </w:tcPr>
          <w:p>
            <w:pPr/>
          </w:p>
        </w:tc>
        <w:tc>
          <w:tcPr>
            <w:tcW w:w="1091" w:type="dxa"/>
            <w:vMerge w:val="restart"/>
            <w:tcBorders>
              <w:top w:val="nil" w:sz="6" w:space="0" w:color="auto"/>
              <w:left w:val="single" w:sz="4" w:space="0" w:color="000000"/>
              <w:right w:val="single" w:sz="4" w:space="0" w:color="000000"/>
            </w:tcBorders>
            <w:shd w:val="clear" w:color="auto" w:fill="D3D3D3"/>
          </w:tcPr>
          <w:p>
            <w:pPr>
              <w:pStyle w:val="TableParagraph"/>
              <w:spacing w:line="219" w:lineRule="exact"/>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98" w:type="dxa"/>
            <w:vMerge/>
            <w:tcBorders>
              <w:left w:val="single" w:sz="4" w:space="0" w:color="000000"/>
              <w:right w:val="single" w:sz="4" w:space="0" w:color="000000"/>
            </w:tcBorders>
            <w:shd w:val="clear" w:color="auto" w:fill="D3D3D3"/>
          </w:tcPr>
          <w:p>
            <w:pPr/>
          </w:p>
        </w:tc>
        <w:tc>
          <w:tcPr>
            <w:tcW w:w="1181" w:type="dxa"/>
            <w:vMerge w:val="restart"/>
            <w:tcBorders>
              <w:top w:val="nil" w:sz="6" w:space="0" w:color="auto"/>
              <w:left w:val="single" w:sz="4" w:space="0" w:color="000000"/>
              <w:right w:val="single" w:sz="4" w:space="0" w:color="000000"/>
            </w:tcBorders>
            <w:shd w:val="clear" w:color="auto" w:fill="D3D3D3"/>
          </w:tcPr>
          <w:p>
            <w:pPr>
              <w:pStyle w:val="TableParagraph"/>
              <w:spacing w:line="219" w:lineRule="exact"/>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81" w:type="dxa"/>
            <w:vMerge/>
            <w:tcBorders>
              <w:left w:val="single" w:sz="9" w:space="0" w:color="D3D3D3"/>
              <w:bottom w:val="nil" w:sz="6" w:space="0" w:color="auto"/>
              <w:right w:val="single" w:sz="22" w:space="0" w:color="D3D3D3"/>
            </w:tcBorders>
          </w:tcPr>
          <w:p>
            <w:pPr/>
          </w:p>
        </w:tc>
        <w:tc>
          <w:tcPr>
            <w:tcW w:w="1316" w:type="dxa"/>
            <w:vMerge/>
            <w:tcBorders>
              <w:left w:val="single" w:sz="22" w:space="0" w:color="D3D3D3"/>
              <w:bottom w:val="nil" w:sz="6" w:space="0" w:color="auto"/>
              <w:right w:val="single" w:sz="13" w:space="0" w:color="D3D3D3"/>
            </w:tcBorders>
          </w:tcPr>
          <w:p>
            <w:pPr/>
          </w:p>
        </w:tc>
      </w:tr>
      <w:tr>
        <w:trPr>
          <w:trHeight w:val="125" w:hRule="exact"/>
        </w:trPr>
        <w:tc>
          <w:tcPr>
            <w:tcW w:w="2473" w:type="dxa"/>
            <w:vMerge/>
            <w:tcBorders>
              <w:left w:val="single" w:sz="4" w:space="0" w:color="000000"/>
              <w:right w:val="single" w:sz="4" w:space="0" w:color="000000"/>
            </w:tcBorders>
            <w:shd w:val="clear" w:color="auto" w:fill="D3D3D3"/>
          </w:tcPr>
          <w:p>
            <w:pPr/>
          </w:p>
        </w:tc>
        <w:tc>
          <w:tcPr>
            <w:tcW w:w="1327" w:type="dxa"/>
            <w:vMerge/>
            <w:tcBorders>
              <w:left w:val="single" w:sz="10" w:space="0" w:color="D3D3D3"/>
              <w:right w:val="single" w:sz="13" w:space="0" w:color="D3D3D3"/>
            </w:tcBorders>
          </w:tcPr>
          <w:p>
            <w:pPr/>
          </w:p>
        </w:tc>
        <w:tc>
          <w:tcPr>
            <w:tcW w:w="462" w:type="dxa"/>
            <w:vMerge/>
            <w:tcBorders>
              <w:left w:val="single" w:sz="4" w:space="0" w:color="000000"/>
              <w:right w:val="single" w:sz="4" w:space="0" w:color="000000"/>
            </w:tcBorders>
            <w:shd w:val="clear" w:color="auto" w:fill="D3D3D3"/>
          </w:tcPr>
          <w:p>
            <w:pPr/>
          </w:p>
        </w:tc>
        <w:tc>
          <w:tcPr>
            <w:tcW w:w="461" w:type="dxa"/>
            <w:vMerge/>
            <w:tcBorders>
              <w:left w:val="single" w:sz="4" w:space="0" w:color="000000"/>
              <w:right w:val="single" w:sz="4" w:space="0" w:color="000000"/>
            </w:tcBorders>
            <w:shd w:val="clear" w:color="auto" w:fill="D3D3D3"/>
          </w:tcPr>
          <w:p>
            <w:pPr/>
          </w:p>
        </w:tc>
        <w:tc>
          <w:tcPr>
            <w:tcW w:w="348" w:type="dxa"/>
            <w:vMerge/>
            <w:tcBorders>
              <w:left w:val="single" w:sz="4" w:space="0" w:color="000000"/>
              <w:right w:val="single" w:sz="4" w:space="0" w:color="000000"/>
            </w:tcBorders>
            <w:shd w:val="clear" w:color="auto" w:fill="D3D3D3"/>
          </w:tcPr>
          <w:p>
            <w:pPr/>
          </w:p>
        </w:tc>
        <w:tc>
          <w:tcPr>
            <w:tcW w:w="1241" w:type="dxa"/>
            <w:vMerge/>
            <w:tcBorders>
              <w:left w:val="single" w:sz="4" w:space="0" w:color="000000"/>
              <w:bottom w:val="nil" w:sz="6" w:space="0" w:color="auto"/>
              <w:right w:val="single" w:sz="4" w:space="0" w:color="000000"/>
            </w:tcBorders>
            <w:shd w:val="clear" w:color="auto" w:fill="D3D3D3"/>
          </w:tcPr>
          <w:p>
            <w:pPr/>
          </w:p>
        </w:tc>
        <w:tc>
          <w:tcPr>
            <w:tcW w:w="752" w:type="dxa"/>
            <w:vMerge/>
            <w:tcBorders>
              <w:left w:val="single" w:sz="4" w:space="0" w:color="000000"/>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574" w:type="dxa"/>
            <w:vMerge/>
            <w:tcBorders>
              <w:left w:val="single" w:sz="4" w:space="0" w:color="000000"/>
              <w:right w:val="single" w:sz="4" w:space="0" w:color="000000"/>
            </w:tcBorders>
            <w:shd w:val="clear" w:color="auto" w:fill="D3D3D3"/>
          </w:tcPr>
          <w:p>
            <w:pPr/>
          </w:p>
        </w:tc>
        <w:tc>
          <w:tcPr>
            <w:tcW w:w="1091" w:type="dxa"/>
            <w:vMerge/>
            <w:tcBorders>
              <w:left w:val="single" w:sz="4" w:space="0" w:color="000000"/>
              <w:bottom w:val="nil" w:sz="6" w:space="0" w:color="auto"/>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1181" w:type="dxa"/>
            <w:vMerge/>
            <w:tcBorders>
              <w:left w:val="single" w:sz="4" w:space="0" w:color="000000"/>
              <w:bottom w:val="nil" w:sz="6" w:space="0" w:color="auto"/>
              <w:right w:val="single" w:sz="4" w:space="0" w:color="000000"/>
            </w:tcBorders>
            <w:shd w:val="clear" w:color="auto" w:fill="D3D3D3"/>
          </w:tcPr>
          <w:p>
            <w:pPr/>
          </w:p>
        </w:tc>
        <w:tc>
          <w:tcPr>
            <w:tcW w:w="1181" w:type="dxa"/>
            <w:vMerge w:val="restart"/>
            <w:tcBorders>
              <w:top w:val="nil" w:sz="6" w:space="0" w:color="auto"/>
              <w:left w:val="single" w:sz="4" w:space="0" w:color="000000"/>
              <w:right w:val="single" w:sz="4" w:space="0" w:color="000000"/>
            </w:tcBorders>
            <w:shd w:val="clear" w:color="auto" w:fill="D3D3D3"/>
          </w:tcPr>
          <w:p>
            <w:pPr/>
          </w:p>
        </w:tc>
        <w:tc>
          <w:tcPr>
            <w:tcW w:w="1316" w:type="dxa"/>
            <w:vMerge w:val="restart"/>
            <w:tcBorders>
              <w:top w:val="nil" w:sz="6" w:space="0" w:color="auto"/>
              <w:left w:val="single" w:sz="4" w:space="0" w:color="000000"/>
              <w:right w:val="single" w:sz="4" w:space="0" w:color="000000"/>
            </w:tcBorders>
            <w:shd w:val="clear" w:color="auto" w:fill="D3D3D3"/>
          </w:tcPr>
          <w:p>
            <w:pPr/>
          </w:p>
        </w:tc>
      </w:tr>
      <w:tr>
        <w:trPr>
          <w:trHeight w:val="250" w:hRule="exact"/>
        </w:trPr>
        <w:tc>
          <w:tcPr>
            <w:tcW w:w="2473" w:type="dxa"/>
            <w:vMerge/>
            <w:tcBorders>
              <w:left w:val="single" w:sz="4" w:space="0" w:color="000000"/>
              <w:bottom w:val="single" w:sz="4" w:space="0" w:color="000000"/>
              <w:right w:val="single" w:sz="4" w:space="0" w:color="000000"/>
            </w:tcBorders>
            <w:shd w:val="clear" w:color="auto" w:fill="D3D3D3"/>
          </w:tcPr>
          <w:p>
            <w:pPr/>
          </w:p>
        </w:tc>
        <w:tc>
          <w:tcPr>
            <w:tcW w:w="1327" w:type="dxa"/>
            <w:vMerge/>
            <w:tcBorders>
              <w:left w:val="single" w:sz="10" w:space="0" w:color="D3D3D3"/>
              <w:bottom w:val="single" w:sz="4" w:space="0" w:color="000000"/>
              <w:right w:val="single" w:sz="13" w:space="0" w:color="D3D3D3"/>
            </w:tcBorders>
          </w:tcPr>
          <w:p>
            <w:pPr/>
          </w:p>
        </w:tc>
        <w:tc>
          <w:tcPr>
            <w:tcW w:w="462" w:type="dxa"/>
            <w:vMerge/>
            <w:tcBorders>
              <w:left w:val="single" w:sz="4" w:space="0" w:color="000000"/>
              <w:bottom w:val="single" w:sz="4" w:space="0" w:color="000000"/>
              <w:right w:val="single" w:sz="4" w:space="0" w:color="000000"/>
            </w:tcBorders>
            <w:shd w:val="clear" w:color="auto" w:fill="D3D3D3"/>
          </w:tcPr>
          <w:p>
            <w:pPr/>
          </w:p>
        </w:tc>
        <w:tc>
          <w:tcPr>
            <w:tcW w:w="461" w:type="dxa"/>
            <w:vMerge/>
            <w:tcBorders>
              <w:left w:val="single" w:sz="4" w:space="0" w:color="000000"/>
              <w:bottom w:val="single" w:sz="4" w:space="0" w:color="000000"/>
              <w:right w:val="single" w:sz="4" w:space="0" w:color="000000"/>
            </w:tcBorders>
            <w:shd w:val="clear" w:color="auto" w:fill="D3D3D3"/>
          </w:tcPr>
          <w:p>
            <w:pPr/>
          </w:p>
        </w:tc>
        <w:tc>
          <w:tcPr>
            <w:tcW w:w="348" w:type="dxa"/>
            <w:vMerge/>
            <w:tcBorders>
              <w:left w:val="single" w:sz="4" w:space="0" w:color="000000"/>
              <w:bottom w:val="single" w:sz="4" w:space="0" w:color="000000"/>
              <w:right w:val="single" w:sz="4" w:space="0" w:color="000000"/>
            </w:tcBorders>
            <w:shd w:val="clear" w:color="auto" w:fill="D3D3D3"/>
          </w:tcPr>
          <w:p>
            <w:pPr/>
          </w:p>
        </w:tc>
        <w:tc>
          <w:tcPr>
            <w:tcW w:w="1241" w:type="dxa"/>
            <w:tcBorders>
              <w:top w:val="nil" w:sz="6" w:space="0" w:color="auto"/>
              <w:left w:val="single" w:sz="4" w:space="0" w:color="000000"/>
              <w:bottom w:val="single" w:sz="4" w:space="0" w:color="000000"/>
              <w:right w:val="single" w:sz="4" w:space="0" w:color="000000"/>
            </w:tcBorders>
            <w:shd w:val="clear" w:color="auto" w:fill="D3D3D3"/>
          </w:tcPr>
          <w:p>
            <w:pPr/>
          </w:p>
        </w:tc>
        <w:tc>
          <w:tcPr>
            <w:tcW w:w="752"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574" w:type="dxa"/>
            <w:vMerge/>
            <w:tcBorders>
              <w:left w:val="single" w:sz="4" w:space="0" w:color="000000"/>
              <w:bottom w:val="single" w:sz="4" w:space="0" w:color="000000"/>
              <w:right w:val="single" w:sz="4" w:space="0" w:color="000000"/>
            </w:tcBorders>
            <w:shd w:val="clear" w:color="auto" w:fill="D3D3D3"/>
          </w:tcPr>
          <w:p>
            <w:pPr/>
          </w:p>
        </w:tc>
        <w:tc>
          <w:tcPr>
            <w:tcW w:w="1091"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1181" w:type="dxa"/>
            <w:tcBorders>
              <w:top w:val="nil" w:sz="6" w:space="0" w:color="auto"/>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c>
          <w:tcPr>
            <w:tcW w:w="1316" w:type="dxa"/>
            <w:vMerge/>
            <w:tcBorders>
              <w:left w:val="single" w:sz="4" w:space="0" w:color="000000"/>
              <w:bottom w:val="single" w:sz="4" w:space="0" w:color="000000"/>
              <w:right w:val="single" w:sz="4" w:space="0" w:color="000000"/>
            </w:tcBorders>
            <w:shd w:val="clear" w:color="auto" w:fill="D3D3D3"/>
          </w:tcPr>
          <w:p>
            <w:pPr/>
          </w:p>
        </w:tc>
      </w:tr>
      <w:tr>
        <w:trPr>
          <w:trHeight w:val="250" w:hRule="exact"/>
        </w:trPr>
        <w:tc>
          <w:tcPr>
            <w:tcW w:w="2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2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1,017,698,410.00</w:t>
            </w:r>
          </w:p>
        </w:tc>
        <w:tc>
          <w:tcPr>
            <w:tcW w:w="462"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Times New Roman" w:hAnsi="Times New Roman" w:cs="Times New Roman" w:eastAsia="Times New Roman" w:hint="default"/>
                <w:sz w:val="18"/>
                <w:szCs w:val="18"/>
              </w:rPr>
            </w:pPr>
            <w:r>
              <w:rPr>
                <w:rFonts w:ascii="Times New Roman"/>
                <w:sz w:val="18"/>
              </w:rPr>
              <w:t>-234,762,836.82</w:t>
            </w:r>
          </w:p>
        </w:tc>
        <w:tc>
          <w:tcPr>
            <w:tcW w:w="75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50,425,366.04</w:t>
            </w:r>
          </w:p>
        </w:tc>
        <w:tc>
          <w:tcPr>
            <w:tcW w:w="798" w:type="dxa"/>
            <w:tcBorders>
              <w:top w:val="single" w:sz="54" w:space="0" w:color="D3D3D3"/>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428,402,403.86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92" w:right="0"/>
              <w:jc w:val="center"/>
              <w:rPr>
                <w:rFonts w:ascii="Times New Roman" w:hAnsi="Times New Roman" w:cs="Times New Roman" w:eastAsia="Times New Roman" w:hint="default"/>
                <w:sz w:val="18"/>
                <w:szCs w:val="18"/>
              </w:rPr>
            </w:pPr>
            <w:r>
              <w:rPr>
                <w:rFonts w:ascii="Times New Roman"/>
                <w:sz w:val="18"/>
              </w:rPr>
              <w:t>63,135,257.32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1,324,898,600.40</w:t>
            </w:r>
          </w:p>
        </w:tc>
      </w:tr>
      <w:tr>
        <w:trPr>
          <w:trHeight w:val="251" w:hRule="exact"/>
        </w:trPr>
        <w:tc>
          <w:tcPr>
            <w:tcW w:w="2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27" w:type="dxa"/>
            <w:tcBorders>
              <w:top w:val="single" w:sz="4" w:space="0" w:color="000000"/>
              <w:left w:val="single" w:sz="13" w:space="0" w:color="D3D3D3"/>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27" w:type="dxa"/>
            <w:tcBorders>
              <w:top w:val="single" w:sz="4" w:space="0" w:color="000000"/>
              <w:left w:val="single" w:sz="13" w:space="0" w:color="D3D3D3"/>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731"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327" w:type="dxa"/>
            <w:tcBorders>
              <w:top w:val="single" w:sz="4" w:space="0" w:color="000000"/>
              <w:left w:val="single" w:sz="13" w:space="0" w:color="D3D3D3"/>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7" w:type="dxa"/>
            <w:tcBorders>
              <w:top w:val="single" w:sz="4" w:space="0" w:color="000000"/>
              <w:left w:val="single" w:sz="13" w:space="0" w:color="D3D3D3"/>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2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1,017,698,410.00</w:t>
            </w:r>
          </w:p>
        </w:tc>
        <w:tc>
          <w:tcPr>
            <w:tcW w:w="462"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Times New Roman" w:hAnsi="Times New Roman" w:cs="Times New Roman" w:eastAsia="Times New Roman" w:hint="default"/>
                <w:sz w:val="18"/>
                <w:szCs w:val="18"/>
              </w:rPr>
            </w:pPr>
            <w:r>
              <w:rPr>
                <w:rFonts w:ascii="Times New Roman"/>
                <w:sz w:val="18"/>
              </w:rPr>
              <w:t>-234,762,836.82</w:t>
            </w:r>
          </w:p>
        </w:tc>
        <w:tc>
          <w:tcPr>
            <w:tcW w:w="75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50,425,366.04</w:t>
            </w:r>
          </w:p>
        </w:tc>
        <w:tc>
          <w:tcPr>
            <w:tcW w:w="79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428,402,403.86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92" w:right="0"/>
              <w:jc w:val="center"/>
              <w:rPr>
                <w:rFonts w:ascii="Times New Roman" w:hAnsi="Times New Roman" w:cs="Times New Roman" w:eastAsia="Times New Roman" w:hint="default"/>
                <w:sz w:val="18"/>
                <w:szCs w:val="18"/>
              </w:rPr>
            </w:pPr>
            <w:r>
              <w:rPr>
                <w:rFonts w:ascii="Times New Roman"/>
                <w:sz w:val="18"/>
              </w:rPr>
              <w:t>63,135,257.32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1,324,898,600.40</w:t>
            </w:r>
          </w:p>
        </w:tc>
      </w:tr>
      <w:tr>
        <w:trPr>
          <w:trHeight w:val="490" w:hRule="exact"/>
        </w:trPr>
        <w:tc>
          <w:tcPr>
            <w:tcW w:w="2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27" w:type="dxa"/>
            <w:tcBorders>
              <w:top w:val="single" w:sz="4" w:space="0" w:color="000000"/>
              <w:left w:val="single" w:sz="10" w:space="0" w:color="D3D3D3"/>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-5,599,675.44</w:t>
            </w:r>
          </w:p>
        </w:tc>
        <w:tc>
          <w:tcPr>
            <w:tcW w:w="79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18"/>
                <w:szCs w:val="18"/>
              </w:rPr>
            </w:pPr>
            <w:r>
              <w:rPr>
                <w:rFonts w:ascii="Times New Roman"/>
                <w:sz w:val="18"/>
              </w:rPr>
              <w:t>283,509,623.51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106,783,950.44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384,693,898.51</w:t>
            </w:r>
          </w:p>
        </w:tc>
      </w:tr>
      <w:tr>
        <w:trPr>
          <w:trHeight w:val="251" w:hRule="exact"/>
        </w:trPr>
        <w:tc>
          <w:tcPr>
            <w:tcW w:w="2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27" w:type="dxa"/>
            <w:tcBorders>
              <w:top w:val="single" w:sz="4" w:space="0" w:color="000000"/>
              <w:left w:val="single" w:sz="10" w:space="0" w:color="D3D3D3"/>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Times New Roman" w:hAnsi="Times New Roman" w:cs="Times New Roman" w:eastAsia="Times New Roman" w:hint="default"/>
                <w:sz w:val="18"/>
                <w:szCs w:val="18"/>
              </w:rPr>
            </w:pPr>
            <w:r>
              <w:rPr>
                <w:rFonts w:ascii="Times New Roman"/>
                <w:sz w:val="18"/>
              </w:rPr>
              <w:t>283,509,623.51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2" w:right="0"/>
              <w:jc w:val="center"/>
              <w:rPr>
                <w:rFonts w:ascii="Times New Roman" w:hAnsi="Times New Roman" w:cs="Times New Roman" w:eastAsia="Times New Roman" w:hint="default"/>
                <w:sz w:val="18"/>
                <w:szCs w:val="18"/>
              </w:rPr>
            </w:pPr>
            <w:r>
              <w:rPr>
                <w:rFonts w:ascii="Times New Roman"/>
                <w:sz w:val="18"/>
              </w:rPr>
              <w:t>31,791,214.88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315,300,838.39</w:t>
            </w:r>
          </w:p>
        </w:tc>
      </w:tr>
      <w:tr>
        <w:trPr>
          <w:trHeight w:val="250" w:hRule="exact"/>
        </w:trPr>
        <w:tc>
          <w:tcPr>
            <w:tcW w:w="2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327" w:type="dxa"/>
            <w:tcBorders>
              <w:top w:val="single" w:sz="4" w:space="0" w:color="000000"/>
              <w:left w:val="single" w:sz="10" w:space="0" w:color="D3D3D3"/>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92" w:right="0"/>
              <w:jc w:val="center"/>
              <w:rPr>
                <w:rFonts w:ascii="Times New Roman" w:hAnsi="Times New Roman" w:cs="Times New Roman" w:eastAsia="Times New Roman" w:hint="default"/>
                <w:sz w:val="18"/>
                <w:szCs w:val="18"/>
              </w:rPr>
            </w:pPr>
            <w:r>
              <w:rPr>
                <w:rFonts w:ascii="Times New Roman"/>
                <w:sz w:val="18"/>
              </w:rPr>
              <w:t>51,390,500.00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51,390,500.00</w:t>
            </w:r>
          </w:p>
        </w:tc>
      </w:tr>
      <w:tr>
        <w:trPr>
          <w:trHeight w:val="250" w:hRule="exact"/>
        </w:trPr>
        <w:tc>
          <w:tcPr>
            <w:tcW w:w="2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327" w:type="dxa"/>
            <w:tcBorders>
              <w:top w:val="single" w:sz="4" w:space="0" w:color="000000"/>
              <w:left w:val="single" w:sz="10" w:space="0" w:color="D3D3D3"/>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92" w:right="0"/>
              <w:jc w:val="center"/>
              <w:rPr>
                <w:rFonts w:ascii="Times New Roman" w:hAnsi="Times New Roman" w:cs="Times New Roman" w:eastAsia="Times New Roman" w:hint="default"/>
                <w:sz w:val="18"/>
                <w:szCs w:val="18"/>
              </w:rPr>
            </w:pPr>
            <w:r>
              <w:rPr>
                <w:rFonts w:ascii="Times New Roman"/>
                <w:sz w:val="18"/>
              </w:rPr>
              <w:t>51,390,500.00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51,390,500.00</w:t>
            </w:r>
          </w:p>
        </w:tc>
      </w:tr>
      <w:tr>
        <w:trPr>
          <w:trHeight w:val="491" w:hRule="exact"/>
        </w:trPr>
        <w:tc>
          <w:tcPr>
            <w:tcW w:w="2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1"/>
              <w:ind w:left="11"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 本</w:t>
            </w:r>
          </w:p>
        </w:tc>
        <w:tc>
          <w:tcPr>
            <w:tcW w:w="1327" w:type="dxa"/>
            <w:tcBorders>
              <w:top w:val="single" w:sz="4" w:space="0" w:color="000000"/>
              <w:left w:val="single" w:sz="10" w:space="0" w:color="D3D3D3"/>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2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1"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 金额</w:t>
            </w:r>
          </w:p>
        </w:tc>
        <w:tc>
          <w:tcPr>
            <w:tcW w:w="1327" w:type="dxa"/>
            <w:tcBorders>
              <w:top w:val="single" w:sz="4" w:space="0" w:color="000000"/>
              <w:left w:val="single" w:sz="10" w:space="0" w:color="D3D3D3"/>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27" w:type="dxa"/>
            <w:tcBorders>
              <w:top w:val="single" w:sz="4" w:space="0" w:color="000000"/>
              <w:left w:val="single" w:sz="10" w:space="0" w:color="D3D3D3"/>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27" w:type="dxa"/>
            <w:tcBorders>
              <w:top w:val="single" w:sz="4" w:space="0" w:color="000000"/>
              <w:left w:val="single" w:sz="10" w:space="0" w:color="D3D3D3"/>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27" w:type="dxa"/>
            <w:tcBorders>
              <w:top w:val="single" w:sz="4" w:space="0" w:color="000000"/>
              <w:left w:val="single" w:sz="10" w:space="0" w:color="D3D3D3"/>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327" w:type="dxa"/>
            <w:tcBorders>
              <w:top w:val="single" w:sz="4" w:space="0" w:color="000000"/>
              <w:left w:val="single" w:sz="10" w:space="0" w:color="D3D3D3"/>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327" w:type="dxa"/>
            <w:tcBorders>
              <w:top w:val="single" w:sz="4" w:space="0" w:color="000000"/>
              <w:left w:val="single" w:sz="10" w:space="0" w:color="D3D3D3"/>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27" w:type="dxa"/>
            <w:tcBorders>
              <w:top w:val="single" w:sz="4" w:space="0" w:color="000000"/>
              <w:left w:val="single" w:sz="10" w:space="0" w:color="D3D3D3"/>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27" w:type="dxa"/>
            <w:tcBorders>
              <w:top w:val="single" w:sz="4" w:space="0" w:color="000000"/>
              <w:left w:val="single" w:sz="10" w:space="0" w:color="D3D3D3"/>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473"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3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．资本公积转增资本（或股本</w:t>
            </w:r>
          </w:p>
        </w:tc>
        <w:tc>
          <w:tcPr>
            <w:tcW w:w="1327" w:type="dxa"/>
            <w:tcBorders>
              <w:top w:val="single" w:sz="4" w:space="0" w:color="000000"/>
              <w:left w:val="single" w:sz="23" w:space="0" w:color="FFFFFF"/>
              <w:bottom w:val="single" w:sz="4" w:space="0" w:color="000000"/>
              <w:right w:val="single" w:sz="4" w:space="0" w:color="000000"/>
            </w:tcBorders>
          </w:tcPr>
          <w:p>
            <w:pPr>
              <w:pStyle w:val="TableParagraph"/>
              <w:spacing w:line="219" w:lineRule="exact"/>
              <w:ind w:left="-134" w:right="0"/>
              <w:jc w:val="left"/>
              <w:rPr>
                <w:rFonts w:ascii="宋体" w:hAnsi="宋体" w:cs="宋体" w:eastAsia="宋体" w:hint="default"/>
                <w:sz w:val="18"/>
                <w:szCs w:val="18"/>
              </w:rPr>
            </w:pPr>
            <w:r>
              <w:rPr>
                <w:rFonts w:ascii="宋体" w:hAnsi="宋体" w:cs="宋体" w:eastAsia="宋体" w:hint="default"/>
                <w:sz w:val="18"/>
                <w:szCs w:val="18"/>
              </w:rPr>
              <w:t>）</w:t>
            </w:r>
          </w:p>
        </w:tc>
        <w:tc>
          <w:tcPr>
            <w:tcW w:w="462"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473"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．盈余公积转增资本（或股本</w:t>
            </w:r>
          </w:p>
        </w:tc>
        <w:tc>
          <w:tcPr>
            <w:tcW w:w="1327" w:type="dxa"/>
            <w:tcBorders>
              <w:top w:val="single" w:sz="4" w:space="0" w:color="000000"/>
              <w:left w:val="single" w:sz="23" w:space="0" w:color="FFFFFF"/>
              <w:bottom w:val="single" w:sz="4" w:space="0" w:color="000000"/>
              <w:right w:val="single" w:sz="4" w:space="0" w:color="000000"/>
            </w:tcBorders>
          </w:tcPr>
          <w:p>
            <w:pPr>
              <w:pStyle w:val="TableParagraph"/>
              <w:spacing w:line="217" w:lineRule="exact"/>
              <w:ind w:left="-134" w:right="0"/>
              <w:jc w:val="left"/>
              <w:rPr>
                <w:rFonts w:ascii="宋体" w:hAnsi="宋体" w:cs="宋体" w:eastAsia="宋体" w:hint="default"/>
                <w:sz w:val="18"/>
                <w:szCs w:val="18"/>
              </w:rPr>
            </w:pPr>
            <w:r>
              <w:rPr>
                <w:rFonts w:ascii="宋体" w:hAnsi="宋体" w:cs="宋体" w:eastAsia="宋体" w:hint="default"/>
                <w:sz w:val="18"/>
                <w:szCs w:val="18"/>
              </w:rPr>
              <w:t>）</w:t>
            </w:r>
          </w:p>
        </w:tc>
        <w:tc>
          <w:tcPr>
            <w:tcW w:w="462"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27" w:type="dxa"/>
            <w:tcBorders>
              <w:top w:val="single" w:sz="4" w:space="0" w:color="000000"/>
              <w:left w:val="single" w:sz="10" w:space="0" w:color="D3D3D3"/>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27" w:type="dxa"/>
            <w:tcBorders>
              <w:top w:val="single" w:sz="4" w:space="0" w:color="000000"/>
              <w:left w:val="single" w:sz="10" w:space="0" w:color="D3D3D3"/>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27" w:type="dxa"/>
            <w:tcBorders>
              <w:top w:val="single" w:sz="4" w:space="0" w:color="000000"/>
              <w:left w:val="single" w:sz="10" w:space="0" w:color="D3D3D3"/>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27" w:type="dxa"/>
            <w:tcBorders>
              <w:top w:val="single" w:sz="4" w:space="0" w:color="000000"/>
              <w:left w:val="single" w:sz="10" w:space="0" w:color="D3D3D3"/>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27" w:type="dxa"/>
            <w:tcBorders>
              <w:top w:val="single" w:sz="4" w:space="0" w:color="000000"/>
              <w:left w:val="single" w:sz="10" w:space="0" w:color="D3D3D3"/>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27" w:type="dxa"/>
            <w:tcBorders>
              <w:top w:val="single" w:sz="4" w:space="0" w:color="000000"/>
              <w:left w:val="single" w:sz="10" w:space="0" w:color="D3D3D3"/>
              <w:bottom w:val="single" w:sz="4" w:space="0" w:color="000000"/>
              <w:right w:val="single" w:sz="4" w:space="0" w:color="000000"/>
            </w:tcBorders>
          </w:tcPr>
          <w:p>
            <w:pPr/>
          </w:p>
        </w:tc>
        <w:tc>
          <w:tcPr>
            <w:tcW w:w="462"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-5,599,675.44</w:t>
            </w:r>
          </w:p>
        </w:tc>
        <w:tc>
          <w:tcPr>
            <w:tcW w:w="79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92" w:right="0"/>
              <w:jc w:val="center"/>
              <w:rPr>
                <w:rFonts w:ascii="Times New Roman" w:hAnsi="Times New Roman" w:cs="Times New Roman" w:eastAsia="Times New Roman" w:hint="default"/>
                <w:sz w:val="18"/>
                <w:szCs w:val="18"/>
              </w:rPr>
            </w:pPr>
            <w:r>
              <w:rPr>
                <w:rFonts w:ascii="Times New Roman"/>
                <w:sz w:val="18"/>
              </w:rPr>
              <w:t>23,602,235.56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18,002,560.12</w:t>
            </w:r>
          </w:p>
        </w:tc>
      </w:tr>
      <w:tr>
        <w:trPr>
          <w:trHeight w:val="251" w:hRule="exact"/>
        </w:trPr>
        <w:tc>
          <w:tcPr>
            <w:tcW w:w="2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2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1,017,698,410.00</w:t>
            </w:r>
          </w:p>
        </w:tc>
        <w:tc>
          <w:tcPr>
            <w:tcW w:w="462"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Times New Roman" w:hAnsi="Times New Roman" w:cs="Times New Roman" w:eastAsia="Times New Roman" w:hint="default"/>
                <w:sz w:val="18"/>
                <w:szCs w:val="18"/>
              </w:rPr>
            </w:pPr>
            <w:r>
              <w:rPr>
                <w:rFonts w:ascii="Times New Roman"/>
                <w:sz w:val="18"/>
              </w:rPr>
              <w:t>-234,762,836.82</w:t>
            </w:r>
          </w:p>
        </w:tc>
        <w:tc>
          <w:tcPr>
            <w:tcW w:w="752"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44,825,690.60</w:t>
            </w:r>
          </w:p>
        </w:tc>
        <w:tc>
          <w:tcPr>
            <w:tcW w:w="798"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9" w:right="0"/>
              <w:jc w:val="left"/>
              <w:rPr>
                <w:rFonts w:ascii="Times New Roman" w:hAnsi="Times New Roman" w:cs="Times New Roman" w:eastAsia="Times New Roman" w:hint="default"/>
                <w:sz w:val="18"/>
                <w:szCs w:val="18"/>
              </w:rPr>
            </w:pPr>
            <w:r>
              <w:rPr>
                <w:rFonts w:ascii="Times New Roman"/>
                <w:sz w:val="18"/>
              </w:rPr>
              <w:t>711,912,027.37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Times New Roman" w:hAnsi="Times New Roman" w:cs="Times New Roman" w:eastAsia="Times New Roman" w:hint="default"/>
                <w:sz w:val="18"/>
                <w:szCs w:val="18"/>
              </w:rPr>
            </w:pPr>
            <w:r>
              <w:rPr>
                <w:rFonts w:ascii="Times New Roman"/>
                <w:sz w:val="18"/>
              </w:rPr>
              <w:t>169,919,207.76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1,709,592,498.91</w:t>
            </w:r>
          </w:p>
        </w:tc>
      </w:tr>
    </w:tbl>
    <w:p>
      <w:pPr>
        <w:rPr>
          <w:sz w:val="2"/>
          <w:szCs w:val="2"/>
        </w:rPr>
      </w:pPr>
      <w:r>
        <w:rPr/>
        <w:pict>
          <v:group style="position:absolute;margin-left:196.791pt;margin-top:432.779999pt;width:63pt;height:24.5pt;mso-position-horizontal-relative:page;mso-position-vertical-relative:page;z-index:-1259896" coordorigin="3936,8656" coordsize="1260,490">
            <v:group style="position:absolute;left:3936;top:8656;width:1260;height:240" coordorigin="3936,8656" coordsize="1260,240">
              <v:shape style="position:absolute;left:3936;top:8656;width:1260;height:240" coordorigin="3936,8656" coordsize="1260,240" path="m3936,8656l5196,8656,5196,8896,3936,8896,3936,8656xe" filled="true" fillcolor="#ffffff" stroked="false">
                <v:path arrowok="t"/>
                <v:fill type="solid"/>
              </v:shape>
            </v:group>
            <v:group style="position:absolute;left:3936;top:8905;width:1260;height:240" coordorigin="3936,8905" coordsize="1260,240">
              <v:shape style="position:absolute;left:3936;top:8905;width:1260;height:240" coordorigin="3936,8905" coordsize="1260,240" path="m3936,8905l5196,8905,5196,9145,3936,9145,3936,8905xe" filled="true" fillcolor="#ffffff" stroked="false">
                <v:path arrowok="t"/>
                <v:fill type="solid"/>
              </v:shape>
            </v:group>
            <w10:wrap type="none"/>
          </v:group>
        </w:pict>
      </w:r>
    </w:p>
    <w:p>
      <w:pPr>
        <w:spacing w:after="0"/>
        <w:rPr>
          <w:sz w:val="2"/>
          <w:szCs w:val="2"/>
        </w:rPr>
        <w:sectPr>
          <w:type w:val="continuous"/>
          <w:pgSz w:w="16840" w:h="11910" w:orient="landscape"/>
          <w:pgMar w:top="1060" w:bottom="1180" w:left="1300" w:right="1280"/>
        </w:sectPr>
      </w:pPr>
    </w:p>
    <w:p>
      <w:pPr>
        <w:spacing w:line="180" w:lineRule="exact" w:before="0"/>
        <w:ind w:left="139" w:right="0" w:firstLine="0"/>
        <w:jc w:val="left"/>
        <w:rPr>
          <w:rFonts w:ascii="宋体" w:hAnsi="宋体" w:cs="宋体" w:eastAsia="宋体" w:hint="default"/>
          <w:sz w:val="18"/>
          <w:szCs w:val="18"/>
        </w:rPr>
      </w:pPr>
      <w:r>
        <w:rPr/>
        <w:pict>
          <v:group style="position:absolute;margin-left:70.490997pt;margin-top:-2.225525pt;width:700.95pt;height:.1pt;mso-position-horizontal-relative:page;mso-position-vertical-relative:paragraph;z-index:1912" coordorigin="1410,-45" coordsize="14019,2">
            <v:shape style="position:absolute;left:1410;top:-45;width:14019;height:2" coordorigin="1410,-45" coordsize="14019,0" path="m1410,-45l15428,-45e" filled="false" stroked="true" strokeweight=".72pt" strokecolor="#000000">
              <v:path arrowok="t"/>
            </v:shape>
            <w10:wrap type="none"/>
          </v:group>
        </w:pict>
      </w:r>
      <w:r>
        <w:rPr/>
        <w:pict>
          <v:group style="position:absolute;margin-left:196.971008pt;margin-top:408.330017pt;width:64.1500pt;height:25.65pt;mso-position-horizontal-relative:page;mso-position-vertical-relative:page;z-index:-1259800" coordorigin="3939,8167" coordsize="1283,513">
            <v:group style="position:absolute;left:3951;top:8178;width:2;height:240" coordorigin="3951,8178" coordsize="2,240">
              <v:shape style="position:absolute;left:3951;top:8178;width:2;height:240" coordorigin="3951,8178" coordsize="0,240" path="m3951,8178l3951,8418e" filled="false" stroked="true" strokeweight="1.140pt" strokecolor="#ffffff">
                <v:path arrowok="t"/>
              </v:shape>
            </v:group>
            <v:group style="position:absolute;left:3962;top:8178;width:1260;height:240" coordorigin="3962,8178" coordsize="1260,240">
              <v:shape style="position:absolute;left:3962;top:8178;width:1260;height:240" coordorigin="3962,8178" coordsize="1260,240" path="m3962,8178l5222,8178,5222,8418,3962,8418,3962,8178xe" filled="true" fillcolor="#ffffff" stroked="false">
                <v:path arrowok="t"/>
                <v:fill type="solid"/>
              </v:shape>
            </v:group>
            <v:group style="position:absolute;left:3951;top:8428;width:2;height:240" coordorigin="3951,8428" coordsize="2,240">
              <v:shape style="position:absolute;left:3951;top:8428;width:2;height:240" coordorigin="3951,8428" coordsize="0,240" path="m3951,8428l3951,8668e" filled="false" stroked="true" strokeweight="1.140pt" strokecolor="#ffffff">
                <v:path arrowok="t"/>
              </v:shape>
            </v:group>
            <v:group style="position:absolute;left:3962;top:8428;width:1260;height:240" coordorigin="3962,8428" coordsize="1260,240">
              <v:shape style="position:absolute;left:3962;top:8428;width:1260;height:240" coordorigin="3962,8428" coordsize="1260,240" path="m3962,8428l5222,8428,5222,8668,3962,8668,3962,8428xe" filled="true" fillcolor="#ffffff" stroked="false">
                <v:path arrowok="t"/>
                <v:fill type="solid"/>
              </v:shape>
            </v:group>
            <w10:wrap type="none"/>
          </v:group>
        </w:pict>
      </w:r>
      <w:r>
        <w:rPr>
          <w:rFonts w:ascii="宋体" w:hAnsi="宋体" w:cs="宋体" w:eastAsia="宋体" w:hint="default"/>
          <w:sz w:val="18"/>
          <w:szCs w:val="18"/>
        </w:rPr>
        <w:t>上期金额</w:t>
      </w:r>
    </w:p>
    <w:p>
      <w:pPr>
        <w:spacing w:before="4"/>
        <w:ind w:left="0" w:right="159" w:firstLine="0"/>
        <w:jc w:val="right"/>
        <w:rPr>
          <w:rFonts w:ascii="宋体" w:hAnsi="宋体" w:cs="宋体" w:eastAsia="宋体" w:hint="default"/>
          <w:sz w:val="18"/>
          <w:szCs w:val="18"/>
        </w:rPr>
      </w:pPr>
      <w:r>
        <w:rPr/>
        <w:pict>
          <v:group style="position:absolute;margin-left:196.971008pt;margin-top:38.612152pt;width:65.3500pt;height:36.5pt;mso-position-horizontal-relative:page;mso-position-vertical-relative:paragraph;z-index:-1259848" coordorigin="3939,772" coordsize="1307,730">
            <v:group style="position:absolute;left:3939;top:772;width:1307;height:730" coordorigin="3939,772" coordsize="1307,730">
              <v:shape style="position:absolute;left:3939;top:772;width:1307;height:730" coordorigin="3939,772" coordsize="1307,730" path="m5246,1017l5246,772,3939,772,3939,1502,3962,1498,3962,1017,5246,1017xe" filled="true" fillcolor="#d3d3d3" stroked="false">
                <v:path arrowok="t"/>
                <v:fill type="solid"/>
              </v:shape>
              <v:shape style="position:absolute;left:3939;top:772;width:1307;height:730" coordorigin="3939,772" coordsize="1307,730" path="m5246,1257l3962,1257,3962,1498,5246,1257xe" filled="true" fillcolor="#d3d3d3" stroked="false">
                <v:path arrowok="t"/>
                <v:fill type="solid"/>
              </v:shape>
              <v:shape style="position:absolute;left:3939;top:772;width:1307;height:730" coordorigin="3939,772" coordsize="1307,730" path="m5246,1257l5246,1017,5222,1017,5222,1257,5246,1257xe" filled="true" fillcolor="#d3d3d3" stroked="false">
                <v:path arrowok="t"/>
                <v:fill type="solid"/>
              </v:shape>
            </v:group>
            <v:group style="position:absolute;left:3962;top:1017;width:1260;height:240" coordorigin="3962,1017" coordsize="1260,240">
              <v:shape style="position:absolute;left:3962;top:1017;width:1260;height:240" coordorigin="3962,1017" coordsize="1260,240" path="m3962,1017l5222,1017,5222,1257,3962,1257,3962,1017xe" filled="true" fillcolor="#d3d3d3" stroked="false">
                <v:path arrowok="t"/>
                <v:fill type="solid"/>
              </v:shape>
            </v:group>
            <w10:wrap type="none"/>
          </v:group>
        </w:pict>
      </w:r>
      <w:r>
        <w:rPr/>
        <w:pict>
          <v:group style="position:absolute;margin-left:326.69101pt;margin-top:38.612144pt;width:168.7pt;height:49.55pt;mso-position-horizontal-relative:page;mso-position-vertical-relative:paragraph;z-index:-1259824" coordorigin="6534,772" coordsize="3374,991">
            <v:group style="position:absolute;left:6534;top:772;width:1232;height:485" coordorigin="6534,772" coordsize="1232,485">
              <v:shape style="position:absolute;left:6534;top:772;width:1232;height:485" coordorigin="6534,772" coordsize="1232,485" path="m7765,1017l7765,772,6534,772,7156,1017,7765,1017xe" filled="true" fillcolor="#d3d3d3" stroked="false">
                <v:path arrowok="t"/>
                <v:fill type="solid"/>
              </v:shape>
              <v:shape style="position:absolute;left:6534;top:772;width:1232;height:485" coordorigin="6534,772" coordsize="1232,485" path="m7742,1257l7742,1248,7156,1017,6557,1017,6557,1257,7742,1257xe" filled="true" fillcolor="#d3d3d3" stroked="false">
                <v:path arrowok="t"/>
                <v:fill type="solid"/>
              </v:shape>
              <v:shape style="position:absolute;left:6534;top:772;width:1232;height:485" coordorigin="6534,772" coordsize="1232,485" path="m7765,1257l7765,1017,7742,1017,7742,1248,7765,1257xe" filled="true" fillcolor="#d3d3d3" stroked="false">
                <v:path arrowok="t"/>
                <v:fill type="solid"/>
              </v:shape>
            </v:group>
            <v:group style="position:absolute;left:6557;top:1017;width:1186;height:240" coordorigin="6557,1017" coordsize="1186,240">
              <v:shape style="position:absolute;left:6557;top:1017;width:1186;height:240" coordorigin="6557,1017" coordsize="1186,240" path="m6557,1017l6557,1257,7742,1257,7742,1017,6557,1017xe" filled="true" fillcolor="#d3d3d3" stroked="false">
                <v:path arrowok="t"/>
                <v:fill type="solid"/>
              </v:shape>
            </v:group>
            <v:group style="position:absolute;left:7775;top:772;width:748;height:605" coordorigin="7775,772" coordsize="748,605">
              <v:shape style="position:absolute;left:7775;top:772;width:748;height:605" coordorigin="7775,772" coordsize="748,605" path="m8522,897l8522,772,7775,772,7929,897,8522,897xe" filled="true" fillcolor="#d3d3d3" stroked="false">
                <v:path arrowok="t"/>
                <v:fill type="solid"/>
              </v:shape>
              <v:shape style="position:absolute;left:7775;top:772;width:748;height:605" coordorigin="7775,772" coordsize="748,605" path="m8499,1377l8499,1359,7929,897,7797,897,7797,1377,8499,1377xe" filled="true" fillcolor="#d3d3d3" stroked="false">
                <v:path arrowok="t"/>
                <v:fill type="solid"/>
              </v:shape>
              <v:shape style="position:absolute;left:7775;top:772;width:748;height:605" coordorigin="7775,772" coordsize="748,605" path="m8522,1377l8522,897,8499,897,8499,1359,8522,1377xe" filled="true" fillcolor="#d3d3d3" stroked="false">
                <v:path arrowok="t"/>
                <v:fill type="solid"/>
              </v:shape>
            </v:group>
            <v:group style="position:absolute;left:7797;top:897;width:702;height:240" coordorigin="7797,897" coordsize="702,240">
              <v:shape style="position:absolute;left:7797;top:897;width:702;height:240" coordorigin="7797,897" coordsize="702,240" path="m7797,897l7797,1137,8499,1137,8499,897,7797,897xe" filled="true" fillcolor="#d3d3d3" stroked="false">
                <v:path arrowok="t"/>
                <v:fill type="solid"/>
              </v:shape>
            </v:group>
            <v:group style="position:absolute;left:7797;top:1137;width:702;height:240" coordorigin="7797,1137" coordsize="702,240">
              <v:shape style="position:absolute;left:7797;top:1137;width:702;height:240" coordorigin="7797,1137" coordsize="702,240" path="m7797,1137l7797,1377,8499,1377,8499,1137,7797,1137xe" filled="true" fillcolor="#d3d3d3" stroked="false">
                <v:path arrowok="t"/>
                <v:fill type="solid"/>
              </v:shape>
            </v:group>
            <v:group style="position:absolute;left:8533;top:772;width:796;height:920" coordorigin="8533,772" coordsize="796,920">
              <v:shape style="position:absolute;left:8533;top:772;width:796;height:920" coordorigin="8533,772" coordsize="796,920" path="m9329,897l9329,772,8533,772,9164,1502,9306,1502,9306,897,9329,897xe" filled="true" fillcolor="#d3d3d3" stroked="false">
                <v:path arrowok="t"/>
                <v:fill type="solid"/>
              </v:shape>
              <v:shape style="position:absolute;left:8533;top:772;width:796;height:920" coordorigin="8533,772" coordsize="796,920" path="m9329,1692l9329,1502,9164,1502,9329,1692xe" filled="true" fillcolor="#d3d3d3" stroked="false">
                <v:path arrowok="t"/>
                <v:fill type="solid"/>
              </v:shape>
              <v:shape style="position:absolute;left:8533;top:772;width:796;height:920" coordorigin="8533,772" coordsize="796,920" path="m9329,1377l9329,897,9306,897,9306,1377,9329,1377xe" filled="true" fillcolor="#d3d3d3" stroked="false">
                <v:path arrowok="t"/>
                <v:fill type="solid"/>
              </v:shape>
              <v:shape style="position:absolute;left:8533;top:772;width:796;height:920" coordorigin="8533,772" coordsize="796,920" path="m9329,1502l9329,1377,9306,1377,9306,1502,9329,1502xe" filled="true" fillcolor="#d3d3d3" stroked="false">
                <v:path arrowok="t"/>
                <v:fill type="solid"/>
              </v:shape>
            </v:group>
            <v:group style="position:absolute;left:8556;top:897;width:750;height:240" coordorigin="8556,897" coordsize="750,240">
              <v:shape style="position:absolute;left:8556;top:897;width:750;height:240" coordorigin="8556,897" coordsize="750,240" path="m8556,897l8556,1137,9306,1137,9306,897,8556,897xe" filled="true" fillcolor="#d3d3d3" stroked="false">
                <v:path arrowok="t"/>
                <v:fill type="solid"/>
              </v:shape>
            </v:group>
            <v:group style="position:absolute;left:8556;top:1137;width:750;height:240" coordorigin="8556,1137" coordsize="750,240">
              <v:shape style="position:absolute;left:8556;top:1137;width:750;height:240" coordorigin="8556,1137" coordsize="750,240" path="m8556,1137l8556,1377,9306,1377,9306,1137,8556,1137xe" filled="true" fillcolor="#d3d3d3" stroked="false">
                <v:path arrowok="t"/>
                <v:fill type="solid"/>
              </v:shape>
            </v:group>
            <v:group style="position:absolute;left:9338;top:772;width:569;height:605" coordorigin="9338,772" coordsize="569,605">
              <v:shape style="position:absolute;left:9338;top:772;width:569;height:605" coordorigin="9338,772" coordsize="569,605" path="m9907,897l9907,772,9338,772,9456,897,9907,897xe" filled="true" fillcolor="#d3d3d3" stroked="false">
                <v:path arrowok="t"/>
                <v:fill type="solid"/>
              </v:shape>
              <v:shape style="position:absolute;left:9338;top:772;width:569;height:605" coordorigin="9338,772" coordsize="569,605" path="m9884,1377l9884,1353,9456,897,9362,897,9362,1377,9884,1377xe" filled="true" fillcolor="#d3d3d3" stroked="false">
                <v:path arrowok="t"/>
                <v:fill type="solid"/>
              </v:shape>
              <v:shape style="position:absolute;left:9338;top:772;width:569;height:605" coordorigin="9338,772" coordsize="569,605" path="m9907,1377l9907,897,9884,897,9884,1353,9907,1377xe" filled="true" fillcolor="#d3d3d3" stroked="false">
                <v:path arrowok="t"/>
                <v:fill type="solid"/>
              </v:shape>
            </v:group>
            <v:group style="position:absolute;left:9362;top:897;width:522;height:240" coordorigin="9362,897" coordsize="522,240">
              <v:shape style="position:absolute;left:9362;top:897;width:522;height:240" coordorigin="9362,897" coordsize="522,240" path="m9362,897l9362,1137,9884,1137,9884,897,9362,897xe" filled="true" fillcolor="#d3d3d3" stroked="false">
                <v:path arrowok="t"/>
                <v:fill type="solid"/>
              </v:shape>
            </v:group>
            <v:group style="position:absolute;left:9362;top:1137;width:522;height:240" coordorigin="9362,1137" coordsize="522,240">
              <v:shape style="position:absolute;left:9362;top:1137;width:522;height:240" coordorigin="9362,1137" coordsize="522,240" path="m9362,1137l9362,1377,9884,1377,9884,1137,9362,1137xe" filled="true" fillcolor="#d3d3d3" stroked="false">
                <v:path arrowok="t"/>
                <v:fill type="solid"/>
              </v:shape>
            </v:group>
            <v:group style="position:absolute;left:9317;top:1511;width:2;height:240" coordorigin="9317,1511" coordsize="2,240">
              <v:shape style="position:absolute;left:9317;top:1511;width:2;height:240" coordorigin="9317,1511" coordsize="0,240" path="m9317,1511l9317,1751e" filled="false" stroked="true" strokeweight="1.140pt" strokecolor="#ffffff">
                <v:path arrowok="t"/>
              </v:shape>
            </v:group>
            <v:group style="position:absolute;left:8556;top:1511;width:750;height:240" coordorigin="8556,1511" coordsize="750,240">
              <v:shape style="position:absolute;left:8556;top:1511;width:750;height:240" coordorigin="8556,1511" coordsize="750,240" path="m8556,1511l8556,1751,9306,1751,9306,1511,8556,1511xe" filled="true" fillcolor="#ffffff" stroked="false">
                <v:path arrowok="t"/>
                <v:fill type="solid"/>
              </v:shape>
            </v:group>
            <w10:wrap type="none"/>
          </v:group>
        </w:pict>
      </w:r>
      <w:r>
        <w:rPr>
          <w:rFonts w:ascii="宋体" w:hAnsi="宋体" w:cs="宋体" w:eastAsia="宋体" w:hint="default"/>
          <w:sz w:val="18"/>
          <w:szCs w:val="18"/>
        </w:rPr>
        <w:t>单位：元</w:t>
      </w:r>
    </w:p>
    <w:tbl>
      <w:tblPr>
        <w:tblW w:w="0" w:type="auto"/>
        <w:jc w:val="left"/>
        <w:tblInd w:w="118" w:type="dxa"/>
        <w:tblLayout w:type="fixed"/>
        <w:tblCellMar>
          <w:top w:w="0" w:type="dxa"/>
          <w:left w:w="0" w:type="dxa"/>
          <w:bottom w:w="0" w:type="dxa"/>
          <w:right w:w="0" w:type="dxa"/>
        </w:tblCellMar>
        <w:tblLook w:val="01E0"/>
      </w:tblPr>
      <w:tblGrid>
        <w:gridCol w:w="2500"/>
        <w:gridCol w:w="1328"/>
        <w:gridCol w:w="464"/>
        <w:gridCol w:w="463"/>
        <w:gridCol w:w="350"/>
        <w:gridCol w:w="1241"/>
        <w:gridCol w:w="758"/>
        <w:gridCol w:w="805"/>
        <w:gridCol w:w="578"/>
        <w:gridCol w:w="1091"/>
        <w:gridCol w:w="806"/>
        <w:gridCol w:w="1181"/>
        <w:gridCol w:w="1120"/>
        <w:gridCol w:w="1316"/>
      </w:tblGrid>
      <w:tr>
        <w:trPr>
          <w:trHeight w:val="250" w:hRule="exact"/>
        </w:trPr>
        <w:tc>
          <w:tcPr>
            <w:tcW w:w="2500" w:type="dxa"/>
            <w:vMerge w:val="restart"/>
            <w:tcBorders>
              <w:top w:val="single" w:sz="4" w:space="0" w:color="000000"/>
              <w:left w:val="single" w:sz="4" w:space="0" w:color="000000"/>
              <w:right w:val="single" w:sz="4" w:space="0" w:color="000000"/>
            </w:tcBorders>
            <w:shd w:val="clear" w:color="auto" w:fill="D3D3D3"/>
          </w:tcPr>
          <w:p>
            <w:pPr/>
          </w:p>
        </w:tc>
        <w:tc>
          <w:tcPr>
            <w:tcW w:w="11503"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8"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0" w:hRule="exact"/>
        </w:trPr>
        <w:tc>
          <w:tcPr>
            <w:tcW w:w="2500" w:type="dxa"/>
            <w:vMerge/>
            <w:tcBorders>
              <w:left w:val="single" w:sz="4" w:space="0" w:color="000000"/>
              <w:bottom w:val="nil" w:sz="6" w:space="0" w:color="auto"/>
              <w:right w:val="single" w:sz="4" w:space="0" w:color="000000"/>
            </w:tcBorders>
            <w:shd w:val="clear" w:color="auto" w:fill="D3D3D3"/>
          </w:tcPr>
          <w:p>
            <w:pPr/>
          </w:p>
        </w:tc>
        <w:tc>
          <w:tcPr>
            <w:tcW w:w="9067"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20" w:type="dxa"/>
            <w:tcBorders>
              <w:top w:val="single" w:sz="4" w:space="0" w:color="000000"/>
              <w:left w:val="single" w:sz="4" w:space="0" w:color="000000"/>
              <w:bottom w:val="nil" w:sz="6" w:space="0" w:color="auto"/>
              <w:right w:val="single" w:sz="4" w:space="0" w:color="000000"/>
            </w:tcBorders>
            <w:shd w:val="clear" w:color="auto" w:fill="D3D3D3"/>
          </w:tcPr>
          <w:p>
            <w:pPr/>
          </w:p>
        </w:tc>
        <w:tc>
          <w:tcPr>
            <w:tcW w:w="1316" w:type="dxa"/>
            <w:vMerge w:val="restart"/>
            <w:tcBorders>
              <w:top w:val="single" w:sz="4" w:space="0" w:color="000000"/>
              <w:left w:val="single" w:sz="4" w:space="0" w:color="000000"/>
              <w:right w:val="single" w:sz="4" w:space="0" w:color="000000"/>
            </w:tcBorders>
            <w:shd w:val="clear" w:color="auto" w:fill="D3D3D3"/>
          </w:tcPr>
          <w:p>
            <w:pPr/>
          </w:p>
        </w:tc>
      </w:tr>
      <w:tr>
        <w:trPr>
          <w:trHeight w:val="128" w:hRule="exact"/>
        </w:trPr>
        <w:tc>
          <w:tcPr>
            <w:tcW w:w="2500" w:type="dxa"/>
            <w:vMerge w:val="restart"/>
            <w:tcBorders>
              <w:top w:val="nil" w:sz="6" w:space="0" w:color="auto"/>
              <w:left w:val="single" w:sz="4" w:space="0" w:color="000000"/>
              <w:right w:val="single" w:sz="4" w:space="0" w:color="000000"/>
            </w:tcBorders>
            <w:shd w:val="clear" w:color="auto" w:fill="D3D3D3"/>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78"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19" w:lineRule="exact"/>
              <w:ind w:left="9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41" w:type="dxa"/>
            <w:vMerge w:val="restart"/>
            <w:tcBorders>
              <w:top w:val="single" w:sz="4" w:space="0" w:color="000000"/>
              <w:left w:val="single" w:sz="13" w:space="0" w:color="D3D3D3"/>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58" w:type="dxa"/>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107"/>
              <w:ind w:left="283" w:right="22" w:hanging="261"/>
              <w:jc w:val="left"/>
              <w:rPr>
                <w:rFonts w:ascii="宋体" w:hAnsi="宋体" w:cs="宋体" w:eastAsia="宋体" w:hint="default"/>
                <w:sz w:val="18"/>
                <w:szCs w:val="18"/>
              </w:rPr>
            </w:pPr>
            <w:r>
              <w:rPr>
                <w:rFonts w:ascii="宋体" w:hAnsi="宋体" w:cs="宋体" w:eastAsia="宋体" w:hint="default"/>
                <w:spacing w:val="-5"/>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805" w:type="dxa"/>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107"/>
              <w:ind w:left="217" w:right="36"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578" w:type="dxa"/>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107"/>
              <w:ind w:left="104" w:right="102"/>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091" w:type="dxa"/>
            <w:vMerge w:val="restart"/>
            <w:tcBorders>
              <w:top w:val="single" w:sz="4" w:space="0" w:color="000000"/>
              <w:left w:val="single" w:sz="4" w:space="0" w:color="000000"/>
              <w:right w:val="single" w:sz="4" w:space="0" w:color="000000"/>
            </w:tcBorders>
            <w:shd w:val="clear" w:color="auto" w:fill="D3D3D3"/>
          </w:tcPr>
          <w:p>
            <w:pPr/>
          </w:p>
        </w:tc>
        <w:tc>
          <w:tcPr>
            <w:tcW w:w="806" w:type="dxa"/>
            <w:tcBorders>
              <w:top w:val="single" w:sz="4" w:space="0" w:color="000000"/>
              <w:left w:val="single" w:sz="4" w:space="0" w:color="000000"/>
              <w:bottom w:val="nil" w:sz="6" w:space="0" w:color="auto"/>
              <w:right w:val="single" w:sz="4" w:space="0" w:color="000000"/>
            </w:tcBorders>
            <w:shd w:val="clear" w:color="auto" w:fill="D3D3D3"/>
          </w:tcPr>
          <w:p>
            <w:pPr/>
          </w:p>
        </w:tc>
        <w:tc>
          <w:tcPr>
            <w:tcW w:w="1181" w:type="dxa"/>
            <w:vMerge w:val="restart"/>
            <w:tcBorders>
              <w:top w:val="single" w:sz="4" w:space="0" w:color="000000"/>
              <w:left w:val="single" w:sz="4" w:space="0" w:color="000000"/>
              <w:right w:val="single" w:sz="4" w:space="0" w:color="000000"/>
            </w:tcBorders>
            <w:shd w:val="clear" w:color="auto" w:fill="D3D3D3"/>
          </w:tcPr>
          <w:p>
            <w:pPr/>
          </w:p>
        </w:tc>
        <w:tc>
          <w:tcPr>
            <w:tcW w:w="112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exact" w:before="6"/>
              <w:ind w:left="464" w:right="103"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316" w:type="dxa"/>
            <w:vMerge/>
            <w:tcBorders>
              <w:left w:val="single" w:sz="4" w:space="0" w:color="000000"/>
              <w:bottom w:val="nil" w:sz="6" w:space="0" w:color="auto"/>
              <w:right w:val="single" w:sz="4" w:space="0" w:color="000000"/>
            </w:tcBorders>
            <w:shd w:val="clear" w:color="auto" w:fill="D3D3D3"/>
          </w:tcPr>
          <w:p>
            <w:pPr/>
          </w:p>
        </w:tc>
      </w:tr>
      <w:tr>
        <w:trPr>
          <w:trHeight w:val="117" w:hRule="exact"/>
        </w:trPr>
        <w:tc>
          <w:tcPr>
            <w:tcW w:w="2500" w:type="dxa"/>
            <w:vMerge/>
            <w:tcBorders>
              <w:left w:val="single" w:sz="4" w:space="0" w:color="000000"/>
              <w:bottom w:val="nil" w:sz="6" w:space="0" w:color="auto"/>
              <w:right w:val="single" w:sz="4" w:space="0" w:color="000000"/>
            </w:tcBorders>
            <w:shd w:val="clear" w:color="auto" w:fill="D3D3D3"/>
          </w:tcPr>
          <w:p>
            <w:pPr/>
          </w:p>
        </w:tc>
        <w:tc>
          <w:tcPr>
            <w:tcW w:w="1328" w:type="dxa"/>
            <w:vMerge/>
            <w:tcBorders>
              <w:left w:val="single" w:sz="4" w:space="0" w:color="000000"/>
              <w:right w:val="single" w:sz="4" w:space="0" w:color="000000"/>
            </w:tcBorders>
            <w:shd w:val="clear" w:color="auto" w:fill="D3D3D3"/>
          </w:tcPr>
          <w:p>
            <w:pPr/>
          </w:p>
        </w:tc>
        <w:tc>
          <w:tcPr>
            <w:tcW w:w="1278" w:type="dxa"/>
            <w:gridSpan w:val="3"/>
            <w:vMerge/>
            <w:tcBorders>
              <w:left w:val="single" w:sz="4" w:space="0" w:color="000000"/>
              <w:bottom w:val="single" w:sz="4" w:space="0" w:color="000000"/>
              <w:right w:val="single" w:sz="4" w:space="0" w:color="000000"/>
            </w:tcBorders>
            <w:shd w:val="clear" w:color="auto" w:fill="D3D3D3"/>
          </w:tcPr>
          <w:p>
            <w:pPr/>
          </w:p>
        </w:tc>
        <w:tc>
          <w:tcPr>
            <w:tcW w:w="1241" w:type="dxa"/>
            <w:vMerge/>
            <w:tcBorders>
              <w:left w:val="single" w:sz="13" w:space="0" w:color="D3D3D3"/>
              <w:right w:val="single" w:sz="4" w:space="0" w:color="000000"/>
            </w:tcBorders>
          </w:tcPr>
          <w:p>
            <w:pPr/>
          </w:p>
        </w:tc>
        <w:tc>
          <w:tcPr>
            <w:tcW w:w="758" w:type="dxa"/>
            <w:vMerge/>
            <w:tcBorders>
              <w:left w:val="single" w:sz="4" w:space="0" w:color="000000"/>
              <w:right w:val="single" w:sz="4" w:space="0" w:color="000000"/>
            </w:tcBorders>
            <w:shd w:val="clear" w:color="auto" w:fill="D3D3D3"/>
          </w:tcPr>
          <w:p>
            <w:pPr/>
          </w:p>
        </w:tc>
        <w:tc>
          <w:tcPr>
            <w:tcW w:w="805" w:type="dxa"/>
            <w:vMerge/>
            <w:tcBorders>
              <w:left w:val="single" w:sz="4" w:space="0" w:color="000000"/>
              <w:right w:val="single" w:sz="4" w:space="0" w:color="000000"/>
            </w:tcBorders>
            <w:shd w:val="clear" w:color="auto" w:fill="D3D3D3"/>
          </w:tcPr>
          <w:p>
            <w:pPr/>
          </w:p>
        </w:tc>
        <w:tc>
          <w:tcPr>
            <w:tcW w:w="578" w:type="dxa"/>
            <w:vMerge/>
            <w:tcBorders>
              <w:left w:val="single" w:sz="4" w:space="0" w:color="000000"/>
              <w:right w:val="single" w:sz="4" w:space="0" w:color="000000"/>
            </w:tcBorders>
            <w:shd w:val="clear" w:color="auto" w:fill="D3D3D3"/>
          </w:tcPr>
          <w:p>
            <w:pPr/>
          </w:p>
        </w:tc>
        <w:tc>
          <w:tcPr>
            <w:tcW w:w="1091" w:type="dxa"/>
            <w:vMerge/>
            <w:tcBorders>
              <w:left w:val="single" w:sz="4" w:space="0" w:color="000000"/>
              <w:bottom w:val="nil" w:sz="6" w:space="0" w:color="auto"/>
              <w:right w:val="single" w:sz="4" w:space="0" w:color="000000"/>
            </w:tcBorders>
            <w:shd w:val="clear" w:color="auto" w:fill="D3D3D3"/>
          </w:tcPr>
          <w:p>
            <w:pPr/>
          </w:p>
        </w:tc>
        <w:tc>
          <w:tcPr>
            <w:tcW w:w="80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exact" w:before="2"/>
              <w:ind w:left="217" w:right="37"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181" w:type="dxa"/>
            <w:vMerge/>
            <w:tcBorders>
              <w:left w:val="single" w:sz="4" w:space="0" w:color="000000"/>
              <w:bottom w:val="nil" w:sz="6" w:space="0" w:color="auto"/>
              <w:right w:val="single" w:sz="4" w:space="0" w:color="000000"/>
            </w:tcBorders>
            <w:shd w:val="clear" w:color="auto" w:fill="D3D3D3"/>
          </w:tcPr>
          <w:p>
            <w:pPr/>
          </w:p>
        </w:tc>
        <w:tc>
          <w:tcPr>
            <w:tcW w:w="1120" w:type="dxa"/>
            <w:vMerge/>
            <w:tcBorders>
              <w:left w:val="single" w:sz="4" w:space="0" w:color="000000"/>
              <w:right w:val="single" w:sz="4" w:space="0" w:color="000000"/>
            </w:tcBorders>
            <w:shd w:val="clear" w:color="auto" w:fill="D3D3D3"/>
          </w:tcPr>
          <w:p>
            <w:pPr/>
          </w:p>
        </w:tc>
        <w:tc>
          <w:tcPr>
            <w:tcW w:w="1316" w:type="dxa"/>
            <w:vMerge w:val="restart"/>
            <w:tcBorders>
              <w:top w:val="nil" w:sz="6" w:space="0" w:color="auto"/>
              <w:left w:val="single" w:sz="22" w:space="0" w:color="D3D3D3"/>
              <w:right w:val="single" w:sz="13" w:space="0" w:color="D3D3D3"/>
            </w:tcBorders>
          </w:tcPr>
          <w:p>
            <w:pPr>
              <w:pStyle w:val="TableParagraph"/>
              <w:spacing w:line="215" w:lineRule="exact"/>
              <w:ind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所有者权益合计</w:t>
            </w:r>
            <w:r>
              <w:rPr>
                <w:rFonts w:ascii="宋体" w:hAnsi="宋体" w:cs="宋体" w:eastAsia="宋体" w:hint="default"/>
                <w:sz w:val="18"/>
                <w:szCs w:val="18"/>
              </w:rPr>
            </w:r>
          </w:p>
        </w:tc>
      </w:tr>
      <w:tr>
        <w:trPr>
          <w:trHeight w:val="117" w:hRule="exact"/>
        </w:trPr>
        <w:tc>
          <w:tcPr>
            <w:tcW w:w="2500" w:type="dxa"/>
            <w:vMerge w:val="restart"/>
            <w:tcBorders>
              <w:top w:val="nil" w:sz="6" w:space="0" w:color="auto"/>
              <w:left w:val="single" w:sz="4" w:space="0" w:color="000000"/>
              <w:right w:val="single" w:sz="4" w:space="0" w:color="000000"/>
            </w:tcBorders>
            <w:shd w:val="clear" w:color="auto" w:fill="D3D3D3"/>
          </w:tcPr>
          <w:p>
            <w:pPr/>
          </w:p>
        </w:tc>
        <w:tc>
          <w:tcPr>
            <w:tcW w:w="1328" w:type="dxa"/>
            <w:vMerge/>
            <w:tcBorders>
              <w:left w:val="single" w:sz="4" w:space="0" w:color="000000"/>
              <w:right w:val="single" w:sz="4" w:space="0" w:color="000000"/>
            </w:tcBorders>
            <w:shd w:val="clear" w:color="auto" w:fill="D3D3D3"/>
          </w:tcPr>
          <w:p>
            <w:pPr/>
          </w:p>
        </w:tc>
        <w:tc>
          <w:tcPr>
            <w:tcW w:w="4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before="2"/>
              <w:ind w:left="136" w:right="46"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before="2"/>
              <w:ind w:left="136" w:right="44"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35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before="2"/>
              <w:ind w:left="79" w:right="79"/>
              <w:jc w:val="left"/>
              <w:rPr>
                <w:rFonts w:ascii="宋体" w:hAnsi="宋体" w:cs="宋体" w:eastAsia="宋体" w:hint="default"/>
                <w:sz w:val="18"/>
                <w:szCs w:val="18"/>
              </w:rPr>
            </w:pPr>
            <w:r>
              <w:rPr>
                <w:rFonts w:ascii="宋体" w:hAnsi="宋体" w:cs="宋体" w:eastAsia="宋体" w:hint="default"/>
                <w:sz w:val="18"/>
                <w:szCs w:val="18"/>
              </w:rPr>
              <w:t>其 他</w:t>
            </w:r>
          </w:p>
        </w:tc>
        <w:tc>
          <w:tcPr>
            <w:tcW w:w="1241" w:type="dxa"/>
            <w:vMerge/>
            <w:tcBorders>
              <w:left w:val="single" w:sz="13" w:space="0" w:color="D3D3D3"/>
              <w:right w:val="single" w:sz="4" w:space="0" w:color="000000"/>
            </w:tcBorders>
          </w:tcPr>
          <w:p>
            <w:pPr/>
          </w:p>
        </w:tc>
        <w:tc>
          <w:tcPr>
            <w:tcW w:w="758" w:type="dxa"/>
            <w:vMerge/>
            <w:tcBorders>
              <w:left w:val="single" w:sz="4" w:space="0" w:color="000000"/>
              <w:right w:val="single" w:sz="4" w:space="0" w:color="000000"/>
            </w:tcBorders>
            <w:shd w:val="clear" w:color="auto" w:fill="D3D3D3"/>
          </w:tcPr>
          <w:p>
            <w:pPr/>
          </w:p>
        </w:tc>
        <w:tc>
          <w:tcPr>
            <w:tcW w:w="805" w:type="dxa"/>
            <w:vMerge/>
            <w:tcBorders>
              <w:left w:val="single" w:sz="4" w:space="0" w:color="000000"/>
              <w:right w:val="single" w:sz="4" w:space="0" w:color="000000"/>
            </w:tcBorders>
            <w:shd w:val="clear" w:color="auto" w:fill="D3D3D3"/>
          </w:tcPr>
          <w:p>
            <w:pPr/>
          </w:p>
        </w:tc>
        <w:tc>
          <w:tcPr>
            <w:tcW w:w="578" w:type="dxa"/>
            <w:vMerge/>
            <w:tcBorders>
              <w:left w:val="single" w:sz="4" w:space="0" w:color="000000"/>
              <w:right w:val="single" w:sz="4" w:space="0" w:color="000000"/>
            </w:tcBorders>
            <w:shd w:val="clear" w:color="auto" w:fill="D3D3D3"/>
          </w:tcPr>
          <w:p>
            <w:pPr/>
          </w:p>
        </w:tc>
        <w:tc>
          <w:tcPr>
            <w:tcW w:w="1091" w:type="dxa"/>
            <w:vMerge w:val="restart"/>
            <w:tcBorders>
              <w:top w:val="nil" w:sz="6" w:space="0" w:color="auto"/>
              <w:left w:val="single" w:sz="4" w:space="0" w:color="000000"/>
              <w:right w:val="single" w:sz="4" w:space="0" w:color="000000"/>
            </w:tcBorders>
            <w:shd w:val="clear" w:color="auto" w:fill="D3D3D3"/>
          </w:tcPr>
          <w:p>
            <w:pPr>
              <w:pStyle w:val="TableParagraph"/>
              <w:spacing w:line="219" w:lineRule="exact"/>
              <w:ind w:left="18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06" w:type="dxa"/>
            <w:vMerge/>
            <w:tcBorders>
              <w:left w:val="single" w:sz="4" w:space="0" w:color="000000"/>
              <w:right w:val="single" w:sz="4" w:space="0" w:color="000000"/>
            </w:tcBorders>
            <w:shd w:val="clear" w:color="auto" w:fill="D3D3D3"/>
          </w:tcPr>
          <w:p>
            <w:pPr/>
          </w:p>
        </w:tc>
        <w:tc>
          <w:tcPr>
            <w:tcW w:w="1181" w:type="dxa"/>
            <w:vMerge w:val="restart"/>
            <w:tcBorders>
              <w:top w:val="nil" w:sz="6" w:space="0" w:color="auto"/>
              <w:left w:val="single" w:sz="4" w:space="0" w:color="000000"/>
              <w:right w:val="single" w:sz="4" w:space="0" w:color="000000"/>
            </w:tcBorders>
            <w:shd w:val="clear" w:color="auto" w:fill="D3D3D3"/>
          </w:tcPr>
          <w:p>
            <w:pPr>
              <w:pStyle w:val="TableParagraph"/>
              <w:spacing w:line="219" w:lineRule="exact"/>
              <w:ind w:left="13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20" w:type="dxa"/>
            <w:vMerge/>
            <w:tcBorders>
              <w:left w:val="single" w:sz="4" w:space="0" w:color="000000"/>
              <w:right w:val="single" w:sz="4" w:space="0" w:color="000000"/>
            </w:tcBorders>
            <w:shd w:val="clear" w:color="auto" w:fill="D3D3D3"/>
          </w:tcPr>
          <w:p>
            <w:pPr/>
          </w:p>
        </w:tc>
        <w:tc>
          <w:tcPr>
            <w:tcW w:w="1316" w:type="dxa"/>
            <w:vMerge/>
            <w:tcBorders>
              <w:left w:val="single" w:sz="22" w:space="0" w:color="D3D3D3"/>
              <w:bottom w:val="nil" w:sz="6" w:space="0" w:color="auto"/>
              <w:right w:val="single" w:sz="13" w:space="0" w:color="D3D3D3"/>
            </w:tcBorders>
          </w:tcPr>
          <w:p>
            <w:pPr/>
          </w:p>
        </w:tc>
      </w:tr>
      <w:tr>
        <w:trPr>
          <w:trHeight w:val="124" w:hRule="exact"/>
        </w:trPr>
        <w:tc>
          <w:tcPr>
            <w:tcW w:w="2500" w:type="dxa"/>
            <w:vMerge/>
            <w:tcBorders>
              <w:left w:val="single" w:sz="4" w:space="0" w:color="000000"/>
              <w:right w:val="single" w:sz="4" w:space="0" w:color="000000"/>
            </w:tcBorders>
            <w:shd w:val="clear" w:color="auto" w:fill="D3D3D3"/>
          </w:tcPr>
          <w:p>
            <w:pPr/>
          </w:p>
        </w:tc>
        <w:tc>
          <w:tcPr>
            <w:tcW w:w="1328" w:type="dxa"/>
            <w:vMerge/>
            <w:tcBorders>
              <w:left w:val="single" w:sz="4" w:space="0" w:color="000000"/>
              <w:right w:val="single" w:sz="4" w:space="0" w:color="000000"/>
            </w:tcBorders>
            <w:shd w:val="clear" w:color="auto" w:fill="D3D3D3"/>
          </w:tcPr>
          <w:p>
            <w:pPr/>
          </w:p>
        </w:tc>
        <w:tc>
          <w:tcPr>
            <w:tcW w:w="464" w:type="dxa"/>
            <w:vMerge/>
            <w:tcBorders>
              <w:left w:val="single" w:sz="4" w:space="0" w:color="000000"/>
              <w:right w:val="single" w:sz="4" w:space="0" w:color="000000"/>
            </w:tcBorders>
            <w:shd w:val="clear" w:color="auto" w:fill="D3D3D3"/>
          </w:tcPr>
          <w:p>
            <w:pPr/>
          </w:p>
        </w:tc>
        <w:tc>
          <w:tcPr>
            <w:tcW w:w="463" w:type="dxa"/>
            <w:vMerge/>
            <w:tcBorders>
              <w:left w:val="single" w:sz="4" w:space="0" w:color="000000"/>
              <w:right w:val="single" w:sz="4" w:space="0" w:color="000000"/>
            </w:tcBorders>
            <w:shd w:val="clear" w:color="auto" w:fill="D3D3D3"/>
          </w:tcPr>
          <w:p>
            <w:pPr/>
          </w:p>
        </w:tc>
        <w:tc>
          <w:tcPr>
            <w:tcW w:w="350" w:type="dxa"/>
            <w:vMerge/>
            <w:tcBorders>
              <w:left w:val="single" w:sz="4" w:space="0" w:color="000000"/>
              <w:right w:val="single" w:sz="4" w:space="0" w:color="000000"/>
            </w:tcBorders>
            <w:shd w:val="clear" w:color="auto" w:fill="D3D3D3"/>
          </w:tcPr>
          <w:p>
            <w:pPr/>
          </w:p>
        </w:tc>
        <w:tc>
          <w:tcPr>
            <w:tcW w:w="1241" w:type="dxa"/>
            <w:vMerge/>
            <w:tcBorders>
              <w:left w:val="single" w:sz="13" w:space="0" w:color="D3D3D3"/>
              <w:right w:val="single" w:sz="4" w:space="0" w:color="000000"/>
            </w:tcBorders>
          </w:tcPr>
          <w:p>
            <w:pPr/>
          </w:p>
        </w:tc>
        <w:tc>
          <w:tcPr>
            <w:tcW w:w="758" w:type="dxa"/>
            <w:vMerge/>
            <w:tcBorders>
              <w:left w:val="single" w:sz="4" w:space="0" w:color="000000"/>
              <w:right w:val="single" w:sz="4" w:space="0" w:color="000000"/>
            </w:tcBorders>
            <w:shd w:val="clear" w:color="auto" w:fill="D3D3D3"/>
          </w:tcPr>
          <w:p>
            <w:pPr/>
          </w:p>
        </w:tc>
        <w:tc>
          <w:tcPr>
            <w:tcW w:w="805" w:type="dxa"/>
            <w:vMerge/>
            <w:tcBorders>
              <w:left w:val="single" w:sz="4" w:space="0" w:color="000000"/>
              <w:right w:val="single" w:sz="4" w:space="0" w:color="000000"/>
            </w:tcBorders>
            <w:shd w:val="clear" w:color="auto" w:fill="D3D3D3"/>
          </w:tcPr>
          <w:p>
            <w:pPr/>
          </w:p>
        </w:tc>
        <w:tc>
          <w:tcPr>
            <w:tcW w:w="578" w:type="dxa"/>
            <w:vMerge/>
            <w:tcBorders>
              <w:left w:val="single" w:sz="4" w:space="0" w:color="000000"/>
              <w:right w:val="single" w:sz="4" w:space="0" w:color="000000"/>
            </w:tcBorders>
            <w:shd w:val="clear" w:color="auto" w:fill="D3D3D3"/>
          </w:tcPr>
          <w:p>
            <w:pPr/>
          </w:p>
        </w:tc>
        <w:tc>
          <w:tcPr>
            <w:tcW w:w="1091" w:type="dxa"/>
            <w:vMerge/>
            <w:tcBorders>
              <w:left w:val="single" w:sz="4" w:space="0" w:color="000000"/>
              <w:bottom w:val="nil" w:sz="6" w:space="0" w:color="auto"/>
              <w:right w:val="single" w:sz="4" w:space="0" w:color="000000"/>
            </w:tcBorders>
            <w:shd w:val="clear" w:color="auto" w:fill="D3D3D3"/>
          </w:tcPr>
          <w:p>
            <w:pPr/>
          </w:p>
        </w:tc>
        <w:tc>
          <w:tcPr>
            <w:tcW w:w="806" w:type="dxa"/>
            <w:vMerge/>
            <w:tcBorders>
              <w:left w:val="single" w:sz="4" w:space="0" w:color="000000"/>
              <w:right w:val="single" w:sz="4" w:space="0" w:color="000000"/>
            </w:tcBorders>
            <w:shd w:val="clear" w:color="auto" w:fill="D3D3D3"/>
          </w:tcPr>
          <w:p>
            <w:pPr/>
          </w:p>
        </w:tc>
        <w:tc>
          <w:tcPr>
            <w:tcW w:w="1181" w:type="dxa"/>
            <w:vMerge/>
            <w:tcBorders>
              <w:left w:val="single" w:sz="4" w:space="0" w:color="000000"/>
              <w:bottom w:val="single" w:sz="2" w:space="0" w:color="FFFFFF"/>
              <w:right w:val="single" w:sz="4" w:space="0" w:color="000000"/>
            </w:tcBorders>
            <w:shd w:val="clear" w:color="auto" w:fill="D3D3D3"/>
          </w:tcPr>
          <w:p>
            <w:pPr/>
          </w:p>
        </w:tc>
        <w:tc>
          <w:tcPr>
            <w:tcW w:w="1120" w:type="dxa"/>
            <w:vMerge/>
            <w:tcBorders>
              <w:left w:val="single" w:sz="4" w:space="0" w:color="000000"/>
              <w:bottom w:val="single" w:sz="2" w:space="0" w:color="FFFFFF"/>
              <w:right w:val="single" w:sz="4" w:space="0" w:color="000000"/>
            </w:tcBorders>
            <w:shd w:val="clear" w:color="auto" w:fill="D3D3D3"/>
          </w:tcPr>
          <w:p>
            <w:pPr/>
          </w:p>
        </w:tc>
        <w:tc>
          <w:tcPr>
            <w:tcW w:w="1316" w:type="dxa"/>
            <w:vMerge w:val="restart"/>
            <w:tcBorders>
              <w:top w:val="nil" w:sz="6" w:space="0" w:color="auto"/>
              <w:left w:val="single" w:sz="4" w:space="0" w:color="000000"/>
              <w:right w:val="single" w:sz="4" w:space="0" w:color="000000"/>
            </w:tcBorders>
            <w:shd w:val="clear" w:color="auto" w:fill="D3D3D3"/>
          </w:tcPr>
          <w:p>
            <w:pPr/>
          </w:p>
        </w:tc>
      </w:tr>
      <w:tr>
        <w:trPr>
          <w:trHeight w:val="251" w:hRule="exact"/>
        </w:trPr>
        <w:tc>
          <w:tcPr>
            <w:tcW w:w="2500" w:type="dxa"/>
            <w:vMerge/>
            <w:tcBorders>
              <w:left w:val="single" w:sz="4" w:space="0" w:color="000000"/>
              <w:bottom w:val="single" w:sz="4" w:space="0" w:color="000000"/>
              <w:right w:val="single" w:sz="4" w:space="0" w:color="000000"/>
            </w:tcBorders>
            <w:shd w:val="clear" w:color="auto" w:fill="D3D3D3"/>
          </w:tcPr>
          <w:p>
            <w:pPr/>
          </w:p>
        </w:tc>
        <w:tc>
          <w:tcPr>
            <w:tcW w:w="1328" w:type="dxa"/>
            <w:vMerge/>
            <w:tcBorders>
              <w:left w:val="single" w:sz="4" w:space="0" w:color="000000"/>
              <w:bottom w:val="single" w:sz="4" w:space="0" w:color="000000"/>
              <w:right w:val="single" w:sz="4" w:space="0" w:color="000000"/>
            </w:tcBorders>
            <w:shd w:val="clear" w:color="auto" w:fill="D3D3D3"/>
          </w:tcPr>
          <w:p>
            <w:pPr/>
          </w:p>
        </w:tc>
        <w:tc>
          <w:tcPr>
            <w:tcW w:w="464" w:type="dxa"/>
            <w:vMerge/>
            <w:tcBorders>
              <w:left w:val="single" w:sz="4" w:space="0" w:color="000000"/>
              <w:bottom w:val="single" w:sz="4" w:space="0" w:color="000000"/>
              <w:right w:val="single" w:sz="4" w:space="0" w:color="000000"/>
            </w:tcBorders>
            <w:shd w:val="clear" w:color="auto" w:fill="D3D3D3"/>
          </w:tcPr>
          <w:p>
            <w:pPr/>
          </w:p>
        </w:tc>
        <w:tc>
          <w:tcPr>
            <w:tcW w:w="463" w:type="dxa"/>
            <w:vMerge/>
            <w:tcBorders>
              <w:left w:val="single" w:sz="4" w:space="0" w:color="000000"/>
              <w:bottom w:val="single" w:sz="4" w:space="0" w:color="000000"/>
              <w:right w:val="single" w:sz="4" w:space="0" w:color="000000"/>
            </w:tcBorders>
            <w:shd w:val="clear" w:color="auto" w:fill="D3D3D3"/>
          </w:tcPr>
          <w:p>
            <w:pPr/>
          </w:p>
        </w:tc>
        <w:tc>
          <w:tcPr>
            <w:tcW w:w="350" w:type="dxa"/>
            <w:vMerge/>
            <w:tcBorders>
              <w:left w:val="single" w:sz="4" w:space="0" w:color="000000"/>
              <w:bottom w:val="single" w:sz="4" w:space="0" w:color="000000"/>
              <w:right w:val="single" w:sz="4" w:space="0" w:color="000000"/>
            </w:tcBorders>
            <w:shd w:val="clear" w:color="auto" w:fill="D3D3D3"/>
          </w:tcPr>
          <w:p>
            <w:pPr/>
          </w:p>
        </w:tc>
        <w:tc>
          <w:tcPr>
            <w:tcW w:w="1241" w:type="dxa"/>
            <w:vMerge/>
            <w:tcBorders>
              <w:left w:val="single" w:sz="13" w:space="0" w:color="D3D3D3"/>
              <w:bottom w:val="single" w:sz="4" w:space="0" w:color="000000"/>
              <w:right w:val="single" w:sz="4" w:space="0" w:color="000000"/>
            </w:tcBorders>
          </w:tcPr>
          <w:p>
            <w:pPr/>
          </w:p>
        </w:tc>
        <w:tc>
          <w:tcPr>
            <w:tcW w:w="758" w:type="dxa"/>
            <w:vMerge/>
            <w:tcBorders>
              <w:left w:val="single" w:sz="4" w:space="0" w:color="000000"/>
              <w:bottom w:val="single" w:sz="4" w:space="0" w:color="000000"/>
              <w:right w:val="single" w:sz="4" w:space="0" w:color="000000"/>
            </w:tcBorders>
            <w:shd w:val="clear" w:color="auto" w:fill="D3D3D3"/>
          </w:tcPr>
          <w:p>
            <w:pPr/>
          </w:p>
        </w:tc>
        <w:tc>
          <w:tcPr>
            <w:tcW w:w="805" w:type="dxa"/>
            <w:vMerge/>
            <w:tcBorders>
              <w:left w:val="single" w:sz="4" w:space="0" w:color="000000"/>
              <w:bottom w:val="single" w:sz="4" w:space="0" w:color="000000"/>
              <w:right w:val="single" w:sz="4" w:space="0" w:color="000000"/>
            </w:tcBorders>
            <w:shd w:val="clear" w:color="auto" w:fill="D3D3D3"/>
          </w:tcPr>
          <w:p>
            <w:pPr/>
          </w:p>
        </w:tc>
        <w:tc>
          <w:tcPr>
            <w:tcW w:w="578" w:type="dxa"/>
            <w:vMerge/>
            <w:tcBorders>
              <w:left w:val="single" w:sz="4" w:space="0" w:color="000000"/>
              <w:bottom w:val="single" w:sz="4" w:space="0" w:color="000000"/>
              <w:right w:val="single" w:sz="4" w:space="0" w:color="000000"/>
            </w:tcBorders>
            <w:shd w:val="clear" w:color="auto" w:fill="D3D3D3"/>
          </w:tcPr>
          <w:p>
            <w:pPr/>
          </w:p>
        </w:tc>
        <w:tc>
          <w:tcPr>
            <w:tcW w:w="1091" w:type="dxa"/>
            <w:tcBorders>
              <w:top w:val="nil" w:sz="6" w:space="0" w:color="auto"/>
              <w:left w:val="single" w:sz="4" w:space="0" w:color="000000"/>
              <w:bottom w:val="single" w:sz="4" w:space="0" w:color="000000"/>
              <w:right w:val="single" w:sz="4" w:space="0" w:color="000000"/>
            </w:tcBorders>
            <w:shd w:val="clear" w:color="auto" w:fill="D3D3D3"/>
          </w:tcPr>
          <w:p>
            <w:pPr/>
          </w:p>
        </w:tc>
        <w:tc>
          <w:tcPr>
            <w:tcW w:w="806" w:type="dxa"/>
            <w:vMerge/>
            <w:tcBorders>
              <w:left w:val="single" w:sz="4" w:space="0" w:color="000000"/>
              <w:bottom w:val="single" w:sz="4" w:space="0" w:color="000000"/>
              <w:right w:val="single" w:sz="4" w:space="0" w:color="000000"/>
            </w:tcBorders>
            <w:shd w:val="clear" w:color="auto" w:fill="D3D3D3"/>
          </w:tcPr>
          <w:p>
            <w:pPr/>
          </w:p>
        </w:tc>
        <w:tc>
          <w:tcPr>
            <w:tcW w:w="1181" w:type="dxa"/>
            <w:tcBorders>
              <w:top w:val="single" w:sz="2" w:space="0" w:color="FFFFFF"/>
              <w:left w:val="single" w:sz="4" w:space="0" w:color="000000"/>
              <w:bottom w:val="single" w:sz="4" w:space="0" w:color="000000"/>
              <w:right w:val="single" w:sz="4" w:space="0" w:color="000000"/>
            </w:tcBorders>
            <w:shd w:val="clear" w:color="auto" w:fill="D3D3D3"/>
          </w:tcPr>
          <w:p>
            <w:pPr/>
          </w:p>
        </w:tc>
        <w:tc>
          <w:tcPr>
            <w:tcW w:w="1120" w:type="dxa"/>
            <w:tcBorders>
              <w:top w:val="single" w:sz="2" w:space="0" w:color="FFFFFF"/>
              <w:left w:val="single" w:sz="4" w:space="0" w:color="000000"/>
              <w:bottom w:val="single" w:sz="4" w:space="0" w:color="000000"/>
              <w:right w:val="single" w:sz="4" w:space="0" w:color="000000"/>
            </w:tcBorders>
            <w:shd w:val="clear" w:color="auto" w:fill="D3D3D3"/>
          </w:tcPr>
          <w:p>
            <w:pPr/>
          </w:p>
        </w:tc>
        <w:tc>
          <w:tcPr>
            <w:tcW w:w="1316" w:type="dxa"/>
            <w:vMerge/>
            <w:tcBorders>
              <w:left w:val="single" w:sz="4" w:space="0" w:color="000000"/>
              <w:bottom w:val="single" w:sz="4" w:space="0" w:color="000000"/>
              <w:right w:val="single" w:sz="4" w:space="0" w:color="000000"/>
            </w:tcBorders>
            <w:shd w:val="clear" w:color="auto" w:fill="D3D3D3"/>
          </w:tcPr>
          <w:p>
            <w:pPr/>
          </w:p>
        </w:tc>
      </w:tr>
      <w:tr>
        <w:trPr>
          <w:trHeight w:val="250" w:hRule="exact"/>
        </w:trPr>
        <w:tc>
          <w:tcPr>
            <w:tcW w:w="2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529,966,415.00</w:t>
            </w:r>
          </w:p>
        </w:tc>
        <w:tc>
          <w:tcPr>
            <w:tcW w:w="464"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92" w:right="0"/>
              <w:jc w:val="center"/>
              <w:rPr>
                <w:rFonts w:ascii="Times New Roman" w:hAnsi="Times New Roman" w:cs="Times New Roman" w:eastAsia="Times New Roman" w:hint="default"/>
                <w:sz w:val="18"/>
                <w:szCs w:val="18"/>
              </w:rPr>
            </w:pPr>
            <w:r>
              <w:rPr>
                <w:rFonts w:ascii="Times New Roman"/>
                <w:sz w:val="18"/>
              </w:rPr>
              <w:t>-71,446,022.41</w:t>
            </w:r>
          </w:p>
        </w:tc>
        <w:tc>
          <w:tcPr>
            <w:tcW w:w="758" w:type="dxa"/>
            <w:tcBorders>
              <w:top w:val="single" w:sz="4" w:space="0" w:color="000000"/>
              <w:left w:val="single" w:sz="4" w:space="0" w:color="000000"/>
              <w:bottom w:val="single" w:sz="4" w:space="0" w:color="000000"/>
              <w:right w:val="single" w:sz="13" w:space="0" w:color="FFFFFF"/>
            </w:tcBorders>
          </w:tcPr>
          <w:p>
            <w:pPr/>
          </w:p>
        </w:tc>
        <w:tc>
          <w:tcPr>
            <w:tcW w:w="805" w:type="dxa"/>
            <w:tcBorders>
              <w:top w:val="single" w:sz="4" w:space="0" w:color="000000"/>
              <w:left w:val="single" w:sz="13" w:space="0" w:color="FFFFFF"/>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4" w:right="0"/>
              <w:jc w:val="left"/>
              <w:rPr>
                <w:rFonts w:ascii="Times New Roman" w:hAnsi="Times New Roman" w:cs="Times New Roman" w:eastAsia="Times New Roman" w:hint="default"/>
                <w:sz w:val="18"/>
                <w:szCs w:val="18"/>
              </w:rPr>
            </w:pPr>
            <w:r>
              <w:rPr>
                <w:rFonts w:ascii="Times New Roman"/>
                <w:sz w:val="18"/>
              </w:rPr>
              <w:t>31,915,234.95</w:t>
            </w:r>
          </w:p>
        </w:tc>
        <w:tc>
          <w:tcPr>
            <w:tcW w:w="806" w:type="dxa"/>
            <w:tcBorders>
              <w:top w:val="single" w:sz="50" w:space="0" w:color="D3D3D3"/>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Times New Roman" w:hAnsi="Times New Roman" w:cs="Times New Roman" w:eastAsia="Times New Roman" w:hint="default"/>
                <w:sz w:val="18"/>
                <w:szCs w:val="18"/>
              </w:rPr>
            </w:pPr>
            <w:r>
              <w:rPr>
                <w:rFonts w:ascii="Times New Roman"/>
                <w:sz w:val="18"/>
              </w:rPr>
              <w:t>258,247,245.29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50,721,285.86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799,404,158.69</w:t>
            </w:r>
          </w:p>
        </w:tc>
      </w:tr>
      <w:tr>
        <w:trPr>
          <w:trHeight w:val="251" w:hRule="exact"/>
        </w:trPr>
        <w:tc>
          <w:tcPr>
            <w:tcW w:w="2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28" w:type="dxa"/>
            <w:tcBorders>
              <w:top w:val="single" w:sz="4" w:space="0" w:color="000000"/>
              <w:left w:val="single" w:sz="13" w:space="0" w:color="D3D3D3"/>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28" w:type="dxa"/>
            <w:tcBorders>
              <w:top w:val="single" w:sz="4" w:space="0" w:color="000000"/>
              <w:left w:val="single" w:sz="13" w:space="0" w:color="D3D3D3"/>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731"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1328" w:type="dxa"/>
            <w:tcBorders>
              <w:top w:val="single" w:sz="4" w:space="0" w:color="000000"/>
              <w:left w:val="single" w:sz="13" w:space="0" w:color="D3D3D3"/>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8" w:type="dxa"/>
            <w:tcBorders>
              <w:top w:val="single" w:sz="4" w:space="0" w:color="000000"/>
              <w:left w:val="single" w:sz="13" w:space="0" w:color="D3D3D3"/>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529,966,415.00</w:t>
            </w:r>
          </w:p>
        </w:tc>
        <w:tc>
          <w:tcPr>
            <w:tcW w:w="464"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92" w:right="0"/>
              <w:jc w:val="center"/>
              <w:rPr>
                <w:rFonts w:ascii="Times New Roman" w:hAnsi="Times New Roman" w:cs="Times New Roman" w:eastAsia="Times New Roman" w:hint="default"/>
                <w:sz w:val="18"/>
                <w:szCs w:val="18"/>
              </w:rPr>
            </w:pPr>
            <w:r>
              <w:rPr>
                <w:rFonts w:ascii="Times New Roman"/>
                <w:sz w:val="18"/>
              </w:rPr>
              <w:t>-71,446,022.41</w:t>
            </w:r>
          </w:p>
        </w:tc>
        <w:tc>
          <w:tcPr>
            <w:tcW w:w="758"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4" w:right="0"/>
              <w:jc w:val="left"/>
              <w:rPr>
                <w:rFonts w:ascii="Times New Roman" w:hAnsi="Times New Roman" w:cs="Times New Roman" w:eastAsia="Times New Roman" w:hint="default"/>
                <w:sz w:val="18"/>
                <w:szCs w:val="18"/>
              </w:rPr>
            </w:pPr>
            <w:r>
              <w:rPr>
                <w:rFonts w:ascii="Times New Roman"/>
                <w:sz w:val="18"/>
              </w:rPr>
              <w:t>31,915,234.95</w:t>
            </w:r>
          </w:p>
        </w:tc>
        <w:tc>
          <w:tcPr>
            <w:tcW w:w="80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Times New Roman" w:hAnsi="Times New Roman" w:cs="Times New Roman" w:eastAsia="Times New Roman" w:hint="default"/>
                <w:sz w:val="18"/>
                <w:szCs w:val="18"/>
              </w:rPr>
            </w:pPr>
            <w:r>
              <w:rPr>
                <w:rFonts w:ascii="Times New Roman"/>
                <w:sz w:val="18"/>
              </w:rPr>
              <w:t>258,247,245.29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50,721,285.86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799,404,158.69</w:t>
            </w:r>
          </w:p>
        </w:tc>
      </w:tr>
      <w:tr>
        <w:trPr>
          <w:trHeight w:val="490" w:hRule="exact"/>
        </w:trPr>
        <w:tc>
          <w:tcPr>
            <w:tcW w:w="2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pacing w:val="-4"/>
                <w:sz w:val="18"/>
                <w:szCs w:val="18"/>
              </w:rPr>
              <w:t>三、本期增减变动金额（减少以</w:t>
            </w:r>
          </w:p>
          <w:p>
            <w:pPr>
              <w:pStyle w:val="TableParagraph"/>
              <w:spacing w:line="240" w:lineRule="auto" w:before="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44"/>
              <w:ind w:right="20"/>
              <w:jc w:val="right"/>
              <w:rPr>
                <w:rFonts w:ascii="Times New Roman" w:hAnsi="Times New Roman" w:cs="Times New Roman" w:eastAsia="Times New Roman" w:hint="default"/>
                <w:sz w:val="18"/>
                <w:szCs w:val="18"/>
              </w:rPr>
            </w:pPr>
            <w:r>
              <w:rPr>
                <w:rFonts w:ascii="Times New Roman"/>
                <w:spacing w:val="-1"/>
                <w:sz w:val="18"/>
              </w:rPr>
              <w:t>487,731,995.00</w:t>
            </w:r>
          </w:p>
        </w:tc>
        <w:tc>
          <w:tcPr>
            <w:tcW w:w="464"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-163,316,814.41</w:t>
            </w:r>
          </w:p>
        </w:tc>
        <w:tc>
          <w:tcPr>
            <w:tcW w:w="758"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 w:right="0"/>
              <w:jc w:val="left"/>
              <w:rPr>
                <w:rFonts w:ascii="Times New Roman" w:hAnsi="Times New Roman" w:cs="Times New Roman" w:eastAsia="Times New Roman" w:hint="default"/>
                <w:sz w:val="18"/>
                <w:szCs w:val="18"/>
              </w:rPr>
            </w:pPr>
            <w:r>
              <w:rPr>
                <w:rFonts w:ascii="Times New Roman"/>
                <w:sz w:val="18"/>
              </w:rPr>
              <w:t>18,510,131.09</w:t>
            </w:r>
          </w:p>
        </w:tc>
        <w:tc>
          <w:tcPr>
            <w:tcW w:w="80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170,155,158.57</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12,413,971.46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525,494,441.71</w:t>
            </w:r>
          </w:p>
        </w:tc>
      </w:tr>
      <w:tr>
        <w:trPr>
          <w:trHeight w:val="251" w:hRule="exact"/>
        </w:trPr>
        <w:tc>
          <w:tcPr>
            <w:tcW w:w="2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28" w:type="dxa"/>
            <w:tcBorders>
              <w:top w:val="single" w:sz="4" w:space="0" w:color="000000"/>
              <w:left w:val="single" w:sz="13" w:space="0" w:color="D3D3D3"/>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 w:right="0"/>
              <w:jc w:val="center"/>
              <w:rPr>
                <w:rFonts w:ascii="Times New Roman" w:hAnsi="Times New Roman" w:cs="Times New Roman" w:eastAsia="Times New Roman" w:hint="default"/>
                <w:sz w:val="18"/>
                <w:szCs w:val="18"/>
              </w:rPr>
            </w:pPr>
            <w:r>
              <w:rPr>
                <w:rFonts w:ascii="Times New Roman"/>
                <w:sz w:val="18"/>
              </w:rPr>
              <w:t>188,665,289.66</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14,627,192.83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203,292,482.49</w:t>
            </w:r>
          </w:p>
        </w:tc>
      </w:tr>
      <w:tr>
        <w:trPr>
          <w:trHeight w:val="250" w:hRule="exact"/>
        </w:trPr>
        <w:tc>
          <w:tcPr>
            <w:tcW w:w="2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3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487,731,995.00</w:t>
            </w:r>
          </w:p>
        </w:tc>
        <w:tc>
          <w:tcPr>
            <w:tcW w:w="464"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Times New Roman" w:hAnsi="Times New Roman" w:cs="Times New Roman" w:eastAsia="Times New Roman" w:hint="default"/>
                <w:sz w:val="18"/>
                <w:szCs w:val="18"/>
              </w:rPr>
            </w:pPr>
            <w:r>
              <w:rPr>
                <w:rFonts w:ascii="Times New Roman"/>
                <w:sz w:val="18"/>
              </w:rPr>
              <w:t>-163,316,814.41</w:t>
            </w:r>
          </w:p>
        </w:tc>
        <w:tc>
          <w:tcPr>
            <w:tcW w:w="758"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-1,846,177.50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322,569,003.09</w:t>
            </w:r>
          </w:p>
        </w:tc>
      </w:tr>
      <w:tr>
        <w:trPr>
          <w:trHeight w:val="250" w:hRule="exact"/>
        </w:trPr>
        <w:tc>
          <w:tcPr>
            <w:tcW w:w="2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3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487,731,995.00</w:t>
            </w:r>
          </w:p>
        </w:tc>
        <w:tc>
          <w:tcPr>
            <w:tcW w:w="464"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487,731,995.00</w:t>
            </w:r>
          </w:p>
        </w:tc>
      </w:tr>
      <w:tr>
        <w:trPr>
          <w:trHeight w:val="491" w:hRule="exact"/>
        </w:trPr>
        <w:tc>
          <w:tcPr>
            <w:tcW w:w="2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before="1"/>
              <w:ind w:left="11"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 本</w:t>
            </w:r>
          </w:p>
        </w:tc>
        <w:tc>
          <w:tcPr>
            <w:tcW w:w="1328" w:type="dxa"/>
            <w:tcBorders>
              <w:top w:val="single" w:sz="4" w:space="0" w:color="000000"/>
              <w:left w:val="single" w:sz="13" w:space="0" w:color="D3D3D3"/>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2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1"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 金额</w:t>
            </w:r>
          </w:p>
        </w:tc>
        <w:tc>
          <w:tcPr>
            <w:tcW w:w="1328" w:type="dxa"/>
            <w:tcBorders>
              <w:top w:val="single" w:sz="4" w:space="0" w:color="000000"/>
              <w:left w:val="single" w:sz="13" w:space="0" w:color="D3D3D3"/>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28" w:type="dxa"/>
            <w:tcBorders>
              <w:top w:val="single" w:sz="4" w:space="0" w:color="000000"/>
              <w:left w:val="single" w:sz="13" w:space="0" w:color="D3D3D3"/>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Times New Roman" w:hAnsi="Times New Roman" w:cs="Times New Roman" w:eastAsia="Times New Roman" w:hint="default"/>
                <w:sz w:val="18"/>
                <w:szCs w:val="18"/>
              </w:rPr>
            </w:pPr>
            <w:r>
              <w:rPr>
                <w:rFonts w:ascii="Times New Roman"/>
                <w:sz w:val="18"/>
              </w:rPr>
              <w:t>-163,316,814.41</w:t>
            </w:r>
          </w:p>
        </w:tc>
        <w:tc>
          <w:tcPr>
            <w:tcW w:w="758"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-1,846,177.50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-165,162,991.91</w:t>
            </w:r>
          </w:p>
        </w:tc>
      </w:tr>
      <w:tr>
        <w:trPr>
          <w:trHeight w:val="251" w:hRule="exact"/>
        </w:trPr>
        <w:tc>
          <w:tcPr>
            <w:tcW w:w="2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28" w:type="dxa"/>
            <w:tcBorders>
              <w:top w:val="single" w:sz="4" w:space="0" w:color="000000"/>
              <w:left w:val="single" w:sz="13" w:space="0" w:color="D3D3D3"/>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4" w:right="0"/>
              <w:jc w:val="left"/>
              <w:rPr>
                <w:rFonts w:ascii="Times New Roman" w:hAnsi="Times New Roman" w:cs="Times New Roman" w:eastAsia="Times New Roman" w:hint="default"/>
                <w:sz w:val="18"/>
                <w:szCs w:val="18"/>
              </w:rPr>
            </w:pPr>
            <w:r>
              <w:rPr>
                <w:rFonts w:ascii="Times New Roman"/>
                <w:sz w:val="18"/>
              </w:rPr>
              <w:t>18,510,131.09</w:t>
            </w:r>
          </w:p>
        </w:tc>
        <w:tc>
          <w:tcPr>
            <w:tcW w:w="80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2" w:right="0"/>
              <w:jc w:val="center"/>
              <w:rPr>
                <w:rFonts w:ascii="Times New Roman" w:hAnsi="Times New Roman" w:cs="Times New Roman" w:eastAsia="Times New Roman" w:hint="default"/>
                <w:sz w:val="18"/>
                <w:szCs w:val="18"/>
              </w:rPr>
            </w:pPr>
            <w:r>
              <w:rPr>
                <w:rFonts w:ascii="Times New Roman"/>
                <w:sz w:val="18"/>
              </w:rPr>
              <w:t>-18,510,131.09</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z w:val="18"/>
              </w:rPr>
              <w:t>-367,043.87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z w:val="18"/>
              </w:rPr>
              <w:t>-367,043.87</w:t>
            </w:r>
          </w:p>
        </w:tc>
      </w:tr>
      <w:tr>
        <w:trPr>
          <w:trHeight w:val="250" w:hRule="exact"/>
        </w:trPr>
        <w:tc>
          <w:tcPr>
            <w:tcW w:w="2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28" w:type="dxa"/>
            <w:tcBorders>
              <w:top w:val="single" w:sz="4" w:space="0" w:color="000000"/>
              <w:left w:val="single" w:sz="13" w:space="0" w:color="D3D3D3"/>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4" w:right="0"/>
              <w:jc w:val="left"/>
              <w:rPr>
                <w:rFonts w:ascii="Times New Roman" w:hAnsi="Times New Roman" w:cs="Times New Roman" w:eastAsia="Times New Roman" w:hint="default"/>
                <w:sz w:val="18"/>
                <w:szCs w:val="18"/>
              </w:rPr>
            </w:pPr>
            <w:r>
              <w:rPr>
                <w:rFonts w:ascii="Times New Roman"/>
                <w:sz w:val="18"/>
              </w:rPr>
              <w:t>18,510,131.09</w:t>
            </w:r>
          </w:p>
        </w:tc>
        <w:tc>
          <w:tcPr>
            <w:tcW w:w="80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2" w:right="0"/>
              <w:jc w:val="center"/>
              <w:rPr>
                <w:rFonts w:ascii="Times New Roman" w:hAnsi="Times New Roman" w:cs="Times New Roman" w:eastAsia="Times New Roman" w:hint="default"/>
                <w:sz w:val="18"/>
                <w:szCs w:val="18"/>
              </w:rPr>
            </w:pPr>
            <w:r>
              <w:rPr>
                <w:rFonts w:ascii="Times New Roman"/>
                <w:sz w:val="18"/>
              </w:rPr>
              <w:t>-18,510,131.09</w:t>
            </w:r>
          </w:p>
        </w:tc>
        <w:tc>
          <w:tcPr>
            <w:tcW w:w="11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328" w:type="dxa"/>
            <w:tcBorders>
              <w:top w:val="single" w:sz="4" w:space="0" w:color="000000"/>
              <w:left w:val="single" w:sz="13" w:space="0" w:color="D3D3D3"/>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328" w:type="dxa"/>
            <w:tcBorders>
              <w:top w:val="single" w:sz="4" w:space="0" w:color="000000"/>
              <w:left w:val="single" w:sz="13" w:space="0" w:color="D3D3D3"/>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z w:val="18"/>
              </w:rPr>
              <w:t>-367,043.87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z w:val="18"/>
              </w:rPr>
              <w:t>-367,043.87</w:t>
            </w:r>
          </w:p>
        </w:tc>
      </w:tr>
      <w:tr>
        <w:trPr>
          <w:trHeight w:val="250" w:hRule="exact"/>
        </w:trPr>
        <w:tc>
          <w:tcPr>
            <w:tcW w:w="2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28" w:type="dxa"/>
            <w:tcBorders>
              <w:top w:val="single" w:sz="4" w:space="0" w:color="000000"/>
              <w:left w:val="single" w:sz="13" w:space="0" w:color="D3D3D3"/>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28" w:type="dxa"/>
            <w:tcBorders>
              <w:top w:val="single" w:sz="4" w:space="0" w:color="000000"/>
              <w:left w:val="single" w:sz="13" w:space="0" w:color="D3D3D3"/>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．资本公积转增资本（或股本</w:t>
            </w:r>
          </w:p>
        </w:tc>
        <w:tc>
          <w:tcPr>
            <w:tcW w:w="1328" w:type="dxa"/>
            <w:tcBorders>
              <w:top w:val="single" w:sz="4" w:space="0" w:color="000000"/>
              <w:left w:val="single" w:sz="13" w:space="0" w:color="D3D3D3"/>
              <w:bottom w:val="single" w:sz="4" w:space="0" w:color="000000"/>
              <w:right w:val="single" w:sz="4" w:space="0" w:color="000000"/>
            </w:tcBorders>
          </w:tcPr>
          <w:p>
            <w:pPr>
              <w:pStyle w:val="TableParagraph"/>
              <w:spacing w:line="219"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464"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．盈余公积转增资本（或股本</w:t>
            </w:r>
          </w:p>
        </w:tc>
        <w:tc>
          <w:tcPr>
            <w:tcW w:w="1328" w:type="dxa"/>
            <w:tcBorders>
              <w:top w:val="single" w:sz="4" w:space="0" w:color="000000"/>
              <w:left w:val="single" w:sz="13" w:space="0" w:color="D3D3D3"/>
              <w:bottom w:val="single" w:sz="4" w:space="0" w:color="000000"/>
              <w:right w:val="single" w:sz="4" w:space="0" w:color="000000"/>
            </w:tcBorders>
          </w:tcPr>
          <w:p>
            <w:pPr>
              <w:pStyle w:val="TableParagraph"/>
              <w:spacing w:line="217"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464"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28" w:type="dxa"/>
            <w:tcBorders>
              <w:top w:val="single" w:sz="4" w:space="0" w:color="000000"/>
              <w:left w:val="single" w:sz="13" w:space="0" w:color="D3D3D3"/>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28" w:type="dxa"/>
            <w:tcBorders>
              <w:top w:val="single" w:sz="4" w:space="0" w:color="000000"/>
              <w:left w:val="single" w:sz="13" w:space="0" w:color="D3D3D3"/>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28" w:type="dxa"/>
            <w:tcBorders>
              <w:top w:val="single" w:sz="4" w:space="0" w:color="000000"/>
              <w:left w:val="single" w:sz="13" w:space="0" w:color="D3D3D3"/>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28" w:type="dxa"/>
            <w:tcBorders>
              <w:top w:val="single" w:sz="4" w:space="0" w:color="000000"/>
              <w:left w:val="single" w:sz="13" w:space="0" w:color="D3D3D3"/>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28" w:type="dxa"/>
            <w:tcBorders>
              <w:top w:val="single" w:sz="4" w:space="0" w:color="000000"/>
              <w:left w:val="single" w:sz="13" w:space="0" w:color="D3D3D3"/>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28" w:type="dxa"/>
            <w:tcBorders>
              <w:top w:val="single" w:sz="4" w:space="0" w:color="000000"/>
              <w:left w:val="single" w:sz="13" w:space="0" w:color="D3D3D3"/>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2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1,017,698,410.00</w:t>
            </w:r>
          </w:p>
        </w:tc>
        <w:tc>
          <w:tcPr>
            <w:tcW w:w="464"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Times New Roman" w:hAnsi="Times New Roman" w:cs="Times New Roman" w:eastAsia="Times New Roman" w:hint="default"/>
                <w:sz w:val="18"/>
                <w:szCs w:val="18"/>
              </w:rPr>
            </w:pPr>
            <w:r>
              <w:rPr>
                <w:rFonts w:ascii="Times New Roman"/>
                <w:sz w:val="18"/>
              </w:rPr>
              <w:t>-234,762,836.82</w:t>
            </w:r>
          </w:p>
        </w:tc>
        <w:tc>
          <w:tcPr>
            <w:tcW w:w="758" w:type="dxa"/>
            <w:tcBorders>
              <w:top w:val="single" w:sz="4" w:space="0" w:color="000000"/>
              <w:left w:val="single" w:sz="4" w:space="0" w:color="000000"/>
              <w:bottom w:val="single" w:sz="4" w:space="0" w:color="000000"/>
              <w:right w:val="single" w:sz="4" w:space="0" w:color="000000"/>
            </w:tcBorders>
          </w:tcPr>
          <w:p>
            <w:pPr/>
          </w:p>
        </w:tc>
        <w:tc>
          <w:tcPr>
            <w:tcW w:w="805"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4" w:right="0"/>
              <w:jc w:val="left"/>
              <w:rPr>
                <w:rFonts w:ascii="Times New Roman" w:hAnsi="Times New Roman" w:cs="Times New Roman" w:eastAsia="Times New Roman" w:hint="default"/>
                <w:sz w:val="18"/>
                <w:szCs w:val="18"/>
              </w:rPr>
            </w:pPr>
            <w:r>
              <w:rPr>
                <w:rFonts w:ascii="Times New Roman"/>
                <w:sz w:val="18"/>
              </w:rPr>
              <w:t>50,425,366.04</w:t>
            </w:r>
          </w:p>
        </w:tc>
        <w:tc>
          <w:tcPr>
            <w:tcW w:w="806"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Times New Roman" w:hAnsi="Times New Roman" w:cs="Times New Roman" w:eastAsia="Times New Roman" w:hint="default"/>
                <w:sz w:val="18"/>
                <w:szCs w:val="18"/>
              </w:rPr>
            </w:pPr>
            <w:r>
              <w:rPr>
                <w:rFonts w:ascii="Times New Roman"/>
                <w:sz w:val="18"/>
              </w:rPr>
              <w:t>428,402,403.86</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63,135,257.32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1,324,898,600.40</w:t>
            </w:r>
          </w:p>
        </w:tc>
      </w:tr>
    </w:tbl>
    <w:p>
      <w:pPr>
        <w:spacing w:after="0" w:line="240" w:lineRule="auto"/>
        <w:jc w:val="right"/>
        <w:rPr>
          <w:rFonts w:ascii="Times New Roman" w:hAnsi="Times New Roman" w:cs="Times New Roman" w:eastAsia="Times New Roman" w:hint="default"/>
          <w:sz w:val="18"/>
          <w:szCs w:val="18"/>
        </w:rPr>
        <w:sectPr>
          <w:headerReference w:type="default" r:id="rId29"/>
          <w:pgSz w:w="16840" w:h="11910" w:orient="landscape"/>
          <w:pgMar w:header="736" w:footer="480" w:top="1000" w:bottom="680" w:left="1300" w:right="1280"/>
        </w:sectPr>
      </w:pPr>
    </w:p>
    <w:p>
      <w:pPr>
        <w:spacing w:line="240" w:lineRule="auto" w:before="11"/>
        <w:rPr>
          <w:rFonts w:ascii="宋体" w:hAnsi="宋体" w:cs="宋体" w:eastAsia="宋体" w:hint="default"/>
          <w:sz w:val="6"/>
          <w:szCs w:val="6"/>
        </w:rPr>
      </w:pPr>
      <w:r>
        <w:rPr/>
        <w:pict>
          <v:group style="position:absolute;margin-left:242.871002pt;margin-top:234.509995pt;width:64.1500pt;height:13.15pt;mso-position-horizontal-relative:page;mso-position-vertical-relative:page;z-index:-1259752" coordorigin="4857,4690" coordsize="1283,263">
            <v:group style="position:absolute;left:4869;top:4702;width:2;height:240" coordorigin="4869,4702" coordsize="2,240">
              <v:shape style="position:absolute;left:4869;top:4702;width:2;height:240" coordorigin="4869,4702" coordsize="0,240" path="m4869,4702l4869,4942e" filled="false" stroked="true" strokeweight="1.140pt" strokecolor="#ffffff">
                <v:path arrowok="t"/>
              </v:shape>
            </v:group>
            <v:group style="position:absolute;left:4880;top:4702;width:1260;height:240" coordorigin="4880,4702" coordsize="1260,240">
              <v:shape style="position:absolute;left:4880;top:4702;width:1260;height:240" coordorigin="4880,4702" coordsize="1260,240" path="m4880,4702l4880,4942,6140,4942,6140,4702,4880,4702xe" filled="true" fillcolor="#ffffff" stroked="false">
                <v:path arrowok="t"/>
                <v:fill type="solid"/>
              </v:shape>
            </v:group>
            <w10:wrap type="none"/>
          </v:group>
        </w:pict>
      </w: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before="0"/>
        <w:ind w:left="139"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39"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3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418"/>
        <w:gridCol w:w="1328"/>
        <w:gridCol w:w="572"/>
        <w:gridCol w:w="572"/>
        <w:gridCol w:w="406"/>
        <w:gridCol w:w="1315"/>
        <w:gridCol w:w="923"/>
        <w:gridCol w:w="1079"/>
        <w:gridCol w:w="742"/>
        <w:gridCol w:w="1091"/>
        <w:gridCol w:w="1241"/>
        <w:gridCol w:w="1316"/>
      </w:tblGrid>
      <w:tr>
        <w:trPr>
          <w:trHeight w:val="250" w:hRule="exact"/>
        </w:trPr>
        <w:tc>
          <w:tcPr>
            <w:tcW w:w="3418" w:type="dxa"/>
            <w:vMerge w:val="restart"/>
            <w:tcBorders>
              <w:top w:val="single" w:sz="4" w:space="0" w:color="000000"/>
              <w:left w:val="single" w:sz="4" w:space="0" w:color="000000"/>
              <w:right w:val="single" w:sz="4" w:space="0" w:color="000000"/>
            </w:tcBorders>
            <w:shd w:val="clear" w:color="auto" w:fill="D3D3D3"/>
          </w:tcPr>
          <w:p>
            <w:pPr/>
          </w:p>
        </w:tc>
        <w:tc>
          <w:tcPr>
            <w:tcW w:w="10585"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128" w:hRule="exact"/>
        </w:trPr>
        <w:tc>
          <w:tcPr>
            <w:tcW w:w="3418" w:type="dxa"/>
            <w:vMerge/>
            <w:tcBorders>
              <w:left w:val="single" w:sz="4" w:space="0" w:color="000000"/>
              <w:bottom w:val="nil" w:sz="6" w:space="0" w:color="auto"/>
              <w:right w:val="single" w:sz="4" w:space="0" w:color="000000"/>
            </w:tcBorders>
            <w:shd w:val="clear" w:color="auto" w:fill="D3D3D3"/>
          </w:tcPr>
          <w:p>
            <w:pPr/>
          </w:p>
        </w:tc>
        <w:tc>
          <w:tcPr>
            <w:tcW w:w="1328" w:type="dxa"/>
            <w:vMerge w:val="restart"/>
            <w:tcBorders>
              <w:top w:val="single" w:sz="4" w:space="0" w:color="000000"/>
              <w:left w:val="single" w:sz="4" w:space="0" w:color="000000"/>
              <w:right w:val="single" w:sz="4" w:space="0" w:color="000000"/>
            </w:tcBorders>
            <w:shd w:val="clear" w:color="auto" w:fill="D3D3D3"/>
          </w:tcPr>
          <w:p>
            <w:pPr/>
          </w:p>
        </w:tc>
        <w:tc>
          <w:tcPr>
            <w:tcW w:w="1550"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17" w:lineRule="exact"/>
              <w:ind w:left="22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5" w:type="dxa"/>
            <w:vMerge w:val="restart"/>
            <w:tcBorders>
              <w:top w:val="single" w:sz="4" w:space="0" w:color="000000"/>
              <w:left w:val="single" w:sz="4" w:space="0" w:color="000000"/>
              <w:right w:val="single" w:sz="4" w:space="0" w:color="000000"/>
            </w:tcBorders>
            <w:shd w:val="clear" w:color="auto" w:fill="D3D3D3"/>
          </w:tcPr>
          <w:p>
            <w:pPr/>
          </w:p>
        </w:tc>
        <w:tc>
          <w:tcPr>
            <w:tcW w:w="923" w:type="dxa"/>
            <w:vMerge w:val="restart"/>
            <w:tcBorders>
              <w:top w:val="single" w:sz="4" w:space="0" w:color="000000"/>
              <w:left w:val="single" w:sz="4" w:space="0" w:color="000000"/>
              <w:right w:val="single" w:sz="4" w:space="0" w:color="000000"/>
            </w:tcBorders>
            <w:shd w:val="clear" w:color="auto" w:fill="D3D3D3"/>
          </w:tcPr>
          <w:p>
            <w:pPr/>
          </w:p>
        </w:tc>
        <w:tc>
          <w:tcPr>
            <w:tcW w:w="1079" w:type="dxa"/>
            <w:tcBorders>
              <w:top w:val="single" w:sz="4" w:space="0" w:color="000000"/>
              <w:left w:val="single" w:sz="4" w:space="0" w:color="000000"/>
              <w:bottom w:val="nil" w:sz="6" w:space="0" w:color="auto"/>
              <w:right w:val="single" w:sz="4" w:space="0" w:color="000000"/>
            </w:tcBorders>
            <w:shd w:val="clear" w:color="auto" w:fill="D3D3D3"/>
          </w:tcPr>
          <w:p>
            <w:pPr/>
          </w:p>
        </w:tc>
        <w:tc>
          <w:tcPr>
            <w:tcW w:w="742" w:type="dxa"/>
            <w:tcBorders>
              <w:top w:val="single" w:sz="4" w:space="0" w:color="000000"/>
              <w:left w:val="single" w:sz="4" w:space="0" w:color="000000"/>
              <w:bottom w:val="nil" w:sz="6" w:space="0" w:color="auto"/>
              <w:right w:val="single" w:sz="4" w:space="0" w:color="000000"/>
            </w:tcBorders>
            <w:shd w:val="clear" w:color="auto" w:fill="D3D3D3"/>
          </w:tcPr>
          <w:p>
            <w:pPr/>
          </w:p>
        </w:tc>
        <w:tc>
          <w:tcPr>
            <w:tcW w:w="1091" w:type="dxa"/>
            <w:vMerge w:val="restart"/>
            <w:tcBorders>
              <w:top w:val="single" w:sz="4" w:space="0" w:color="000000"/>
              <w:left w:val="single" w:sz="4" w:space="0" w:color="000000"/>
              <w:right w:val="single" w:sz="4" w:space="0" w:color="000000"/>
            </w:tcBorders>
            <w:shd w:val="clear" w:color="auto" w:fill="D3D3D3"/>
          </w:tcPr>
          <w:p>
            <w:pPr/>
          </w:p>
        </w:tc>
        <w:tc>
          <w:tcPr>
            <w:tcW w:w="1241" w:type="dxa"/>
            <w:vMerge w:val="restart"/>
            <w:tcBorders>
              <w:top w:val="single" w:sz="4" w:space="0" w:color="000000"/>
              <w:left w:val="single" w:sz="4" w:space="0" w:color="000000"/>
              <w:right w:val="single" w:sz="4" w:space="0" w:color="000000"/>
            </w:tcBorders>
            <w:shd w:val="clear" w:color="auto" w:fill="D3D3D3"/>
          </w:tcPr>
          <w:p>
            <w:pPr/>
          </w:p>
        </w:tc>
        <w:tc>
          <w:tcPr>
            <w:tcW w:w="1316" w:type="dxa"/>
            <w:vMerge w:val="restart"/>
            <w:tcBorders>
              <w:top w:val="single" w:sz="4" w:space="0" w:color="000000"/>
              <w:left w:val="single" w:sz="4" w:space="0" w:color="000000"/>
              <w:right w:val="single" w:sz="4" w:space="0" w:color="000000"/>
            </w:tcBorders>
            <w:shd w:val="clear" w:color="auto" w:fill="D3D3D3"/>
          </w:tcPr>
          <w:p>
            <w:pPr/>
          </w:p>
        </w:tc>
      </w:tr>
      <w:tr>
        <w:trPr>
          <w:trHeight w:val="122" w:hRule="exact"/>
        </w:trPr>
        <w:tc>
          <w:tcPr>
            <w:tcW w:w="3418" w:type="dxa"/>
            <w:vMerge w:val="restart"/>
            <w:tcBorders>
              <w:top w:val="nil" w:sz="6" w:space="0" w:color="auto"/>
              <w:left w:val="single" w:sz="4" w:space="0" w:color="000000"/>
              <w:right w:val="single" w:sz="4" w:space="0" w:color="000000"/>
            </w:tcBorders>
            <w:shd w:val="clear" w:color="auto" w:fill="D3D3D3"/>
          </w:tcPr>
          <w:p>
            <w:pPr>
              <w:pStyle w:val="TableParagraph"/>
              <w:spacing w:line="214"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28" w:type="dxa"/>
            <w:vMerge/>
            <w:tcBorders>
              <w:left w:val="single" w:sz="4" w:space="0" w:color="000000"/>
              <w:bottom w:val="nil" w:sz="6" w:space="0" w:color="auto"/>
              <w:right w:val="single" w:sz="4" w:space="0" w:color="000000"/>
            </w:tcBorders>
            <w:shd w:val="clear" w:color="auto" w:fill="D3D3D3"/>
          </w:tcPr>
          <w:p>
            <w:pPr/>
          </w:p>
        </w:tc>
        <w:tc>
          <w:tcPr>
            <w:tcW w:w="1550" w:type="dxa"/>
            <w:gridSpan w:val="3"/>
            <w:vMerge/>
            <w:tcBorders>
              <w:left w:val="single" w:sz="4" w:space="0" w:color="000000"/>
              <w:bottom w:val="single" w:sz="4" w:space="0" w:color="000000"/>
              <w:right w:val="single" w:sz="4" w:space="0" w:color="000000"/>
            </w:tcBorders>
            <w:shd w:val="clear" w:color="auto" w:fill="D3D3D3"/>
          </w:tcPr>
          <w:p>
            <w:pPr/>
          </w:p>
        </w:tc>
        <w:tc>
          <w:tcPr>
            <w:tcW w:w="1315" w:type="dxa"/>
            <w:vMerge/>
            <w:tcBorders>
              <w:left w:val="single" w:sz="4" w:space="0" w:color="000000"/>
              <w:bottom w:val="nil" w:sz="6" w:space="0" w:color="auto"/>
              <w:right w:val="single" w:sz="4" w:space="0" w:color="000000"/>
            </w:tcBorders>
            <w:shd w:val="clear" w:color="auto" w:fill="D3D3D3"/>
          </w:tcPr>
          <w:p>
            <w:pPr/>
          </w:p>
        </w:tc>
        <w:tc>
          <w:tcPr>
            <w:tcW w:w="923" w:type="dxa"/>
            <w:vMerge/>
            <w:tcBorders>
              <w:left w:val="single" w:sz="4" w:space="0" w:color="000000"/>
              <w:bottom w:val="nil" w:sz="6" w:space="0" w:color="auto"/>
              <w:right w:val="single" w:sz="4" w:space="0" w:color="000000"/>
            </w:tcBorders>
            <w:shd w:val="clear" w:color="auto" w:fill="D3D3D3"/>
          </w:tcPr>
          <w:p>
            <w:pPr/>
          </w:p>
        </w:tc>
        <w:tc>
          <w:tcPr>
            <w:tcW w:w="107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exact" w:before="3"/>
              <w:ind w:left="444" w:right="83"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74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exact" w:before="3"/>
              <w:ind w:left="276" w:right="94"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91" w:type="dxa"/>
            <w:vMerge/>
            <w:tcBorders>
              <w:left w:val="single" w:sz="4" w:space="0" w:color="000000"/>
              <w:bottom w:val="nil" w:sz="6" w:space="0" w:color="auto"/>
              <w:right w:val="single" w:sz="4" w:space="0" w:color="000000"/>
            </w:tcBorders>
            <w:shd w:val="clear" w:color="auto" w:fill="D3D3D3"/>
          </w:tcPr>
          <w:p>
            <w:pPr/>
          </w:p>
        </w:tc>
        <w:tc>
          <w:tcPr>
            <w:tcW w:w="1241" w:type="dxa"/>
            <w:vMerge/>
            <w:tcBorders>
              <w:left w:val="single" w:sz="4" w:space="0" w:color="000000"/>
              <w:bottom w:val="nil" w:sz="6" w:space="0" w:color="auto"/>
              <w:right w:val="single" w:sz="4" w:space="0" w:color="000000"/>
            </w:tcBorders>
            <w:shd w:val="clear" w:color="auto" w:fill="D3D3D3"/>
          </w:tcPr>
          <w:p>
            <w:pPr/>
          </w:p>
        </w:tc>
        <w:tc>
          <w:tcPr>
            <w:tcW w:w="1316" w:type="dxa"/>
            <w:vMerge/>
            <w:tcBorders>
              <w:left w:val="single" w:sz="4" w:space="0" w:color="000000"/>
              <w:bottom w:val="nil" w:sz="6" w:space="0" w:color="auto"/>
              <w:right w:val="single" w:sz="4" w:space="0" w:color="000000"/>
            </w:tcBorders>
            <w:shd w:val="clear" w:color="auto" w:fill="D3D3D3"/>
          </w:tcPr>
          <w:p>
            <w:pPr/>
          </w:p>
        </w:tc>
      </w:tr>
      <w:tr>
        <w:trPr>
          <w:trHeight w:val="115" w:hRule="exact"/>
        </w:trPr>
        <w:tc>
          <w:tcPr>
            <w:tcW w:w="3418" w:type="dxa"/>
            <w:vMerge/>
            <w:tcBorders>
              <w:left w:val="single" w:sz="4" w:space="0" w:color="000000"/>
              <w:bottom w:val="nil" w:sz="6" w:space="0" w:color="auto"/>
              <w:right w:val="single" w:sz="4" w:space="0" w:color="000000"/>
            </w:tcBorders>
            <w:shd w:val="clear" w:color="auto" w:fill="D3D3D3"/>
          </w:tcPr>
          <w:p>
            <w:pPr/>
          </w:p>
        </w:tc>
        <w:tc>
          <w:tcPr>
            <w:tcW w:w="1328" w:type="dxa"/>
            <w:vMerge w:val="restart"/>
            <w:tcBorders>
              <w:top w:val="nil" w:sz="6" w:space="0" w:color="auto"/>
              <w:left w:val="single" w:sz="4" w:space="0" w:color="000000"/>
              <w:right w:val="single" w:sz="4" w:space="0" w:color="000000"/>
            </w:tcBorders>
            <w:shd w:val="clear" w:color="auto" w:fill="D3D3D3"/>
          </w:tcPr>
          <w:p>
            <w:pPr>
              <w:pStyle w:val="TableParagraph"/>
              <w:spacing w:line="218" w:lineRule="exact"/>
              <w:ind w:left="10"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ind w:left="190" w:right="100"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ind w:left="190" w:right="100"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0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ind w:left="106" w:right="107"/>
              <w:jc w:val="left"/>
              <w:rPr>
                <w:rFonts w:ascii="宋体" w:hAnsi="宋体" w:cs="宋体" w:eastAsia="宋体" w:hint="default"/>
                <w:sz w:val="18"/>
                <w:szCs w:val="18"/>
              </w:rPr>
            </w:pPr>
            <w:r>
              <w:rPr>
                <w:rFonts w:ascii="宋体" w:hAnsi="宋体" w:cs="宋体" w:eastAsia="宋体" w:hint="default"/>
                <w:sz w:val="18"/>
                <w:szCs w:val="18"/>
              </w:rPr>
              <w:t>其 他</w:t>
            </w:r>
          </w:p>
        </w:tc>
        <w:tc>
          <w:tcPr>
            <w:tcW w:w="1315" w:type="dxa"/>
            <w:vMerge w:val="restart"/>
            <w:tcBorders>
              <w:top w:val="nil" w:sz="6" w:space="0" w:color="auto"/>
              <w:left w:val="single" w:sz="4" w:space="0" w:color="000000"/>
              <w:right w:val="single" w:sz="4" w:space="0" w:color="000000"/>
            </w:tcBorders>
            <w:shd w:val="clear" w:color="auto" w:fill="D3D3D3"/>
          </w:tcPr>
          <w:p>
            <w:pPr>
              <w:pStyle w:val="TableParagraph"/>
              <w:spacing w:line="218" w:lineRule="exact"/>
              <w:ind w:left="29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23" w:type="dxa"/>
            <w:vMerge w:val="restart"/>
            <w:tcBorders>
              <w:top w:val="nil" w:sz="6" w:space="0" w:color="auto"/>
              <w:left w:val="single" w:sz="4" w:space="0" w:color="000000"/>
              <w:right w:val="single" w:sz="4" w:space="0" w:color="000000"/>
            </w:tcBorders>
            <w:shd w:val="clear" w:color="auto" w:fill="D3D3D3"/>
          </w:tcPr>
          <w:p>
            <w:pPr>
              <w:pStyle w:val="TableParagraph"/>
              <w:spacing w:line="218" w:lineRule="exact"/>
              <w:ind w:left="22" w:right="0"/>
              <w:jc w:val="left"/>
              <w:rPr>
                <w:rFonts w:ascii="宋体" w:hAnsi="宋体" w:cs="宋体" w:eastAsia="宋体" w:hint="default"/>
                <w:sz w:val="18"/>
                <w:szCs w:val="18"/>
              </w:rPr>
            </w:pPr>
            <w:r>
              <w:rPr>
                <w:rFonts w:ascii="宋体" w:hAnsi="宋体" w:cs="宋体" w:eastAsia="宋体" w:hint="default"/>
                <w:spacing w:val="-7"/>
                <w:sz w:val="18"/>
                <w:szCs w:val="18"/>
              </w:rPr>
              <w:t>减：库存股</w:t>
            </w:r>
          </w:p>
        </w:tc>
        <w:tc>
          <w:tcPr>
            <w:tcW w:w="1079" w:type="dxa"/>
            <w:vMerge/>
            <w:tcBorders>
              <w:left w:val="single" w:sz="4" w:space="0" w:color="000000"/>
              <w:right w:val="single" w:sz="4" w:space="0" w:color="000000"/>
            </w:tcBorders>
            <w:shd w:val="clear" w:color="auto" w:fill="D3D3D3"/>
          </w:tcPr>
          <w:p>
            <w:pPr/>
          </w:p>
        </w:tc>
        <w:tc>
          <w:tcPr>
            <w:tcW w:w="742" w:type="dxa"/>
            <w:vMerge/>
            <w:tcBorders>
              <w:left w:val="single" w:sz="4" w:space="0" w:color="000000"/>
              <w:right w:val="single" w:sz="4" w:space="0" w:color="000000"/>
            </w:tcBorders>
            <w:shd w:val="clear" w:color="auto" w:fill="D3D3D3"/>
          </w:tcPr>
          <w:p>
            <w:pPr/>
          </w:p>
        </w:tc>
        <w:tc>
          <w:tcPr>
            <w:tcW w:w="1091" w:type="dxa"/>
            <w:vMerge w:val="restart"/>
            <w:tcBorders>
              <w:top w:val="nil" w:sz="6" w:space="0" w:color="auto"/>
              <w:left w:val="single" w:sz="4" w:space="0" w:color="000000"/>
              <w:right w:val="single" w:sz="4" w:space="0" w:color="000000"/>
            </w:tcBorders>
            <w:shd w:val="clear" w:color="auto" w:fill="D3D3D3"/>
          </w:tcPr>
          <w:p>
            <w:pPr>
              <w:pStyle w:val="TableParagraph"/>
              <w:spacing w:line="218" w:lineRule="exact"/>
              <w:ind w:left="1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41" w:type="dxa"/>
            <w:vMerge w:val="restart"/>
            <w:tcBorders>
              <w:top w:val="nil" w:sz="6" w:space="0" w:color="auto"/>
              <w:left w:val="single" w:sz="4" w:space="0" w:color="000000"/>
              <w:right w:val="single" w:sz="4" w:space="0" w:color="000000"/>
            </w:tcBorders>
            <w:shd w:val="clear" w:color="auto" w:fill="D3D3D3"/>
          </w:tcPr>
          <w:p>
            <w:pPr>
              <w:pStyle w:val="TableParagraph"/>
              <w:spacing w:line="218" w:lineRule="exact"/>
              <w:ind w:left="16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6" w:type="dxa"/>
            <w:vMerge w:val="restart"/>
            <w:tcBorders>
              <w:top w:val="nil" w:sz="6" w:space="0" w:color="auto"/>
              <w:left w:val="single" w:sz="4" w:space="0" w:color="000000"/>
              <w:right w:val="single" w:sz="4" w:space="0" w:color="000000"/>
            </w:tcBorders>
            <w:shd w:val="clear" w:color="auto" w:fill="D3D3D3"/>
          </w:tcPr>
          <w:p>
            <w:pPr>
              <w:pStyle w:val="TableParagraph"/>
              <w:spacing w:line="218" w:lineRule="exact"/>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26" w:hRule="exact"/>
        </w:trPr>
        <w:tc>
          <w:tcPr>
            <w:tcW w:w="3418" w:type="dxa"/>
            <w:vMerge w:val="restart"/>
            <w:tcBorders>
              <w:top w:val="nil" w:sz="6" w:space="0" w:color="auto"/>
              <w:left w:val="single" w:sz="4" w:space="0" w:color="000000"/>
              <w:right w:val="single" w:sz="4" w:space="0" w:color="000000"/>
            </w:tcBorders>
            <w:shd w:val="clear" w:color="auto" w:fill="D3D3D3"/>
          </w:tcPr>
          <w:p>
            <w:pPr/>
          </w:p>
        </w:tc>
        <w:tc>
          <w:tcPr>
            <w:tcW w:w="1328" w:type="dxa"/>
            <w:vMerge/>
            <w:tcBorders>
              <w:left w:val="single" w:sz="4" w:space="0" w:color="000000"/>
              <w:bottom w:val="nil" w:sz="6" w:space="0" w:color="auto"/>
              <w:right w:val="single" w:sz="4" w:space="0" w:color="000000"/>
            </w:tcBorders>
            <w:shd w:val="clear" w:color="auto" w:fill="D3D3D3"/>
          </w:tcPr>
          <w:p>
            <w:pPr/>
          </w:p>
        </w:tc>
        <w:tc>
          <w:tcPr>
            <w:tcW w:w="572" w:type="dxa"/>
            <w:vMerge/>
            <w:tcBorders>
              <w:left w:val="single" w:sz="4" w:space="0" w:color="000000"/>
              <w:right w:val="single" w:sz="4" w:space="0" w:color="000000"/>
            </w:tcBorders>
            <w:shd w:val="clear" w:color="auto" w:fill="D3D3D3"/>
          </w:tcPr>
          <w:p>
            <w:pPr/>
          </w:p>
        </w:tc>
        <w:tc>
          <w:tcPr>
            <w:tcW w:w="572" w:type="dxa"/>
            <w:vMerge/>
            <w:tcBorders>
              <w:left w:val="single" w:sz="4" w:space="0" w:color="000000"/>
              <w:right w:val="single" w:sz="4" w:space="0" w:color="000000"/>
            </w:tcBorders>
            <w:shd w:val="clear" w:color="auto" w:fill="D3D3D3"/>
          </w:tcPr>
          <w:p>
            <w:pPr/>
          </w:p>
        </w:tc>
        <w:tc>
          <w:tcPr>
            <w:tcW w:w="406" w:type="dxa"/>
            <w:vMerge/>
            <w:tcBorders>
              <w:left w:val="single" w:sz="4" w:space="0" w:color="000000"/>
              <w:right w:val="single" w:sz="4" w:space="0" w:color="000000"/>
            </w:tcBorders>
            <w:shd w:val="clear" w:color="auto" w:fill="D3D3D3"/>
          </w:tcPr>
          <w:p>
            <w:pPr/>
          </w:p>
        </w:tc>
        <w:tc>
          <w:tcPr>
            <w:tcW w:w="1315" w:type="dxa"/>
            <w:vMerge/>
            <w:tcBorders>
              <w:left w:val="single" w:sz="4" w:space="0" w:color="000000"/>
              <w:bottom w:val="nil" w:sz="6" w:space="0" w:color="auto"/>
              <w:right w:val="single" w:sz="4" w:space="0" w:color="000000"/>
            </w:tcBorders>
            <w:shd w:val="clear" w:color="auto" w:fill="D3D3D3"/>
          </w:tcPr>
          <w:p>
            <w:pPr/>
          </w:p>
        </w:tc>
        <w:tc>
          <w:tcPr>
            <w:tcW w:w="923" w:type="dxa"/>
            <w:vMerge/>
            <w:tcBorders>
              <w:left w:val="single" w:sz="4" w:space="0" w:color="000000"/>
              <w:bottom w:val="nil" w:sz="6" w:space="0" w:color="auto"/>
              <w:right w:val="single" w:sz="4" w:space="0" w:color="000000"/>
            </w:tcBorders>
            <w:shd w:val="clear" w:color="auto" w:fill="D3D3D3"/>
          </w:tcPr>
          <w:p>
            <w:pPr/>
          </w:p>
        </w:tc>
        <w:tc>
          <w:tcPr>
            <w:tcW w:w="1079" w:type="dxa"/>
            <w:vMerge/>
            <w:tcBorders>
              <w:left w:val="single" w:sz="4" w:space="0" w:color="000000"/>
              <w:right w:val="single" w:sz="4" w:space="0" w:color="000000"/>
            </w:tcBorders>
            <w:shd w:val="clear" w:color="auto" w:fill="D3D3D3"/>
          </w:tcPr>
          <w:p>
            <w:pPr/>
          </w:p>
        </w:tc>
        <w:tc>
          <w:tcPr>
            <w:tcW w:w="742" w:type="dxa"/>
            <w:vMerge/>
            <w:tcBorders>
              <w:left w:val="single" w:sz="4" w:space="0" w:color="000000"/>
              <w:right w:val="single" w:sz="4" w:space="0" w:color="000000"/>
            </w:tcBorders>
            <w:shd w:val="clear" w:color="auto" w:fill="D3D3D3"/>
          </w:tcPr>
          <w:p>
            <w:pPr/>
          </w:p>
        </w:tc>
        <w:tc>
          <w:tcPr>
            <w:tcW w:w="1091" w:type="dxa"/>
            <w:vMerge/>
            <w:tcBorders>
              <w:left w:val="single" w:sz="4" w:space="0" w:color="000000"/>
              <w:bottom w:val="nil" w:sz="6" w:space="0" w:color="auto"/>
              <w:right w:val="single" w:sz="4" w:space="0" w:color="000000"/>
            </w:tcBorders>
            <w:shd w:val="clear" w:color="auto" w:fill="D3D3D3"/>
          </w:tcPr>
          <w:p>
            <w:pPr/>
          </w:p>
        </w:tc>
        <w:tc>
          <w:tcPr>
            <w:tcW w:w="1241" w:type="dxa"/>
            <w:vMerge/>
            <w:tcBorders>
              <w:left w:val="single" w:sz="4" w:space="0" w:color="000000"/>
              <w:bottom w:val="nil" w:sz="6" w:space="0" w:color="auto"/>
              <w:right w:val="single" w:sz="4" w:space="0" w:color="000000"/>
            </w:tcBorders>
            <w:shd w:val="clear" w:color="auto" w:fill="D3D3D3"/>
          </w:tcPr>
          <w:p>
            <w:pPr/>
          </w:p>
        </w:tc>
        <w:tc>
          <w:tcPr>
            <w:tcW w:w="1316" w:type="dxa"/>
            <w:vMerge/>
            <w:tcBorders>
              <w:left w:val="single" w:sz="4" w:space="0" w:color="000000"/>
              <w:bottom w:val="nil" w:sz="6" w:space="0" w:color="auto"/>
              <w:right w:val="single" w:sz="4" w:space="0" w:color="000000"/>
            </w:tcBorders>
            <w:shd w:val="clear" w:color="auto" w:fill="D3D3D3"/>
          </w:tcPr>
          <w:p>
            <w:pPr/>
          </w:p>
        </w:tc>
      </w:tr>
      <w:tr>
        <w:trPr>
          <w:trHeight w:val="250" w:hRule="exact"/>
        </w:trPr>
        <w:tc>
          <w:tcPr>
            <w:tcW w:w="3418" w:type="dxa"/>
            <w:vMerge/>
            <w:tcBorders>
              <w:left w:val="single" w:sz="4" w:space="0" w:color="000000"/>
              <w:bottom w:val="single" w:sz="4" w:space="0" w:color="000000"/>
              <w:right w:val="single" w:sz="4" w:space="0" w:color="000000"/>
            </w:tcBorders>
            <w:shd w:val="clear" w:color="auto" w:fill="D3D3D3"/>
          </w:tcPr>
          <w:p>
            <w:pPr/>
          </w:p>
        </w:tc>
        <w:tc>
          <w:tcPr>
            <w:tcW w:w="1328" w:type="dxa"/>
            <w:tcBorders>
              <w:top w:val="nil" w:sz="6" w:space="0" w:color="auto"/>
              <w:left w:val="single" w:sz="4" w:space="0" w:color="000000"/>
              <w:bottom w:val="single" w:sz="4" w:space="0" w:color="000000"/>
              <w:right w:val="single" w:sz="4" w:space="0" w:color="000000"/>
            </w:tcBorders>
            <w:shd w:val="clear" w:color="auto" w:fill="D3D3D3"/>
          </w:tcPr>
          <w:p>
            <w:pPr/>
          </w:p>
        </w:tc>
        <w:tc>
          <w:tcPr>
            <w:tcW w:w="572" w:type="dxa"/>
            <w:vMerge/>
            <w:tcBorders>
              <w:left w:val="single" w:sz="4" w:space="0" w:color="000000"/>
              <w:bottom w:val="single" w:sz="4" w:space="0" w:color="000000"/>
              <w:right w:val="single" w:sz="4" w:space="0" w:color="000000"/>
            </w:tcBorders>
            <w:shd w:val="clear" w:color="auto" w:fill="D3D3D3"/>
          </w:tcPr>
          <w:p>
            <w:pPr/>
          </w:p>
        </w:tc>
        <w:tc>
          <w:tcPr>
            <w:tcW w:w="572" w:type="dxa"/>
            <w:vMerge/>
            <w:tcBorders>
              <w:left w:val="single" w:sz="4" w:space="0" w:color="000000"/>
              <w:bottom w:val="single" w:sz="4" w:space="0" w:color="000000"/>
              <w:right w:val="single" w:sz="4" w:space="0" w:color="000000"/>
            </w:tcBorders>
            <w:shd w:val="clear" w:color="auto" w:fill="D3D3D3"/>
          </w:tcPr>
          <w:p>
            <w:pPr/>
          </w:p>
        </w:tc>
        <w:tc>
          <w:tcPr>
            <w:tcW w:w="406" w:type="dxa"/>
            <w:vMerge/>
            <w:tcBorders>
              <w:left w:val="single" w:sz="4" w:space="0" w:color="000000"/>
              <w:bottom w:val="single" w:sz="4" w:space="0" w:color="000000"/>
              <w:right w:val="single" w:sz="4" w:space="0" w:color="000000"/>
            </w:tcBorders>
            <w:shd w:val="clear" w:color="auto" w:fill="D3D3D3"/>
          </w:tcPr>
          <w:p>
            <w:pPr/>
          </w:p>
        </w:tc>
        <w:tc>
          <w:tcPr>
            <w:tcW w:w="1315" w:type="dxa"/>
            <w:tcBorders>
              <w:top w:val="nil" w:sz="6" w:space="0" w:color="auto"/>
              <w:left w:val="single" w:sz="4" w:space="0" w:color="000000"/>
              <w:bottom w:val="single" w:sz="4" w:space="0" w:color="000000"/>
              <w:right w:val="single" w:sz="4" w:space="0" w:color="000000"/>
            </w:tcBorders>
            <w:shd w:val="clear" w:color="auto" w:fill="D3D3D3"/>
          </w:tcPr>
          <w:p>
            <w:pPr/>
          </w:p>
        </w:tc>
        <w:tc>
          <w:tcPr>
            <w:tcW w:w="923" w:type="dxa"/>
            <w:tcBorders>
              <w:top w:val="nil" w:sz="6" w:space="0" w:color="auto"/>
              <w:left w:val="single" w:sz="4" w:space="0" w:color="000000"/>
              <w:bottom w:val="single" w:sz="4" w:space="0" w:color="000000"/>
              <w:right w:val="single" w:sz="4" w:space="0" w:color="000000"/>
            </w:tcBorders>
            <w:shd w:val="clear" w:color="auto" w:fill="D3D3D3"/>
          </w:tcPr>
          <w:p>
            <w:pPr/>
          </w:p>
        </w:tc>
        <w:tc>
          <w:tcPr>
            <w:tcW w:w="1079" w:type="dxa"/>
            <w:vMerge/>
            <w:tcBorders>
              <w:left w:val="single" w:sz="4" w:space="0" w:color="000000"/>
              <w:bottom w:val="single" w:sz="4" w:space="0" w:color="000000"/>
              <w:right w:val="single" w:sz="4" w:space="0" w:color="000000"/>
            </w:tcBorders>
            <w:shd w:val="clear" w:color="auto" w:fill="D3D3D3"/>
          </w:tcPr>
          <w:p>
            <w:pPr/>
          </w:p>
        </w:tc>
        <w:tc>
          <w:tcPr>
            <w:tcW w:w="742" w:type="dxa"/>
            <w:vMerge/>
            <w:tcBorders>
              <w:left w:val="single" w:sz="4" w:space="0" w:color="000000"/>
              <w:bottom w:val="single" w:sz="4" w:space="0" w:color="000000"/>
              <w:right w:val="single" w:sz="4" w:space="0" w:color="000000"/>
            </w:tcBorders>
            <w:shd w:val="clear" w:color="auto" w:fill="D3D3D3"/>
          </w:tcPr>
          <w:p>
            <w:pPr/>
          </w:p>
        </w:tc>
        <w:tc>
          <w:tcPr>
            <w:tcW w:w="1091" w:type="dxa"/>
            <w:tcBorders>
              <w:top w:val="nil" w:sz="6" w:space="0" w:color="auto"/>
              <w:left w:val="single" w:sz="4" w:space="0" w:color="000000"/>
              <w:bottom w:val="single" w:sz="4" w:space="0" w:color="000000"/>
              <w:right w:val="single" w:sz="4" w:space="0" w:color="000000"/>
            </w:tcBorders>
            <w:shd w:val="clear" w:color="auto" w:fill="D3D3D3"/>
          </w:tcPr>
          <w:p>
            <w:pPr/>
          </w:p>
        </w:tc>
        <w:tc>
          <w:tcPr>
            <w:tcW w:w="1241" w:type="dxa"/>
            <w:tcBorders>
              <w:top w:val="nil" w:sz="6" w:space="0" w:color="auto"/>
              <w:left w:val="single" w:sz="4" w:space="0" w:color="000000"/>
              <w:bottom w:val="single" w:sz="4" w:space="0" w:color="000000"/>
              <w:right w:val="single" w:sz="4" w:space="0" w:color="000000"/>
            </w:tcBorders>
            <w:shd w:val="clear" w:color="auto" w:fill="D3D3D3"/>
          </w:tcPr>
          <w:p>
            <w:pPr/>
          </w:p>
        </w:tc>
        <w:tc>
          <w:tcPr>
            <w:tcW w:w="131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250"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1,017,698,410.00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1,809,704,919.76</w:t>
            </w:r>
          </w:p>
        </w:tc>
        <w:tc>
          <w:tcPr>
            <w:tcW w:w="92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54" w:space="0" w:color="D3D3D3"/>
              <w:left w:val="single" w:sz="4" w:space="0" w:color="000000"/>
              <w:bottom w:val="single" w:sz="4" w:space="0" w:color="000000"/>
              <w:right w:val="single" w:sz="4" w:space="0" w:color="000000"/>
            </w:tcBorders>
          </w:tcPr>
          <w:p>
            <w:pPr/>
          </w:p>
        </w:tc>
        <w:tc>
          <w:tcPr>
            <w:tcW w:w="742" w:type="dxa"/>
            <w:tcBorders>
              <w:top w:val="single" w:sz="54" w:space="0" w:color="D3D3D3"/>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28,791,805.68</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-309,725,434.05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2,546,469,701.39</w:t>
            </w:r>
          </w:p>
        </w:tc>
      </w:tr>
      <w:tr>
        <w:trPr>
          <w:trHeight w:val="250"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28" w:type="dxa"/>
            <w:tcBorders>
              <w:top w:val="single" w:sz="4" w:space="0" w:color="000000"/>
              <w:left w:val="single" w:sz="9"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28" w:type="dxa"/>
            <w:tcBorders>
              <w:top w:val="single" w:sz="4" w:space="0" w:color="000000"/>
              <w:left w:val="single" w:sz="9"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8" w:type="dxa"/>
            <w:tcBorders>
              <w:top w:val="single" w:sz="4" w:space="0" w:color="000000"/>
              <w:left w:val="single" w:sz="9"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1,017,698,410.00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1,809,704,919.76</w:t>
            </w:r>
          </w:p>
        </w:tc>
        <w:tc>
          <w:tcPr>
            <w:tcW w:w="92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28,791,805.68</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-309,725,434.05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2,546,469,701.39</w:t>
            </w:r>
          </w:p>
        </w:tc>
      </w:tr>
      <w:tr>
        <w:trPr>
          <w:trHeight w:val="251"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1"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328" w:type="dxa"/>
            <w:tcBorders>
              <w:top w:val="single" w:sz="4" w:space="0" w:color="000000"/>
              <w:left w:val="single" w:sz="9" w:space="0" w:color="D3D3D3"/>
              <w:bottom w:val="single" w:sz="4" w:space="0" w:color="000000"/>
              <w:right w:val="single" w:sz="4" w:space="0" w:color="000000"/>
            </w:tcBorders>
          </w:tcPr>
          <w:p>
            <w:pPr>
              <w:pStyle w:val="TableParagraph"/>
              <w:spacing w:line="219" w:lineRule="exact"/>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13,433,648.67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13,433,648.67</w:t>
            </w:r>
          </w:p>
        </w:tc>
      </w:tr>
      <w:tr>
        <w:trPr>
          <w:trHeight w:val="250"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28" w:type="dxa"/>
            <w:tcBorders>
              <w:top w:val="single" w:sz="4" w:space="0" w:color="000000"/>
              <w:left w:val="single" w:sz="9"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13,433,648.67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13,433,648.67</w:t>
            </w:r>
          </w:p>
        </w:tc>
      </w:tr>
      <w:tr>
        <w:trPr>
          <w:trHeight w:val="250"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328" w:type="dxa"/>
            <w:tcBorders>
              <w:top w:val="single" w:sz="4" w:space="0" w:color="000000"/>
              <w:left w:val="single" w:sz="9"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328" w:type="dxa"/>
            <w:tcBorders>
              <w:top w:val="single" w:sz="4" w:space="0" w:color="000000"/>
              <w:left w:val="single" w:sz="9"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328" w:type="dxa"/>
            <w:tcBorders>
              <w:top w:val="single" w:sz="4" w:space="0" w:color="000000"/>
              <w:left w:val="single" w:sz="9"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328" w:type="dxa"/>
            <w:tcBorders>
              <w:top w:val="single" w:sz="4" w:space="0" w:color="000000"/>
              <w:left w:val="single" w:sz="9"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28" w:type="dxa"/>
            <w:tcBorders>
              <w:top w:val="single" w:sz="4" w:space="0" w:color="000000"/>
              <w:left w:val="single" w:sz="9"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28" w:type="dxa"/>
            <w:tcBorders>
              <w:top w:val="single" w:sz="4" w:space="0" w:color="000000"/>
              <w:left w:val="single" w:sz="9"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28" w:type="dxa"/>
            <w:tcBorders>
              <w:top w:val="single" w:sz="4" w:space="0" w:color="000000"/>
              <w:left w:val="single" w:sz="9"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328" w:type="dxa"/>
            <w:tcBorders>
              <w:top w:val="single" w:sz="4" w:space="0" w:color="000000"/>
              <w:left w:val="single" w:sz="9"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28"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2"/>
              <w:jc w:val="right"/>
              <w:rPr>
                <w:rFonts w:ascii="Times New Roman" w:hAnsi="Times New Roman" w:cs="Times New Roman" w:eastAsia="Times New Roman" w:hint="default"/>
                <w:sz w:val="18"/>
                <w:szCs w:val="18"/>
              </w:rPr>
            </w:pPr>
            <w:r>
              <w:rPr>
                <w:rFonts w:ascii="Times New Roman"/>
                <w:spacing w:val="-1"/>
                <w:sz w:val="18"/>
              </w:rPr>
              <w:t>1,017,698,410.00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1,809,704,919.76</w:t>
            </w:r>
          </w:p>
        </w:tc>
        <w:tc>
          <w:tcPr>
            <w:tcW w:w="923" w:type="dxa"/>
            <w:tcBorders>
              <w:top w:val="single" w:sz="4" w:space="0" w:color="000000"/>
              <w:left w:val="single" w:sz="4" w:space="0" w:color="000000"/>
              <w:bottom w:val="single" w:sz="4" w:space="0" w:color="000000"/>
              <w:right w:val="single" w:sz="4" w:space="0" w:color="000000"/>
            </w:tcBorders>
          </w:tcPr>
          <w:p>
            <w:pPr/>
          </w:p>
        </w:tc>
        <w:tc>
          <w:tcPr>
            <w:tcW w:w="1079"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28,791,805.68</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-296,291,785.38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2,559,903,350.06</w:t>
            </w:r>
          </w:p>
        </w:tc>
      </w:tr>
    </w:tbl>
    <w:p>
      <w:pPr>
        <w:spacing w:after="0" w:line="240" w:lineRule="auto"/>
        <w:jc w:val="right"/>
        <w:rPr>
          <w:rFonts w:ascii="Times New Roman" w:hAnsi="Times New Roman" w:cs="Times New Roman" w:eastAsia="Times New Roman" w:hint="default"/>
          <w:sz w:val="18"/>
          <w:szCs w:val="18"/>
        </w:rPr>
        <w:sectPr>
          <w:footerReference w:type="default" r:id="rId30"/>
          <w:pgSz w:w="16840" w:h="11910" w:orient="landscape"/>
          <w:pgMar w:footer="978" w:header="736" w:top="1000" w:bottom="1160" w:left="1300" w:right="1300"/>
          <w:pgNumType w:start="90"/>
        </w:sectPr>
      </w:pPr>
    </w:p>
    <w:p>
      <w:pPr>
        <w:spacing w:line="240" w:lineRule="auto" w:before="11"/>
        <w:rPr>
          <w:rFonts w:ascii="宋体" w:hAnsi="宋体" w:cs="宋体" w:eastAsia="宋体" w:hint="default"/>
          <w:sz w:val="6"/>
          <w:szCs w:val="6"/>
        </w:rPr>
      </w:pPr>
      <w:r>
        <w:rPr/>
        <w:pict>
          <v:group style="position:absolute;margin-left:242.690994pt;margin-top:203.850006pt;width:64.3pt;height:13.15pt;mso-position-horizontal-relative:page;mso-position-vertical-relative:page;z-index:-1259680" coordorigin="4854,4077" coordsize="1286,263">
            <v:group style="position:absolute;left:4865;top:4088;width:2;height:240" coordorigin="4865,4088" coordsize="2,240">
              <v:shape style="position:absolute;left:4865;top:4088;width:2;height:240" coordorigin="4865,4088" coordsize="0,240" path="m4865,4088l4865,4328e" filled="false" stroked="true" strokeweight="1.140pt" strokecolor="#ffffff">
                <v:path arrowok="t"/>
              </v:shape>
            </v:group>
            <v:group style="position:absolute;left:4877;top:4088;width:1263;height:240" coordorigin="4877,4088" coordsize="1263,240">
              <v:shape style="position:absolute;left:4877;top:4088;width:1263;height:240" coordorigin="4877,4088" coordsize="1263,240" path="m4877,4088l4877,4328,6139,4328,6139,4088,4877,4088xe" filled="true" fillcolor="#ffffff" stroked="false">
                <v:path arrowok="t"/>
                <v:fill type="solid"/>
              </v:shape>
            </v:group>
            <w10:wrap type="none"/>
          </v:group>
        </w:pict>
      </w: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before="20"/>
        <w:ind w:left="139"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6"/>
        <w:ind w:left="0" w:right="139" w:firstLine="0"/>
        <w:jc w:val="right"/>
        <w:rPr>
          <w:rFonts w:ascii="宋体" w:hAnsi="宋体" w:cs="宋体" w:eastAsia="宋体" w:hint="default"/>
          <w:sz w:val="18"/>
          <w:szCs w:val="18"/>
        </w:rPr>
      </w:pPr>
      <w:r>
        <w:rPr/>
        <w:pict>
          <v:group style="position:absolute;margin-left:451.911011pt;margin-top:35.812019pt;width:45.7pt;height:24.25pt;mso-position-horizontal-relative:page;mso-position-vertical-relative:paragraph;z-index:-1259704" coordorigin="9038,716" coordsize="914,485">
            <v:group style="position:absolute;left:9038;top:716;width:914;height:485" coordorigin="9038,716" coordsize="914,485">
              <v:shape style="position:absolute;left:9038;top:716;width:914;height:485" coordorigin="9038,716" coordsize="914,485" path="m9951,961l9951,716,9038,716,9499,961,9951,961xe" filled="true" fillcolor="#d3d3d3" stroked="false">
                <v:path arrowok="t"/>
                <v:fill type="solid"/>
              </v:shape>
              <v:shape style="position:absolute;left:9038;top:716;width:914;height:485" coordorigin="9038,716" coordsize="914,485" path="m9927,1201l9927,1188,9499,961,9062,961,9062,1201,9927,1201xe" filled="true" fillcolor="#d3d3d3" stroked="false">
                <v:path arrowok="t"/>
                <v:fill type="solid"/>
              </v:shape>
              <v:shape style="position:absolute;left:9038;top:716;width:914;height:485" coordorigin="9038,716" coordsize="914,485" path="m9951,1201l9951,961,9927,961,9927,1188,9951,1201xe" filled="true" fillcolor="#d3d3d3" stroked="false">
                <v:path arrowok="t"/>
                <v:fill type="solid"/>
              </v:shape>
            </v:group>
            <v:group style="position:absolute;left:9062;top:961;width:866;height:240" coordorigin="9062,961" coordsize="866,240">
              <v:shape style="position:absolute;left:9062;top:961;width:866;height:240" coordorigin="9062,961" coordsize="866,240" path="m9062,961l9062,1201,9927,1201,9927,961,9062,961xe" filled="true" fillcolor="#d3d3d3" stroked="false">
                <v:path arrowok="t"/>
                <v:fill type="solid"/>
              </v:shape>
            </v:group>
            <w10:wrap type="none"/>
          </v:group>
        </w:pict>
      </w: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8" w:type="dxa"/>
        <w:tblLayout w:type="fixed"/>
        <w:tblCellMar>
          <w:top w:w="0" w:type="dxa"/>
          <w:left w:w="0" w:type="dxa"/>
          <w:bottom w:w="0" w:type="dxa"/>
          <w:right w:w="0" w:type="dxa"/>
        </w:tblCellMar>
        <w:tblLook w:val="01E0"/>
      </w:tblPr>
      <w:tblGrid>
        <w:gridCol w:w="3414"/>
        <w:gridCol w:w="1329"/>
        <w:gridCol w:w="572"/>
        <w:gridCol w:w="572"/>
        <w:gridCol w:w="406"/>
        <w:gridCol w:w="1316"/>
        <w:gridCol w:w="923"/>
        <w:gridCol w:w="1075"/>
        <w:gridCol w:w="740"/>
        <w:gridCol w:w="1093"/>
        <w:gridCol w:w="1244"/>
        <w:gridCol w:w="1316"/>
      </w:tblGrid>
      <w:tr>
        <w:trPr>
          <w:trHeight w:val="250" w:hRule="exact"/>
        </w:trPr>
        <w:tc>
          <w:tcPr>
            <w:tcW w:w="3414" w:type="dxa"/>
            <w:vMerge w:val="restart"/>
            <w:tcBorders>
              <w:top w:val="single" w:sz="4" w:space="0" w:color="000000"/>
              <w:left w:val="single" w:sz="4" w:space="0" w:color="000000"/>
              <w:right w:val="single" w:sz="4" w:space="0" w:color="000000"/>
            </w:tcBorders>
            <w:shd w:val="clear" w:color="auto" w:fill="D3D3D3"/>
          </w:tcPr>
          <w:p>
            <w:pPr/>
          </w:p>
        </w:tc>
        <w:tc>
          <w:tcPr>
            <w:tcW w:w="1058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127" w:hRule="exact"/>
        </w:trPr>
        <w:tc>
          <w:tcPr>
            <w:tcW w:w="3414" w:type="dxa"/>
            <w:vMerge/>
            <w:tcBorders>
              <w:left w:val="single" w:sz="4" w:space="0" w:color="000000"/>
              <w:bottom w:val="nil" w:sz="6" w:space="0" w:color="auto"/>
              <w:right w:val="single" w:sz="4" w:space="0" w:color="000000"/>
            </w:tcBorders>
            <w:shd w:val="clear" w:color="auto" w:fill="D3D3D3"/>
          </w:tcPr>
          <w:p>
            <w:pPr/>
          </w:p>
        </w:tc>
        <w:tc>
          <w:tcPr>
            <w:tcW w:w="1329" w:type="dxa"/>
            <w:vMerge w:val="restart"/>
            <w:tcBorders>
              <w:top w:val="single" w:sz="4" w:space="0" w:color="000000"/>
              <w:left w:val="single" w:sz="4" w:space="0" w:color="000000"/>
              <w:right w:val="single" w:sz="4" w:space="0" w:color="000000"/>
            </w:tcBorders>
            <w:shd w:val="clear" w:color="auto" w:fill="D3D3D3"/>
          </w:tcPr>
          <w:p>
            <w:pPr/>
          </w:p>
        </w:tc>
        <w:tc>
          <w:tcPr>
            <w:tcW w:w="1550"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17" w:lineRule="exact"/>
              <w:ind w:left="23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316" w:type="dxa"/>
            <w:vMerge w:val="restart"/>
            <w:tcBorders>
              <w:top w:val="single" w:sz="4" w:space="0" w:color="000000"/>
              <w:left w:val="single" w:sz="4" w:space="0" w:color="000000"/>
              <w:right w:val="single" w:sz="4" w:space="0" w:color="000000"/>
            </w:tcBorders>
            <w:shd w:val="clear" w:color="auto" w:fill="D3D3D3"/>
          </w:tcPr>
          <w:p>
            <w:pPr/>
          </w:p>
        </w:tc>
        <w:tc>
          <w:tcPr>
            <w:tcW w:w="923" w:type="dxa"/>
            <w:vMerge w:val="restart"/>
            <w:tcBorders>
              <w:top w:val="single" w:sz="4" w:space="0" w:color="000000"/>
              <w:left w:val="single" w:sz="9" w:space="0" w:color="D3D3D3"/>
              <w:right w:val="single" w:sz="13" w:space="0" w:color="D3D3D3"/>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pacing w:val="-7"/>
                <w:sz w:val="18"/>
                <w:szCs w:val="18"/>
              </w:rPr>
              <w:t>减：库存股</w:t>
            </w:r>
          </w:p>
        </w:tc>
        <w:tc>
          <w:tcPr>
            <w:tcW w:w="1075" w:type="dxa"/>
            <w:tcBorders>
              <w:top w:val="single" w:sz="4" w:space="0" w:color="000000"/>
              <w:left w:val="single" w:sz="4" w:space="0" w:color="000000"/>
              <w:bottom w:val="nil" w:sz="6" w:space="0" w:color="auto"/>
              <w:right w:val="single" w:sz="4" w:space="0" w:color="000000"/>
            </w:tcBorders>
            <w:shd w:val="clear" w:color="auto" w:fill="D3D3D3"/>
          </w:tcPr>
          <w:p>
            <w:pPr/>
          </w:p>
        </w:tc>
        <w:tc>
          <w:tcPr>
            <w:tcW w:w="74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93" w:type="dxa"/>
            <w:vMerge w:val="restart"/>
            <w:tcBorders>
              <w:top w:val="single" w:sz="4" w:space="0" w:color="000000"/>
              <w:left w:val="single" w:sz="4" w:space="0" w:color="000000"/>
              <w:right w:val="single" w:sz="4" w:space="0" w:color="000000"/>
            </w:tcBorders>
            <w:shd w:val="clear" w:color="auto" w:fill="D3D3D3"/>
          </w:tcPr>
          <w:p>
            <w:pPr/>
          </w:p>
        </w:tc>
        <w:tc>
          <w:tcPr>
            <w:tcW w:w="1244" w:type="dxa"/>
            <w:vMerge w:val="restart"/>
            <w:tcBorders>
              <w:top w:val="single" w:sz="4" w:space="0" w:color="000000"/>
              <w:left w:val="single" w:sz="4" w:space="0" w:color="000000"/>
              <w:right w:val="single" w:sz="4" w:space="0" w:color="000000"/>
            </w:tcBorders>
            <w:shd w:val="clear" w:color="auto" w:fill="D3D3D3"/>
          </w:tcPr>
          <w:p>
            <w:pPr/>
          </w:p>
        </w:tc>
        <w:tc>
          <w:tcPr>
            <w:tcW w:w="1316" w:type="dxa"/>
            <w:vMerge w:val="restart"/>
            <w:tcBorders>
              <w:top w:val="single" w:sz="4" w:space="0" w:color="000000"/>
              <w:left w:val="single" w:sz="4" w:space="0" w:color="000000"/>
              <w:right w:val="single" w:sz="4" w:space="0" w:color="000000"/>
            </w:tcBorders>
            <w:shd w:val="clear" w:color="auto" w:fill="D3D3D3"/>
          </w:tcPr>
          <w:p>
            <w:pPr/>
          </w:p>
        </w:tc>
      </w:tr>
      <w:tr>
        <w:trPr>
          <w:trHeight w:val="122" w:hRule="exact"/>
        </w:trPr>
        <w:tc>
          <w:tcPr>
            <w:tcW w:w="3414" w:type="dxa"/>
            <w:vMerge w:val="restart"/>
            <w:tcBorders>
              <w:top w:val="nil" w:sz="6" w:space="0" w:color="auto"/>
              <w:left w:val="single" w:sz="4" w:space="0" w:color="000000"/>
              <w:right w:val="single" w:sz="4" w:space="0" w:color="000000"/>
            </w:tcBorders>
            <w:shd w:val="clear" w:color="auto" w:fill="D3D3D3"/>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29" w:type="dxa"/>
            <w:vMerge/>
            <w:tcBorders>
              <w:left w:val="single" w:sz="4" w:space="0" w:color="000000"/>
              <w:bottom w:val="nil" w:sz="6" w:space="0" w:color="auto"/>
              <w:right w:val="single" w:sz="4" w:space="0" w:color="000000"/>
            </w:tcBorders>
            <w:shd w:val="clear" w:color="auto" w:fill="D3D3D3"/>
          </w:tcPr>
          <w:p>
            <w:pPr/>
          </w:p>
        </w:tc>
        <w:tc>
          <w:tcPr>
            <w:tcW w:w="1550" w:type="dxa"/>
            <w:gridSpan w:val="3"/>
            <w:vMerge/>
            <w:tcBorders>
              <w:left w:val="single" w:sz="4" w:space="0" w:color="000000"/>
              <w:bottom w:val="single" w:sz="4" w:space="0" w:color="000000"/>
              <w:right w:val="single" w:sz="4" w:space="0" w:color="000000"/>
            </w:tcBorders>
            <w:shd w:val="clear" w:color="auto" w:fill="D3D3D3"/>
          </w:tcPr>
          <w:p>
            <w:pPr/>
          </w:p>
        </w:tc>
        <w:tc>
          <w:tcPr>
            <w:tcW w:w="1316" w:type="dxa"/>
            <w:vMerge/>
            <w:tcBorders>
              <w:left w:val="single" w:sz="4" w:space="0" w:color="000000"/>
              <w:bottom w:val="nil" w:sz="6" w:space="0" w:color="auto"/>
              <w:right w:val="single" w:sz="4" w:space="0" w:color="000000"/>
            </w:tcBorders>
            <w:shd w:val="clear" w:color="auto" w:fill="D3D3D3"/>
          </w:tcPr>
          <w:p>
            <w:pPr/>
          </w:p>
        </w:tc>
        <w:tc>
          <w:tcPr>
            <w:tcW w:w="923" w:type="dxa"/>
            <w:vMerge/>
            <w:tcBorders>
              <w:left w:val="single" w:sz="9" w:space="0" w:color="D3D3D3"/>
              <w:right w:val="single" w:sz="13" w:space="0" w:color="D3D3D3"/>
            </w:tcBorders>
          </w:tcPr>
          <w:p>
            <w:pPr/>
          </w:p>
        </w:tc>
        <w:tc>
          <w:tcPr>
            <w:tcW w:w="107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exact" w:before="2"/>
              <w:ind w:left="442" w:right="80"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74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exact" w:before="2"/>
              <w:ind w:left="275" w:right="92"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093" w:type="dxa"/>
            <w:vMerge/>
            <w:tcBorders>
              <w:left w:val="single" w:sz="4" w:space="0" w:color="000000"/>
              <w:bottom w:val="nil" w:sz="6" w:space="0" w:color="auto"/>
              <w:right w:val="single" w:sz="4" w:space="0" w:color="000000"/>
            </w:tcBorders>
            <w:shd w:val="clear" w:color="auto" w:fill="D3D3D3"/>
          </w:tcPr>
          <w:p>
            <w:pPr/>
          </w:p>
        </w:tc>
        <w:tc>
          <w:tcPr>
            <w:tcW w:w="1244" w:type="dxa"/>
            <w:vMerge/>
            <w:tcBorders>
              <w:left w:val="single" w:sz="4" w:space="0" w:color="000000"/>
              <w:bottom w:val="nil" w:sz="6" w:space="0" w:color="auto"/>
              <w:right w:val="single" w:sz="4" w:space="0" w:color="000000"/>
            </w:tcBorders>
            <w:shd w:val="clear" w:color="auto" w:fill="D3D3D3"/>
          </w:tcPr>
          <w:p>
            <w:pPr/>
          </w:p>
        </w:tc>
        <w:tc>
          <w:tcPr>
            <w:tcW w:w="1316" w:type="dxa"/>
            <w:vMerge/>
            <w:tcBorders>
              <w:left w:val="single" w:sz="4" w:space="0" w:color="000000"/>
              <w:bottom w:val="nil" w:sz="6" w:space="0" w:color="auto"/>
              <w:right w:val="single" w:sz="4" w:space="0" w:color="000000"/>
            </w:tcBorders>
            <w:shd w:val="clear" w:color="auto" w:fill="D3D3D3"/>
          </w:tcPr>
          <w:p>
            <w:pPr/>
          </w:p>
        </w:tc>
      </w:tr>
      <w:tr>
        <w:trPr>
          <w:trHeight w:val="115" w:hRule="exact"/>
        </w:trPr>
        <w:tc>
          <w:tcPr>
            <w:tcW w:w="3414" w:type="dxa"/>
            <w:vMerge/>
            <w:tcBorders>
              <w:left w:val="single" w:sz="4" w:space="0" w:color="000000"/>
              <w:bottom w:val="nil" w:sz="6" w:space="0" w:color="auto"/>
              <w:right w:val="single" w:sz="4" w:space="0" w:color="000000"/>
            </w:tcBorders>
            <w:shd w:val="clear" w:color="auto" w:fill="D3D3D3"/>
          </w:tcPr>
          <w:p>
            <w:pPr/>
          </w:p>
        </w:tc>
        <w:tc>
          <w:tcPr>
            <w:tcW w:w="1329" w:type="dxa"/>
            <w:vMerge w:val="restart"/>
            <w:tcBorders>
              <w:top w:val="nil" w:sz="6" w:space="0" w:color="auto"/>
              <w:left w:val="single" w:sz="4" w:space="0" w:color="000000"/>
              <w:right w:val="single" w:sz="4" w:space="0" w:color="000000"/>
            </w:tcBorders>
            <w:shd w:val="clear" w:color="auto" w:fill="D3D3D3"/>
          </w:tcPr>
          <w:p>
            <w:pPr>
              <w:pStyle w:val="TableParagraph"/>
              <w:spacing w:line="217" w:lineRule="exact"/>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5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before="1"/>
              <w:ind w:left="191" w:right="9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before="1"/>
              <w:ind w:left="190" w:right="100"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0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exact" w:before="1"/>
              <w:ind w:left="107" w:right="106"/>
              <w:jc w:val="left"/>
              <w:rPr>
                <w:rFonts w:ascii="宋体" w:hAnsi="宋体" w:cs="宋体" w:eastAsia="宋体" w:hint="default"/>
                <w:sz w:val="18"/>
                <w:szCs w:val="18"/>
              </w:rPr>
            </w:pPr>
            <w:r>
              <w:rPr>
                <w:rFonts w:ascii="宋体" w:hAnsi="宋体" w:cs="宋体" w:eastAsia="宋体" w:hint="default"/>
                <w:sz w:val="18"/>
                <w:szCs w:val="18"/>
              </w:rPr>
              <w:t>其 他</w:t>
            </w:r>
          </w:p>
        </w:tc>
        <w:tc>
          <w:tcPr>
            <w:tcW w:w="1316" w:type="dxa"/>
            <w:vMerge w:val="restart"/>
            <w:tcBorders>
              <w:top w:val="nil" w:sz="6" w:space="0" w:color="auto"/>
              <w:left w:val="single" w:sz="4" w:space="0" w:color="000000"/>
              <w:right w:val="single" w:sz="4" w:space="0" w:color="000000"/>
            </w:tcBorders>
            <w:shd w:val="clear" w:color="auto" w:fill="D3D3D3"/>
          </w:tcPr>
          <w:p>
            <w:pPr>
              <w:pStyle w:val="TableParagraph"/>
              <w:spacing w:line="217" w:lineRule="exact"/>
              <w:ind w:left="29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23" w:type="dxa"/>
            <w:vMerge/>
            <w:tcBorders>
              <w:left w:val="single" w:sz="9" w:space="0" w:color="D3D3D3"/>
              <w:right w:val="single" w:sz="13" w:space="0" w:color="D3D3D3"/>
            </w:tcBorders>
          </w:tcPr>
          <w:p>
            <w:pPr/>
          </w:p>
        </w:tc>
        <w:tc>
          <w:tcPr>
            <w:tcW w:w="1075" w:type="dxa"/>
            <w:vMerge/>
            <w:tcBorders>
              <w:left w:val="single" w:sz="4" w:space="0" w:color="000000"/>
              <w:right w:val="single" w:sz="4" w:space="0" w:color="000000"/>
            </w:tcBorders>
            <w:shd w:val="clear" w:color="auto" w:fill="D3D3D3"/>
          </w:tcPr>
          <w:p>
            <w:pPr/>
          </w:p>
        </w:tc>
        <w:tc>
          <w:tcPr>
            <w:tcW w:w="740" w:type="dxa"/>
            <w:vMerge/>
            <w:tcBorders>
              <w:left w:val="single" w:sz="4" w:space="0" w:color="000000"/>
              <w:right w:val="single" w:sz="4" w:space="0" w:color="000000"/>
            </w:tcBorders>
            <w:shd w:val="clear" w:color="auto" w:fill="D3D3D3"/>
          </w:tcPr>
          <w:p>
            <w:pPr/>
          </w:p>
        </w:tc>
        <w:tc>
          <w:tcPr>
            <w:tcW w:w="1093" w:type="dxa"/>
            <w:vMerge w:val="restart"/>
            <w:tcBorders>
              <w:top w:val="nil" w:sz="6" w:space="0" w:color="auto"/>
              <w:left w:val="single" w:sz="4" w:space="0" w:color="000000"/>
              <w:right w:val="single" w:sz="4" w:space="0" w:color="000000"/>
            </w:tcBorders>
            <w:shd w:val="clear" w:color="auto" w:fill="D3D3D3"/>
          </w:tcPr>
          <w:p>
            <w:pPr>
              <w:pStyle w:val="TableParagraph"/>
              <w:spacing w:line="217" w:lineRule="exact"/>
              <w:ind w:left="18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44" w:type="dxa"/>
            <w:vMerge w:val="restart"/>
            <w:tcBorders>
              <w:top w:val="nil" w:sz="6" w:space="0" w:color="auto"/>
              <w:left w:val="single" w:sz="4" w:space="0" w:color="000000"/>
              <w:right w:val="single" w:sz="4" w:space="0" w:color="000000"/>
            </w:tcBorders>
            <w:shd w:val="clear" w:color="auto" w:fill="D3D3D3"/>
          </w:tcPr>
          <w:p>
            <w:pPr>
              <w:pStyle w:val="TableParagraph"/>
              <w:spacing w:line="217" w:lineRule="exact"/>
              <w:ind w:left="16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16" w:type="dxa"/>
            <w:vMerge w:val="restart"/>
            <w:tcBorders>
              <w:top w:val="nil" w:sz="6" w:space="0" w:color="auto"/>
              <w:left w:val="single" w:sz="4" w:space="0" w:color="000000"/>
              <w:right w:val="single" w:sz="4" w:space="0" w:color="000000"/>
            </w:tcBorders>
            <w:shd w:val="clear" w:color="auto" w:fill="D3D3D3"/>
          </w:tcPr>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25" w:hRule="exact"/>
        </w:trPr>
        <w:tc>
          <w:tcPr>
            <w:tcW w:w="3414" w:type="dxa"/>
            <w:vMerge w:val="restart"/>
            <w:tcBorders>
              <w:top w:val="nil" w:sz="6" w:space="0" w:color="auto"/>
              <w:left w:val="single" w:sz="4" w:space="0" w:color="000000"/>
              <w:right w:val="single" w:sz="4" w:space="0" w:color="000000"/>
            </w:tcBorders>
            <w:shd w:val="clear" w:color="auto" w:fill="D3D3D3"/>
          </w:tcPr>
          <w:p>
            <w:pPr/>
          </w:p>
        </w:tc>
        <w:tc>
          <w:tcPr>
            <w:tcW w:w="1329" w:type="dxa"/>
            <w:vMerge/>
            <w:tcBorders>
              <w:left w:val="single" w:sz="4" w:space="0" w:color="000000"/>
              <w:bottom w:val="nil" w:sz="6" w:space="0" w:color="auto"/>
              <w:right w:val="single" w:sz="4" w:space="0" w:color="000000"/>
            </w:tcBorders>
            <w:shd w:val="clear" w:color="auto" w:fill="D3D3D3"/>
          </w:tcPr>
          <w:p>
            <w:pPr/>
          </w:p>
        </w:tc>
        <w:tc>
          <w:tcPr>
            <w:tcW w:w="572" w:type="dxa"/>
            <w:vMerge/>
            <w:tcBorders>
              <w:left w:val="single" w:sz="4" w:space="0" w:color="000000"/>
              <w:right w:val="single" w:sz="4" w:space="0" w:color="000000"/>
            </w:tcBorders>
            <w:shd w:val="clear" w:color="auto" w:fill="D3D3D3"/>
          </w:tcPr>
          <w:p>
            <w:pPr/>
          </w:p>
        </w:tc>
        <w:tc>
          <w:tcPr>
            <w:tcW w:w="572" w:type="dxa"/>
            <w:vMerge/>
            <w:tcBorders>
              <w:left w:val="single" w:sz="4" w:space="0" w:color="000000"/>
              <w:right w:val="single" w:sz="4" w:space="0" w:color="000000"/>
            </w:tcBorders>
            <w:shd w:val="clear" w:color="auto" w:fill="D3D3D3"/>
          </w:tcPr>
          <w:p>
            <w:pPr/>
          </w:p>
        </w:tc>
        <w:tc>
          <w:tcPr>
            <w:tcW w:w="406" w:type="dxa"/>
            <w:vMerge/>
            <w:tcBorders>
              <w:left w:val="single" w:sz="4" w:space="0" w:color="000000"/>
              <w:right w:val="single" w:sz="4" w:space="0" w:color="000000"/>
            </w:tcBorders>
            <w:shd w:val="clear" w:color="auto" w:fill="D3D3D3"/>
          </w:tcPr>
          <w:p>
            <w:pPr/>
          </w:p>
        </w:tc>
        <w:tc>
          <w:tcPr>
            <w:tcW w:w="1316" w:type="dxa"/>
            <w:vMerge/>
            <w:tcBorders>
              <w:left w:val="single" w:sz="4" w:space="0" w:color="000000"/>
              <w:bottom w:val="nil" w:sz="6" w:space="0" w:color="auto"/>
              <w:right w:val="single" w:sz="4" w:space="0" w:color="000000"/>
            </w:tcBorders>
            <w:shd w:val="clear" w:color="auto" w:fill="D3D3D3"/>
          </w:tcPr>
          <w:p>
            <w:pPr/>
          </w:p>
        </w:tc>
        <w:tc>
          <w:tcPr>
            <w:tcW w:w="923" w:type="dxa"/>
            <w:vMerge/>
            <w:tcBorders>
              <w:left w:val="single" w:sz="9" w:space="0" w:color="D3D3D3"/>
              <w:right w:val="single" w:sz="13" w:space="0" w:color="D3D3D3"/>
            </w:tcBorders>
          </w:tcPr>
          <w:p>
            <w:pPr/>
          </w:p>
        </w:tc>
        <w:tc>
          <w:tcPr>
            <w:tcW w:w="1075" w:type="dxa"/>
            <w:vMerge/>
            <w:tcBorders>
              <w:left w:val="single" w:sz="4" w:space="0" w:color="000000"/>
              <w:right w:val="single" w:sz="4" w:space="0" w:color="000000"/>
            </w:tcBorders>
            <w:shd w:val="clear" w:color="auto" w:fill="D3D3D3"/>
          </w:tcPr>
          <w:p>
            <w:pPr/>
          </w:p>
        </w:tc>
        <w:tc>
          <w:tcPr>
            <w:tcW w:w="740" w:type="dxa"/>
            <w:vMerge/>
            <w:tcBorders>
              <w:left w:val="single" w:sz="4" w:space="0" w:color="000000"/>
              <w:right w:val="single" w:sz="4" w:space="0" w:color="000000"/>
            </w:tcBorders>
            <w:shd w:val="clear" w:color="auto" w:fill="D3D3D3"/>
          </w:tcPr>
          <w:p>
            <w:pPr/>
          </w:p>
        </w:tc>
        <w:tc>
          <w:tcPr>
            <w:tcW w:w="1093" w:type="dxa"/>
            <w:vMerge/>
            <w:tcBorders>
              <w:left w:val="single" w:sz="4" w:space="0" w:color="000000"/>
              <w:bottom w:val="nil" w:sz="6" w:space="0" w:color="auto"/>
              <w:right w:val="single" w:sz="4" w:space="0" w:color="000000"/>
            </w:tcBorders>
            <w:shd w:val="clear" w:color="auto" w:fill="D3D3D3"/>
          </w:tcPr>
          <w:p>
            <w:pPr/>
          </w:p>
        </w:tc>
        <w:tc>
          <w:tcPr>
            <w:tcW w:w="1244" w:type="dxa"/>
            <w:vMerge/>
            <w:tcBorders>
              <w:left w:val="single" w:sz="4" w:space="0" w:color="000000"/>
              <w:bottom w:val="nil" w:sz="6" w:space="0" w:color="auto"/>
              <w:right w:val="single" w:sz="4" w:space="0" w:color="000000"/>
            </w:tcBorders>
            <w:shd w:val="clear" w:color="auto" w:fill="D3D3D3"/>
          </w:tcPr>
          <w:p>
            <w:pPr/>
          </w:p>
        </w:tc>
        <w:tc>
          <w:tcPr>
            <w:tcW w:w="1316" w:type="dxa"/>
            <w:vMerge/>
            <w:tcBorders>
              <w:left w:val="single" w:sz="4" w:space="0" w:color="000000"/>
              <w:bottom w:val="nil" w:sz="6" w:space="0" w:color="auto"/>
              <w:right w:val="single" w:sz="4" w:space="0" w:color="000000"/>
            </w:tcBorders>
            <w:shd w:val="clear" w:color="auto" w:fill="D3D3D3"/>
          </w:tcPr>
          <w:p>
            <w:pPr/>
          </w:p>
        </w:tc>
      </w:tr>
      <w:tr>
        <w:trPr>
          <w:trHeight w:val="251" w:hRule="exact"/>
        </w:trPr>
        <w:tc>
          <w:tcPr>
            <w:tcW w:w="3414" w:type="dxa"/>
            <w:vMerge/>
            <w:tcBorders>
              <w:left w:val="single" w:sz="4" w:space="0" w:color="000000"/>
              <w:bottom w:val="single" w:sz="4" w:space="0" w:color="000000"/>
              <w:right w:val="single" w:sz="4" w:space="0" w:color="000000"/>
            </w:tcBorders>
            <w:shd w:val="clear" w:color="auto" w:fill="D3D3D3"/>
          </w:tcPr>
          <w:p>
            <w:pPr/>
          </w:p>
        </w:tc>
        <w:tc>
          <w:tcPr>
            <w:tcW w:w="1329" w:type="dxa"/>
            <w:tcBorders>
              <w:top w:val="nil" w:sz="6" w:space="0" w:color="auto"/>
              <w:left w:val="single" w:sz="4" w:space="0" w:color="000000"/>
              <w:bottom w:val="single" w:sz="4" w:space="0" w:color="000000"/>
              <w:right w:val="single" w:sz="4" w:space="0" w:color="000000"/>
            </w:tcBorders>
            <w:shd w:val="clear" w:color="auto" w:fill="D3D3D3"/>
          </w:tcPr>
          <w:p>
            <w:pPr/>
          </w:p>
        </w:tc>
        <w:tc>
          <w:tcPr>
            <w:tcW w:w="572" w:type="dxa"/>
            <w:vMerge/>
            <w:tcBorders>
              <w:left w:val="single" w:sz="4" w:space="0" w:color="000000"/>
              <w:bottom w:val="single" w:sz="4" w:space="0" w:color="000000"/>
              <w:right w:val="single" w:sz="4" w:space="0" w:color="000000"/>
            </w:tcBorders>
            <w:shd w:val="clear" w:color="auto" w:fill="D3D3D3"/>
          </w:tcPr>
          <w:p>
            <w:pPr/>
          </w:p>
        </w:tc>
        <w:tc>
          <w:tcPr>
            <w:tcW w:w="572" w:type="dxa"/>
            <w:vMerge/>
            <w:tcBorders>
              <w:left w:val="single" w:sz="4" w:space="0" w:color="000000"/>
              <w:bottom w:val="single" w:sz="4" w:space="0" w:color="000000"/>
              <w:right w:val="single" w:sz="4" w:space="0" w:color="000000"/>
            </w:tcBorders>
            <w:shd w:val="clear" w:color="auto" w:fill="D3D3D3"/>
          </w:tcPr>
          <w:p>
            <w:pPr/>
          </w:p>
        </w:tc>
        <w:tc>
          <w:tcPr>
            <w:tcW w:w="406" w:type="dxa"/>
            <w:vMerge/>
            <w:tcBorders>
              <w:left w:val="single" w:sz="4" w:space="0" w:color="000000"/>
              <w:bottom w:val="single" w:sz="4" w:space="0" w:color="000000"/>
              <w:right w:val="single" w:sz="4" w:space="0" w:color="000000"/>
            </w:tcBorders>
            <w:shd w:val="clear" w:color="auto" w:fill="D3D3D3"/>
          </w:tcPr>
          <w:p>
            <w:pPr/>
          </w:p>
        </w:tc>
        <w:tc>
          <w:tcPr>
            <w:tcW w:w="1316" w:type="dxa"/>
            <w:tcBorders>
              <w:top w:val="nil" w:sz="6" w:space="0" w:color="auto"/>
              <w:left w:val="single" w:sz="4" w:space="0" w:color="000000"/>
              <w:bottom w:val="single" w:sz="4" w:space="0" w:color="000000"/>
              <w:right w:val="single" w:sz="4" w:space="0" w:color="000000"/>
            </w:tcBorders>
            <w:shd w:val="clear" w:color="auto" w:fill="D3D3D3"/>
          </w:tcPr>
          <w:p>
            <w:pPr/>
          </w:p>
        </w:tc>
        <w:tc>
          <w:tcPr>
            <w:tcW w:w="923" w:type="dxa"/>
            <w:vMerge/>
            <w:tcBorders>
              <w:left w:val="single" w:sz="9" w:space="0" w:color="D3D3D3"/>
              <w:bottom w:val="single" w:sz="4" w:space="0" w:color="000000"/>
              <w:right w:val="single" w:sz="13" w:space="0" w:color="D3D3D3"/>
            </w:tcBorders>
          </w:tcPr>
          <w:p>
            <w:pPr/>
          </w:p>
        </w:tc>
        <w:tc>
          <w:tcPr>
            <w:tcW w:w="1075" w:type="dxa"/>
            <w:vMerge/>
            <w:tcBorders>
              <w:left w:val="single" w:sz="4" w:space="0" w:color="000000"/>
              <w:bottom w:val="single" w:sz="4" w:space="0" w:color="000000"/>
              <w:right w:val="single" w:sz="4" w:space="0" w:color="000000"/>
            </w:tcBorders>
            <w:shd w:val="clear" w:color="auto" w:fill="D3D3D3"/>
          </w:tcPr>
          <w:p>
            <w:pPr/>
          </w:p>
        </w:tc>
        <w:tc>
          <w:tcPr>
            <w:tcW w:w="740" w:type="dxa"/>
            <w:vMerge/>
            <w:tcBorders>
              <w:left w:val="single" w:sz="4" w:space="0" w:color="000000"/>
              <w:bottom w:val="single" w:sz="4" w:space="0" w:color="000000"/>
              <w:right w:val="single" w:sz="4" w:space="0" w:color="000000"/>
            </w:tcBorders>
            <w:shd w:val="clear" w:color="auto" w:fill="D3D3D3"/>
          </w:tcPr>
          <w:p>
            <w:pPr/>
          </w:p>
        </w:tc>
        <w:tc>
          <w:tcPr>
            <w:tcW w:w="1093" w:type="dxa"/>
            <w:tcBorders>
              <w:top w:val="nil" w:sz="6" w:space="0" w:color="auto"/>
              <w:left w:val="single" w:sz="4" w:space="0" w:color="000000"/>
              <w:bottom w:val="single" w:sz="4" w:space="0" w:color="000000"/>
              <w:right w:val="single" w:sz="4" w:space="0" w:color="000000"/>
            </w:tcBorders>
            <w:shd w:val="clear" w:color="auto" w:fill="D3D3D3"/>
          </w:tcPr>
          <w:p>
            <w:pPr/>
          </w:p>
        </w:tc>
        <w:tc>
          <w:tcPr>
            <w:tcW w:w="1244" w:type="dxa"/>
            <w:tcBorders>
              <w:top w:val="nil" w:sz="6" w:space="0" w:color="auto"/>
              <w:left w:val="single" w:sz="4" w:space="0" w:color="000000"/>
              <w:bottom w:val="single" w:sz="4" w:space="0" w:color="000000"/>
              <w:right w:val="single" w:sz="4" w:space="0" w:color="000000"/>
            </w:tcBorders>
            <w:shd w:val="clear" w:color="auto" w:fill="D3D3D3"/>
          </w:tcPr>
          <w:p>
            <w:pPr/>
          </w:p>
        </w:tc>
        <w:tc>
          <w:tcPr>
            <w:tcW w:w="131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250" w:hRule="exact"/>
        </w:trPr>
        <w:tc>
          <w:tcPr>
            <w:tcW w:w="3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487,731,995.00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119,506,224.01</w:t>
            </w:r>
          </w:p>
        </w:tc>
        <w:tc>
          <w:tcPr>
            <w:tcW w:w="92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54" w:space="0" w:color="D3D3D3"/>
              <w:left w:val="single" w:sz="4" w:space="0" w:color="000000"/>
              <w:bottom w:val="single" w:sz="4" w:space="0" w:color="000000"/>
              <w:right w:val="single" w:sz="4" w:space="0" w:color="000000"/>
            </w:tcBorders>
          </w:tcPr>
          <w:p>
            <w:pPr/>
          </w:p>
        </w:tc>
        <w:tc>
          <w:tcPr>
            <w:tcW w:w="740" w:type="dxa"/>
            <w:tcBorders>
              <w:top w:val="single" w:sz="54" w:space="0" w:color="D3D3D3"/>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Times New Roman" w:hAnsi="Times New Roman" w:cs="Times New Roman" w:eastAsia="Times New Roman" w:hint="default"/>
                <w:sz w:val="18"/>
                <w:szCs w:val="18"/>
              </w:rPr>
            </w:pPr>
            <w:r>
              <w:rPr>
                <w:rFonts w:ascii="Times New Roman"/>
                <w:sz w:val="18"/>
              </w:rPr>
              <w:t>28,791,805.68</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 w:right="0"/>
              <w:jc w:val="center"/>
              <w:rPr>
                <w:rFonts w:ascii="Times New Roman" w:hAnsi="Times New Roman" w:cs="Times New Roman" w:eastAsia="Times New Roman" w:hint="default"/>
                <w:sz w:val="18"/>
                <w:szCs w:val="18"/>
              </w:rPr>
            </w:pPr>
            <w:r>
              <w:rPr>
                <w:rFonts w:ascii="Times New Roman"/>
                <w:sz w:val="18"/>
              </w:rPr>
              <w:t>-507,421,794.46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128,608,230.23</w:t>
            </w:r>
          </w:p>
        </w:tc>
      </w:tr>
      <w:tr>
        <w:trPr>
          <w:trHeight w:val="250" w:hRule="exact"/>
        </w:trPr>
        <w:tc>
          <w:tcPr>
            <w:tcW w:w="3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29"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9" w:lineRule="exact"/>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29"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9"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487,731,995.00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119,506,224.01</w:t>
            </w:r>
          </w:p>
        </w:tc>
        <w:tc>
          <w:tcPr>
            <w:tcW w:w="92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Times New Roman" w:hAnsi="Times New Roman" w:cs="Times New Roman" w:eastAsia="Times New Roman" w:hint="default"/>
                <w:sz w:val="18"/>
                <w:szCs w:val="18"/>
              </w:rPr>
            </w:pPr>
            <w:r>
              <w:rPr>
                <w:rFonts w:ascii="Times New Roman"/>
                <w:sz w:val="18"/>
              </w:rPr>
              <w:t>28,791,805.68</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 w:right="0"/>
              <w:jc w:val="center"/>
              <w:rPr>
                <w:rFonts w:ascii="Times New Roman" w:hAnsi="Times New Roman" w:cs="Times New Roman" w:eastAsia="Times New Roman" w:hint="default"/>
                <w:sz w:val="18"/>
                <w:szCs w:val="18"/>
              </w:rPr>
            </w:pPr>
            <w:r>
              <w:rPr>
                <w:rFonts w:ascii="Times New Roman"/>
                <w:sz w:val="18"/>
              </w:rPr>
              <w:t>-507,421,794.46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128,608,230.23</w:t>
            </w:r>
          </w:p>
        </w:tc>
      </w:tr>
      <w:tr>
        <w:trPr>
          <w:trHeight w:val="251" w:hRule="exact"/>
        </w:trPr>
        <w:tc>
          <w:tcPr>
            <w:tcW w:w="3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1"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329" w:type="dxa"/>
            <w:tcBorders>
              <w:top w:val="single" w:sz="4" w:space="0" w:color="000000"/>
              <w:left w:val="single" w:sz="13" w:space="0" w:color="D3D3D3"/>
              <w:bottom w:val="single" w:sz="4" w:space="0" w:color="000000"/>
              <w:right w:val="single" w:sz="4" w:space="0" w:color="000000"/>
            </w:tcBorders>
          </w:tcPr>
          <w:p>
            <w:pPr>
              <w:pStyle w:val="TableParagraph"/>
              <w:spacing w:line="232" w:lineRule="exact"/>
              <w:ind w:left="-123"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宋体" w:hAnsi="宋体" w:cs="宋体" w:eastAsia="宋体" w:hint="default"/>
                <w:spacing w:val="11"/>
                <w:sz w:val="18"/>
                <w:szCs w:val="18"/>
              </w:rPr>
              <w:t> </w:t>
            </w:r>
            <w:r>
              <w:rPr>
                <w:rFonts w:ascii="Times New Roman" w:hAnsi="Times New Roman" w:cs="Times New Roman" w:eastAsia="Times New Roman" w:hint="default"/>
                <w:sz w:val="18"/>
                <w:szCs w:val="18"/>
              </w:rPr>
              <w:t>529,966,415.00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pacing w:val="-1"/>
                <w:sz w:val="18"/>
              </w:rPr>
              <w:t>1,690,198,695.75</w:t>
            </w:r>
          </w:p>
        </w:tc>
        <w:tc>
          <w:tcPr>
            <w:tcW w:w="92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3" w:right="0"/>
              <w:jc w:val="center"/>
              <w:rPr>
                <w:rFonts w:ascii="Times New Roman" w:hAnsi="Times New Roman" w:cs="Times New Roman" w:eastAsia="Times New Roman" w:hint="default"/>
                <w:sz w:val="18"/>
                <w:szCs w:val="18"/>
              </w:rPr>
            </w:pPr>
            <w:r>
              <w:rPr>
                <w:rFonts w:ascii="Times New Roman"/>
                <w:sz w:val="18"/>
              </w:rPr>
              <w:t>197,696,360.41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pacing w:val="-1"/>
                <w:sz w:val="18"/>
              </w:rPr>
              <w:t>2,417,861,471.16</w:t>
            </w:r>
          </w:p>
        </w:tc>
      </w:tr>
      <w:tr>
        <w:trPr>
          <w:trHeight w:val="250" w:hRule="exact"/>
        </w:trPr>
        <w:tc>
          <w:tcPr>
            <w:tcW w:w="3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329"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63" w:right="0"/>
              <w:jc w:val="center"/>
              <w:rPr>
                <w:rFonts w:ascii="Times New Roman" w:hAnsi="Times New Roman" w:cs="Times New Roman" w:eastAsia="Times New Roman" w:hint="default"/>
                <w:sz w:val="18"/>
                <w:szCs w:val="18"/>
              </w:rPr>
            </w:pPr>
            <w:r>
              <w:rPr>
                <w:rFonts w:ascii="Times New Roman"/>
                <w:sz w:val="18"/>
              </w:rPr>
              <w:t>197,696,360.41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197,696,360.41</w:t>
            </w:r>
          </w:p>
        </w:tc>
      </w:tr>
      <w:tr>
        <w:trPr>
          <w:trHeight w:val="250" w:hRule="exact"/>
        </w:trPr>
        <w:tc>
          <w:tcPr>
            <w:tcW w:w="3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132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18"/>
                <w:szCs w:val="18"/>
              </w:rPr>
            </w:pPr>
            <w:r>
              <w:rPr>
                <w:rFonts w:ascii="Times New Roman"/>
                <w:spacing w:val="-1"/>
                <w:sz w:val="18"/>
              </w:rPr>
              <w:t>529,966,415.00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1,690,198,695.75</w:t>
            </w:r>
          </w:p>
        </w:tc>
        <w:tc>
          <w:tcPr>
            <w:tcW w:w="92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18"/>
                <w:szCs w:val="18"/>
              </w:rPr>
            </w:pPr>
            <w:r>
              <w:rPr>
                <w:rFonts w:ascii="Times New Roman"/>
                <w:spacing w:val="-1"/>
                <w:sz w:val="18"/>
              </w:rPr>
              <w:t>2,220,165,110.75</w:t>
            </w:r>
          </w:p>
        </w:tc>
      </w:tr>
      <w:tr>
        <w:trPr>
          <w:trHeight w:val="251" w:hRule="exact"/>
        </w:trPr>
        <w:tc>
          <w:tcPr>
            <w:tcW w:w="3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32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pacing w:val="-1"/>
                <w:sz w:val="18"/>
              </w:rPr>
              <w:t>529,966,415.00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pacing w:val="-1"/>
                <w:sz w:val="18"/>
              </w:rPr>
              <w:t>1,690,189,188.36</w:t>
            </w:r>
          </w:p>
        </w:tc>
        <w:tc>
          <w:tcPr>
            <w:tcW w:w="92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Times New Roman" w:hAnsi="Times New Roman" w:cs="Times New Roman" w:eastAsia="Times New Roman" w:hint="default"/>
                <w:sz w:val="18"/>
                <w:szCs w:val="18"/>
              </w:rPr>
            </w:pPr>
            <w:r>
              <w:rPr>
                <w:rFonts w:ascii="Times New Roman"/>
                <w:spacing w:val="-1"/>
                <w:sz w:val="18"/>
              </w:rPr>
              <w:t>2,220,155,603.36</w:t>
            </w:r>
          </w:p>
        </w:tc>
      </w:tr>
      <w:tr>
        <w:trPr>
          <w:trHeight w:val="250" w:hRule="exact"/>
        </w:trPr>
        <w:tc>
          <w:tcPr>
            <w:tcW w:w="3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．其他权益工具持有者投入资本</w:t>
            </w:r>
          </w:p>
        </w:tc>
        <w:tc>
          <w:tcPr>
            <w:tcW w:w="1329" w:type="dxa"/>
            <w:tcBorders>
              <w:top w:val="single" w:sz="4" w:space="0" w:color="000000"/>
              <w:left w:val="single" w:sz="9"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．股份支付计入所有者权益的金额</w:t>
            </w:r>
          </w:p>
        </w:tc>
        <w:tc>
          <w:tcPr>
            <w:tcW w:w="1329" w:type="dxa"/>
            <w:tcBorders>
              <w:top w:val="single" w:sz="4" w:space="0" w:color="000000"/>
              <w:left w:val="single" w:sz="9"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29" w:type="dxa"/>
            <w:tcBorders>
              <w:top w:val="single" w:sz="4" w:space="0" w:color="000000"/>
              <w:left w:val="single" w:sz="9"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z w:val="18"/>
              </w:rPr>
              <w:t>9,507.39</w:t>
            </w:r>
          </w:p>
        </w:tc>
        <w:tc>
          <w:tcPr>
            <w:tcW w:w="92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9"/>
              <w:jc w:val="right"/>
              <w:rPr>
                <w:rFonts w:ascii="Times New Roman" w:hAnsi="Times New Roman" w:cs="Times New Roman" w:eastAsia="Times New Roman" w:hint="default"/>
                <w:sz w:val="18"/>
                <w:szCs w:val="18"/>
              </w:rPr>
            </w:pPr>
            <w:r>
              <w:rPr>
                <w:rFonts w:ascii="Times New Roman"/>
                <w:sz w:val="18"/>
              </w:rPr>
              <w:t>9,507.39</w:t>
            </w:r>
          </w:p>
        </w:tc>
      </w:tr>
      <w:tr>
        <w:trPr>
          <w:trHeight w:val="250" w:hRule="exact"/>
        </w:trPr>
        <w:tc>
          <w:tcPr>
            <w:tcW w:w="3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29" w:type="dxa"/>
            <w:tcBorders>
              <w:top w:val="single" w:sz="4" w:space="0" w:color="000000"/>
              <w:left w:val="single" w:sz="9"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29" w:type="dxa"/>
            <w:tcBorders>
              <w:top w:val="single" w:sz="4" w:space="0" w:color="000000"/>
              <w:left w:val="single" w:sz="9"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．对所有者（或股东）的分配</w:t>
            </w:r>
          </w:p>
        </w:tc>
        <w:tc>
          <w:tcPr>
            <w:tcW w:w="1329" w:type="dxa"/>
            <w:tcBorders>
              <w:top w:val="single" w:sz="4" w:space="0" w:color="000000"/>
              <w:left w:val="single" w:sz="9"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29" w:type="dxa"/>
            <w:tcBorders>
              <w:top w:val="single" w:sz="4" w:space="0" w:color="000000"/>
              <w:left w:val="single" w:sz="9"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329" w:type="dxa"/>
            <w:tcBorders>
              <w:top w:val="single" w:sz="4" w:space="0" w:color="000000"/>
              <w:left w:val="single" w:sz="9"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329"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329"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29"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29"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29"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1"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29"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329"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3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29"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251" w:hRule="exact"/>
        </w:trPr>
        <w:tc>
          <w:tcPr>
            <w:tcW w:w="3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7" w:lineRule="exact"/>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1,017,698,410.00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1,809,704,919.76</w:t>
            </w:r>
          </w:p>
        </w:tc>
        <w:tc>
          <w:tcPr>
            <w:tcW w:w="923"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 w:right="0"/>
              <w:jc w:val="center"/>
              <w:rPr>
                <w:rFonts w:ascii="Times New Roman" w:hAnsi="Times New Roman" w:cs="Times New Roman" w:eastAsia="Times New Roman" w:hint="default"/>
                <w:sz w:val="18"/>
                <w:szCs w:val="18"/>
              </w:rPr>
            </w:pPr>
            <w:r>
              <w:rPr>
                <w:rFonts w:ascii="Times New Roman"/>
                <w:sz w:val="18"/>
              </w:rPr>
              <w:t>28,791,805.68</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 w:right="0"/>
              <w:jc w:val="center"/>
              <w:rPr>
                <w:rFonts w:ascii="Times New Roman" w:hAnsi="Times New Roman" w:cs="Times New Roman" w:eastAsia="Times New Roman" w:hint="default"/>
                <w:sz w:val="18"/>
                <w:szCs w:val="18"/>
              </w:rPr>
            </w:pPr>
            <w:r>
              <w:rPr>
                <w:rFonts w:ascii="Times New Roman"/>
                <w:sz w:val="18"/>
              </w:rPr>
              <w:t>-309,725,434.05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18"/>
                <w:szCs w:val="18"/>
              </w:rPr>
            </w:pPr>
            <w:r>
              <w:rPr>
                <w:rFonts w:ascii="Times New Roman"/>
                <w:spacing w:val="-1"/>
                <w:sz w:val="18"/>
              </w:rPr>
              <w:t>2,546,469,701.39</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736" w:footer="978" w:top="1000" w:bottom="1160" w:left="1300" w:right="1300"/>
        </w:sectPr>
      </w:pPr>
    </w:p>
    <w:p>
      <w:pPr>
        <w:spacing w:line="240" w:lineRule="auto" w:before="9"/>
        <w:rPr>
          <w:rFonts w:ascii="宋体" w:hAnsi="宋体" w:cs="宋体" w:eastAsia="宋体" w:hint="default"/>
          <w:sz w:val="19"/>
          <w:szCs w:val="19"/>
        </w:rPr>
      </w:pPr>
    </w:p>
    <w:p>
      <w:pPr>
        <w:pStyle w:val="Heading3"/>
        <w:spacing w:line="240" w:lineRule="auto" w:before="26"/>
        <w:ind w:right="99"/>
        <w:jc w:val="left"/>
        <w:rPr>
          <w:b w:val="0"/>
          <w:bCs w:val="0"/>
        </w:rPr>
      </w:pPr>
      <w:r>
        <w:rPr/>
        <w:t>三、公司基本情况</w:t>
      </w:r>
      <w:r>
        <w:rPr>
          <w:b w:val="0"/>
          <w:bCs w:val="0"/>
        </w:rPr>
      </w:r>
    </w:p>
    <w:p>
      <w:pPr>
        <w:spacing w:line="240" w:lineRule="auto" w:before="0"/>
        <w:rPr>
          <w:rFonts w:ascii="宋体" w:hAnsi="宋体" w:cs="宋体" w:eastAsia="宋体" w:hint="default"/>
          <w:b/>
          <w:bCs/>
          <w:sz w:val="25"/>
          <w:szCs w:val="25"/>
        </w:rPr>
      </w:pPr>
    </w:p>
    <w:p>
      <w:pPr>
        <w:pStyle w:val="BodyText"/>
        <w:spacing w:line="312" w:lineRule="exact"/>
        <w:ind w:right="99" w:firstLine="480"/>
        <w:jc w:val="left"/>
      </w:pPr>
      <w:r>
        <w:rPr/>
        <w:t>浙江华媒控股股份有限公司（以下简称公司或本公司）系由浙江华智控股股份有限公司</w:t>
      </w:r>
      <w:r>
        <w:rPr>
          <w:spacing w:val="1"/>
        </w:rPr>
        <w:t> </w:t>
      </w:r>
      <w:r>
        <w:rPr>
          <w:spacing w:val="2"/>
        </w:rPr>
        <w:t>更名而来，其前身为重庆川仪股份有限公司，系于</w:t>
      </w:r>
      <w:r>
        <w:rPr>
          <w:rFonts w:ascii="Times New Roman" w:hAnsi="Times New Roman" w:cs="Times New Roman" w:eastAsia="Times New Roman" w:hint="default"/>
          <w:spacing w:val="2"/>
        </w:rPr>
        <w:t>1993</w:t>
      </w:r>
      <w:r>
        <w:rPr>
          <w:spacing w:val="2"/>
        </w:rPr>
        <w:t>年经重庆市体改委体改发</w:t>
      </w:r>
      <w:r>
        <w:rPr>
          <w:rFonts w:ascii="Times New Roman" w:hAnsi="Times New Roman" w:cs="Times New Roman" w:eastAsia="Times New Roman" w:hint="default"/>
          <w:spacing w:val="2"/>
        </w:rPr>
        <w:t>[1993]30</w:t>
      </w:r>
      <w:r>
        <w:rPr>
          <w:spacing w:val="2"/>
        </w:rPr>
        <w:t>号</w:t>
      </w:r>
      <w:r>
        <w:rPr>
          <w:spacing w:val="-116"/>
        </w:rPr>
        <w:t> </w:t>
      </w:r>
      <w:r>
        <w:rPr/>
        <w:t>文批准设立的定向募集股份有限公司，于</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5</w:t>
      </w:r>
      <w:r>
        <w:rPr/>
        <w:t>月和</w:t>
      </w:r>
      <w:r>
        <w:rPr>
          <w:rFonts w:ascii="Times New Roman" w:hAnsi="Times New Roman" w:cs="Times New Roman" w:eastAsia="Times New Roman" w:hint="default"/>
        </w:rPr>
        <w:t>7</w:t>
      </w:r>
      <w:r>
        <w:rPr/>
        <w:t>月分别进行了股权转让和重大资产重</w:t>
      </w:r>
      <w:r>
        <w:rPr>
          <w:spacing w:val="-83"/>
        </w:rPr>
        <w:t> </w:t>
      </w:r>
      <w:r>
        <w:rPr/>
        <w:t>组，华方医药科技有限公司（原名华立产业集团有限公司，以下简称华方医药）成为公司第</w:t>
      </w:r>
      <w:r>
        <w:rPr>
          <w:spacing w:val="-83"/>
        </w:rPr>
        <w:t> </w:t>
      </w:r>
      <w:r>
        <w:rPr>
          <w:spacing w:val="-83"/>
        </w:rPr>
      </w:r>
      <w:r>
        <w:rPr/>
        <w:t>一大股东。</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10</w:t>
      </w:r>
      <w:r>
        <w:rPr/>
        <w:t>月公司更名为重庆华立控股股份有限公司，</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6</w:t>
      </w:r>
      <w:r>
        <w:rPr/>
        <w:t>月更名为重庆华立药 </w:t>
      </w:r>
      <w:r>
        <w:rPr>
          <w:spacing w:val="-2"/>
        </w:rPr>
        <w:t>业股份有限公司。根据</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4</w:t>
      </w:r>
      <w:r>
        <w:rPr>
          <w:spacing w:val="-2"/>
        </w:rPr>
        <w:t>日华方医药与华立集团股份有限公司（以下简称华立集团）</w:t>
      </w:r>
      <w:r>
        <w:rPr>
          <w:spacing w:val="-114"/>
        </w:rPr>
        <w:t> </w:t>
      </w:r>
      <w:r>
        <w:rPr>
          <w:spacing w:val="-114"/>
        </w:rPr>
      </w:r>
      <w:r>
        <w:rPr/>
        <w:t>签订的股权转让合同，华方医药将持有公司</w:t>
      </w:r>
      <w:r>
        <w:rPr>
          <w:rFonts w:ascii="Times New Roman" w:hAnsi="Times New Roman" w:cs="Times New Roman" w:eastAsia="Times New Roman" w:hint="default"/>
        </w:rPr>
        <w:t>23.52%</w:t>
      </w:r>
      <w:r>
        <w:rPr/>
        <w:t>的股份转让给华立集团，华立集团成为公 司第一大股东。</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13</w:t>
      </w:r>
      <w:r>
        <w:rPr/>
        <w:t>日，公司名称变更为重庆华智控股股份有限公司。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spacing w:val="-86"/>
        </w:rPr>
        <w:t> </w:t>
      </w:r>
      <w:r>
        <w:rPr/>
        <w:t>公司更名为浙江华智控股股份有限公司。</w:t>
      </w:r>
    </w:p>
    <w:p>
      <w:pPr>
        <w:pStyle w:val="BodyText"/>
        <w:spacing w:line="312" w:lineRule="exact"/>
        <w:ind w:right="231" w:firstLine="480"/>
        <w:jc w:val="both"/>
      </w:pPr>
      <w:r>
        <w:rPr>
          <w:rFonts w:ascii="Times New Roman" w:hAnsi="Times New Roman" w:cs="Times New Roman" w:eastAsia="Times New Roman" w:hint="default"/>
          <w:spacing w:val="-2"/>
        </w:rPr>
        <w:t>1996</w:t>
      </w:r>
      <w:r>
        <w:rPr>
          <w:spacing w:val="-2"/>
        </w:rPr>
        <w:t>年公司经批准向社会公开发行</w:t>
      </w:r>
      <w:r>
        <w:rPr>
          <w:rFonts w:ascii="Times New Roman" w:hAnsi="Times New Roman" w:cs="Times New Roman" w:eastAsia="Times New Roman" w:hint="default"/>
          <w:spacing w:val="-2"/>
        </w:rPr>
        <w:t>A</w:t>
      </w:r>
      <w:r>
        <w:rPr>
          <w:spacing w:val="-2"/>
        </w:rPr>
        <w:t>股股票，同年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30</w:t>
      </w:r>
      <w:r>
        <w:rPr>
          <w:spacing w:val="-2"/>
        </w:rPr>
        <w:t>日，</w:t>
      </w:r>
      <w:r>
        <w:rPr>
          <w:rFonts w:ascii="Times New Roman" w:hAnsi="Times New Roman" w:cs="Times New Roman" w:eastAsia="Times New Roman" w:hint="default"/>
          <w:spacing w:val="-2"/>
        </w:rPr>
        <w:t>4,500</w:t>
      </w:r>
      <w:r>
        <w:rPr>
          <w:spacing w:val="-2"/>
        </w:rPr>
        <w:t>万股人民币普通股股票</w:t>
      </w:r>
      <w:r>
        <w:rPr/>
        <w:t> </w:t>
      </w:r>
      <w:r>
        <w:rPr>
          <w:spacing w:val="-1"/>
        </w:rPr>
        <w:t>在深交所挂牌上市。经历次增资，截至</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日，公司注册资本</w:t>
      </w:r>
      <w:r>
        <w:rPr>
          <w:rFonts w:ascii="Times New Roman" w:hAnsi="Times New Roman" w:cs="Times New Roman" w:eastAsia="Times New Roman" w:hint="default"/>
          <w:spacing w:val="-1"/>
        </w:rPr>
        <w:t>487,731,995.00</w:t>
      </w:r>
      <w:r>
        <w:rPr>
          <w:spacing w:val="-1"/>
        </w:rPr>
        <w:t>元，股</w:t>
      </w:r>
      <w:r>
        <w:rPr>
          <w:spacing w:val="-91"/>
        </w:rPr>
        <w:t> </w:t>
      </w:r>
      <w:r>
        <w:rPr>
          <w:spacing w:val="-91"/>
        </w:rPr>
      </w:r>
      <w:r>
        <w:rPr/>
        <w:t>份</w:t>
      </w:r>
      <w:r>
        <w:rPr>
          <w:rFonts w:ascii="Times New Roman" w:hAnsi="Times New Roman" w:cs="Times New Roman" w:eastAsia="Times New Roman" w:hint="default"/>
        </w:rPr>
        <w:t>487,731,995</w:t>
      </w:r>
      <w:r>
        <w:rPr/>
        <w:t>股，均为无限售条件流通股。</w:t>
      </w:r>
    </w:p>
    <w:p>
      <w:pPr>
        <w:pStyle w:val="BodyText"/>
        <w:spacing w:line="312" w:lineRule="exact"/>
        <w:ind w:right="111" w:firstLine="480"/>
        <w:jc w:val="both"/>
      </w:pPr>
      <w:r>
        <w:rPr/>
        <w:t>根据浙江华智控股股份有限公司第七届董事会第十一次会议决议和</w:t>
      </w:r>
      <w:r>
        <w:rPr>
          <w:rFonts w:ascii="Times New Roman" w:hAnsi="Times New Roman" w:cs="Times New Roman" w:eastAsia="Times New Roman" w:hint="default"/>
        </w:rPr>
        <w:t>2014</w:t>
      </w:r>
      <w:r>
        <w:rPr/>
        <w:t>年第一次临时股</w:t>
      </w:r>
      <w:r>
        <w:rPr>
          <w:spacing w:val="1"/>
        </w:rPr>
        <w:t> </w:t>
      </w:r>
      <w:r>
        <w:rPr/>
        <w:t>东大会决议、</w:t>
      </w:r>
      <w:r>
        <w:rPr>
          <w:rFonts w:ascii="Times New Roman" w:hAnsi="Times New Roman" w:cs="Times New Roman" w:eastAsia="Times New Roman" w:hint="default"/>
        </w:rPr>
        <w:t>2014</w:t>
      </w:r>
      <w:r>
        <w:rPr/>
        <w:t>年第二次临时股东大会决议，并经中共中央宣传部出具《关于同意杭州日</w:t>
      </w:r>
      <w:r>
        <w:rPr>
          <w:spacing w:val="-89"/>
        </w:rPr>
        <w:t> </w:t>
      </w:r>
      <w:r>
        <w:rPr>
          <w:spacing w:val="-89"/>
        </w:rPr>
      </w:r>
      <w:r>
        <w:rPr/>
        <w:t>报报业集团下属经营性资产借壳上市方案的函》、国家新闻出版广电总局出具《关于同意杭</w:t>
      </w:r>
      <w:r>
        <w:rPr>
          <w:spacing w:val="-83"/>
        </w:rPr>
        <w:t> </w:t>
      </w:r>
      <w:r>
        <w:rPr>
          <w:spacing w:val="-83"/>
        </w:rPr>
      </w:r>
      <w:r>
        <w:rPr>
          <w:spacing w:val="2"/>
        </w:rPr>
        <w:t>州日报报业集团借壳上市的批复》（新出审字</w:t>
      </w:r>
      <w:r>
        <w:rPr>
          <w:rFonts w:ascii="Times New Roman" w:hAnsi="Times New Roman" w:cs="Times New Roman" w:eastAsia="Times New Roman" w:hint="default"/>
          <w:spacing w:val="2"/>
        </w:rPr>
        <w:t>[2013]1684</w:t>
      </w:r>
      <w:r>
        <w:rPr>
          <w:spacing w:val="2"/>
        </w:rPr>
        <w:t>号）、浙江省财政厅出具《关于同</w:t>
      </w:r>
      <w:r>
        <w:rPr>
          <w:spacing w:val="-112"/>
        </w:rPr>
        <w:t> </w:t>
      </w:r>
      <w:r>
        <w:rPr>
          <w:spacing w:val="2"/>
        </w:rPr>
        <w:t>意杭报集团下属传媒经营性资产借壳上市方案的批复》（浙财文资</w:t>
      </w:r>
      <w:r>
        <w:rPr>
          <w:rFonts w:ascii="Times New Roman" w:hAnsi="Times New Roman" w:cs="Times New Roman" w:eastAsia="Times New Roman" w:hint="default"/>
          <w:spacing w:val="2"/>
        </w:rPr>
        <w:t>[2014]11</w:t>
      </w:r>
      <w:r>
        <w:rPr>
          <w:spacing w:val="2"/>
        </w:rPr>
        <w:t>号）、中国证券</w:t>
      </w:r>
      <w:r>
        <w:rPr>
          <w:spacing w:val="-106"/>
        </w:rPr>
        <w:t> </w:t>
      </w:r>
      <w:r>
        <w:rPr/>
        <w:t>监督管理委员会《关于核准浙江华智控股股份有限公司重大资产重组及向杭州日报报业集团</w:t>
      </w:r>
      <w:r>
        <w:rPr>
          <w:spacing w:val="-83"/>
        </w:rPr>
        <w:t> </w:t>
      </w:r>
      <w:r>
        <w:rPr>
          <w:spacing w:val="-83"/>
        </w:rPr>
      </w:r>
      <w:r>
        <w:rPr>
          <w:spacing w:val="2"/>
        </w:rPr>
        <w:t>有限公司等发行股份购买资产的批复》（证监许可</w:t>
      </w:r>
      <w:r>
        <w:rPr>
          <w:rFonts w:ascii="Times New Roman" w:hAnsi="Times New Roman" w:cs="Times New Roman" w:eastAsia="Times New Roman" w:hint="default"/>
          <w:spacing w:val="2"/>
        </w:rPr>
        <w:t>[2014]1274</w:t>
      </w:r>
      <w:r>
        <w:rPr>
          <w:spacing w:val="2"/>
        </w:rPr>
        <w:t>号）及《关于核准豁免杭州日</w:t>
      </w:r>
      <w:r>
        <w:rPr>
          <w:spacing w:val="-112"/>
        </w:rPr>
        <w:t> </w:t>
      </w:r>
      <w:r>
        <w:rPr>
          <w:spacing w:val="-5"/>
        </w:rPr>
        <w:t>报报业集团有限公司及一致行动人要约收购浙江华智控股股份有限公司股份义务的批复》（证</w:t>
      </w:r>
      <w:r>
        <w:rPr>
          <w:spacing w:val="-117"/>
        </w:rPr>
        <w:t> </w:t>
      </w:r>
      <w:r>
        <w:rPr>
          <w:spacing w:val="-117"/>
        </w:rPr>
      </w:r>
      <w:r>
        <w:rPr>
          <w:spacing w:val="2"/>
        </w:rPr>
        <w:t>监许可</w:t>
      </w:r>
      <w:r>
        <w:rPr>
          <w:rFonts w:ascii="Times New Roman" w:hAnsi="Times New Roman" w:cs="Times New Roman" w:eastAsia="Times New Roman" w:hint="default"/>
          <w:spacing w:val="2"/>
        </w:rPr>
        <w:t>[2014]1275</w:t>
      </w:r>
      <w:r>
        <w:rPr>
          <w:spacing w:val="2"/>
        </w:rPr>
        <w:t>号）批准，浙江华智控股股份有限公司对杭州日报报业集团有限公司和都</w:t>
      </w:r>
      <w:r>
        <w:rPr>
          <w:spacing w:val="-113"/>
        </w:rPr>
        <w:t> </w:t>
      </w:r>
      <w:r>
        <w:rPr>
          <w:spacing w:val="-113"/>
        </w:rPr>
      </w:r>
      <w:r>
        <w:rPr/>
        <w:t>市快报社发行股份</w:t>
      </w:r>
      <w:r>
        <w:rPr>
          <w:rFonts w:ascii="Times New Roman" w:hAnsi="Times New Roman" w:cs="Times New Roman" w:eastAsia="Times New Roman" w:hint="default"/>
        </w:rPr>
        <w:t>529,966,415</w:t>
      </w:r>
      <w:r>
        <w:rPr/>
        <w:t>股，购买杭州日报报业集团有限公司和都市快报社拥有的传媒</w:t>
      </w:r>
      <w:r>
        <w:rPr>
          <w:spacing w:val="-85"/>
        </w:rPr>
        <w:t> </w:t>
      </w:r>
      <w:r>
        <w:rPr/>
        <w:t>类</w:t>
      </w:r>
      <w:r>
        <w:rPr>
          <w:rFonts w:ascii="Times New Roman" w:hAnsi="Times New Roman" w:cs="Times New Roman" w:eastAsia="Times New Roman" w:hint="default"/>
        </w:rPr>
        <w:t>11</w:t>
      </w:r>
      <w:r>
        <w:rPr/>
        <w:t>家企业股权。上述交易完成后，杭州日报报业集团有限公司成为本公司的控股股东，杭</w:t>
      </w:r>
      <w:r>
        <w:rPr>
          <w:spacing w:val="-83"/>
        </w:rPr>
        <w:t> </w:t>
      </w:r>
      <w:r>
        <w:rPr>
          <w:spacing w:val="-83"/>
        </w:rPr>
      </w:r>
      <w:r>
        <w:rPr>
          <w:spacing w:val="-4"/>
        </w:rPr>
        <w:t>州日报报业集团（杭州日报社）持有杭报集团有限公司</w:t>
      </w:r>
      <w:r>
        <w:rPr>
          <w:rFonts w:ascii="Times New Roman" w:hAnsi="Times New Roman" w:cs="Times New Roman" w:eastAsia="Times New Roman" w:hint="default"/>
          <w:spacing w:val="-4"/>
        </w:rPr>
        <w:t>100%</w:t>
      </w:r>
      <w:r>
        <w:rPr>
          <w:spacing w:val="-4"/>
        </w:rPr>
        <w:t>股权、成为本公司的实际控制人。</w:t>
      </w:r>
    </w:p>
    <w:p>
      <w:pPr>
        <w:pStyle w:val="BodyText"/>
        <w:spacing w:line="312" w:lineRule="exact"/>
        <w:ind w:left="633" w:right="99"/>
        <w:jc w:val="left"/>
      </w:pPr>
      <w:r>
        <w:rPr/>
        <w:t>本财务报表业经本公司董事会于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26</w:t>
      </w:r>
      <w:r>
        <w:rPr/>
        <w:t>日决议批准报出。 本公司及各子公司主要从事：设计、制作、代理、发布国内各类广告，实业投资，新媒</w:t>
      </w:r>
    </w:p>
    <w:p>
      <w:pPr>
        <w:pStyle w:val="BodyText"/>
        <w:spacing w:line="312" w:lineRule="exact"/>
        <w:ind w:right="99"/>
        <w:jc w:val="left"/>
      </w:pPr>
      <w:r>
        <w:rPr/>
        <w:t>体技术开发，经营进出口业务，会展服务。（上述经营范围不含国家法律法规规定禁止、限</w:t>
      </w:r>
      <w:r>
        <w:rPr>
          <w:spacing w:val="-83"/>
        </w:rPr>
        <w:t> </w:t>
      </w:r>
      <w:r>
        <w:rPr>
          <w:spacing w:val="-83"/>
        </w:rPr>
      </w:r>
      <w:r>
        <w:rPr/>
        <w:t>制和许可经营的项目）。</w:t>
      </w:r>
    </w:p>
    <w:p>
      <w:pPr>
        <w:spacing w:line="240" w:lineRule="auto" w:before="11"/>
        <w:rPr>
          <w:rFonts w:ascii="宋体" w:hAnsi="宋体" w:cs="宋体" w:eastAsia="宋体" w:hint="default"/>
          <w:sz w:val="23"/>
          <w:szCs w:val="23"/>
        </w:rPr>
      </w:pPr>
    </w:p>
    <w:p>
      <w:pPr>
        <w:pStyle w:val="BodyText"/>
        <w:spacing w:line="312" w:lineRule="exact"/>
        <w:ind w:left="154" w:right="105" w:firstLine="384"/>
        <w:jc w:val="left"/>
      </w:pPr>
      <w:r>
        <w:rPr>
          <w:spacing w:val="-3"/>
        </w:rPr>
        <w:t>本公司2015年度纳入合并范围的子公司共13户，详见第十节</w:t>
      </w:r>
      <w:r>
        <w:rPr>
          <w:spacing w:val="8"/>
        </w:rPr>
        <w:t> </w:t>
      </w:r>
      <w:r>
        <w:rPr>
          <w:spacing w:val="-20"/>
        </w:rPr>
        <w:t>九、“在其他主体中的权益”。</w:t>
      </w:r>
      <w:r>
        <w:rPr/>
        <w:t> 本公司本年度合并范围比上年度增加3户，详见第十节 八“合并范围的变更”。</w:t>
      </w:r>
    </w:p>
    <w:p>
      <w:pPr>
        <w:spacing w:line="240" w:lineRule="auto" w:before="10"/>
        <w:rPr>
          <w:rFonts w:ascii="宋体" w:hAnsi="宋体" w:cs="宋体" w:eastAsia="宋体" w:hint="default"/>
          <w:sz w:val="20"/>
          <w:szCs w:val="20"/>
        </w:rPr>
      </w:pPr>
    </w:p>
    <w:p>
      <w:pPr>
        <w:pStyle w:val="Heading3"/>
        <w:spacing w:line="240" w:lineRule="auto"/>
        <w:ind w:right="99"/>
        <w:jc w:val="left"/>
        <w:rPr>
          <w:b w:val="0"/>
          <w:bCs w:val="0"/>
        </w:rPr>
      </w:pPr>
      <w:r>
        <w:rPr/>
        <w:t>四、财务报表的编制基础</w:t>
      </w:r>
      <w:r>
        <w:rPr>
          <w:b w:val="0"/>
          <w:bCs w:val="0"/>
        </w:rPr>
      </w:r>
    </w:p>
    <w:p>
      <w:pPr>
        <w:spacing w:line="240" w:lineRule="auto" w:before="8"/>
        <w:rPr>
          <w:rFonts w:ascii="宋体" w:hAnsi="宋体" w:cs="宋体" w:eastAsia="宋体" w:hint="default"/>
          <w:b/>
          <w:bCs/>
          <w:sz w:val="24"/>
          <w:szCs w:val="24"/>
        </w:rPr>
      </w:pPr>
    </w:p>
    <w:p>
      <w:pPr>
        <w:spacing w:before="0"/>
        <w:ind w:left="154"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、编制基础</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226" w:firstLine="480"/>
        <w:jc w:val="both"/>
      </w:pPr>
      <w:r>
        <w:rPr/>
        <w:t>本公司财务报表以持续经营假设为基础，根据实际发生的交易和事项，按照财政部发布</w:t>
      </w:r>
      <w:r>
        <w:rPr>
          <w:spacing w:val="1"/>
        </w:rPr>
        <w:t> </w:t>
      </w:r>
      <w:r>
        <w:rPr/>
        <w:t>的《企业会计准则</w:t>
      </w:r>
      <w:r>
        <w:rPr>
          <w:rFonts w:ascii="Times New Roman" w:hAnsi="Times New Roman" w:cs="Times New Roman" w:eastAsia="Times New Roman" w:hint="default"/>
        </w:rPr>
        <w:t>——</w:t>
      </w:r>
      <w:r>
        <w:rPr/>
        <w:t>基本准则》（财政部令第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rFonts w:ascii="Times New Roman" w:hAnsi="Times New Roman" w:cs="Times New Roman" w:eastAsia="Times New Roman" w:hint="default"/>
          <w:spacing w:val="-44"/>
        </w:rPr>
        <w:t> </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15</w:t>
      </w:r>
      <w:r>
        <w:rPr>
          <w:spacing w:val="-2"/>
        </w:rPr>
        <w:t>日及其后颁布和修订的</w:t>
      </w:r>
      <w:r>
        <w:rPr>
          <w:rFonts w:ascii="Times New Roman" w:hAnsi="Times New Roman" w:cs="Times New Roman" w:eastAsia="Times New Roman" w:hint="default"/>
          <w:spacing w:val="-2"/>
        </w:rPr>
        <w:t>41</w:t>
      </w:r>
      <w:r>
        <w:rPr>
          <w:spacing w:val="-2"/>
        </w:rPr>
        <w:t>项具体会计准则、企业会计准则应用指南、企业会计准则解</w:t>
      </w:r>
      <w:r>
        <w:rPr>
          <w:spacing w:val="-116"/>
        </w:rPr>
        <w:t> </w:t>
      </w:r>
      <w:r>
        <w:rPr>
          <w:spacing w:val="-116"/>
        </w:rPr>
      </w:r>
      <w:r>
        <w:rPr/>
        <w:t>释及其他相关规定（以下合称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），以及中国证券监督管理委员会《公开发行</w:t>
      </w:r>
      <w:r>
        <w:rPr>
          <w:spacing w:val="-78"/>
        </w:rPr>
        <w:t> </w:t>
      </w:r>
      <w:r>
        <w:rPr/>
        <w:t>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年修订）的披露规定</w:t>
      </w:r>
      <w:r>
        <w:rPr>
          <w:spacing w:val="-89"/>
        </w:rPr>
        <w:t> </w:t>
      </w:r>
      <w:r>
        <w:rPr/>
        <w:t>编制。</w:t>
      </w:r>
    </w:p>
    <w:p>
      <w:pPr>
        <w:spacing w:after="0" w:line="312" w:lineRule="exact"/>
        <w:jc w:val="both"/>
        <w:sectPr>
          <w:headerReference w:type="default" r:id="rId31"/>
          <w:footerReference w:type="default" r:id="rId32"/>
          <w:pgSz w:w="11910" w:h="16840"/>
          <w:pgMar w:header="877" w:footer="982" w:top="1100" w:bottom="1180" w:left="980" w:right="900"/>
          <w:pgNumType w:start="92"/>
        </w:sectPr>
      </w:pPr>
    </w:p>
    <w:p>
      <w:pPr>
        <w:spacing w:line="240" w:lineRule="auto" w:before="7"/>
        <w:rPr>
          <w:rFonts w:ascii="宋体" w:hAnsi="宋体" w:cs="宋体" w:eastAsia="宋体" w:hint="default"/>
          <w:sz w:val="19"/>
          <w:szCs w:val="19"/>
        </w:rPr>
      </w:pPr>
    </w:p>
    <w:p>
      <w:pPr>
        <w:pStyle w:val="BodyText"/>
        <w:spacing w:line="312" w:lineRule="exact" w:before="56"/>
        <w:ind w:right="228" w:firstLine="480"/>
        <w:jc w:val="both"/>
      </w:pPr>
      <w:r>
        <w:rPr/>
        <w:t>根据企业会计准则的相关规定，本公司会计核算以权责发生制为基础。除某些金融工具</w:t>
      </w:r>
      <w:r>
        <w:rPr>
          <w:spacing w:val="1"/>
        </w:rPr>
        <w:t> </w:t>
      </w:r>
      <w:r>
        <w:rPr/>
        <w:t>和投资性房地产外，本财务报表均以历史成本为计量基础。持有待售的非流动资产，按公允</w:t>
      </w:r>
      <w:r>
        <w:rPr>
          <w:spacing w:val="-83"/>
        </w:rPr>
        <w:t> </w:t>
      </w:r>
      <w:r>
        <w:rPr>
          <w:spacing w:val="-83"/>
        </w:rPr>
      </w:r>
      <w:r>
        <w:rPr/>
        <w:t>价值减去预计费用后的金额，以及符合持有待售条件时的原账面价值，取两者孰低计价。资</w:t>
      </w:r>
      <w:r>
        <w:rPr>
          <w:spacing w:val="-83"/>
        </w:rPr>
        <w:t> </w:t>
      </w:r>
      <w:r>
        <w:rPr>
          <w:spacing w:val="-83"/>
        </w:rPr>
      </w:r>
      <w:r>
        <w:rPr/>
        <w:t>产如果发生减值，则按照相关规定计提相应的减值准备。</w:t>
      </w:r>
    </w:p>
    <w:p>
      <w:pPr>
        <w:spacing w:line="240" w:lineRule="auto" w:before="7"/>
        <w:rPr>
          <w:rFonts w:ascii="宋体" w:hAnsi="宋体" w:cs="宋体" w:eastAsia="宋体" w:hint="default"/>
          <w:sz w:val="22"/>
          <w:szCs w:val="22"/>
        </w:rPr>
      </w:pPr>
    </w:p>
    <w:p>
      <w:pPr>
        <w:spacing w:before="0"/>
        <w:ind w:left="154"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444" w:right="99" w:firstLine="0"/>
        <w:jc w:val="left"/>
        <w:rPr>
          <w:rFonts w:ascii="宋体" w:hAnsi="宋体" w:cs="宋体" w:eastAsia="宋体" w:hint="default"/>
          <w:sz w:val="18"/>
          <w:szCs w:val="18"/>
        </w:rPr>
      </w:pPr>
      <w:r>
        <w:rPr>
          <w:rFonts w:ascii="宋体" w:hAnsi="宋体" w:cs="宋体" w:eastAsia="宋体" w:hint="default"/>
          <w:sz w:val="18"/>
          <w:szCs w:val="18"/>
        </w:rPr>
        <w:t>本公司不存在导致对报告期末起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个月内的持续经营假设产生重大疑虑的事项或情况。</w:t>
      </w:r>
    </w:p>
    <w:p>
      <w:pPr>
        <w:spacing w:line="240" w:lineRule="auto" w:before="1"/>
        <w:rPr>
          <w:rFonts w:ascii="宋体" w:hAnsi="宋体" w:cs="宋体" w:eastAsia="宋体" w:hint="default"/>
          <w:sz w:val="24"/>
          <w:szCs w:val="24"/>
        </w:rPr>
      </w:pPr>
    </w:p>
    <w:p>
      <w:pPr>
        <w:pStyle w:val="Heading3"/>
        <w:spacing w:line="240" w:lineRule="auto"/>
        <w:ind w:right="99"/>
        <w:jc w:val="left"/>
        <w:rPr>
          <w:b w:val="0"/>
          <w:bCs w:val="0"/>
        </w:rPr>
      </w:pPr>
      <w:r>
        <w:rPr/>
        <w:t>五、重要会计政策及会计估计</w:t>
      </w:r>
      <w:r>
        <w:rPr>
          <w:b w:val="0"/>
          <w:bCs w:val="0"/>
        </w:rPr>
      </w:r>
    </w:p>
    <w:p>
      <w:pPr>
        <w:spacing w:line="240" w:lineRule="auto" w:before="7"/>
        <w:rPr>
          <w:rFonts w:ascii="宋体" w:hAnsi="宋体" w:cs="宋体" w:eastAsia="宋体" w:hint="default"/>
          <w:b/>
          <w:bCs/>
          <w:sz w:val="26"/>
          <w:szCs w:val="26"/>
        </w:rPr>
      </w:pPr>
    </w:p>
    <w:p>
      <w:pPr>
        <w:spacing w:before="0"/>
        <w:ind w:left="154" w:right="99"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pStyle w:val="BodyText"/>
        <w:spacing w:line="312" w:lineRule="exact" w:before="96"/>
        <w:ind w:left="154" w:right="250"/>
        <w:jc w:val="left"/>
      </w:pPr>
      <w:r>
        <w:rPr/>
        <w:t>本公司下列重要会计政策、会计估计根据企业会计准则制定。未提及的业务按企业会计准则 中相关会计政策执行。</w:t>
      </w:r>
    </w:p>
    <w:p>
      <w:pPr>
        <w:spacing w:line="240" w:lineRule="auto" w:before="7"/>
        <w:rPr>
          <w:rFonts w:ascii="宋体" w:hAnsi="宋体" w:cs="宋体" w:eastAsia="宋体" w:hint="default"/>
          <w:sz w:val="22"/>
          <w:szCs w:val="22"/>
        </w:rPr>
      </w:pPr>
    </w:p>
    <w:p>
      <w:pPr>
        <w:spacing w:before="0"/>
        <w:ind w:left="154"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left="154" w:right="228" w:firstLine="480"/>
        <w:jc w:val="both"/>
      </w:pPr>
      <w:r>
        <w:rPr/>
        <w:t>本公司编制的财务报表符合企业会计准则的要求，真实、完整地反映了本公司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rFonts w:ascii="Times New Roman" w:hAnsi="Times New Roman" w:cs="Times New Roman" w:eastAsia="Times New Roman" w:hint="default"/>
        </w:rPr>
        <w:t>31</w:t>
      </w:r>
      <w:r>
        <w:rPr/>
        <w:t>日的财务状况及</w:t>
      </w:r>
      <w:r>
        <w:rPr>
          <w:rFonts w:ascii="Times New Roman" w:hAnsi="Times New Roman" w:cs="Times New Roman" w:eastAsia="Times New Roman" w:hint="default"/>
        </w:rPr>
        <w:t>2015</w:t>
      </w:r>
      <w:r>
        <w:rPr/>
        <w:t>年度的经营成果和现金流量等有关信息。此外，本公司的财务报表</w:t>
      </w:r>
      <w:r>
        <w:rPr>
          <w:spacing w:val="-88"/>
        </w:rPr>
        <w:t> </w:t>
      </w:r>
      <w:r>
        <w:rPr>
          <w:spacing w:val="-88"/>
        </w:rPr>
      </w:r>
      <w:r>
        <w:rPr/>
        <w:t>在所有重大方面符合中国证券监督管理委员会</w:t>
      </w:r>
      <w:r>
        <w:rPr>
          <w:rFonts w:ascii="Times New Roman" w:hAnsi="Times New Roman" w:cs="Times New Roman" w:eastAsia="Times New Roman" w:hint="default"/>
        </w:rPr>
        <w:t>2014</w:t>
      </w:r>
      <w:r>
        <w:rPr/>
        <w:t>年修订的《公开发行证券的公司信息披露</w:t>
      </w:r>
      <w:r>
        <w:rPr>
          <w:spacing w:val="-84"/>
        </w:rPr>
        <w:t> </w:t>
      </w:r>
      <w:r>
        <w:rPr/>
        <w:t>编报规则第</w:t>
      </w:r>
      <w:r>
        <w:rPr>
          <w:rFonts w:ascii="Times New Roman" w:hAnsi="Times New Roman" w:cs="Times New Roman" w:eastAsia="Times New Roman" w:hint="default"/>
        </w:rPr>
        <w:t>15</w:t>
      </w:r>
      <w:r>
        <w:rPr/>
        <w:t>号－财务报告的一般规定》有关财务报表及其附注的披露要求。</w:t>
      </w:r>
    </w:p>
    <w:p>
      <w:pPr>
        <w:spacing w:line="240" w:lineRule="auto" w:before="7"/>
        <w:rPr>
          <w:rFonts w:ascii="宋体" w:hAnsi="宋体" w:cs="宋体" w:eastAsia="宋体" w:hint="default"/>
          <w:sz w:val="22"/>
          <w:szCs w:val="22"/>
        </w:rPr>
      </w:pPr>
    </w:p>
    <w:p>
      <w:pPr>
        <w:spacing w:before="0"/>
        <w:ind w:left="154"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230" w:firstLine="480"/>
        <w:jc w:val="both"/>
      </w:pPr>
      <w:r>
        <w:rPr/>
        <w:t>本公司的会计期间分为年度和中期，会计中期指短于一个完整的会计年度的报告期间。</w:t>
      </w:r>
      <w:r>
        <w:rPr>
          <w:spacing w:val="1"/>
        </w:rPr>
        <w:t> </w:t>
      </w:r>
      <w:r>
        <w:rPr/>
        <w:t>本公司会计年度采用公历年度，即每年自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7"/>
        <w:rPr>
          <w:rFonts w:ascii="宋体" w:hAnsi="宋体" w:cs="宋体" w:eastAsia="宋体" w:hint="default"/>
          <w:sz w:val="22"/>
          <w:szCs w:val="22"/>
        </w:rPr>
      </w:pPr>
    </w:p>
    <w:p>
      <w:pPr>
        <w:spacing w:before="0"/>
        <w:ind w:left="154"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230" w:firstLine="480"/>
        <w:jc w:val="both"/>
      </w:pPr>
      <w:r>
        <w:rPr/>
        <w:t>正常营业周期是指本公司从购买用于加工的资产起至实现现金或现金等价物的期间。本</w:t>
      </w:r>
      <w:r>
        <w:rPr>
          <w:spacing w:val="1"/>
        </w:rPr>
        <w:t> </w:t>
      </w:r>
      <w:r>
        <w:rPr/>
        <w:t>公司以</w:t>
      </w:r>
      <w:r>
        <w:rPr>
          <w:rFonts w:ascii="Times New Roman" w:hAnsi="Times New Roman" w:cs="Times New Roman" w:eastAsia="Times New Roman" w:hint="default"/>
        </w:rPr>
        <w:t>12</w:t>
      </w:r>
      <w:r>
        <w:rPr/>
        <w:t>个月作为一个营业周期，并以其作为资产和负债的流动性划分标准。</w:t>
      </w:r>
    </w:p>
    <w:p>
      <w:pPr>
        <w:spacing w:line="240" w:lineRule="auto" w:before="7"/>
        <w:rPr>
          <w:rFonts w:ascii="宋体" w:hAnsi="宋体" w:cs="宋体" w:eastAsia="宋体" w:hint="default"/>
          <w:sz w:val="22"/>
          <w:szCs w:val="22"/>
        </w:rPr>
      </w:pPr>
    </w:p>
    <w:p>
      <w:pPr>
        <w:spacing w:before="0"/>
        <w:ind w:left="154"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54" w:right="268" w:firstLine="480"/>
        <w:jc w:val="both"/>
      </w:pPr>
      <w:r>
        <w:rPr/>
        <w:t>人民币为本公司及境内子公司经营所处的主要经济环境中的货币，本公司及境内子公司 以人民币为记账本位币。本公司编制本财务报表时所采用的货币为人民币。</w:t>
      </w: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22"/>
          <w:szCs w:val="22"/>
        </w:rPr>
      </w:pPr>
    </w:p>
    <w:p>
      <w:pPr>
        <w:spacing w:before="0"/>
        <w:ind w:left="154"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56" w:right="228" w:firstLine="480"/>
        <w:jc w:val="both"/>
      </w:pPr>
      <w:r>
        <w:rPr/>
        <w:t>企业合并，是指将两个或两个以上单独的企业合并形成一个报告主体的交易或事项。企</w:t>
      </w:r>
      <w:r>
        <w:rPr>
          <w:spacing w:val="1"/>
        </w:rPr>
        <w:t> </w:t>
      </w:r>
      <w:r>
        <w:rPr/>
        <w:t>业合并分为同一控制下企业合并和非同一控制下企业合并。</w:t>
      </w:r>
    </w:p>
    <w:p>
      <w:pPr>
        <w:pStyle w:val="BodyText"/>
        <w:spacing w:line="312" w:lineRule="exact"/>
        <w:ind w:left="633" w:right="99"/>
        <w:jc w:val="left"/>
      </w:pPr>
      <w:r>
        <w:rPr/>
        <w:t>（</w:t>
      </w:r>
      <w:r>
        <w:rPr>
          <w:rFonts w:ascii="Times New Roman" w:hAnsi="Times New Roman" w:cs="Times New Roman" w:eastAsia="Times New Roman" w:hint="default"/>
        </w:rPr>
        <w:t>1</w:t>
      </w:r>
      <w:r>
        <w:rPr/>
        <w:t>）同一控制下企业合并 </w:t>
      </w:r>
      <w:r>
        <w:rPr>
          <w:spacing w:val="-3"/>
        </w:rPr>
        <w:t>参与合并的企业在合并前后均受同一方或相同的多方最终控制，且该控制并非暂时性的，</w:t>
      </w:r>
    </w:p>
    <w:p>
      <w:pPr>
        <w:pStyle w:val="BodyText"/>
        <w:spacing w:line="283" w:lineRule="exact"/>
        <w:ind w:right="99"/>
        <w:jc w:val="left"/>
      </w:pPr>
      <w:r>
        <w:rPr/>
        <w:t>为同一控制下的企业合并。同一控制下的企业合并，在合并日取得对其他参与合并企业控制</w:t>
      </w:r>
    </w:p>
    <w:p>
      <w:pPr>
        <w:spacing w:after="0" w:line="283" w:lineRule="exact"/>
        <w:jc w:val="left"/>
        <w:sectPr>
          <w:pgSz w:w="11910" w:h="16840"/>
          <w:pgMar w:header="877" w:footer="982" w:top="1100" w:bottom="1180" w:left="980" w:right="900"/>
        </w:sectPr>
      </w:pPr>
    </w:p>
    <w:p>
      <w:pPr>
        <w:spacing w:line="240" w:lineRule="auto" w:before="7"/>
        <w:rPr>
          <w:rFonts w:ascii="宋体" w:hAnsi="宋体" w:cs="宋体" w:eastAsia="宋体" w:hint="default"/>
          <w:sz w:val="19"/>
          <w:szCs w:val="19"/>
        </w:rPr>
      </w:pPr>
    </w:p>
    <w:p>
      <w:pPr>
        <w:pStyle w:val="BodyText"/>
        <w:spacing w:line="312" w:lineRule="exact" w:before="56"/>
        <w:ind w:right="148"/>
        <w:jc w:val="both"/>
      </w:pPr>
      <w:r>
        <w:rPr/>
        <w:t>权的一方为合并方，参与合并的其他企业为被合并方。合并日，是指合并方实际取得对被合</w:t>
      </w:r>
      <w:r>
        <w:rPr>
          <w:spacing w:val="-83"/>
        </w:rPr>
        <w:t> </w:t>
      </w:r>
      <w:r>
        <w:rPr>
          <w:spacing w:val="-83"/>
        </w:rPr>
      </w:r>
      <w:r>
        <w:rPr/>
        <w:t>并方控制权的日期。</w:t>
      </w:r>
    </w:p>
    <w:p>
      <w:pPr>
        <w:pStyle w:val="BodyText"/>
        <w:spacing w:line="312" w:lineRule="exact"/>
        <w:ind w:right="148" w:firstLine="480"/>
        <w:jc w:val="both"/>
      </w:pPr>
      <w:r>
        <w:rPr/>
        <w:t>合并方取得的资产和负债均按合并日在被合并方的账面价值计量。合并方取得的净资产</w:t>
      </w:r>
      <w:r>
        <w:rPr>
          <w:spacing w:val="1"/>
        </w:rPr>
        <w:t> </w:t>
      </w:r>
      <w:r>
        <w:rPr/>
        <w:t>账面价值与支付的合并对价账面价值（或发行股份面值总额）的差额，调整资本公积（股本</w:t>
      </w:r>
      <w:r>
        <w:rPr>
          <w:spacing w:val="-83"/>
        </w:rPr>
        <w:t> </w:t>
      </w:r>
      <w:r>
        <w:rPr>
          <w:spacing w:val="-83"/>
        </w:rPr>
      </w:r>
      <w:r>
        <w:rPr/>
        <w:t>溢价）；资本公积（股本溢价）不足以冲减的，调整留存收益。</w:t>
      </w:r>
    </w:p>
    <w:p>
      <w:pPr>
        <w:pStyle w:val="BodyText"/>
        <w:spacing w:line="282" w:lineRule="exact"/>
        <w:ind w:left="633" w:right="0"/>
        <w:jc w:val="left"/>
      </w:pPr>
      <w:r>
        <w:rPr/>
        <w:t>合并方为进行企业合并发生的各项直接费用，于发生时计入当期损益。</w:t>
      </w:r>
    </w:p>
    <w:p>
      <w:pPr>
        <w:pStyle w:val="BodyText"/>
        <w:spacing w:line="312" w:lineRule="exact" w:before="29"/>
        <w:ind w:left="633" w:right="0"/>
        <w:jc w:val="left"/>
      </w:pPr>
      <w:r>
        <w:rPr/>
        <w:t>（</w:t>
      </w:r>
      <w:r>
        <w:rPr>
          <w:rFonts w:ascii="Times New Roman" w:hAnsi="Times New Roman" w:cs="Times New Roman" w:eastAsia="Times New Roman" w:hint="default"/>
        </w:rPr>
        <w:t>2</w:t>
      </w:r>
      <w:r>
        <w:rPr/>
        <w:t>）非同一控制下企业合并 参与合并的企业在合并前后不受同一方或相同的多方最终控制的，为非同一控制下的企</w:t>
      </w:r>
    </w:p>
    <w:p>
      <w:pPr>
        <w:pStyle w:val="BodyText"/>
        <w:spacing w:line="312" w:lineRule="exact"/>
        <w:ind w:right="148"/>
        <w:jc w:val="both"/>
      </w:pPr>
      <w:r>
        <w:rPr/>
        <w:t>业合并。非同一控制下的企业合并，在购买日取得对其他参与合并企业控制权的一方为购买</w:t>
      </w:r>
      <w:r>
        <w:rPr>
          <w:spacing w:val="-83"/>
        </w:rPr>
        <w:t> </w:t>
      </w:r>
      <w:r>
        <w:rPr>
          <w:spacing w:val="-83"/>
        </w:rPr>
      </w:r>
      <w:r>
        <w:rPr/>
        <w:t>方，参与合并的其他企业为被购买方。购买日，是指为购买方实际取得对被购买方控制权的</w:t>
      </w:r>
      <w:r>
        <w:rPr>
          <w:spacing w:val="-83"/>
        </w:rPr>
        <w:t> </w:t>
      </w:r>
      <w:r>
        <w:rPr>
          <w:spacing w:val="-83"/>
        </w:rPr>
      </w:r>
      <w:r>
        <w:rPr/>
        <w:t>日期。</w:t>
      </w:r>
    </w:p>
    <w:p>
      <w:pPr>
        <w:pStyle w:val="BodyText"/>
        <w:spacing w:line="312" w:lineRule="exact"/>
        <w:ind w:right="148" w:firstLine="480"/>
        <w:jc w:val="both"/>
      </w:pPr>
      <w:r>
        <w:rPr/>
        <w:t>对于非同一控制下的企业合并，合并成本包含购买日购买方为取得对被购买方的控制权</w:t>
      </w:r>
      <w:r>
        <w:rPr>
          <w:spacing w:val="1"/>
        </w:rPr>
        <w:t> </w:t>
      </w:r>
      <w:r>
        <w:rPr/>
        <w:t>而付出的资产、发生或承担的负债以及发行的权益性证券的公允价值，为企业合并发生的审</w:t>
      </w:r>
      <w:r>
        <w:rPr>
          <w:spacing w:val="-83"/>
        </w:rPr>
        <w:t> </w:t>
      </w:r>
      <w:r>
        <w:rPr>
          <w:spacing w:val="-83"/>
        </w:rPr>
      </w:r>
      <w:r>
        <w:rPr/>
        <w:t>计、法律服务、评估咨询等中介费用以及其他管理费用于发生时计入当期损益。购买方作为</w:t>
      </w:r>
      <w:r>
        <w:rPr>
          <w:spacing w:val="-83"/>
        </w:rPr>
        <w:t> </w:t>
      </w:r>
      <w:r>
        <w:rPr>
          <w:spacing w:val="-83"/>
        </w:rPr>
      </w:r>
      <w:r>
        <w:rPr/>
        <w:t>合并对价发行的权益性证券或债务性证券的交易费用，计入权益性证券或债务性证券的初始</w:t>
      </w:r>
      <w:r>
        <w:rPr>
          <w:spacing w:val="-83"/>
        </w:rPr>
        <w:t> </w:t>
      </w:r>
      <w:r>
        <w:rPr>
          <w:spacing w:val="-83"/>
        </w:rPr>
      </w:r>
      <w:r>
        <w:rPr/>
        <w:t>确认金额。所涉及的或有对价按其在购买日的公允价值计入合并成本，购买日后</w:t>
      </w:r>
      <w:r>
        <w:rPr>
          <w:rFonts w:ascii="Times New Roman" w:hAnsi="Times New Roman" w:cs="Times New Roman" w:eastAsia="Times New Roman" w:hint="default"/>
        </w:rPr>
        <w:t>12</w:t>
      </w:r>
      <w:r>
        <w:rPr/>
        <w:t>个月内出</w:t>
      </w:r>
      <w:r>
        <w:rPr>
          <w:spacing w:val="-85"/>
        </w:rPr>
        <w:t> </w:t>
      </w:r>
      <w:r>
        <w:rPr/>
        <w:t>现对购买日已存在情况的新的或进一步证据而需要调整或有对价的，相应调整合并商誉。购</w:t>
      </w:r>
      <w:r>
        <w:rPr>
          <w:spacing w:val="-83"/>
        </w:rPr>
        <w:t> </w:t>
      </w:r>
      <w:r>
        <w:rPr>
          <w:spacing w:val="-83"/>
        </w:rPr>
      </w:r>
      <w:r>
        <w:rPr/>
        <w:t>买方发生的合并成本及在合并中取得的可辨认净资产按购买日的公允价值计量。合并成本大</w:t>
      </w:r>
      <w:r>
        <w:rPr>
          <w:spacing w:val="-83"/>
        </w:rPr>
        <w:t> </w:t>
      </w:r>
      <w:r>
        <w:rPr>
          <w:spacing w:val="-83"/>
        </w:rPr>
      </w:r>
      <w:r>
        <w:rPr/>
        <w:t>于合并中取得的被购买方于购买日可辨认净资产公允价值份额的差额，确认为商誉。合并成</w:t>
      </w:r>
      <w:r>
        <w:rPr>
          <w:spacing w:val="-83"/>
        </w:rPr>
        <w:t> </w:t>
      </w:r>
      <w:r>
        <w:rPr>
          <w:spacing w:val="-83"/>
        </w:rPr>
      </w:r>
      <w:r>
        <w:rPr/>
        <w:t>本小于合并中取得的被购买方可辨认净资产公允价值份额的，首先对取得的被购买方各项可</w:t>
      </w:r>
      <w:r>
        <w:rPr>
          <w:spacing w:val="-83"/>
        </w:rPr>
        <w:t> </w:t>
      </w:r>
      <w:r>
        <w:rPr>
          <w:spacing w:val="-83"/>
        </w:rPr>
      </w:r>
      <w:r>
        <w:rPr/>
        <w:t>辨认资产、负债及或有负债的公允价值以及合并成本的计量进行复核，复核后合并成本仍小</w:t>
      </w:r>
      <w:r>
        <w:rPr>
          <w:spacing w:val="-83"/>
        </w:rPr>
        <w:t> </w:t>
      </w:r>
      <w:r>
        <w:rPr>
          <w:spacing w:val="-83"/>
        </w:rPr>
      </w:r>
      <w:r>
        <w:rPr/>
        <w:t>于合并中取得的被购买方可辨认净资产公允价值份额的，其差额计入当期损益。</w:t>
      </w:r>
    </w:p>
    <w:p>
      <w:pPr>
        <w:pStyle w:val="BodyText"/>
        <w:spacing w:line="312" w:lineRule="exact"/>
        <w:ind w:right="148" w:firstLine="480"/>
        <w:jc w:val="both"/>
      </w:pPr>
      <w:r>
        <w:rPr/>
        <w:t>购买方取得被购买方的可抵扣暂时性差异，在购买日因不符合递延所得税资产确认条件</w:t>
      </w:r>
      <w:r>
        <w:rPr>
          <w:spacing w:val="1"/>
        </w:rPr>
        <w:t> </w:t>
      </w:r>
      <w:r>
        <w:rPr/>
        <w:t>而未予确认的，在购买日后</w:t>
      </w:r>
      <w:r>
        <w:rPr>
          <w:rFonts w:ascii="Times New Roman" w:hAnsi="Times New Roman" w:cs="Times New Roman" w:eastAsia="Times New Roman" w:hint="default"/>
        </w:rPr>
        <w:t>12</w:t>
      </w:r>
      <w:r>
        <w:rPr/>
        <w:t>个月内，如取得新的或进一步的信息表明购买日的相关情况已</w:t>
      </w:r>
      <w:r>
        <w:rPr>
          <w:spacing w:val="-84"/>
        </w:rPr>
        <w:t> </w:t>
      </w:r>
      <w:r>
        <w:rPr>
          <w:spacing w:val="-84"/>
        </w:rPr>
      </w:r>
      <w:r>
        <w:rPr/>
        <w:t>经存在，预期被购买方在购买日可抵扣暂时性差异带来的经济利益能够实现的，则确认相关</w:t>
      </w:r>
      <w:r>
        <w:rPr>
          <w:spacing w:val="-83"/>
        </w:rPr>
        <w:t> </w:t>
      </w:r>
      <w:r>
        <w:rPr>
          <w:spacing w:val="-83"/>
        </w:rPr>
      </w:r>
      <w:r>
        <w:rPr/>
        <w:t>的递延所得税资产，同时减少商誉，商誉不足冲减的，差额部分确认为当期损益；除上述情</w:t>
      </w:r>
      <w:r>
        <w:rPr>
          <w:spacing w:val="-83"/>
        </w:rPr>
        <w:t> </w:t>
      </w:r>
      <w:r>
        <w:rPr>
          <w:spacing w:val="-83"/>
        </w:rPr>
      </w:r>
      <w:r>
        <w:rPr/>
        <w:t>况以外，确认与企业合并相关的递延所得税资产的，计入当期损益。</w:t>
      </w:r>
    </w:p>
    <w:p>
      <w:pPr>
        <w:pStyle w:val="BodyText"/>
        <w:spacing w:line="312" w:lineRule="exact"/>
        <w:ind w:right="147" w:firstLine="480"/>
        <w:jc w:val="both"/>
      </w:pPr>
      <w:r>
        <w:rPr/>
        <w:t>通过多次交易分步实现的非同一控制下企业合并，根据《财政部关于印发企业会计准则</w:t>
      </w:r>
      <w:r>
        <w:rPr>
          <w:spacing w:val="1"/>
        </w:rPr>
        <w:t> </w:t>
      </w:r>
      <w:r>
        <w:rPr>
          <w:spacing w:val="-2"/>
        </w:rPr>
        <w:t>解释第</w:t>
      </w:r>
      <w:r>
        <w:rPr>
          <w:rFonts w:ascii="Times New Roman" w:hAnsi="Times New Roman" w:cs="Times New Roman" w:eastAsia="Times New Roman" w:hint="default"/>
          <w:spacing w:val="-2"/>
        </w:rPr>
        <w:t>5</w:t>
      </w:r>
      <w:r>
        <w:rPr>
          <w:spacing w:val="-2"/>
        </w:rPr>
        <w:t>号的通知》（财会〔</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19</w:t>
      </w:r>
      <w:r>
        <w:rPr>
          <w:spacing w:val="-2"/>
        </w:rPr>
        <w:t>号）和《企业会计准则第</w:t>
      </w:r>
      <w:r>
        <w:rPr>
          <w:rFonts w:ascii="Times New Roman" w:hAnsi="Times New Roman" w:cs="Times New Roman" w:eastAsia="Times New Roman" w:hint="default"/>
          <w:spacing w:val="-2"/>
        </w:rPr>
        <w:t>33</w:t>
      </w:r>
      <w:r>
        <w:rPr>
          <w:spacing w:val="-2"/>
        </w:rPr>
        <w:t>号</w:t>
      </w:r>
      <w:r>
        <w:rPr>
          <w:rFonts w:ascii="Times New Roman" w:hAnsi="Times New Roman" w:cs="Times New Roman" w:eastAsia="Times New Roman" w:hint="default"/>
          <w:spacing w:val="-2"/>
        </w:rPr>
        <w:t>——</w:t>
      </w:r>
      <w:r>
        <w:rPr>
          <w:spacing w:val="-2"/>
        </w:rPr>
        <w:t>合并财务报表》第五</w:t>
      </w:r>
      <w:r>
        <w:rPr>
          <w:spacing w:val="-114"/>
        </w:rPr>
        <w:t> </w:t>
      </w:r>
      <w:r>
        <w:rPr>
          <w:spacing w:val="-114"/>
        </w:rPr>
      </w:r>
      <w:r>
        <w:rPr>
          <w:spacing w:val="-7"/>
        </w:rPr>
        <w:t>十一条关于</w:t>
      </w:r>
      <w:r>
        <w:rPr>
          <w:rFonts w:ascii="Times New Roman" w:hAnsi="Times New Roman" w:cs="Times New Roman" w:eastAsia="Times New Roman" w:hint="default"/>
          <w:spacing w:val="-7"/>
        </w:rPr>
        <w:t>“</w:t>
      </w:r>
      <w:r>
        <w:rPr>
          <w:spacing w:val="-7"/>
        </w:rPr>
        <w:t>一揽子交易</w:t>
      </w:r>
      <w:r>
        <w:rPr>
          <w:rFonts w:ascii="Times New Roman" w:hAnsi="Times New Roman" w:cs="Times New Roman" w:eastAsia="Times New Roman" w:hint="default"/>
          <w:spacing w:val="-7"/>
        </w:rPr>
        <w:t>”</w:t>
      </w:r>
      <w:r>
        <w:rPr>
          <w:spacing w:val="-7"/>
        </w:rPr>
        <w:t>的判断标准（参见本附注四、</w:t>
      </w:r>
      <w:r>
        <w:rPr>
          <w:rFonts w:ascii="Times New Roman" w:hAnsi="Times New Roman" w:cs="Times New Roman" w:eastAsia="Times New Roman" w:hint="default"/>
          <w:spacing w:val="-7"/>
        </w:rPr>
        <w:t>5</w:t>
      </w:r>
      <w:r>
        <w:rPr>
          <w:spacing w:val="-7"/>
        </w:rPr>
        <w:t>（</w:t>
      </w:r>
      <w:r>
        <w:rPr>
          <w:rFonts w:ascii="Times New Roman" w:hAnsi="Times New Roman" w:cs="Times New Roman" w:eastAsia="Times New Roman" w:hint="default"/>
          <w:spacing w:val="-7"/>
        </w:rPr>
        <w:t>2</w:t>
      </w:r>
      <w:r>
        <w:rPr>
          <w:spacing w:val="-7"/>
        </w:rPr>
        <w:t>）），判断该多次交易是否属于</w:t>
      </w:r>
      <w:r>
        <w:rPr>
          <w:rFonts w:ascii="Times New Roman" w:hAnsi="Times New Roman" w:cs="Times New Roman" w:eastAsia="Times New Roman" w:hint="default"/>
          <w:spacing w:val="-7"/>
        </w:rPr>
        <w:t>“</w:t>
      </w:r>
      <w:r>
        <w:rPr>
          <w:spacing w:val="-7"/>
        </w:rPr>
        <w:t>一</w:t>
      </w:r>
      <w:r>
        <w:rPr>
          <w:spacing w:val="-94"/>
        </w:rPr>
        <w:t> </w:t>
      </w:r>
      <w:r>
        <w:rPr>
          <w:spacing w:val="-1"/>
        </w:rPr>
        <w:t>揽子交易</w:t>
      </w:r>
      <w:r>
        <w:rPr>
          <w:rFonts w:ascii="Times New Roman" w:hAnsi="Times New Roman" w:cs="Times New Roman" w:eastAsia="Times New Roman" w:hint="default"/>
          <w:spacing w:val="-1"/>
        </w:rPr>
        <w:t>”</w:t>
      </w:r>
      <w:r>
        <w:rPr>
          <w:spacing w:val="-1"/>
        </w:rPr>
        <w:t>。属于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的，参考本部分前面各段描述及本附注四、</w:t>
      </w:r>
      <w:r>
        <w:rPr>
          <w:rFonts w:ascii="Times New Roman" w:hAnsi="Times New Roman" w:cs="Times New Roman" w:eastAsia="Times New Roman" w:hint="default"/>
          <w:spacing w:val="-1"/>
        </w:rPr>
        <w:t>12“</w:t>
      </w:r>
      <w:r>
        <w:rPr>
          <w:spacing w:val="-1"/>
        </w:rPr>
        <w:t>长期股权投资</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31"/>
        </w:rPr>
        <w:t> </w:t>
      </w:r>
      <w:r>
        <w:rPr/>
        <w:t>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的，区分个别财务报表和合并财务报表进行相关会计处</w:t>
      </w:r>
      <w:r>
        <w:rPr>
          <w:spacing w:val="-80"/>
        </w:rPr>
        <w:t> </w:t>
      </w:r>
      <w:r>
        <w:rPr/>
        <w:t>理：</w:t>
      </w:r>
    </w:p>
    <w:p>
      <w:pPr>
        <w:pStyle w:val="BodyText"/>
        <w:spacing w:line="312" w:lineRule="exact"/>
        <w:ind w:right="148" w:firstLine="480"/>
        <w:jc w:val="both"/>
      </w:pPr>
      <w:r>
        <w:rPr/>
        <w:t>在个别财务报表中，以购买日之前所持被购买方的股权投资的账面价值与购买日新增投</w:t>
      </w:r>
      <w:r>
        <w:rPr>
          <w:spacing w:val="1"/>
        </w:rPr>
        <w:t> </w:t>
      </w:r>
      <w:r>
        <w:rPr/>
        <w:t>资成本之和，作为该项投资的初始投资成本；购买日之前持有的被购买方的股权涉及其他综</w:t>
      </w:r>
      <w:r>
        <w:rPr>
          <w:spacing w:val="-83"/>
        </w:rPr>
        <w:t> </w:t>
      </w:r>
      <w:r>
        <w:rPr>
          <w:spacing w:val="-83"/>
        </w:rPr>
      </w:r>
      <w:r>
        <w:rPr/>
        <w:t>合收益的，在处置该项投资时将与其相关的其他综合收益采用与被购买方直接处置相关资产</w:t>
      </w:r>
      <w:r>
        <w:rPr>
          <w:spacing w:val="-83"/>
        </w:rPr>
        <w:t> </w:t>
      </w:r>
      <w:r>
        <w:rPr>
          <w:spacing w:val="-83"/>
        </w:rPr>
      </w:r>
      <w:r>
        <w:rPr/>
        <w:t>或负债相同的基础进行会计处理（即，除了按照权益法核算的在被购买方重新计量设定受益</w:t>
      </w:r>
      <w:r>
        <w:rPr>
          <w:spacing w:val="-83"/>
        </w:rPr>
        <w:t> </w:t>
      </w:r>
      <w:r>
        <w:rPr>
          <w:spacing w:val="-83"/>
        </w:rPr>
      </w:r>
      <w:r>
        <w:rPr/>
        <w:t>计划净负债或净资产导致的变动中的相应份额以外，其余转入当期投资收益）。</w:t>
      </w:r>
    </w:p>
    <w:p>
      <w:pPr>
        <w:pStyle w:val="BodyText"/>
        <w:spacing w:line="312" w:lineRule="exact"/>
        <w:ind w:right="148" w:firstLine="480"/>
        <w:jc w:val="both"/>
      </w:pPr>
      <w:r>
        <w:rPr/>
        <w:t>在合并财务报表中，对于购买日之前持有的被购买方的股权，按照该股权在购买日的公</w:t>
      </w:r>
      <w:r>
        <w:rPr>
          <w:spacing w:val="1"/>
        </w:rPr>
        <w:t> </w:t>
      </w:r>
      <w:r>
        <w:rPr/>
        <w:t>允价值进行重新计量，公允价值与其账面价值的差额计入当期投资收益；购买日之前持有的</w:t>
      </w:r>
      <w:r>
        <w:rPr>
          <w:spacing w:val="-83"/>
        </w:rPr>
        <w:t> </w:t>
      </w:r>
      <w:r>
        <w:rPr>
          <w:spacing w:val="-83"/>
        </w:rPr>
      </w:r>
      <w:r>
        <w:rPr/>
        <w:t>被购买方的股权涉及其他综合收益的，与其相关的其他综合收益应当采用与被购买方直接处</w:t>
      </w:r>
      <w:r>
        <w:rPr>
          <w:spacing w:val="-83"/>
        </w:rPr>
        <w:t> </w:t>
      </w:r>
      <w:r>
        <w:rPr>
          <w:spacing w:val="-83"/>
        </w:rPr>
      </w:r>
      <w:r>
        <w:rPr/>
        <w:t>置相关资产或负债相同的基础进行会计处理（即，除了按照权益法核算的在被购买方重新计</w:t>
      </w:r>
      <w:r>
        <w:rPr>
          <w:spacing w:val="-83"/>
        </w:rPr>
        <w:t> </w:t>
      </w:r>
      <w:r>
        <w:rPr>
          <w:spacing w:val="-83"/>
        </w:rPr>
      </w:r>
      <w:r>
        <w:rPr/>
        <w:t>量设定受益计划净负债或净资产导致的变动中的相应份额以外，其余转为购买日所属当期投</w:t>
      </w:r>
      <w:r>
        <w:rPr>
          <w:spacing w:val="-83"/>
        </w:rPr>
        <w:t> </w:t>
      </w:r>
      <w:r>
        <w:rPr>
          <w:spacing w:val="-83"/>
        </w:rPr>
      </w:r>
      <w:r>
        <w:rPr/>
        <w:t>资收益）。</w:t>
      </w:r>
    </w:p>
    <w:p>
      <w:pPr>
        <w:spacing w:after="0" w:line="312" w:lineRule="exact"/>
        <w:jc w:val="both"/>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spacing w:before="35"/>
        <w:ind w:left="15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633" w:right="0"/>
        <w:jc w:val="left"/>
      </w:pPr>
      <w:r>
        <w:rPr/>
        <w:t>（</w:t>
      </w:r>
      <w:r>
        <w:rPr>
          <w:rFonts w:ascii="Times New Roman" w:hAnsi="Times New Roman" w:cs="Times New Roman" w:eastAsia="Times New Roman" w:hint="default"/>
        </w:rPr>
        <w:t>1</w:t>
      </w:r>
      <w:r>
        <w:rPr/>
        <w:t>）合并财务报表范围的确定原则 合并财务报表的合并范围以控制为基础予以确定。控制是指本公司拥有对被投资方的权</w:t>
      </w:r>
    </w:p>
    <w:p>
      <w:pPr>
        <w:pStyle w:val="BodyText"/>
        <w:spacing w:line="312" w:lineRule="exact"/>
        <w:ind w:right="148"/>
        <w:jc w:val="both"/>
      </w:pPr>
      <w:r>
        <w:rPr/>
        <w:t>力，通过参与被投资方的相关活动而享有可变回报，并且有能力运用对被投资方的权力影响</w:t>
      </w:r>
      <w:r>
        <w:rPr>
          <w:spacing w:val="-83"/>
        </w:rPr>
        <w:t> </w:t>
      </w:r>
      <w:r>
        <w:rPr>
          <w:spacing w:val="-83"/>
        </w:rPr>
      </w:r>
      <w:r>
        <w:rPr/>
        <w:t>该回报金额。合并范围包括本公司及全部子公司。子公司，是指被本公司控制的主体。</w:t>
      </w:r>
    </w:p>
    <w:p>
      <w:pPr>
        <w:pStyle w:val="BodyText"/>
        <w:spacing w:line="312" w:lineRule="exact"/>
        <w:ind w:left="154" w:right="150" w:firstLine="480"/>
        <w:jc w:val="both"/>
      </w:pPr>
      <w:r>
        <w:rPr/>
        <w:t>一旦相关事实和情况的变化导致上述控制定义涉及的相关要素发生了变化，本公司将进</w:t>
      </w:r>
      <w:r>
        <w:rPr>
          <w:spacing w:val="1"/>
        </w:rPr>
        <w:t> </w:t>
      </w:r>
      <w:r>
        <w:rPr/>
        <w:t>行重新评估。</w:t>
      </w:r>
    </w:p>
    <w:p>
      <w:pPr>
        <w:pStyle w:val="BodyText"/>
        <w:spacing w:line="312" w:lineRule="exact"/>
        <w:ind w:left="634" w:right="0"/>
        <w:jc w:val="left"/>
      </w:pPr>
      <w:r>
        <w:rPr/>
        <w:t>（</w:t>
      </w:r>
      <w:r>
        <w:rPr>
          <w:rFonts w:ascii="Times New Roman" w:hAnsi="Times New Roman" w:cs="Times New Roman" w:eastAsia="Times New Roman" w:hint="default"/>
        </w:rPr>
        <w:t>2</w:t>
      </w:r>
      <w:r>
        <w:rPr/>
        <w:t>）合并财务报表编制的方法 从取得子公司的净资产和生产经营决策的实际控制权之日起，本公司开始将其纳入合并</w:t>
      </w:r>
    </w:p>
    <w:p>
      <w:pPr>
        <w:pStyle w:val="BodyText"/>
        <w:spacing w:line="312" w:lineRule="exact"/>
        <w:ind w:left="154" w:right="148"/>
        <w:jc w:val="both"/>
      </w:pPr>
      <w:r>
        <w:rPr/>
        <w:t>范围；从丧失实际控制权之日起停止纳入合并范围。对于处置的子公司，处置日前的经营成</w:t>
      </w:r>
      <w:r>
        <w:rPr>
          <w:spacing w:val="-83"/>
        </w:rPr>
        <w:t> </w:t>
      </w:r>
      <w:r>
        <w:rPr>
          <w:spacing w:val="-83"/>
        </w:rPr>
      </w:r>
      <w:r>
        <w:rPr/>
        <w:t>果和现金流量已经适当地包括在合并利润表和合并现金流量表中；当期处置的子公司，不调</w:t>
      </w:r>
      <w:r>
        <w:rPr>
          <w:spacing w:val="-83"/>
        </w:rPr>
        <w:t> </w:t>
      </w:r>
      <w:r>
        <w:rPr>
          <w:spacing w:val="-83"/>
        </w:rPr>
      </w:r>
      <w:r>
        <w:rPr/>
        <w:t>整合并资产负债表的期初数。非同一控制下企业合并增加的子公司，其购买日后的经营成果</w:t>
      </w:r>
      <w:r>
        <w:rPr>
          <w:spacing w:val="-83"/>
        </w:rPr>
        <w:t> </w:t>
      </w:r>
      <w:r>
        <w:rPr>
          <w:spacing w:val="-83"/>
        </w:rPr>
      </w:r>
      <w:r>
        <w:rPr/>
        <w:t>及现金流量已经适当地包括在合并利润表和合并现金流量表中，且不调整合并财务报表的期</w:t>
      </w:r>
      <w:r>
        <w:rPr>
          <w:spacing w:val="-83"/>
        </w:rPr>
        <w:t> </w:t>
      </w:r>
      <w:r>
        <w:rPr>
          <w:spacing w:val="-83"/>
        </w:rPr>
      </w:r>
      <w:r>
        <w:rPr/>
        <w:t>初数和对比数。同一控制下企业合并增加的子公司及吸收合并下的被合并方，其自合并当期</w:t>
      </w:r>
      <w:r>
        <w:rPr>
          <w:spacing w:val="-83"/>
        </w:rPr>
        <w:t> </w:t>
      </w:r>
      <w:r>
        <w:rPr>
          <w:spacing w:val="-83"/>
        </w:rPr>
      </w:r>
      <w:r>
        <w:rPr/>
        <w:t>期初至合并日的经营成果和现金流量已经适当地包括在合并利润表和合并现金流量表中，并</w:t>
      </w:r>
      <w:r>
        <w:rPr>
          <w:spacing w:val="-83"/>
        </w:rPr>
        <w:t> </w:t>
      </w:r>
      <w:r>
        <w:rPr>
          <w:spacing w:val="-83"/>
        </w:rPr>
      </w:r>
      <w:r>
        <w:rPr/>
        <w:t>且同时调整合并财务报表的对比数。</w:t>
      </w:r>
    </w:p>
    <w:p>
      <w:pPr>
        <w:pStyle w:val="BodyText"/>
        <w:spacing w:line="312" w:lineRule="exact"/>
        <w:ind w:left="154" w:right="148" w:firstLine="480"/>
        <w:jc w:val="both"/>
      </w:pPr>
      <w:r>
        <w:rPr/>
        <w:t>在编制合并财务报表时，子公司与本公司采用的会计政策或会计期间不一致的，按照本</w:t>
      </w:r>
      <w:r>
        <w:rPr>
          <w:spacing w:val="1"/>
        </w:rPr>
        <w:t> </w:t>
      </w:r>
      <w:r>
        <w:rPr/>
        <w:t>公司的会计政策和会计期间对子公司财务报表进行必要的调整。对于非同一控制下企业合并</w:t>
      </w:r>
      <w:r>
        <w:rPr>
          <w:spacing w:val="-83"/>
        </w:rPr>
        <w:t> </w:t>
      </w:r>
      <w:r>
        <w:rPr>
          <w:spacing w:val="-83"/>
        </w:rPr>
      </w:r>
      <w:r>
        <w:rPr/>
        <w:t>取得的子公司，以购买日可辨认净资产公允价值为基础对其财务报表进行调整。</w:t>
      </w:r>
    </w:p>
    <w:p>
      <w:pPr>
        <w:pStyle w:val="BodyText"/>
        <w:spacing w:line="312" w:lineRule="exact"/>
        <w:ind w:left="634" w:right="0"/>
        <w:jc w:val="left"/>
      </w:pPr>
      <w:r>
        <w:rPr/>
        <w:t>公司内所有重大往来余额、交易及未实现利润在合并财务报表编制时予以抵销。 子公司的股东权益及当期净损益中不属于本公司所拥有的部分分别作为少数股东权益及</w:t>
      </w:r>
    </w:p>
    <w:p>
      <w:pPr>
        <w:pStyle w:val="BodyText"/>
        <w:spacing w:line="312" w:lineRule="exact"/>
        <w:ind w:left="154" w:right="147"/>
        <w:jc w:val="both"/>
      </w:pPr>
      <w:r>
        <w:rPr/>
        <w:t>少数股东损益在合并财务报表中股东权益及净利润项下单独列示。子公司当期净损益中属于</w:t>
      </w:r>
      <w:r>
        <w:rPr>
          <w:spacing w:val="-83"/>
        </w:rPr>
        <w:t> </w:t>
      </w:r>
      <w:r>
        <w:rPr>
          <w:spacing w:val="-83"/>
        </w:rPr>
      </w:r>
      <w:r>
        <w:rPr/>
        <w:t>少数股东权益的份额，在合并利润表中净利润项目下以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项目列示。少数股东</w:t>
      </w:r>
      <w:r>
        <w:rPr>
          <w:spacing w:val="-80"/>
        </w:rPr>
        <w:t> </w:t>
      </w:r>
      <w:r>
        <w:rPr/>
        <w:t>分担的子公司的亏损超过了少数股东在该子公司期初股东权益中所享有的份额，仍冲减少数</w:t>
      </w:r>
      <w:r>
        <w:rPr>
          <w:spacing w:val="-83"/>
        </w:rPr>
        <w:t> </w:t>
      </w:r>
      <w:r>
        <w:rPr>
          <w:spacing w:val="-83"/>
        </w:rPr>
      </w:r>
      <w:r>
        <w:rPr/>
        <w:t>股东权益。</w:t>
      </w:r>
    </w:p>
    <w:p>
      <w:pPr>
        <w:pStyle w:val="BodyText"/>
        <w:spacing w:line="312" w:lineRule="exact"/>
        <w:ind w:left="154" w:right="151" w:firstLine="480"/>
        <w:jc w:val="both"/>
      </w:pPr>
      <w:r>
        <w:rPr/>
        <w:t>当因处置部分股权投资或其他原因丧失了对原有子公司的控制权时，对于剩余股权，按 照其在丧失控制权日的公允价值进行重新计量。处置股权取得的对价与剩余股权公允价值之 和，减去按原持股比例计算应享有原有子公司自购买日开始持续计算的净资产的份额之间的 差额，计入丧失控制权当期的投资收益。与原有子公司股权投资相关的其他综合收益，在丧 失控制权时采用与被购买方直接处置相关资产或负债相同的基础进行会计处理（即，除了在 该原有子公司重新计量设定受益计划净负债或净资产导致的变动以外，其余一并转为当期投 </w:t>
      </w:r>
      <w:r>
        <w:rPr>
          <w:spacing w:val="-3"/>
        </w:rPr>
        <w:t>资收益）。其后，对该部分剩余股权按照《企业会计准则第</w:t>
      </w:r>
      <w:r>
        <w:rPr>
          <w:rFonts w:ascii="Times New Roman" w:hAnsi="Times New Roman" w:cs="Times New Roman" w:eastAsia="Times New Roman" w:hint="default"/>
          <w:spacing w:val="-3"/>
        </w:rPr>
        <w:t>2</w:t>
      </w:r>
      <w:r>
        <w:rPr>
          <w:spacing w:val="-3"/>
        </w:rPr>
        <w:t>号</w:t>
      </w:r>
      <w:r>
        <w:rPr>
          <w:rFonts w:ascii="Times New Roman" w:hAnsi="Times New Roman" w:cs="Times New Roman" w:eastAsia="Times New Roman" w:hint="default"/>
          <w:spacing w:val="-3"/>
        </w:rPr>
        <w:t>——</w:t>
      </w:r>
      <w:r>
        <w:rPr>
          <w:spacing w:val="-3"/>
        </w:rPr>
        <w:t>长期股权投资》或《企业</w:t>
      </w:r>
      <w:r>
        <w:rPr>
          <w:spacing w:val="-90"/>
        </w:rPr>
        <w:t> </w:t>
      </w:r>
      <w:r>
        <w:rPr>
          <w:spacing w:val="-90"/>
        </w:rPr>
      </w:r>
      <w:r>
        <w:rPr>
          <w:spacing w:val="-2"/>
        </w:rPr>
        <w:t>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金融工具确认和计量》等相关规定进行后续计量，详见本附注四、</w:t>
      </w:r>
      <w:r>
        <w:rPr>
          <w:rFonts w:ascii="Times New Roman" w:hAnsi="Times New Roman" w:cs="Times New Roman" w:eastAsia="Times New Roman" w:hint="default"/>
          <w:spacing w:val="-2"/>
        </w:rPr>
        <w:t>12“</w:t>
      </w:r>
      <w:r>
        <w:rPr>
          <w:spacing w:val="-2"/>
        </w:rPr>
        <w:t>长</w:t>
      </w:r>
      <w:r>
        <w:rPr>
          <w:spacing w:val="-103"/>
        </w:rPr>
        <w:t> </w:t>
      </w:r>
      <w:r>
        <w:rPr/>
        <w:t>期股权投资</w:t>
      </w:r>
      <w:r>
        <w:rPr>
          <w:rFonts w:ascii="Times New Roman" w:hAnsi="Times New Roman" w:cs="Times New Roman" w:eastAsia="Times New Roman" w:hint="default"/>
        </w:rPr>
        <w:t>”</w:t>
      </w:r>
      <w:r>
        <w:rPr/>
        <w:t>或本附注四、</w:t>
      </w:r>
      <w:r>
        <w:rPr>
          <w:rFonts w:ascii="Times New Roman" w:hAnsi="Times New Roman" w:cs="Times New Roman" w:eastAsia="Times New Roman" w:hint="default"/>
        </w:rPr>
        <w:t>8“</w:t>
      </w:r>
      <w:r>
        <w:rPr/>
        <w:t>金融工具</w:t>
      </w:r>
      <w:r>
        <w:rPr>
          <w:rFonts w:ascii="Times New Roman" w:hAnsi="Times New Roman" w:cs="Times New Roman" w:eastAsia="Times New Roman" w:hint="default"/>
        </w:rPr>
        <w:t>”</w:t>
      </w:r>
      <w:r>
        <w:rPr/>
        <w:t>。</w:t>
      </w:r>
    </w:p>
    <w:p>
      <w:pPr>
        <w:pStyle w:val="BodyText"/>
        <w:spacing w:line="312" w:lineRule="exact"/>
        <w:ind w:right="151" w:firstLine="480"/>
        <w:jc w:val="both"/>
      </w:pPr>
      <w:r>
        <w:rPr/>
        <w:t>本公司通过多次交易分步处置对子公司股权投资直至丧失控制权的，需区分处置对子公 司股权投资直至丧失控制权的各项交易是否属于一揽子交易。处置对子公司股权投资的各项 交易的条款、条件以及经济影响符合以下一种或多种情况，通常表明应将多次交易事项作为 一揽子交易进行会计处理：①这些交易是同时或者在考虑了彼此影响的情况下订立的；②这 些交易整体才能达成一项完整的商业结果；③一项交易的发生取决于其他至少一项交易的发 生；④一项交易单独看是不经济的，但是和其他交易一并考虑时是经济的。不属于一揽子交 </w:t>
      </w:r>
      <w:r>
        <w:rPr>
          <w:spacing w:val="-2"/>
        </w:rPr>
        <w:t>易的，对其中的每一项交易视情况分别按照</w:t>
      </w:r>
      <w:r>
        <w:rPr>
          <w:rFonts w:ascii="Times New Roman" w:hAnsi="Times New Roman" w:cs="Times New Roman" w:eastAsia="Times New Roman" w:hint="default"/>
          <w:spacing w:val="-2"/>
        </w:rPr>
        <w:t>“</w:t>
      </w:r>
      <w:r>
        <w:rPr>
          <w:spacing w:val="-2"/>
        </w:rPr>
        <w:t>不丧失控制权的情况下部分处置对子公司的长期</w:t>
      </w:r>
      <w:r>
        <w:rPr>
          <w:spacing w:val="-107"/>
        </w:rPr>
        <w:t> </w:t>
      </w:r>
      <w:r>
        <w:rPr>
          <w:spacing w:val="-2"/>
        </w:rPr>
        <w:t>股权投资</w:t>
      </w:r>
      <w:r>
        <w:rPr>
          <w:rFonts w:ascii="Times New Roman" w:hAnsi="Times New Roman" w:cs="Times New Roman" w:eastAsia="Times New Roman" w:hint="default"/>
          <w:spacing w:val="-2"/>
        </w:rPr>
        <w:t>”</w:t>
      </w:r>
      <w:r>
        <w:rPr>
          <w:spacing w:val="-2"/>
        </w:rPr>
        <w:t>（详见本附注四、</w:t>
      </w:r>
      <w:r>
        <w:rPr>
          <w:rFonts w:ascii="Times New Roman" w:hAnsi="Times New Roman" w:cs="Times New Roman" w:eastAsia="Times New Roman" w:hint="default"/>
          <w:spacing w:val="-2"/>
        </w:rPr>
        <w:t>12</w:t>
      </w:r>
      <w:r>
        <w:rPr>
          <w:spacing w:val="-2"/>
        </w:rPr>
        <w:t>、（</w:t>
      </w:r>
      <w:r>
        <w:rPr>
          <w:rFonts w:ascii="Times New Roman" w:hAnsi="Times New Roman" w:cs="Times New Roman" w:eastAsia="Times New Roman" w:hint="default"/>
          <w:spacing w:val="-2"/>
        </w:rPr>
        <w:t>2</w:t>
      </w:r>
      <w:r>
        <w:rPr>
          <w:spacing w:val="-2"/>
        </w:rPr>
        <w:t>）④）和</w:t>
      </w:r>
      <w:r>
        <w:rPr>
          <w:rFonts w:ascii="Times New Roman" w:hAnsi="Times New Roman" w:cs="Times New Roman" w:eastAsia="Times New Roman" w:hint="default"/>
          <w:spacing w:val="-2"/>
        </w:rPr>
        <w:t>“</w:t>
      </w:r>
      <w:r>
        <w:rPr>
          <w:spacing w:val="-2"/>
        </w:rPr>
        <w:t>因处置部分股权投资或其他原因丧失了对原有</w:t>
      </w:r>
      <w:r>
        <w:rPr>
          <w:spacing w:val="-90"/>
        </w:rPr>
        <w:t> </w:t>
      </w:r>
      <w:r>
        <w:rPr>
          <w:spacing w:val="-2"/>
        </w:rPr>
        <w:t>子公司的控制权</w:t>
      </w:r>
      <w:r>
        <w:rPr>
          <w:rFonts w:ascii="Times New Roman" w:hAnsi="Times New Roman" w:cs="Times New Roman" w:eastAsia="Times New Roman" w:hint="default"/>
          <w:spacing w:val="-2"/>
        </w:rPr>
        <w:t>”</w:t>
      </w:r>
      <w:r>
        <w:rPr>
          <w:spacing w:val="-2"/>
        </w:rPr>
        <w:t>（详见前段）适用的原则进行会计处理。处置对子公司股权投资直至丧失控</w:t>
      </w:r>
    </w:p>
    <w:p>
      <w:pPr>
        <w:spacing w:after="0" w:line="312" w:lineRule="exact"/>
        <w:jc w:val="both"/>
        <w:sectPr>
          <w:pgSz w:w="11910" w:h="16840"/>
          <w:pgMar w:header="877" w:footer="982" w:top="1100" w:bottom="1180" w:left="980" w:right="980"/>
        </w:sectPr>
      </w:pPr>
    </w:p>
    <w:p>
      <w:pPr>
        <w:spacing w:line="240" w:lineRule="auto" w:before="7"/>
        <w:rPr>
          <w:rFonts w:ascii="宋体" w:hAnsi="宋体" w:cs="宋体" w:eastAsia="宋体" w:hint="default"/>
          <w:sz w:val="19"/>
          <w:szCs w:val="19"/>
        </w:rPr>
      </w:pPr>
    </w:p>
    <w:p>
      <w:pPr>
        <w:pStyle w:val="BodyText"/>
        <w:spacing w:line="312" w:lineRule="exact" w:before="56"/>
        <w:ind w:left="154" w:right="228"/>
        <w:jc w:val="both"/>
      </w:pPr>
      <w:r>
        <w:rPr/>
        <w:t>制权的各项交易属于一揽子交易的，将各项交易作为一项处置子公司并丧失控制权的交易进 行会计处理；但是，在丧失控制权之前每一次处置价款与处置投资对应的享有该子公司净资 产份额的差额，在合并财务报表中确认为其他综合收益，在丧失控制权时一并转入丧失控制 权当期的损益。</w:t>
      </w:r>
    </w:p>
    <w:p>
      <w:pPr>
        <w:spacing w:line="240" w:lineRule="auto" w:before="7"/>
        <w:rPr>
          <w:rFonts w:ascii="宋体" w:hAnsi="宋体" w:cs="宋体" w:eastAsia="宋体" w:hint="default"/>
          <w:sz w:val="22"/>
          <w:szCs w:val="22"/>
        </w:rPr>
      </w:pPr>
    </w:p>
    <w:p>
      <w:pPr>
        <w:spacing w:before="0"/>
        <w:ind w:left="15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54" w:right="228" w:firstLine="480"/>
        <w:jc w:val="both"/>
      </w:pPr>
      <w:r>
        <w:rPr/>
        <w:t>合营安排，是指一项由两个或两个以上的参与方共同控制的安排。本公司根据在合营安 排中享有的权利和承担的义务，将合营安排分为共同经营和合营企业。共同经营，是指本公 司享有该安排相关资产且承担该安排相关负债的合营安排。合营企业，是指本公司仅对该安 排的净资产享有权利的合营安排。</w:t>
      </w:r>
    </w:p>
    <w:p>
      <w:pPr>
        <w:pStyle w:val="BodyText"/>
        <w:spacing w:line="312" w:lineRule="exact"/>
        <w:ind w:right="241" w:firstLine="480"/>
        <w:jc w:val="both"/>
      </w:pPr>
      <w:r>
        <w:rPr/>
        <w:t>本公司对合营企业的投资采用权益法核算，按照本附注四、</w:t>
      </w:r>
      <w:r>
        <w:rPr>
          <w:rFonts w:ascii="Times New Roman" w:hAnsi="Times New Roman" w:cs="Times New Roman" w:eastAsia="Times New Roman" w:hint="default"/>
        </w:rPr>
        <w:t>12</w:t>
      </w:r>
      <w:r>
        <w:rPr/>
        <w:t>（</w:t>
      </w:r>
      <w:r>
        <w:rPr>
          <w:rFonts w:ascii="Times New Roman" w:hAnsi="Times New Roman" w:cs="Times New Roman" w:eastAsia="Times New Roman" w:hint="default"/>
        </w:rPr>
        <w:t>2</w:t>
      </w:r>
      <w:r>
        <w:rPr/>
        <w:t>）②</w:t>
      </w:r>
      <w:r>
        <w:rPr>
          <w:rFonts w:ascii="Times New Roman" w:hAnsi="Times New Roman" w:cs="Times New Roman" w:eastAsia="Times New Roman" w:hint="default"/>
        </w:rPr>
        <w:t>“</w:t>
      </w:r>
      <w:r>
        <w:rPr/>
        <w:t>权益法核算的长 期股权投资</w:t>
      </w:r>
      <w:r>
        <w:rPr>
          <w:rFonts w:ascii="Times New Roman" w:hAnsi="Times New Roman" w:cs="Times New Roman" w:eastAsia="Times New Roman" w:hint="default"/>
        </w:rPr>
        <w:t>”</w:t>
      </w:r>
      <w:r>
        <w:rPr/>
        <w:t>中所述的会计政策处理。</w:t>
      </w:r>
    </w:p>
    <w:p>
      <w:pPr>
        <w:pStyle w:val="BodyText"/>
        <w:spacing w:line="312" w:lineRule="exact"/>
        <w:ind w:right="228" w:firstLine="480"/>
        <w:jc w:val="both"/>
      </w:pPr>
      <w:r>
        <w:rPr/>
        <w:t>本公司作为合营方对共同经营，确认本公司单独持有的资产、单独所承担的负债，以及 按本公司份额确认共同持有的资产和共同承担的负债；确认出售本公司享有的共同经营产出 份额所产生的收入；按本公司份额确认共同经营因出售产出所产生的收入；确认本公司单独 所发生的费用，以及按本公司份额确认共同经营发生的费用。</w:t>
      </w:r>
    </w:p>
    <w:p>
      <w:pPr>
        <w:pStyle w:val="BodyText"/>
        <w:spacing w:line="312" w:lineRule="exact"/>
        <w:ind w:right="91" w:firstLine="480"/>
        <w:jc w:val="left"/>
      </w:pPr>
      <w:r>
        <w:rPr/>
        <w:t>当本公司作为合营方向共同经营投出或出售资产（该资产不构成业务，下同）、或者自 共同经营购买资产时，在该等资产出售给第三方之前，本公司仅确认因该交易产生的损益中 归属于共同经营其他参与方的部分。该等资产发生符合《企业会计准则第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 等规定的资产减值损失的，对于由本公司向共同经营投出或出售资产的情况，本公司全额确 认该损失；对于本公司自共同经营购买资产的情况，本公司按承担的份额确认该损失。</w:t>
      </w:r>
    </w:p>
    <w:p>
      <w:pPr>
        <w:spacing w:line="240" w:lineRule="auto" w:before="7"/>
        <w:rPr>
          <w:rFonts w:ascii="宋体" w:hAnsi="宋体" w:cs="宋体" w:eastAsia="宋体" w:hint="default"/>
          <w:sz w:val="22"/>
          <w:szCs w:val="22"/>
        </w:rPr>
      </w:pPr>
    </w:p>
    <w:p>
      <w:pPr>
        <w:spacing w:before="0"/>
        <w:ind w:left="15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88" w:firstLine="480"/>
        <w:jc w:val="both"/>
      </w:pPr>
      <w:r>
        <w:rPr/>
        <w:t>本公司现金及现金等价物包括库存现金、可以随时用于支付的存款以及本公司持有的期</w:t>
      </w:r>
      <w:r>
        <w:rPr>
          <w:spacing w:val="1"/>
        </w:rPr>
        <w:t> </w:t>
      </w:r>
      <w:r>
        <w:rPr/>
        <w:t>限短（一般为从购买日起，三个月内到期）、流动性强、易于转换为已知金额的现金、价值</w:t>
      </w:r>
      <w:r>
        <w:rPr>
          <w:spacing w:val="-83"/>
        </w:rPr>
        <w:t> </w:t>
      </w:r>
      <w:r>
        <w:rPr>
          <w:spacing w:val="-83"/>
        </w:rPr>
      </w:r>
      <w:r>
        <w:rPr/>
        <w:t>变动风险很小的投资。</w:t>
      </w:r>
    </w:p>
    <w:p>
      <w:pPr>
        <w:spacing w:line="240" w:lineRule="auto" w:before="7"/>
        <w:rPr>
          <w:rFonts w:ascii="宋体" w:hAnsi="宋体" w:cs="宋体" w:eastAsia="宋体" w:hint="default"/>
          <w:sz w:val="22"/>
          <w:szCs w:val="22"/>
        </w:rPr>
      </w:pPr>
    </w:p>
    <w:p>
      <w:pPr>
        <w:spacing w:before="0"/>
        <w:ind w:left="15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88" w:firstLine="480"/>
        <w:jc w:val="both"/>
      </w:pPr>
      <w:r>
        <w:rPr/>
        <w:t>在本公司成为金融工具合同的一方时确认一项金融资产或金融负债。金融资产和金融负</w:t>
      </w:r>
      <w:r>
        <w:rPr>
          <w:spacing w:val="1"/>
        </w:rPr>
        <w:t> </w:t>
      </w:r>
      <w:r>
        <w:rPr/>
        <w:t>债在初始确认时以公允价值计量。对于以公允价值计量且其变动计入当期损益的金融资产和</w:t>
      </w:r>
      <w:r>
        <w:rPr>
          <w:spacing w:val="-83"/>
        </w:rPr>
        <w:t> </w:t>
      </w:r>
      <w:r>
        <w:rPr>
          <w:spacing w:val="-83"/>
        </w:rPr>
      </w:r>
      <w:r>
        <w:rPr/>
        <w:t>金融负债，相关的交易费用直接计入损益，对于其他类别的金融资产和金融负债，相关交易</w:t>
      </w:r>
      <w:r>
        <w:rPr>
          <w:spacing w:val="-83"/>
        </w:rPr>
        <w:t> </w:t>
      </w:r>
      <w:r>
        <w:rPr>
          <w:spacing w:val="-83"/>
        </w:rPr>
      </w:r>
      <w:r>
        <w:rPr/>
        <w:t>费用计入初始确认金额。</w:t>
      </w:r>
    </w:p>
    <w:p>
      <w:pPr>
        <w:pStyle w:val="BodyText"/>
        <w:spacing w:line="312" w:lineRule="exact"/>
        <w:ind w:left="633" w:right="91"/>
        <w:jc w:val="left"/>
      </w:pPr>
      <w:r>
        <w:rPr/>
        <w:t>（</w:t>
      </w:r>
      <w:r>
        <w:rPr>
          <w:rFonts w:ascii="Times New Roman" w:hAnsi="Times New Roman" w:cs="Times New Roman" w:eastAsia="Times New Roman" w:hint="default"/>
        </w:rPr>
        <w:t>1</w:t>
      </w:r>
      <w:r>
        <w:rPr/>
        <w:t>）金融资产和金融负债的公允价值确定方法 公允价值，是指市场参与者在计量日发生的有序交易中，出售一项资产所能收到或者转</w:t>
      </w:r>
    </w:p>
    <w:p>
      <w:pPr>
        <w:pStyle w:val="BodyText"/>
        <w:spacing w:line="312" w:lineRule="exact"/>
        <w:ind w:right="188"/>
        <w:jc w:val="both"/>
      </w:pPr>
      <w:r>
        <w:rPr/>
        <w:t>移一项负债所需支付的价格。金融工具存在活跃市场的，本公司采用活跃市场中的报价确定</w:t>
      </w:r>
      <w:r>
        <w:rPr>
          <w:spacing w:val="-83"/>
        </w:rPr>
        <w:t> </w:t>
      </w:r>
      <w:r>
        <w:rPr>
          <w:spacing w:val="-83"/>
        </w:rPr>
      </w:r>
      <w:r>
        <w:rPr/>
        <w:t>其公允价值。活跃市场中的报价是指易于定期从交易所、经纪商、行业协会、定价服务机构</w:t>
      </w:r>
      <w:r>
        <w:rPr>
          <w:spacing w:val="-83"/>
        </w:rPr>
        <w:t> </w:t>
      </w:r>
      <w:r>
        <w:rPr>
          <w:spacing w:val="-83"/>
        </w:rPr>
      </w:r>
      <w:r>
        <w:rPr/>
        <w:t>等获得的价格，且代表了在公平交易中实际发生的市场交易的价格。金融工具不存在活跃市</w:t>
      </w:r>
      <w:r>
        <w:rPr>
          <w:spacing w:val="-83"/>
        </w:rPr>
        <w:t> </w:t>
      </w:r>
      <w:r>
        <w:rPr>
          <w:spacing w:val="-83"/>
        </w:rPr>
      </w:r>
      <w:r>
        <w:rPr/>
        <w:t>场的，本公司采用估值技术确定其公允价值。估值技术包括参考熟悉情况并自愿交易的各方</w:t>
      </w:r>
      <w:r>
        <w:rPr>
          <w:spacing w:val="-83"/>
        </w:rPr>
        <w:t> </w:t>
      </w:r>
      <w:r>
        <w:rPr>
          <w:spacing w:val="-83"/>
        </w:rPr>
      </w:r>
      <w:r>
        <w:rPr/>
        <w:t>最近进行的市场交易中使用的价格、参照实质上相同的其他金融工具当前的公允价值、现金</w:t>
      </w:r>
    </w:p>
    <w:p>
      <w:pPr>
        <w:spacing w:after="0" w:line="312" w:lineRule="exact"/>
        <w:jc w:val="both"/>
        <w:sectPr>
          <w:pgSz w:w="11910" w:h="16840"/>
          <w:pgMar w:header="877" w:footer="982" w:top="1100" w:bottom="1180" w:left="980" w:right="940"/>
        </w:sectPr>
      </w:pPr>
    </w:p>
    <w:p>
      <w:pPr>
        <w:spacing w:line="240" w:lineRule="auto" w:before="7"/>
        <w:rPr>
          <w:rFonts w:ascii="宋体" w:hAnsi="宋体" w:cs="宋体" w:eastAsia="宋体" w:hint="default"/>
          <w:sz w:val="19"/>
          <w:szCs w:val="19"/>
        </w:rPr>
      </w:pPr>
    </w:p>
    <w:p>
      <w:pPr>
        <w:pStyle w:val="BodyText"/>
        <w:spacing w:line="313" w:lineRule="exact" w:before="26"/>
        <w:ind w:left="154" w:right="0"/>
        <w:jc w:val="both"/>
      </w:pPr>
      <w:r>
        <w:rPr/>
        <w:t>流量折现法和期权定价模型等。</w:t>
      </w:r>
    </w:p>
    <w:p>
      <w:pPr>
        <w:pStyle w:val="BodyText"/>
        <w:spacing w:line="312" w:lineRule="exact" w:before="29"/>
        <w:ind w:left="633" w:right="171"/>
        <w:jc w:val="left"/>
      </w:pPr>
      <w:r>
        <w:rPr/>
        <w:t>（</w:t>
      </w:r>
      <w:r>
        <w:rPr>
          <w:rFonts w:ascii="Times New Roman" w:hAnsi="Times New Roman" w:cs="Times New Roman" w:eastAsia="Times New Roman" w:hint="default"/>
        </w:rPr>
        <w:t>2</w:t>
      </w:r>
      <w:r>
        <w:rPr/>
        <w:t>）金融资产的分类、确认和计量 以常规方式买卖金融资产，按交易日进行会计确认和终止确认。金融资产在初始确认时</w:t>
      </w:r>
    </w:p>
    <w:p>
      <w:pPr>
        <w:pStyle w:val="BodyText"/>
        <w:spacing w:line="312" w:lineRule="exact"/>
        <w:ind w:right="188"/>
        <w:jc w:val="both"/>
      </w:pPr>
      <w:r>
        <w:rPr/>
        <w:t>划分为以公允价值计量且其变动计入当期损益的金融资产、持有至到期投资、贷款和应收款 项以及可供出售金融资产。</w:t>
      </w:r>
    </w:p>
    <w:p>
      <w:pPr>
        <w:pStyle w:val="BodyText"/>
        <w:spacing w:line="312" w:lineRule="exact"/>
        <w:ind w:left="633" w:right="178"/>
        <w:jc w:val="left"/>
      </w:pPr>
      <w:r>
        <w:rPr/>
        <w:t>①以公允价值计量且其变动计入当期损益的金融资产 包括交易性金融资产和指定为以公允价值计量且其变动计入当期损益的金融资产。 交易性金融资产是指满足下列条件之一的金融资产：</w:t>
      </w:r>
      <w:r>
        <w:rPr>
          <w:rFonts w:ascii="Times New Roman" w:hAnsi="Times New Roman" w:cs="Times New Roman" w:eastAsia="Times New Roman" w:hint="default"/>
        </w:rPr>
        <w:t>A.</w:t>
      </w:r>
      <w:r>
        <w:rPr/>
        <w:t>取得该金融资产的目的，主要是</w:t>
      </w:r>
    </w:p>
    <w:p>
      <w:pPr>
        <w:pStyle w:val="BodyText"/>
        <w:spacing w:line="312" w:lineRule="exact"/>
        <w:ind w:left="154" w:right="188"/>
        <w:jc w:val="both"/>
      </w:pPr>
      <w:r>
        <w:rPr/>
        <w:t>为了近期内出售；</w:t>
      </w:r>
      <w:r>
        <w:rPr>
          <w:rFonts w:ascii="Times New Roman" w:hAnsi="Times New Roman" w:cs="Times New Roman" w:eastAsia="Times New Roman" w:hint="default"/>
        </w:rPr>
        <w:t>B.</w:t>
      </w:r>
      <w:r>
        <w:rPr/>
        <w:t>属于进行集中管理的可辨认金融工具组合的一部分，且有客观证据表明 本公司近期采用短期获利方式对该组合进行管理；</w:t>
      </w:r>
      <w:r>
        <w:rPr>
          <w:rFonts w:ascii="Times New Roman" w:hAnsi="Times New Roman" w:cs="Times New Roman" w:eastAsia="Times New Roman" w:hint="default"/>
        </w:rPr>
        <w:t>C.</w:t>
      </w:r>
      <w:r>
        <w:rPr/>
        <w:t>属于衍生工具，但是，被指定且为有效 套期工具的衍生工具、属于财务担保合同的衍生工具、与在活跃市场中没有报价且其公允价 值不能可靠计量的权益工具投资挂钩并须通过交付该权益工具结算的衍生工具除外。</w:t>
      </w:r>
    </w:p>
    <w:p>
      <w:pPr>
        <w:pStyle w:val="BodyText"/>
        <w:spacing w:line="312" w:lineRule="exact"/>
        <w:ind w:left="154" w:right="188" w:firstLine="480"/>
        <w:jc w:val="both"/>
      </w:pPr>
      <w:r>
        <w:rPr/>
        <w:t>符合下述条件之一的金融资产，在初始确认时可指定为以公允价值计量且其变动计入当 期损益的金融资产：</w:t>
      </w:r>
      <w:r>
        <w:rPr>
          <w:rFonts w:ascii="Times New Roman" w:hAnsi="Times New Roman" w:cs="Times New Roman" w:eastAsia="Times New Roman" w:hint="default"/>
        </w:rPr>
        <w:t>A.</w:t>
      </w:r>
      <w:r>
        <w:rPr/>
        <w:t>该指定可以消除或明显减少由于该金融资产的计量基础不同所导致的 相关利得或损失在确认或计量方面不一致的情况；</w:t>
      </w:r>
      <w:r>
        <w:rPr>
          <w:rFonts w:ascii="Times New Roman" w:hAnsi="Times New Roman" w:cs="Times New Roman" w:eastAsia="Times New Roman" w:hint="default"/>
        </w:rPr>
        <w:t>B.</w:t>
      </w:r>
      <w:r>
        <w:rPr/>
        <w:t>本公司风险管理或投资策略的正式书面 文件已载明，对该金融资产所在的金融资产组合或金融资产和金融负债组合以公允价值为基 础进行管理、评价并向关键管理人员报告。</w:t>
      </w:r>
    </w:p>
    <w:p>
      <w:pPr>
        <w:pStyle w:val="BodyText"/>
        <w:spacing w:line="312" w:lineRule="exact"/>
        <w:ind w:left="154" w:right="188" w:firstLine="480"/>
        <w:jc w:val="both"/>
      </w:pPr>
      <w:r>
        <w:rPr/>
        <w:t>以公允价值计量且其变动计入当期损益的金融资产采用公允价值进行后续计量，公允价 值变动形成的利得或损失以及与该等金融资产相关的股利和利息收入计入当期损益。</w:t>
      </w:r>
    </w:p>
    <w:p>
      <w:pPr>
        <w:pStyle w:val="BodyText"/>
        <w:spacing w:line="312" w:lineRule="exact"/>
        <w:ind w:left="634" w:right="170"/>
        <w:jc w:val="left"/>
      </w:pPr>
      <w:r>
        <w:rPr/>
        <w:t>②持有至到期投资 是指到期日固定、回收金额固定或可确定，且本公司有明确意图和能力持有至到期的非</w:t>
      </w:r>
    </w:p>
    <w:p>
      <w:pPr>
        <w:pStyle w:val="BodyText"/>
        <w:spacing w:line="312" w:lineRule="exact"/>
        <w:ind w:left="634" w:right="170" w:hanging="480"/>
        <w:jc w:val="left"/>
      </w:pPr>
      <w:r>
        <w:rPr/>
        <w:t>衍生金融资产。 持有至到期投资采用实际利率法，按摊余成本进行后续计量，在终止确认、发生减值或</w:t>
      </w:r>
    </w:p>
    <w:p>
      <w:pPr>
        <w:pStyle w:val="BodyText"/>
        <w:spacing w:line="312" w:lineRule="exact"/>
        <w:ind w:left="634" w:right="170" w:hanging="480"/>
        <w:jc w:val="left"/>
      </w:pPr>
      <w:r>
        <w:rPr/>
        <w:t>摊销时产生的利得或损失，计入当期损益。 实际利率法是指按照金融资产或金融负债（含一组金融资产或金融负债）的实际利率计</w:t>
      </w:r>
    </w:p>
    <w:p>
      <w:pPr>
        <w:pStyle w:val="BodyText"/>
        <w:spacing w:line="312" w:lineRule="exact"/>
        <w:ind w:left="154" w:right="188"/>
        <w:jc w:val="both"/>
      </w:pPr>
      <w:r>
        <w:rPr/>
        <w:t>算其摊余成本及各期利息收入或支出的方法。实际利率是指将金融资产或金融负债在预期存 续期间或适用的更短期间内的未来现金流量，折现为该金融资产或金融负债当前账面价值所 使用的利率。</w:t>
      </w:r>
    </w:p>
    <w:p>
      <w:pPr>
        <w:pStyle w:val="BodyText"/>
        <w:spacing w:line="312" w:lineRule="exact"/>
        <w:ind w:left="154" w:right="188" w:firstLine="480"/>
        <w:jc w:val="both"/>
      </w:pPr>
      <w:r>
        <w:rPr/>
        <w:t>在计算实际利率时，本公司将在考虑金融资产或金融负债所有合同条款的基础上预计未 来现金流量（不考虑未来的信用损失），同时还将考虑金融资产或金融负债合同各方之间支 付或收取的、属于实际利率组成部分的各项收费、交易费用及折价或溢价等。</w:t>
      </w:r>
    </w:p>
    <w:p>
      <w:pPr>
        <w:pStyle w:val="BodyText"/>
        <w:spacing w:line="312" w:lineRule="exact"/>
        <w:ind w:left="634" w:right="170"/>
        <w:jc w:val="left"/>
      </w:pPr>
      <w:r>
        <w:rPr/>
        <w:t>③贷款和应收款项 是指在活跃市场中没有报价、回收金额固定或可确定的非衍生金融资产。本公司划分为</w:t>
      </w:r>
    </w:p>
    <w:p>
      <w:pPr>
        <w:pStyle w:val="BodyText"/>
        <w:spacing w:line="312" w:lineRule="exact"/>
        <w:ind w:left="634" w:right="170" w:hanging="480"/>
        <w:jc w:val="left"/>
      </w:pPr>
      <w:r>
        <w:rPr/>
        <w:t>贷款和应收款的金融资产包括应收票据、应收账款、应收利息、应收股利及其他应收款等。 贷款和应收款项采用实际利率法，按摊余成本进行后续计量，在终止确认、发生减值或</w:t>
      </w:r>
    </w:p>
    <w:p>
      <w:pPr>
        <w:pStyle w:val="BodyText"/>
        <w:spacing w:line="282" w:lineRule="exact"/>
        <w:ind w:left="154" w:right="0"/>
        <w:jc w:val="both"/>
      </w:pPr>
      <w:r>
        <w:rPr/>
        <w:t>摊销时产生的利得或损失，计入当期损益。</w:t>
      </w:r>
    </w:p>
    <w:p>
      <w:pPr>
        <w:pStyle w:val="BodyText"/>
        <w:spacing w:line="312" w:lineRule="exact" w:before="29"/>
        <w:ind w:left="634" w:right="170"/>
        <w:jc w:val="left"/>
      </w:pPr>
      <w:r>
        <w:rPr/>
        <w:t>④可供出售金融资产 包括初始确认时即被指定为可供出售的非衍生金融资产，以及除了以公允价值计量且其</w:t>
      </w:r>
    </w:p>
    <w:p>
      <w:pPr>
        <w:pStyle w:val="BodyText"/>
        <w:spacing w:line="312" w:lineRule="exact"/>
        <w:ind w:left="634" w:right="170" w:hanging="480"/>
        <w:jc w:val="left"/>
      </w:pPr>
      <w:r>
        <w:rPr/>
        <w:t>变动计入当期损益的金融资产、贷款和应收款项、持有至到期投资以外的金融资产。 可供出售债务工具投资的期末成本按照摊余成本法确定，即初始确认金额扣除已偿还的</w:t>
      </w:r>
    </w:p>
    <w:p>
      <w:pPr>
        <w:pStyle w:val="BodyText"/>
        <w:spacing w:line="312" w:lineRule="exact"/>
        <w:ind w:left="154" w:right="188"/>
        <w:jc w:val="both"/>
      </w:pPr>
      <w:r>
        <w:rPr/>
        <w:t>本金，加上或减去采用实际利率法将该初始确认金额与到期日金额之间的差额进行摊销形成 的累计摊销额，并扣除已发生的减值损失后的金额。可供出售权益工具投资的期末成本为其 初始取得成本。</w:t>
      </w:r>
    </w:p>
    <w:p>
      <w:pPr>
        <w:pStyle w:val="BodyText"/>
        <w:spacing w:line="283" w:lineRule="exact"/>
        <w:ind w:left="634" w:right="0"/>
        <w:jc w:val="left"/>
      </w:pPr>
      <w:r>
        <w:rPr/>
        <w:t>可供出售金融资产采用公允价值进行后续计量，公允价值变动形成的利得或损失，除减</w:t>
      </w:r>
    </w:p>
    <w:p>
      <w:pPr>
        <w:spacing w:after="0" w:line="283" w:lineRule="exact"/>
        <w:jc w:val="left"/>
        <w:sectPr>
          <w:pgSz w:w="11910" w:h="16840"/>
          <w:pgMar w:header="877" w:footer="982" w:top="1100" w:bottom="1180" w:left="980" w:right="980"/>
        </w:sectPr>
      </w:pPr>
    </w:p>
    <w:p>
      <w:pPr>
        <w:spacing w:line="240" w:lineRule="auto" w:before="7"/>
        <w:rPr>
          <w:rFonts w:ascii="宋体" w:hAnsi="宋体" w:cs="宋体" w:eastAsia="宋体" w:hint="default"/>
          <w:sz w:val="19"/>
          <w:szCs w:val="19"/>
        </w:rPr>
      </w:pPr>
    </w:p>
    <w:p>
      <w:pPr>
        <w:pStyle w:val="BodyText"/>
        <w:spacing w:line="312" w:lineRule="exact" w:before="56"/>
        <w:ind w:left="154" w:right="268"/>
        <w:jc w:val="both"/>
      </w:pPr>
      <w:r>
        <w:rPr/>
        <w:t>值损失和外币货币性金融资产与摊余成本相关的汇兑差额计入当期损益外，确认为其他综合 收益，在该金融资产终止确认时转出，计入当期损益。但是，在活跃市场中没有报价且其公 允价值不能可靠计量的权益工具投资，以及与该权益工具挂钩并须通过交付该权益工具结算 的衍生金融资产，按照成本进行后续计量。</w:t>
      </w:r>
    </w:p>
    <w:p>
      <w:pPr>
        <w:pStyle w:val="BodyText"/>
        <w:spacing w:line="312" w:lineRule="exact"/>
        <w:ind w:right="268" w:firstLine="480"/>
        <w:jc w:val="both"/>
      </w:pPr>
      <w:r>
        <w:rPr/>
        <w:t>可供出售金融资产持有期间取得的利息及被投资单位宣告发放的现金股利，计入投资收 益。</w:t>
      </w:r>
    </w:p>
    <w:p>
      <w:pPr>
        <w:pStyle w:val="BodyText"/>
        <w:spacing w:line="312" w:lineRule="exact"/>
        <w:ind w:left="633" w:right="251"/>
        <w:jc w:val="left"/>
      </w:pPr>
      <w:r>
        <w:rPr/>
        <w:t>（</w:t>
      </w:r>
      <w:r>
        <w:rPr>
          <w:rFonts w:ascii="Times New Roman" w:hAnsi="Times New Roman" w:cs="Times New Roman" w:eastAsia="Times New Roman" w:hint="default"/>
        </w:rPr>
        <w:t>3</w:t>
      </w:r>
      <w:r>
        <w:rPr/>
        <w:t>）金融资产减值 除了以公允价值计量且其变动计入当期损益的金融资产外，本公司在每个资产负债表日</w:t>
      </w:r>
    </w:p>
    <w:p>
      <w:pPr>
        <w:pStyle w:val="BodyText"/>
        <w:spacing w:line="312" w:lineRule="exact"/>
        <w:ind w:left="633" w:right="93" w:hanging="480"/>
        <w:jc w:val="left"/>
      </w:pPr>
      <w:r>
        <w:rPr>
          <w:spacing w:val="-2"/>
        </w:rPr>
        <w:t>对其他金融资产的账面价值进行检查，有客观证据表明金融资产发生减值的，计提减值准备。</w:t>
      </w:r>
      <w:r>
        <w:rPr/>
        <w:t> 本公司对单项金额重大的金融资产单独进行减值测试；对单项金额不重大的金融资产，</w:t>
      </w:r>
    </w:p>
    <w:p>
      <w:pPr>
        <w:pStyle w:val="BodyText"/>
        <w:spacing w:line="312" w:lineRule="exact"/>
        <w:ind w:right="268"/>
        <w:jc w:val="both"/>
      </w:pPr>
      <w:r>
        <w:rPr/>
        <w:t>单独进行减值测试或包括在具有类似信用风险特征的金融资产组合中进行减值测试。单独测 试未发生减值的金融资产（包括单项金额重大和不重大的金融资产），包括在具有类似信用 风险特征的金融资产组合中再进行减值测试。已单项确认减值损失的金融资产，不包括在具 有类似信用风险特征的金融资产组合中进行减值测试。</w:t>
      </w:r>
    </w:p>
    <w:p>
      <w:pPr>
        <w:pStyle w:val="BodyText"/>
        <w:spacing w:line="312" w:lineRule="exact"/>
        <w:ind w:left="633" w:right="251"/>
        <w:jc w:val="left"/>
      </w:pPr>
      <w:r>
        <w:rPr/>
        <w:t>①持有至到期投资、贷款和应收款项减值 以成本或摊余成本计量的金融资产将其账面价值减记至预计未来现金流量现值，减记金</w:t>
      </w:r>
    </w:p>
    <w:p>
      <w:pPr>
        <w:pStyle w:val="BodyText"/>
        <w:spacing w:line="312" w:lineRule="exact"/>
        <w:ind w:right="268"/>
        <w:jc w:val="both"/>
      </w:pPr>
      <w:r>
        <w:rPr/>
        <w:t>额确认为减值损失，计入当期损益。金融资产在确认减值损失后，如有客观证据表明该金融 资产价值已恢复，且客观上与确认该损失后发生的事项有关，原确认的减值损失予以转回， 金融资产转回减值损失后的账面价值不超过假定不计提减值准备情况下该金融资产在转回日 的摊余成本。</w:t>
      </w:r>
    </w:p>
    <w:p>
      <w:pPr>
        <w:pStyle w:val="BodyText"/>
        <w:spacing w:line="312" w:lineRule="exact"/>
        <w:ind w:left="633" w:right="99"/>
        <w:jc w:val="left"/>
      </w:pPr>
      <w:r>
        <w:rPr/>
        <w:t>②可供出售金融资产减值 当综合相关因素判断可供出售权益工具投资公允价值下跌是严重或非暂时性下跌时，表</w:t>
      </w:r>
    </w:p>
    <w:p>
      <w:pPr>
        <w:pStyle w:val="BodyText"/>
        <w:spacing w:line="291" w:lineRule="exact"/>
        <w:ind w:right="0"/>
        <w:jc w:val="both"/>
      </w:pPr>
      <w:r>
        <w:rPr/>
        <w:t>明该可供出售权益工具投资发生减值。其中</w:t>
      </w:r>
      <w:r>
        <w:rPr>
          <w:rFonts w:ascii="Times New Roman" w:hAnsi="Times New Roman" w:cs="Times New Roman" w:eastAsia="Times New Roman" w:hint="default"/>
        </w:rPr>
        <w:t>“</w:t>
      </w:r>
      <w:r>
        <w:rPr/>
        <w:t>严重下跌</w:t>
      </w:r>
      <w:r>
        <w:rPr>
          <w:rFonts w:ascii="Times New Roman" w:hAnsi="Times New Roman" w:cs="Times New Roman" w:eastAsia="Times New Roman" w:hint="default"/>
        </w:rPr>
        <w:t>”</w:t>
      </w:r>
      <w:r>
        <w:rPr/>
        <w:t>是指公允价值下跌幅度累计超过</w:t>
      </w:r>
      <w:r>
        <w:rPr>
          <w:rFonts w:ascii="Times New Roman" w:hAnsi="Times New Roman" w:cs="Times New Roman" w:eastAsia="Times New Roman" w:hint="default"/>
        </w:rPr>
        <w:t>20%</w:t>
      </w:r>
      <w:r>
        <w:rPr/>
        <w:t>；</w:t>
      </w:r>
    </w:p>
    <w:p>
      <w:pPr>
        <w:pStyle w:val="BodyText"/>
        <w:spacing w:line="312" w:lineRule="exact" w:before="20"/>
        <w:ind w:left="633" w:right="251" w:hanging="480"/>
        <w:jc w:val="left"/>
      </w:pPr>
      <w:r>
        <w:rPr>
          <w:rFonts w:ascii="Times New Roman" w:hAnsi="Times New Roman" w:cs="Times New Roman" w:eastAsia="Times New Roman" w:hint="default"/>
        </w:rPr>
        <w:t>“</w:t>
      </w:r>
      <w:r>
        <w:rPr/>
        <w:t>非暂时性下跌</w:t>
      </w:r>
      <w:r>
        <w:rPr>
          <w:rFonts w:ascii="Times New Roman" w:hAnsi="Times New Roman" w:cs="Times New Roman" w:eastAsia="Times New Roman" w:hint="default"/>
        </w:rPr>
        <w:t>”</w:t>
      </w:r>
      <w:r>
        <w:rPr/>
        <w:t>是指公允价值连续下跌时间超过</w:t>
      </w:r>
      <w:r>
        <w:rPr>
          <w:rFonts w:ascii="Times New Roman" w:hAnsi="Times New Roman" w:cs="Times New Roman" w:eastAsia="Times New Roman" w:hint="default"/>
        </w:rPr>
        <w:t>12</w:t>
      </w:r>
      <w:r>
        <w:rPr/>
        <w:t>个月。 可供出售金融资产发生减值时，将原计入其他综合收益的因公允价值下降形成的累计损</w:t>
      </w:r>
    </w:p>
    <w:p>
      <w:pPr>
        <w:pStyle w:val="BodyText"/>
        <w:spacing w:line="312" w:lineRule="exact"/>
        <w:ind w:right="268"/>
        <w:jc w:val="both"/>
      </w:pPr>
      <w:r>
        <w:rPr/>
        <w:t>失予以转出并计入当期损益，该转出的累计损失为该资产初始取得成本扣除已收回本金和已 摊销金额、当前公允价值和原已计入损益的减值损失后的余额。</w:t>
      </w:r>
    </w:p>
    <w:p>
      <w:pPr>
        <w:pStyle w:val="BodyText"/>
        <w:spacing w:line="312" w:lineRule="exact"/>
        <w:ind w:right="268" w:firstLine="480"/>
        <w:jc w:val="both"/>
      </w:pPr>
      <w:r>
        <w:rPr/>
        <w:t>在确认减值损失后，期后如有客观证据表明该金融资产价值已恢复，且客观上与确认该 损失后发生的事项有关，原确认的减值损失予以转回，可供出售权益工具投资的减值损失转 回确认为其他综合收益，可供出售债务工具的减值损失转回计入当期损益。</w:t>
      </w:r>
    </w:p>
    <w:p>
      <w:pPr>
        <w:pStyle w:val="BodyText"/>
        <w:spacing w:line="312" w:lineRule="exact"/>
        <w:ind w:right="268" w:firstLine="480"/>
        <w:jc w:val="both"/>
      </w:pPr>
      <w:r>
        <w:rPr/>
        <w:t>在活跃市场中没有报价且其公允价值不能可靠计量的权益工具投资，或与该权益工具挂 钩并须通过交付该权益工具结算的衍生金融资产的减值损失，不予转回。</w:t>
      </w:r>
    </w:p>
    <w:p>
      <w:pPr>
        <w:pStyle w:val="BodyText"/>
        <w:spacing w:line="312" w:lineRule="exact"/>
        <w:ind w:left="633" w:right="251"/>
        <w:jc w:val="left"/>
      </w:pPr>
      <w:r>
        <w:rPr/>
        <w:t>（</w:t>
      </w:r>
      <w:r>
        <w:rPr>
          <w:rFonts w:ascii="Times New Roman" w:hAnsi="Times New Roman" w:cs="Times New Roman" w:eastAsia="Times New Roman" w:hint="default"/>
        </w:rPr>
        <w:t>4</w:t>
      </w:r>
      <w:r>
        <w:rPr/>
        <w:t>）金融资产转移的确认依据和计量方法 满足下列条件之一的金融资产，予以终止确认：①收取该金融资产现金流量的合同权利</w:t>
      </w:r>
    </w:p>
    <w:p>
      <w:pPr>
        <w:pStyle w:val="BodyText"/>
        <w:spacing w:line="282" w:lineRule="exact"/>
        <w:ind w:right="0"/>
        <w:jc w:val="both"/>
      </w:pPr>
      <w:r>
        <w:rPr/>
        <w:t>终止；②该金融资产已转移，且将金融资产所有权上几乎所有的风险和报酬转移给转入方；</w:t>
      </w:r>
    </w:p>
    <w:p>
      <w:pPr>
        <w:pStyle w:val="BodyText"/>
        <w:spacing w:line="312" w:lineRule="exact" w:before="29"/>
        <w:ind w:right="268"/>
        <w:jc w:val="both"/>
      </w:pPr>
      <w:r>
        <w:rPr/>
        <w:t>③该金融资产已转移，虽然企业既没有转移也没有保留金融资产所有权上几乎所有的风险和 报酬，但是放弃了对该金融资产的控制。</w:t>
      </w:r>
    </w:p>
    <w:p>
      <w:pPr>
        <w:pStyle w:val="BodyText"/>
        <w:spacing w:line="312" w:lineRule="exact"/>
        <w:ind w:right="268" w:firstLine="480"/>
        <w:jc w:val="both"/>
      </w:pPr>
      <w:r>
        <w:rPr/>
        <w:t>若企业既没有转移也没有保留金融资产所有权上几乎所有的风险和报酬，且未放弃对该 金融资产的控制的，则按照继续涉入所转移金融资产的程度确认有关金融资产，并相应确认 有关负债。继续涉入所转移金融资产的程度，是指该金融资产价值变动使企业面临的风险水 平。</w:t>
      </w:r>
    </w:p>
    <w:p>
      <w:pPr>
        <w:pStyle w:val="BodyText"/>
        <w:spacing w:line="312" w:lineRule="exact"/>
        <w:ind w:right="268" w:firstLine="480"/>
        <w:jc w:val="both"/>
      </w:pPr>
      <w:r>
        <w:rPr/>
        <w:t>金融资产整体转移满足终止确认条件的，将所转移金融资产的账面价值及因转移而收到 的对价与原计入其他综合收益的公允价值变动累计额之和的差额计入当期损益。</w:t>
      </w:r>
    </w:p>
    <w:p>
      <w:pPr>
        <w:pStyle w:val="BodyText"/>
        <w:spacing w:line="283" w:lineRule="exact"/>
        <w:ind w:left="633" w:right="99"/>
        <w:jc w:val="left"/>
      </w:pPr>
      <w:r>
        <w:rPr/>
        <w:t>金融资产部分转移满足终止确认条件的，将所转移金融资产的账面价值在终止确认及未</w:t>
      </w:r>
    </w:p>
    <w:p>
      <w:pPr>
        <w:spacing w:after="0" w:line="283" w:lineRule="exact"/>
        <w:jc w:val="left"/>
        <w:sectPr>
          <w:pgSz w:w="11910" w:h="16840"/>
          <w:pgMar w:header="877" w:footer="982" w:top="1100" w:bottom="1180" w:left="980" w:right="900"/>
        </w:sectPr>
      </w:pPr>
    </w:p>
    <w:p>
      <w:pPr>
        <w:spacing w:line="240" w:lineRule="auto" w:before="7"/>
        <w:rPr>
          <w:rFonts w:ascii="宋体" w:hAnsi="宋体" w:cs="宋体" w:eastAsia="宋体" w:hint="default"/>
          <w:sz w:val="19"/>
          <w:szCs w:val="19"/>
        </w:rPr>
      </w:pPr>
    </w:p>
    <w:p>
      <w:pPr>
        <w:pStyle w:val="BodyText"/>
        <w:spacing w:line="312" w:lineRule="exact" w:before="56"/>
        <w:ind w:left="154" w:right="188"/>
        <w:jc w:val="both"/>
      </w:pPr>
      <w:r>
        <w:rPr/>
        <w:t>终止确认部分之间按其相对的公允价值进行分摊，并将因转移而收到的对价与应分摊至终止 确认部分的原计入其他综合收益的公允价值变动累计额之和与分摊的前述账面金额之差额计 入当期损益。</w:t>
      </w:r>
    </w:p>
    <w:p>
      <w:pPr>
        <w:pStyle w:val="BodyText"/>
        <w:spacing w:line="312" w:lineRule="exact"/>
        <w:ind w:right="188" w:firstLine="480"/>
        <w:jc w:val="both"/>
      </w:pPr>
      <w:r>
        <w:rPr/>
        <w:t>本公司对采用附追索权方式出售的金融资产，或将持有的金融资产背书转让，需确定该 金融资产所有权上几乎所有的风险和报酬是否已经转移。已将该金融资产所有权上几乎所有 的风险和报酬转移给转入方的，终止确认该金融资产；保留了金融资产所有权上几乎所有的 风险和报酬的，不终止确认该金融资产；既没有转移也没有保留金融资产所有权上几乎所有 的风险和报酬的，则继续判断企业是否对该资产保留了控制，并根据前面各段所述的原则进 行会计处理。</w:t>
      </w:r>
    </w:p>
    <w:p>
      <w:pPr>
        <w:pStyle w:val="BodyText"/>
        <w:spacing w:line="312" w:lineRule="exact"/>
        <w:ind w:left="633" w:right="171"/>
        <w:jc w:val="left"/>
      </w:pPr>
      <w:r>
        <w:rPr/>
        <w:t>（</w:t>
      </w:r>
      <w:r>
        <w:rPr>
          <w:rFonts w:ascii="Times New Roman" w:hAnsi="Times New Roman" w:cs="Times New Roman" w:eastAsia="Times New Roman" w:hint="default"/>
        </w:rPr>
        <w:t>5</w:t>
      </w:r>
      <w:r>
        <w:rPr/>
        <w:t>）金融负债的分类和计量 金融负债在初始确认时划分为以公允价值计量且其变动计入当期损益的金融负债和其他</w:t>
      </w:r>
    </w:p>
    <w:p>
      <w:pPr>
        <w:pStyle w:val="BodyText"/>
        <w:spacing w:line="312" w:lineRule="exact"/>
        <w:ind w:right="188"/>
        <w:jc w:val="both"/>
      </w:pPr>
      <w:r>
        <w:rPr/>
        <w:t>金融负债。初始确认金融负债，以公允价值计量。对于以公允价值计量且其变动计入当期损 益的金融负债，相关的交易费用直接计入当期损益，对于其他金融负债，相关交易费用计入 初始确认金额。</w:t>
      </w:r>
    </w:p>
    <w:p>
      <w:pPr>
        <w:pStyle w:val="BodyText"/>
        <w:spacing w:line="312" w:lineRule="exact"/>
        <w:ind w:left="633" w:right="171"/>
        <w:jc w:val="left"/>
      </w:pPr>
      <w:r>
        <w:rPr/>
        <w:t>①以公允价值计量且其变动计入当期损益的金融负债 分类为交易性金融负债和在初始确认时指定为以公允价值计量且其变动计入当期损益的</w:t>
      </w:r>
    </w:p>
    <w:p>
      <w:pPr>
        <w:pStyle w:val="BodyText"/>
        <w:spacing w:line="312" w:lineRule="exact"/>
        <w:ind w:right="188"/>
        <w:jc w:val="both"/>
      </w:pPr>
      <w:r>
        <w:rPr/>
        <w:t>金融负债的条件与分类为交易性金融资产和在初始确认时指定为以公允价值计量且其变动计 入当期损益的金融资产的条件一致。</w:t>
      </w:r>
    </w:p>
    <w:p>
      <w:pPr>
        <w:pStyle w:val="BodyText"/>
        <w:spacing w:line="312" w:lineRule="exact"/>
        <w:ind w:right="188" w:firstLine="480"/>
        <w:jc w:val="both"/>
      </w:pPr>
      <w:r>
        <w:rPr/>
        <w:t>以公允价值计量且其变动计入当期损益的金融负债采用公允价值进行后续计量，公允价 值的变动形成的利得或损失以及与该等金融负债相关的股利和利息支出计入当期损益。</w:t>
      </w:r>
    </w:p>
    <w:p>
      <w:pPr>
        <w:pStyle w:val="BodyText"/>
        <w:spacing w:line="276" w:lineRule="exact"/>
        <w:ind w:left="634" w:right="0"/>
        <w:jc w:val="left"/>
      </w:pPr>
      <w:r>
        <w:rPr/>
        <w:t>②其他金融负债</w:t>
      </w:r>
    </w:p>
    <w:p>
      <w:pPr>
        <w:pStyle w:val="Heading2"/>
        <w:spacing w:line="312" w:lineRule="exact" w:before="35"/>
        <w:ind w:right="188" w:firstLine="480"/>
        <w:jc w:val="both"/>
        <w:rPr>
          <w:i w:val="0"/>
        </w:rPr>
      </w:pPr>
      <w:r>
        <w:rPr>
          <w:w w:val="95"/>
        </w:rPr>
        <w:t>与在活跃市场中没有报价、公允价值不能可靠计量的权益工具挂钩并须通过交付该权益</w:t>
      </w:r>
      <w:r>
        <w:rPr>
          <w:w w:val="95"/>
        </w:rPr>
        <w:t> </w:t>
      </w:r>
      <w:r>
        <w:rPr>
          <w:w w:val="95"/>
        </w:rPr>
        <w:t>工具结算的衍生金融负债，按照成本进行后续计量。其他金融负债采用实际利率法，按摊余</w:t>
      </w:r>
      <w:r>
        <w:rPr>
          <w:spacing w:val="-19"/>
          <w:w w:val="95"/>
        </w:rPr>
        <w:t> </w:t>
      </w:r>
      <w:r>
        <w:rPr/>
        <w:t>成本进行后续计量，终止确认或摊销产生的利得或损失计入当期损益。</w:t>
      </w:r>
      <w:r>
        <w:rPr>
          <w:i w:val="0"/>
        </w:rPr>
      </w:r>
    </w:p>
    <w:p>
      <w:pPr>
        <w:pStyle w:val="BodyText"/>
        <w:spacing w:line="312" w:lineRule="exact"/>
        <w:ind w:left="633" w:right="171"/>
        <w:jc w:val="left"/>
      </w:pPr>
      <w:r>
        <w:rPr/>
        <w:t>③财务担保合同及贷款承诺 不属于指定为以公允价值计量且其变动计入当期损益的金融负债的财务担保合同，或没</w:t>
      </w:r>
    </w:p>
    <w:p>
      <w:pPr>
        <w:pStyle w:val="BodyText"/>
        <w:spacing w:line="312" w:lineRule="exact"/>
        <w:ind w:right="188"/>
        <w:jc w:val="both"/>
      </w:pPr>
      <w:r>
        <w:rPr/>
        <w:t>有指定为以公允价值计量且其变动计入损益并将以低于市场利率贷款的贷款承诺，以公允价 值进行初始确认，在初始确认后按照《企业会计准则第</w:t>
      </w:r>
      <w:r>
        <w:rPr>
          <w:rFonts w:ascii="Times New Roman" w:hAnsi="Times New Roman" w:cs="Times New Roman" w:eastAsia="Times New Roman" w:hint="default"/>
        </w:rPr>
        <w:t>13</w:t>
      </w:r>
      <w:r>
        <w:rPr/>
        <w:t>号</w:t>
      </w:r>
      <w:r>
        <w:rPr>
          <w:rFonts w:ascii="Times New Roman" w:hAnsi="Times New Roman" w:cs="Times New Roman" w:eastAsia="Times New Roman" w:hint="default"/>
        </w:rPr>
        <w:t>—</w:t>
      </w:r>
      <w:r>
        <w:rPr/>
        <w:t>或有事项》确定的金额和初始 确认金额扣除按照《企业会计准则第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收入》的原则确定的累计摊销额后的余额之中的 较高者进行后续计量。</w:t>
      </w:r>
    </w:p>
    <w:p>
      <w:pPr>
        <w:pStyle w:val="BodyText"/>
        <w:spacing w:line="312" w:lineRule="exact"/>
        <w:ind w:left="633" w:right="171"/>
        <w:jc w:val="left"/>
      </w:pPr>
      <w:r>
        <w:rPr/>
        <w:t>（</w:t>
      </w:r>
      <w:r>
        <w:rPr>
          <w:rFonts w:ascii="Times New Roman" w:hAnsi="Times New Roman" w:cs="Times New Roman" w:eastAsia="Times New Roman" w:hint="default"/>
        </w:rPr>
        <w:t>6</w:t>
      </w:r>
      <w:r>
        <w:rPr/>
        <w:t>）金融负债的终止确认 金融负债的现时义务全部或部分已经解除的，才能终止确认该金融负债或其一部分。本</w:t>
      </w:r>
    </w:p>
    <w:p>
      <w:pPr>
        <w:pStyle w:val="BodyText"/>
        <w:spacing w:line="312" w:lineRule="exact"/>
        <w:ind w:right="188"/>
        <w:jc w:val="both"/>
      </w:pPr>
      <w:r>
        <w:rPr/>
        <w:t>公司（债务人）与债权人之间签订协议，以承担新金融负债方式替换现存金融负债，且新金 融负债与现存金融负债的合同条款实质上不同的，终止确认现存金融负债，并同时确认新金 融负债。</w:t>
      </w:r>
    </w:p>
    <w:p>
      <w:pPr>
        <w:pStyle w:val="BodyText"/>
        <w:spacing w:line="312" w:lineRule="exact"/>
        <w:ind w:right="188" w:firstLine="480"/>
        <w:jc w:val="both"/>
      </w:pPr>
      <w:r>
        <w:rPr/>
        <w:t>金融负债全部或部分终止确认的，将终止确认部分的账面价值与支付的对价（包括转出 的非现金资产或承担的新金融负债）之间的差额，计入当期损益。</w:t>
      </w:r>
    </w:p>
    <w:p>
      <w:pPr>
        <w:pStyle w:val="BodyText"/>
        <w:spacing w:line="312" w:lineRule="exact"/>
        <w:ind w:left="633" w:right="171"/>
        <w:jc w:val="left"/>
      </w:pPr>
      <w:r>
        <w:rPr/>
        <w:t>（</w:t>
      </w:r>
      <w:r>
        <w:rPr>
          <w:rFonts w:ascii="Times New Roman" w:hAnsi="Times New Roman" w:cs="Times New Roman" w:eastAsia="Times New Roman" w:hint="default"/>
        </w:rPr>
        <w:t>7</w:t>
      </w:r>
      <w:r>
        <w:rPr/>
        <w:t>）衍生工具及嵌入衍生工具 衍生工具于相关合同签署日以公允价值进行初始计量，并以公允价值进行后续计量。除</w:t>
      </w:r>
    </w:p>
    <w:p>
      <w:pPr>
        <w:pStyle w:val="BodyText"/>
        <w:spacing w:line="312" w:lineRule="exact"/>
        <w:ind w:right="188"/>
        <w:jc w:val="both"/>
      </w:pPr>
      <w:r>
        <w:rPr/>
        <w:t>指定为套期工具且套期高度有效的衍生工具，其公允价值变动形成的利得或损失将根据套期 关系的性质按照套期会计的要求确定计入损益的期间外，其余衍生工具的公允价值变动计入 当期损益。</w:t>
      </w:r>
    </w:p>
    <w:p>
      <w:pPr>
        <w:pStyle w:val="BodyText"/>
        <w:spacing w:line="312" w:lineRule="exact"/>
        <w:ind w:right="188" w:firstLine="480"/>
        <w:jc w:val="both"/>
      </w:pPr>
      <w:r>
        <w:rPr/>
        <w:t>对包含嵌入衍生工具的混合工具，如未指定为以公允价值计量且其变动计入当期损益的 金融资产或金融负债，嵌入衍生工具与该主合同在经济特征及风险方面不存在紧密关系，且</w:t>
      </w:r>
    </w:p>
    <w:p>
      <w:pPr>
        <w:spacing w:after="0" w:line="312" w:lineRule="exact"/>
        <w:jc w:val="both"/>
        <w:sectPr>
          <w:pgSz w:w="11910" w:h="16840"/>
          <w:pgMar w:header="877" w:footer="982" w:top="1100" w:bottom="1180" w:left="980" w:right="980"/>
        </w:sectPr>
      </w:pPr>
    </w:p>
    <w:p>
      <w:pPr>
        <w:spacing w:line="240" w:lineRule="auto" w:before="7"/>
        <w:rPr>
          <w:rFonts w:ascii="宋体" w:hAnsi="宋体" w:cs="宋体" w:eastAsia="宋体" w:hint="default"/>
          <w:sz w:val="19"/>
          <w:szCs w:val="19"/>
        </w:rPr>
      </w:pPr>
    </w:p>
    <w:p>
      <w:pPr>
        <w:pStyle w:val="BodyText"/>
        <w:spacing w:line="312" w:lineRule="exact" w:before="56"/>
        <w:ind w:left="154" w:right="268"/>
        <w:jc w:val="both"/>
      </w:pPr>
      <w:r>
        <w:rPr/>
        <w:t>与嵌入衍生工具条件相同，单独存在的工具符合衍生工具定义的，嵌入衍生工具从混合工具 中分拆，作为单独的衍生金融工具处理。如果无法在取得时或后续的资产负债表日对嵌入衍 生工具进行单独计量，则将混合工具整体指定为以公允价值计量且其变动计入当期损益的金 融资产或金融负债。</w:t>
      </w:r>
    </w:p>
    <w:p>
      <w:pPr>
        <w:pStyle w:val="BodyText"/>
        <w:spacing w:line="312" w:lineRule="exact"/>
        <w:ind w:left="633" w:right="99"/>
        <w:jc w:val="left"/>
      </w:pPr>
      <w:r>
        <w:rPr/>
        <w:t>（</w:t>
      </w:r>
      <w:r>
        <w:rPr>
          <w:rFonts w:ascii="Times New Roman" w:hAnsi="Times New Roman" w:cs="Times New Roman" w:eastAsia="Times New Roman" w:hint="default"/>
        </w:rPr>
        <w:t>8</w:t>
      </w:r>
      <w:r>
        <w:rPr/>
        <w:t>）金融资产和金融负债的抵销 </w:t>
      </w:r>
      <w:r>
        <w:rPr>
          <w:spacing w:val="-3"/>
        </w:rPr>
        <w:t>当本公司具有抵销已确认金融资产和金融负债的法定权利，且目前可执行该种法定权利，</w:t>
      </w:r>
    </w:p>
    <w:p>
      <w:pPr>
        <w:pStyle w:val="BodyText"/>
        <w:spacing w:line="312" w:lineRule="exact"/>
        <w:ind w:right="268"/>
        <w:jc w:val="both"/>
      </w:pPr>
      <w:r>
        <w:rPr/>
        <w:t>同时本公司计划以净额结算或同时变现该金融资产和清偿该金融负债时，金融资产和金融负 债以相互抵销后的金额在资产负债表内列示。除此以外，金融资产和金融负债在资产负债表 内分别列示，不予相互抵销。</w:t>
      </w:r>
    </w:p>
    <w:p>
      <w:pPr>
        <w:pStyle w:val="BodyText"/>
        <w:spacing w:line="312" w:lineRule="exact"/>
        <w:ind w:left="633" w:right="251"/>
        <w:jc w:val="left"/>
      </w:pPr>
      <w:r>
        <w:rPr/>
        <w:t>（</w:t>
      </w:r>
      <w:r>
        <w:rPr>
          <w:rFonts w:ascii="Times New Roman" w:hAnsi="Times New Roman" w:cs="Times New Roman" w:eastAsia="Times New Roman" w:hint="default"/>
        </w:rPr>
        <w:t>9</w:t>
      </w:r>
      <w:r>
        <w:rPr/>
        <w:t>）权益工具 权益工具是指能证明拥有本公司在扣除所有负债后的资产中的剩余权益的合同。本公司</w:t>
      </w:r>
    </w:p>
    <w:p>
      <w:pPr>
        <w:pStyle w:val="BodyText"/>
        <w:spacing w:line="312" w:lineRule="exact"/>
        <w:ind w:right="268"/>
        <w:jc w:val="both"/>
      </w:pPr>
      <w:r>
        <w:rPr/>
        <w:t>发行（含再融资）、回购、出售或注销权益工具作为权益的变动处理。本公司不确认权益工 具的公允价值变动。与权益性交易相关的交易费用从权益中扣减。</w:t>
      </w:r>
    </w:p>
    <w:p>
      <w:pPr>
        <w:pStyle w:val="BodyText"/>
        <w:spacing w:line="312" w:lineRule="exact"/>
        <w:ind w:right="251" w:firstLine="480"/>
        <w:jc w:val="left"/>
      </w:pPr>
      <w:r>
        <w:rPr/>
        <w:t>本公司对权益工具持有方的各种分配（不包括股票股利），减少股东权益。本公司不确 认权益工具的公允价值变动额。</w:t>
      </w:r>
    </w:p>
    <w:p>
      <w:pPr>
        <w:spacing w:line="240" w:lineRule="auto" w:before="7"/>
        <w:rPr>
          <w:rFonts w:ascii="宋体" w:hAnsi="宋体" w:cs="宋体" w:eastAsia="宋体" w:hint="default"/>
          <w:sz w:val="22"/>
          <w:szCs w:val="22"/>
        </w:rPr>
      </w:pPr>
    </w:p>
    <w:p>
      <w:pPr>
        <w:spacing w:before="0"/>
        <w:ind w:left="15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、应收款项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）单项金额重大并单独计提坏账准备的应收款项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3" w:right="68"/>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万元以上的应收款项确认为单项 金额重大的应收款项。</w:t>
            </w:r>
          </w:p>
        </w:tc>
      </w:tr>
      <w:tr>
        <w:trPr>
          <w:trHeight w:val="358" w:hRule="exact"/>
        </w:trPr>
        <w:tc>
          <w:tcPr>
            <w:tcW w:w="4784" w:type="dxa"/>
            <w:tcBorders>
              <w:top w:val="single" w:sz="4" w:space="0" w:color="000000"/>
              <w:left w:val="single" w:sz="4" w:space="0" w:color="000000"/>
              <w:bottom w:val="nil" w:sz="6" w:space="0" w:color="auto"/>
              <w:right w:val="single" w:sz="4" w:space="0" w:color="000000"/>
            </w:tcBorders>
            <w:shd w:val="clear" w:color="auto" w:fill="D3D3D3"/>
          </w:tcPr>
          <w:p>
            <w:pPr/>
          </w:p>
        </w:tc>
        <w:tc>
          <w:tcPr>
            <w:tcW w:w="4784"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测试未发生减值的金融资产，包括在具有类似信用风险特征</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的金融资产组合中进行减值测试。单项测试已确认减值损失</w:t>
            </w:r>
          </w:p>
        </w:tc>
      </w:tr>
      <w:tr>
        <w:trPr>
          <w:trHeight w:val="313" w:hRule="exact"/>
        </w:trPr>
        <w:tc>
          <w:tcPr>
            <w:tcW w:w="4784" w:type="dxa"/>
            <w:tcBorders>
              <w:top w:val="nil" w:sz="6" w:space="0" w:color="auto"/>
              <w:left w:val="single" w:sz="4" w:space="0" w:color="000000"/>
              <w:bottom w:val="nil" w:sz="6" w:space="0" w:color="auto"/>
              <w:right w:val="single" w:sz="4" w:space="0" w:color="000000"/>
            </w:tcBorders>
            <w:shd w:val="clear" w:color="auto" w:fill="D3D3D3"/>
          </w:tcPr>
          <w:p>
            <w:pPr/>
          </w:p>
        </w:tc>
        <w:tc>
          <w:tcPr>
            <w:tcW w:w="478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的应收款项，不再包括在具有类似信用风险特征的应收款项</w:t>
            </w:r>
          </w:p>
        </w:tc>
      </w:tr>
      <w:tr>
        <w:trPr>
          <w:trHeight w:val="356" w:hRule="exact"/>
        </w:trPr>
        <w:tc>
          <w:tcPr>
            <w:tcW w:w="4784" w:type="dxa"/>
            <w:tcBorders>
              <w:top w:val="nil" w:sz="6" w:space="0" w:color="auto"/>
              <w:left w:val="single" w:sz="4" w:space="0" w:color="000000"/>
              <w:bottom w:val="single" w:sz="4" w:space="0" w:color="000000"/>
              <w:right w:val="single" w:sz="4" w:space="0" w:color="000000"/>
            </w:tcBorders>
            <w:shd w:val="clear" w:color="auto" w:fill="D3D3D3"/>
          </w:tcPr>
          <w:p>
            <w:pPr/>
          </w:p>
        </w:tc>
        <w:tc>
          <w:tcPr>
            <w:tcW w:w="4784"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组合中进行减值测试。</w:t>
            </w:r>
          </w:p>
        </w:tc>
      </w:tr>
    </w:tbl>
    <w:p>
      <w:pPr>
        <w:spacing w:line="240" w:lineRule="auto" w:before="2"/>
        <w:rPr>
          <w:rFonts w:ascii="宋体" w:hAnsi="宋体" w:cs="宋体" w:eastAsia="宋体" w:hint="default"/>
          <w:b/>
          <w:bCs/>
          <w:sz w:val="19"/>
          <w:szCs w:val="19"/>
        </w:rPr>
      </w:pPr>
    </w:p>
    <w:p>
      <w:pPr>
        <w:spacing w:before="35"/>
        <w:ind w:left="154" w:right="9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）按信用风险特征组合计提坏账准备的应收款项</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51"/>
        <w:ind w:left="154" w:right="99"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3" w:right="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409"/>
              <w:jc w:val="right"/>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400"/>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bl>
    <w:p>
      <w:pPr>
        <w:spacing w:after="0" w:line="240" w:lineRule="auto"/>
        <w:jc w:val="right"/>
        <w:rPr>
          <w:rFonts w:ascii="Times New Roman" w:hAnsi="Times New Roman" w:cs="Times New Roman" w:eastAsia="Times New Roman" w:hint="default"/>
          <w:sz w:val="18"/>
          <w:szCs w:val="18"/>
        </w:rPr>
        <w:sectPr>
          <w:footerReference w:type="default" r:id="rId33"/>
          <w:pgSz w:w="11910" w:h="16840"/>
          <w:pgMar w:footer="982" w:header="877" w:top="1100" w:bottom="1180" w:left="980" w:right="90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99"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4" w:right="66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3"/>
        <w:ind w:left="154" w:right="9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9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）单项金额不重大但单独计提坏账准备的应收款项</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有客观证据表明其发生了减值的</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3" w:right="68"/>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 损失，计提坏账准备；</w:t>
            </w:r>
          </w:p>
        </w:tc>
      </w:tr>
    </w:tbl>
    <w:p>
      <w:pPr>
        <w:spacing w:line="240" w:lineRule="auto" w:before="2"/>
        <w:rPr>
          <w:rFonts w:ascii="宋体" w:hAnsi="宋体" w:cs="宋体" w:eastAsia="宋体" w:hint="default"/>
          <w:b/>
          <w:bCs/>
          <w:sz w:val="19"/>
          <w:szCs w:val="19"/>
        </w:rPr>
      </w:pPr>
    </w:p>
    <w:p>
      <w:pPr>
        <w:spacing w:before="35"/>
        <w:ind w:left="154"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633" w:right="3131"/>
        <w:jc w:val="left"/>
      </w:pPr>
      <w:r>
        <w:rPr/>
        <w:t>（</w:t>
      </w:r>
      <w:r>
        <w:rPr>
          <w:rFonts w:ascii="Times New Roman" w:hAnsi="Times New Roman" w:cs="Times New Roman" w:eastAsia="Times New Roman" w:hint="default"/>
        </w:rPr>
        <w:t>1</w:t>
      </w:r>
      <w:r>
        <w:rPr/>
        <w:t>）存货的分类 存货主要包括原材料、库存商品、低值易耗品、发出商品。</w:t>
      </w:r>
    </w:p>
    <w:p>
      <w:pPr>
        <w:pStyle w:val="BodyText"/>
        <w:spacing w:line="312" w:lineRule="exact"/>
        <w:ind w:left="633" w:right="99"/>
        <w:jc w:val="left"/>
      </w:pPr>
      <w:r>
        <w:rPr/>
        <w:t>（</w:t>
      </w:r>
      <w:r>
        <w:rPr>
          <w:rFonts w:ascii="Times New Roman" w:hAnsi="Times New Roman" w:cs="Times New Roman" w:eastAsia="Times New Roman" w:hint="default"/>
        </w:rPr>
        <w:t>2</w:t>
      </w:r>
      <w:r>
        <w:rPr/>
        <w:t>）存货取得和发出的计价方法 存货在取得时按实际成本计价，存货成本包括采购成本、加工成本和其他成本。领用和</w:t>
      </w:r>
    </w:p>
    <w:p>
      <w:pPr>
        <w:pStyle w:val="BodyText"/>
        <w:spacing w:line="282" w:lineRule="exact"/>
        <w:ind w:right="99"/>
        <w:jc w:val="left"/>
      </w:pPr>
      <w:r>
        <w:rPr/>
        <w:t>发出时按加权平均法计价。</w:t>
      </w:r>
    </w:p>
    <w:p>
      <w:pPr>
        <w:pStyle w:val="BodyText"/>
        <w:spacing w:line="312" w:lineRule="exact" w:before="29"/>
        <w:ind w:left="633" w:right="251"/>
        <w:jc w:val="left"/>
      </w:pPr>
      <w:r>
        <w:rPr/>
        <w:t>（</w:t>
      </w:r>
      <w:r>
        <w:rPr>
          <w:rFonts w:ascii="Times New Roman" w:hAnsi="Times New Roman" w:cs="Times New Roman" w:eastAsia="Times New Roman" w:hint="default"/>
        </w:rPr>
        <w:t>3</w:t>
      </w:r>
      <w:r>
        <w:rPr/>
        <w:t>）存货可变现净值的确认和跌价准备的计提方法 可变现净值是指在日常活动中，存货的估计售价减去至完工时估计将要发生的成本、估</w:t>
      </w:r>
    </w:p>
    <w:p>
      <w:pPr>
        <w:pStyle w:val="BodyText"/>
        <w:spacing w:line="312" w:lineRule="exact"/>
        <w:ind w:right="251"/>
        <w:jc w:val="left"/>
      </w:pPr>
      <w:r>
        <w:rPr/>
        <w:t>计的销售费用以及相关税费后的金额。在确定存货的可变现净值时，以取得的确凿证据为基 础，同时考虑持有存货的目的以及资产负债表日后事项的影响。</w:t>
      </w:r>
    </w:p>
    <w:p>
      <w:pPr>
        <w:pStyle w:val="BodyText"/>
        <w:spacing w:line="312" w:lineRule="exact"/>
        <w:ind w:right="93" w:firstLine="480"/>
        <w:jc w:val="left"/>
      </w:pPr>
      <w:r>
        <w:rPr/>
        <w:t>在资产负债表日，存货按照成本与可变现净值孰低计量。当其可变现净值低于成本时，</w:t>
      </w:r>
      <w:r>
        <w:rPr>
          <w:spacing w:val="1"/>
        </w:rPr>
        <w:t> </w:t>
      </w:r>
      <w:r>
        <w:rPr>
          <w:spacing w:val="-2"/>
        </w:rPr>
        <w:t>提取存货跌价准备。存货跌价准备通常按单个存货项目的成本高于其可变现净值的差额提取。</w:t>
      </w:r>
      <w:r>
        <w:rPr/>
        <w:t> 对于数量繁多、单价较低的存货，按存货类别计提存货跌价准备；对在同一地区生产和销售</w:t>
      </w:r>
      <w:r>
        <w:rPr>
          <w:spacing w:val="-83"/>
        </w:rPr>
        <w:t> </w:t>
      </w:r>
      <w:r>
        <w:rPr>
          <w:spacing w:val="-83"/>
        </w:rPr>
      </w:r>
      <w:r>
        <w:rPr/>
        <w:t>的产品系列相关、具有相同或类似最终用途或目的，且难以与其他项目分开计量的存货，可</w:t>
      </w:r>
      <w:r>
        <w:rPr>
          <w:spacing w:val="-83"/>
        </w:rPr>
        <w:t> </w:t>
      </w:r>
      <w:r>
        <w:rPr>
          <w:spacing w:val="-83"/>
        </w:rPr>
      </w:r>
      <w:r>
        <w:rPr/>
        <w:t>合并计提存货跌价准备</w:t>
      </w:r>
      <w:r>
        <w:rPr>
          <w:color w:val="0000FF"/>
        </w:rPr>
        <w:t>。</w:t>
      </w:r>
      <w:r>
        <w:rPr/>
      </w:r>
    </w:p>
    <w:p>
      <w:pPr>
        <w:pStyle w:val="BodyText"/>
        <w:spacing w:line="312" w:lineRule="exact"/>
        <w:ind w:right="268" w:firstLine="480"/>
        <w:jc w:val="both"/>
      </w:pPr>
      <w:r>
        <w:rPr/>
        <w:t>计提存货跌价准备后，如果以前减记存货价值的影响因素已经消失，导致存货的可变现 净值高于其账面价值的，在原已计提的存货跌价准备金额内予以转回，转回的金额计入当期 损益。</w:t>
      </w:r>
    </w:p>
    <w:p>
      <w:pPr>
        <w:pStyle w:val="BodyText"/>
        <w:spacing w:line="291" w:lineRule="exact"/>
        <w:ind w:left="633" w:right="99"/>
        <w:jc w:val="left"/>
      </w:pPr>
      <w:r>
        <w:rPr/>
        <w:t>（</w:t>
      </w:r>
      <w:r>
        <w:rPr>
          <w:rFonts w:ascii="Times New Roman" w:hAnsi="Times New Roman" w:cs="Times New Roman" w:eastAsia="Times New Roman" w:hint="default"/>
        </w:rPr>
        <w:t>4</w:t>
      </w:r>
      <w:r>
        <w:rPr/>
        <w:t>）存货的盘存制度为永续盘存制。</w:t>
      </w:r>
    </w:p>
    <w:p>
      <w:pPr>
        <w:pStyle w:val="BodyText"/>
        <w:spacing w:line="312" w:lineRule="exact" w:before="20"/>
        <w:ind w:left="633" w:right="1211"/>
        <w:jc w:val="left"/>
      </w:pPr>
      <w:r>
        <w:rPr/>
        <w:t>（</w:t>
      </w:r>
      <w:r>
        <w:rPr>
          <w:rFonts w:ascii="Times New Roman" w:hAnsi="Times New Roman" w:cs="Times New Roman" w:eastAsia="Times New Roman" w:hint="default"/>
        </w:rPr>
        <w:t>5</w:t>
      </w:r>
      <w:r>
        <w:rPr/>
        <w:t>）低值易耗品和包装物的摊销方法 低值易耗品于领用时按一次摊销法摊销；包装物于领用时按一次摊销法摊销。</w:t>
      </w:r>
    </w:p>
    <w:p>
      <w:pPr>
        <w:spacing w:line="240" w:lineRule="auto" w:before="7"/>
        <w:rPr>
          <w:rFonts w:ascii="宋体" w:hAnsi="宋体" w:cs="宋体" w:eastAsia="宋体" w:hint="default"/>
          <w:sz w:val="22"/>
          <w:szCs w:val="22"/>
        </w:rPr>
      </w:pPr>
    </w:p>
    <w:p>
      <w:pPr>
        <w:spacing w:before="0"/>
        <w:ind w:left="154"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、划分为持有待售资产</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54" w:right="268" w:firstLine="480"/>
        <w:jc w:val="both"/>
      </w:pPr>
      <w:r>
        <w:rPr/>
        <w:t>若某项非流动资产在其当前状况下仅根据出售此类资产的惯常条款即可立即出售，本公 司已就处置该项非流动资产作出决议，已经与受让方签订了不可撤销的转让协议，且该项转 让将在一年内完成，则该非流动资产作为持有待售非流动资产核算，自划分为持有待售之日</w:t>
      </w:r>
    </w:p>
    <w:p>
      <w:pPr>
        <w:spacing w:after="0" w:line="312" w:lineRule="exact"/>
        <w:jc w:val="both"/>
        <w:sectPr>
          <w:footerReference w:type="default" r:id="rId34"/>
          <w:pgSz w:w="11910" w:h="16840"/>
          <w:pgMar w:footer="982" w:header="877" w:top="1100" w:bottom="1180" w:left="980" w:right="900"/>
          <w:pgNumType w:start="101"/>
        </w:sectPr>
      </w:pPr>
    </w:p>
    <w:p>
      <w:pPr>
        <w:spacing w:line="240" w:lineRule="auto" w:before="7"/>
        <w:rPr>
          <w:rFonts w:ascii="宋体" w:hAnsi="宋体" w:cs="宋体" w:eastAsia="宋体" w:hint="default"/>
          <w:sz w:val="19"/>
          <w:szCs w:val="19"/>
        </w:rPr>
      </w:pPr>
    </w:p>
    <w:p>
      <w:pPr>
        <w:pStyle w:val="BodyText"/>
        <w:spacing w:line="312" w:lineRule="exact" w:before="56"/>
        <w:ind w:right="151"/>
        <w:jc w:val="both"/>
      </w:pPr>
      <w:r>
        <w:rPr/>
        <w:t>起不计提折旧或进行摊销，按照账面价值与公允价值减去处置费用后的净额孰低计量。持有 </w:t>
      </w:r>
      <w:r>
        <w:rPr>
          <w:spacing w:val="-2"/>
        </w:rPr>
        <w:t>待售的非流动资产包括单项资产和处置组。如果处置组是一个《企业会计准则第</w:t>
      </w:r>
      <w:r>
        <w:rPr>
          <w:rFonts w:ascii="Times New Roman" w:hAnsi="Times New Roman" w:cs="Times New Roman" w:eastAsia="Times New Roman" w:hint="default"/>
          <w:spacing w:val="-2"/>
        </w:rPr>
        <w:t>8</w:t>
      </w:r>
      <w:r>
        <w:rPr>
          <w:spacing w:val="-2"/>
        </w:rPr>
        <w:t>号</w:t>
      </w:r>
      <w:r>
        <w:rPr>
          <w:rFonts w:ascii="Times New Roman" w:hAnsi="Times New Roman" w:cs="Times New Roman" w:eastAsia="Times New Roman" w:hint="default"/>
          <w:spacing w:val="-2"/>
        </w:rPr>
        <w:t>——</w:t>
      </w:r>
      <w:r>
        <w:rPr>
          <w:spacing w:val="-2"/>
        </w:rPr>
        <w:t>资产</w:t>
      </w:r>
      <w:r>
        <w:rPr/>
        <w:t> 减值》所定义的资产组，并且按照该准则的规定将企业合并中取得的商誉分摊至该资产组， 或者该处置组是资产组中的一项经营，则该处置组包括企业合并中所形成的商誉。</w:t>
      </w:r>
    </w:p>
    <w:p>
      <w:pPr>
        <w:pStyle w:val="BodyText"/>
        <w:spacing w:line="312" w:lineRule="exact"/>
        <w:ind w:right="188" w:firstLine="480"/>
        <w:jc w:val="both"/>
      </w:pPr>
      <w:r>
        <w:rPr/>
        <w:t>被划分为持有待售的单项非流动资产和处置组中的资产，在资产负债表的流动资产部分 单独列报；被划分为持有待售的处置组中的与转让资产相关的负债，在资产负债表的流动负 债部分单独列报。</w:t>
      </w:r>
    </w:p>
    <w:p>
      <w:pPr>
        <w:pStyle w:val="BodyText"/>
        <w:spacing w:line="312" w:lineRule="exact"/>
        <w:ind w:right="177" w:firstLine="480"/>
        <w:jc w:val="both"/>
      </w:pPr>
      <w:r>
        <w:rPr>
          <w:spacing w:val="-3"/>
        </w:rPr>
        <w:t>某项资产或处置组被划归为持有待售，但后来不再满足持有待售的非流动资产的确认条</w:t>
      </w:r>
      <w:r>
        <w:rPr/>
        <w:t> 件，本公司停止将其划归为持有待售，并按照下列两项金额中较低者进行计量：（</w:t>
      </w:r>
      <w:r>
        <w:rPr>
          <w:rFonts w:ascii="Times New Roman" w:hAnsi="Times New Roman" w:cs="Times New Roman" w:eastAsia="Times New Roman" w:hint="default"/>
        </w:rPr>
        <w:t>1</w:t>
      </w:r>
      <w:r>
        <w:rPr/>
        <w:t>）该资 </w:t>
      </w:r>
      <w:r>
        <w:rPr>
          <w:spacing w:val="-3"/>
        </w:rPr>
        <w:t>产或处置组被划归为持有待售之前的账面价值，按照其假定在没有被划归为持有待售的情况</w:t>
      </w:r>
      <w:r>
        <w:rPr>
          <w:spacing w:val="-110"/>
        </w:rPr>
        <w:t> </w:t>
      </w:r>
      <w:r>
        <w:rPr>
          <w:spacing w:val="-110"/>
        </w:rPr>
      </w:r>
      <w:r>
        <w:rPr>
          <w:spacing w:val="-3"/>
        </w:rPr>
        <w:t>下原应确认的折旧、摊销或减值进行调整后的金额；（</w:t>
      </w:r>
      <w:r>
        <w:rPr>
          <w:rFonts w:ascii="Times New Roman" w:hAnsi="Times New Roman" w:cs="Times New Roman" w:eastAsia="Times New Roman" w:hint="default"/>
          <w:spacing w:val="-3"/>
        </w:rPr>
        <w:t>2</w:t>
      </w:r>
      <w:r>
        <w:rPr>
          <w:spacing w:val="-3"/>
        </w:rPr>
        <w:t>）决定不再出售之日的可收回金额。</w:t>
      </w:r>
    </w:p>
    <w:p>
      <w:pPr>
        <w:spacing w:line="240" w:lineRule="auto" w:before="7"/>
        <w:rPr>
          <w:rFonts w:ascii="宋体" w:hAnsi="宋体" w:cs="宋体" w:eastAsia="宋体" w:hint="default"/>
          <w:sz w:val="22"/>
          <w:szCs w:val="22"/>
        </w:rPr>
      </w:pPr>
    </w:p>
    <w:p>
      <w:pPr>
        <w:spacing w:before="0"/>
        <w:ind w:left="15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54" w:right="188" w:firstLine="480"/>
        <w:jc w:val="both"/>
      </w:pPr>
      <w:r>
        <w:rPr/>
        <w:t>本部分所指的长期股权投资是指本公司对被投资单位具有控制、共同控制或重大影响的 长期股权投资。本公司对被投资单位不具有控制、共同控制或重大影响的长期股权投资，作 为可供出售金融资产或以公允价值计量且其变动计入当期损益的金融资产核算，其会计政策 详见附注四、</w:t>
      </w:r>
      <w:r>
        <w:rPr>
          <w:rFonts w:ascii="Times New Roman" w:hAnsi="Times New Roman" w:cs="Times New Roman" w:eastAsia="Times New Roman" w:hint="default"/>
        </w:rPr>
        <w:t>8“</w:t>
      </w:r>
      <w:r>
        <w:rPr/>
        <w:t>金融工具</w:t>
      </w:r>
      <w:r>
        <w:rPr>
          <w:rFonts w:ascii="Times New Roman" w:hAnsi="Times New Roman" w:cs="Times New Roman" w:eastAsia="Times New Roman" w:hint="default"/>
        </w:rPr>
        <w:t>”</w:t>
      </w:r>
      <w:r>
        <w:rPr/>
        <w:t>。</w:t>
      </w:r>
    </w:p>
    <w:p>
      <w:pPr>
        <w:pStyle w:val="BodyText"/>
        <w:spacing w:line="312" w:lineRule="exact"/>
        <w:ind w:right="188" w:firstLine="480"/>
        <w:jc w:val="both"/>
      </w:pPr>
      <w:r>
        <w:rPr/>
        <w:t>共同控制，是指本公司按照相关约定对某项安排所共有的控制，并且该安排的相关活动 必须经过分享控制权的参与方一致同意后才能决策。重大影响，是指本公司对被投资单位的 财务和经营政策有参与决策的权力，但并不能够控制或者与其他方一起共同控制这些政策的 制定。</w:t>
      </w:r>
    </w:p>
    <w:p>
      <w:pPr>
        <w:pStyle w:val="BodyText"/>
        <w:spacing w:line="312" w:lineRule="exact"/>
        <w:ind w:left="633" w:right="171"/>
        <w:jc w:val="left"/>
      </w:pPr>
      <w:r>
        <w:rPr/>
        <w:t>（</w:t>
      </w:r>
      <w:r>
        <w:rPr>
          <w:rFonts w:ascii="Times New Roman" w:hAnsi="Times New Roman" w:cs="Times New Roman" w:eastAsia="Times New Roman" w:hint="default"/>
        </w:rPr>
        <w:t>1</w:t>
      </w:r>
      <w:r>
        <w:rPr/>
        <w:t>）投资成本的确定 对于同一控制下的企业合并取得的长期股权投资，在合并日按照被合并方股东权益在最</w:t>
      </w:r>
    </w:p>
    <w:p>
      <w:pPr>
        <w:pStyle w:val="BodyText"/>
        <w:spacing w:line="312" w:lineRule="exact"/>
        <w:ind w:right="188"/>
        <w:jc w:val="both"/>
      </w:pPr>
      <w:r>
        <w:rPr/>
        <w:t>终控制方合并财务报表中的账面价值的份额作为长期股权投资的初始投资成本。长期股权投 资初始投资成本与支付的现金、转让的非现金资产以及所承担债务账面价值之间的差额，调 整资本公积；资本公积不足冲减的，调整留存收益。以发行权益性证券作为合并对价的，在 合并日按照被合并方股东权益在最终控制方合并财务报表中的账面价值的份额作为长期股权 投资的初始投资成本，按照发行股份的面值总额作为股本，长期股权投资初始投资成本与所 发行股份面值总额之间的差额，调整资本公积；资本公积不足冲减的，调整留存收益。通过 多次交易分步取得同一控制下被合并方的股权，最终形成同一控制下企业合并的，应分别是 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 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的，在合并日按照应享有被合并方股东权益在最终控 制方合并财务报表中的账面价值的份额作为长期股权投资的初始投资成本，长期股权投资初 始投资成本与达到合并前的长期股权投资账面价值加上合并日进一步取得股份新支付对价的 账面价值之和的差额，调整资本公积；资本公积不足冲减的，调整留存收益。合并日之前持 有的股权投资因采用权益法核算或为可供出售金融资产而确认的其他综合收益，暂不进行会 计处理。</w:t>
      </w:r>
    </w:p>
    <w:p>
      <w:pPr>
        <w:pStyle w:val="BodyText"/>
        <w:spacing w:line="312" w:lineRule="exact"/>
        <w:ind w:right="188" w:firstLine="480"/>
        <w:jc w:val="both"/>
      </w:pPr>
      <w:r>
        <w:rPr/>
        <w:t>对于非同一控制下的企业合并取得的长期股权投资，在购买日按照合并成本作为长期股 权投资的初始投资成本，合并成本包括购买方付出的资产、发生或承担的负债、发行的权益 性证券的公允价值之和。通过多次交易分步取得被购买方的股权，最终形成非同一控制下的 企业合并的，应分别是否属于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 为一项取得控制权的交易进行会计处理。不属于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的，按照原持有被购买方的股 权投资账面价值加上新增投资成本之和，作为改按成本法核算的长期股权投资的初始投资成</w:t>
      </w:r>
    </w:p>
    <w:p>
      <w:pPr>
        <w:spacing w:after="0" w:line="312" w:lineRule="exact"/>
        <w:jc w:val="both"/>
        <w:sectPr>
          <w:pgSz w:w="11910" w:h="16840"/>
          <w:pgMar w:header="877" w:footer="982" w:top="1100" w:bottom="1180" w:left="980" w:right="980"/>
        </w:sectPr>
      </w:pPr>
    </w:p>
    <w:p>
      <w:pPr>
        <w:spacing w:line="240" w:lineRule="auto" w:before="7"/>
        <w:rPr>
          <w:rFonts w:ascii="宋体" w:hAnsi="宋体" w:cs="宋体" w:eastAsia="宋体" w:hint="default"/>
          <w:sz w:val="19"/>
          <w:szCs w:val="19"/>
        </w:rPr>
      </w:pPr>
    </w:p>
    <w:p>
      <w:pPr>
        <w:pStyle w:val="BodyText"/>
        <w:spacing w:line="312" w:lineRule="exact" w:before="56"/>
        <w:ind w:left="154" w:right="268"/>
        <w:jc w:val="both"/>
      </w:pPr>
      <w:r>
        <w:rPr/>
        <w:t>本。原持有的股权采用权益法核算的，相关其他综合收益暂不进行会计处理。原持有股权投 资为可供出售金融资产的，其公允价值与账面价值之间的差额，以及原计入其他综合收益的 累计公允价值变动转入当期损益。</w:t>
      </w:r>
    </w:p>
    <w:p>
      <w:pPr>
        <w:pStyle w:val="BodyText"/>
        <w:spacing w:line="312" w:lineRule="exact"/>
        <w:ind w:right="251" w:firstLine="480"/>
        <w:jc w:val="left"/>
      </w:pPr>
      <w:r>
        <w:rPr/>
        <w:t>合并方或购买方为企业合并发生的审计、法律服务、评估咨询等中介费用以及其他相关 管理费用，于发生时计入当期损益。</w:t>
      </w:r>
    </w:p>
    <w:p>
      <w:pPr>
        <w:pStyle w:val="BodyText"/>
        <w:spacing w:line="312" w:lineRule="exact"/>
        <w:ind w:right="228" w:firstLine="480"/>
        <w:jc w:val="both"/>
      </w:pPr>
      <w:r>
        <w:rPr/>
        <w:t>除企业合并形成的长期股权投资外的其他股权投资，按成本进行初始计量，该成本视长</w:t>
      </w:r>
      <w:r>
        <w:rPr>
          <w:spacing w:val="1"/>
        </w:rPr>
        <w:t> </w:t>
      </w:r>
      <w:r>
        <w:rPr/>
        <w:t>期股权投资取得方式的不同，分别按照本公司实际支付的现金购买价款、本公司发行的权益</w:t>
      </w:r>
      <w:r>
        <w:rPr>
          <w:spacing w:val="-83"/>
        </w:rPr>
        <w:t> </w:t>
      </w:r>
      <w:r>
        <w:rPr>
          <w:spacing w:val="-83"/>
        </w:rPr>
      </w:r>
      <w:r>
        <w:rPr/>
        <w:t>性证券的公允价值、投资合同或协议约定的价值、非货币性资产交换交易中换出资产的公允</w:t>
      </w:r>
      <w:r>
        <w:rPr>
          <w:spacing w:val="-83"/>
        </w:rPr>
        <w:t> </w:t>
      </w:r>
      <w:r>
        <w:rPr>
          <w:spacing w:val="-83"/>
        </w:rPr>
      </w:r>
      <w:r>
        <w:rPr/>
        <w:t>价值或原账面价值、该项长期股权投资自身的公允价值等方式确定。与取得长期股权投资直</w:t>
      </w:r>
      <w:r>
        <w:rPr>
          <w:spacing w:val="-83"/>
        </w:rPr>
        <w:t> </w:t>
      </w:r>
      <w:r>
        <w:rPr>
          <w:spacing w:val="-83"/>
        </w:rPr>
      </w:r>
      <w:r>
        <w:rPr/>
        <w:t>接相关的费用、税金及其他必要支出也计入投资成本。对于因追加投资能够对被投资单位实</w:t>
      </w:r>
      <w:r>
        <w:rPr>
          <w:spacing w:val="-83"/>
        </w:rPr>
        <w:t> </w:t>
      </w:r>
      <w:r>
        <w:rPr>
          <w:spacing w:val="-83"/>
        </w:rPr>
      </w:r>
      <w:r>
        <w:rPr/>
        <w:t>施重大影响或实施共同控制但不构成控制的，长期股权投资成本为按照《企业会计准则第</w:t>
      </w:r>
      <w:r>
        <w:rPr>
          <w:rFonts w:ascii="Times New Roman" w:hAnsi="Times New Roman" w:cs="Times New Roman" w:eastAsia="Times New Roman" w:hint="default"/>
        </w:rPr>
        <w:t>22</w:t>
      </w:r>
      <w:r>
        <w:rPr>
          <w:rFonts w:ascii="Times New Roman" w:hAnsi="Times New Roman" w:cs="Times New Roman" w:eastAsia="Times New Roman" w:hint="default"/>
          <w:spacing w:val="-24"/>
        </w:rPr>
        <w:t> </w:t>
      </w:r>
      <w:r>
        <w:rPr/>
        <w:t>号</w:t>
      </w:r>
      <w:r>
        <w:rPr>
          <w:rFonts w:ascii="Times New Roman" w:hAnsi="Times New Roman" w:cs="Times New Roman" w:eastAsia="Times New Roman" w:hint="default"/>
        </w:rPr>
        <w:t>——</w:t>
      </w:r>
      <w:r>
        <w:rPr/>
        <w:t>金融工具确认和计量》确定的原持有股权投资的公允价值加上新增投资成本之和。</w:t>
      </w:r>
    </w:p>
    <w:p>
      <w:pPr>
        <w:pStyle w:val="BodyText"/>
        <w:spacing w:line="312" w:lineRule="exact"/>
        <w:ind w:left="633" w:right="251"/>
        <w:jc w:val="left"/>
      </w:pPr>
      <w:r>
        <w:rPr/>
        <w:t>（</w:t>
      </w:r>
      <w:r>
        <w:rPr>
          <w:rFonts w:ascii="Times New Roman" w:hAnsi="Times New Roman" w:cs="Times New Roman" w:eastAsia="Times New Roman" w:hint="default"/>
        </w:rPr>
        <w:t>2</w:t>
      </w:r>
      <w:r>
        <w:rPr/>
        <w:t>）后续计量及损益确认方法 对被投资单位具有共同控制（构成共同经营者除外）或重大影响的长期股权投资，采用</w:t>
      </w:r>
    </w:p>
    <w:p>
      <w:pPr>
        <w:pStyle w:val="BodyText"/>
        <w:spacing w:line="312" w:lineRule="exact"/>
        <w:ind w:right="268"/>
        <w:jc w:val="both"/>
      </w:pPr>
      <w:r>
        <w:rPr/>
        <w:t>权益法核算。此外，公司财务报表采用成本法核算能够对被投资单位实施控制的长期股权投 资。</w:t>
      </w:r>
    </w:p>
    <w:p>
      <w:pPr>
        <w:pStyle w:val="BodyText"/>
        <w:spacing w:line="312" w:lineRule="exact"/>
        <w:ind w:left="633" w:right="251"/>
        <w:jc w:val="left"/>
      </w:pPr>
      <w:r>
        <w:rPr/>
        <w:t>①成本法核算的长期股权投资 采用成本法核算时，长期股权投资按初始投资成本计价，追加或收回投资调整长期股权</w:t>
      </w:r>
    </w:p>
    <w:p>
      <w:pPr>
        <w:pStyle w:val="BodyText"/>
        <w:spacing w:line="312" w:lineRule="exact"/>
        <w:ind w:right="268"/>
        <w:jc w:val="both"/>
      </w:pPr>
      <w:r>
        <w:rPr/>
        <w:t>投资的成本。除取得投资时实际支付的价款或者对价中包含的已宣告但尚未发放的现金股利 或者利润外，当期投资收益按照享有被投资单位宣告发放的现金股利或利润确认。</w:t>
      </w:r>
    </w:p>
    <w:p>
      <w:pPr>
        <w:pStyle w:val="BodyText"/>
        <w:spacing w:line="312" w:lineRule="exact"/>
        <w:ind w:left="633" w:right="251"/>
        <w:jc w:val="left"/>
      </w:pPr>
      <w:r>
        <w:rPr/>
        <w:t>②权益法核算的长期股权投资 采用权益法核算时，长期股权投资的初始投资成本大于投资时应享有被投资单位可辨认</w:t>
      </w:r>
    </w:p>
    <w:p>
      <w:pPr>
        <w:pStyle w:val="BodyText"/>
        <w:spacing w:line="312" w:lineRule="exact"/>
        <w:ind w:right="268"/>
        <w:jc w:val="both"/>
      </w:pPr>
      <w:r>
        <w:rPr/>
        <w:t>净资产公允价值份额的，不调整长期股权投资的初始投资成本；初始投资成本小于投资时应 享有被投资单位可辨认净资产公允价值份额的，其差额计入当期损益，同时调整长期股权投 资的成本。</w:t>
      </w:r>
    </w:p>
    <w:p>
      <w:pPr>
        <w:pStyle w:val="BodyText"/>
        <w:spacing w:line="312" w:lineRule="exact"/>
        <w:ind w:right="93" w:firstLine="480"/>
        <w:jc w:val="left"/>
      </w:pPr>
      <w:r>
        <w:rPr/>
        <w:t>采用权益法核算时，按照应享有或应分担的被投资单位实现的净损益和其他综合收益的 份额，分别确认投资收益和其他综合收益，同时调整长期股权投资的账面价值；按照被投资 单位宣告分派的利润或现金股利计算应享有的部分，相应减少长期股权投资的账面价值；对 于被投资单位除净损益、其他综合收益和利润分配以外所有者权益的其他变动，调整长期股 权投资的账面价值并计入资本公积。在确认应享有被投资单位净损益的份额时，以取得投资 </w:t>
      </w:r>
      <w:r>
        <w:rPr>
          <w:spacing w:val="-2"/>
        </w:rPr>
        <w:t>时被投资单位各项可辨认资产等的公允价值为基础，对被投资单位的净利润进行调整后确认。</w:t>
      </w:r>
      <w:r>
        <w:rPr/>
        <w:t> 被投资单位采用的会计政策及会计期间与本公司不一致的，按照本公司的会计政策及会计期 间对被投资单位的财务报表进行调整，并据以确认投资收益和其他综合收益。对于本公司与 联营企业及合营企业之间发生的交易，投出或出售的资产不构成业务的，未实现内部交易损 益按照享有的比例计算归属于本公司的部分予以抵销，在此基础上确认投资损益。但本公司 与被投资单位发生的未实现内部交易损失，属于所转让资产减值损失的，不予以抵销。本公 司向合营企业或联营企业投出的资产构成业务的，投资方因此取得长期股权投资但未取得控 制权的，以投出业务的公允价值作为新增长期股权投资的初始投资成本，初始投资成本与投 出业务的账面价值之差，全额计入当期损益。本公司向合营企业或联营企业出售的资产构成 业务的，取得的对价与业务的账面价值之差，全额计入当期损益。本公司自联营企业及合营 </w:t>
      </w:r>
      <w:r>
        <w:rPr>
          <w:spacing w:val="-2"/>
        </w:rPr>
        <w:t>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w:t>
      </w:r>
      <w:r>
        <w:rPr/>
        <w:t> 全额确认与交易相关的利得或损失。</w:t>
      </w:r>
    </w:p>
    <w:p>
      <w:pPr>
        <w:pStyle w:val="BodyText"/>
        <w:spacing w:line="312" w:lineRule="exact"/>
        <w:ind w:right="251" w:firstLine="480"/>
        <w:jc w:val="left"/>
      </w:pPr>
      <w:r>
        <w:rPr/>
        <w:t>在确认应分担被投资单位发生的净亏损时，以长期股权投资的账面价值和其他实质上构 成对被投资单位净投资的长期权益减记至零为限。此外，如本公司对被投资单位负有承担额</w:t>
      </w:r>
    </w:p>
    <w:p>
      <w:pPr>
        <w:spacing w:after="0" w:line="312" w:lineRule="exact"/>
        <w:jc w:val="left"/>
        <w:sectPr>
          <w:pgSz w:w="11910" w:h="16840"/>
          <w:pgMar w:header="877" w:footer="982" w:top="1100" w:bottom="1180" w:left="980" w:right="900"/>
        </w:sectPr>
      </w:pPr>
    </w:p>
    <w:p>
      <w:pPr>
        <w:spacing w:line="240" w:lineRule="auto" w:before="7"/>
        <w:rPr>
          <w:rFonts w:ascii="宋体" w:hAnsi="宋体" w:cs="宋体" w:eastAsia="宋体" w:hint="default"/>
          <w:sz w:val="19"/>
          <w:szCs w:val="19"/>
        </w:rPr>
      </w:pPr>
    </w:p>
    <w:p>
      <w:pPr>
        <w:pStyle w:val="BodyText"/>
        <w:spacing w:line="312" w:lineRule="exact" w:before="56"/>
        <w:ind w:left="154" w:right="268"/>
        <w:jc w:val="both"/>
      </w:pPr>
      <w:r>
        <w:rPr/>
        <w:t>外损失的义务，则按预计承担的义务确认预计负债，计入当期投资损失。被投资单位以后期 间实现净利润的，本公司在收益分享额弥补未确认的亏损分担额后，恢复确认收益分享额。</w:t>
      </w:r>
    </w:p>
    <w:p>
      <w:pPr>
        <w:pStyle w:val="BodyText"/>
        <w:spacing w:line="312" w:lineRule="exact"/>
        <w:ind w:left="154" w:right="92" w:firstLine="480"/>
        <w:jc w:val="left"/>
      </w:pPr>
      <w:r>
        <w:rPr/>
        <w:t>对于本公司首次执行新会计准则之前已经持有的对联营企业和合营企业的长期股权投 </w:t>
      </w:r>
      <w:r>
        <w:rPr>
          <w:spacing w:val="-2"/>
        </w:rPr>
        <w:t>资，如存在与该投资相关的股权投资借方差额，按原剩余期限直线摊销的金额计入当期损益。</w:t>
      </w:r>
    </w:p>
    <w:p>
      <w:pPr>
        <w:pStyle w:val="BodyText"/>
        <w:spacing w:line="312" w:lineRule="exact"/>
        <w:ind w:left="634" w:right="250"/>
        <w:jc w:val="left"/>
      </w:pPr>
      <w:r>
        <w:rPr/>
        <w:t>③收购少数股权 在编制合并财务报表时，因购买少数股权新增的长期股权投资与按照新增持股比例计算</w:t>
      </w:r>
    </w:p>
    <w:p>
      <w:pPr>
        <w:pStyle w:val="BodyText"/>
        <w:spacing w:line="312" w:lineRule="exact"/>
        <w:ind w:left="154" w:right="99"/>
        <w:jc w:val="left"/>
      </w:pPr>
      <w:r>
        <w:rPr>
          <w:spacing w:val="-3"/>
        </w:rPr>
        <w:t>应享有子公司自购买日（或合并日）开始持续计算的净资产份额之间的差额，调整资本公积，</w:t>
      </w:r>
      <w:r>
        <w:rPr>
          <w:spacing w:val="-81"/>
        </w:rPr>
        <w:t> </w:t>
      </w:r>
      <w:r>
        <w:rPr>
          <w:spacing w:val="-81"/>
        </w:rPr>
      </w:r>
      <w:r>
        <w:rPr/>
        <w:t>资本公积不足冲减的，调整留存收益。</w:t>
      </w:r>
    </w:p>
    <w:p>
      <w:pPr>
        <w:pStyle w:val="BodyText"/>
        <w:spacing w:line="312" w:lineRule="exact"/>
        <w:ind w:left="634" w:right="99"/>
        <w:jc w:val="left"/>
      </w:pPr>
      <w:r>
        <w:rPr/>
        <w:t>④处置长期股权投资 </w:t>
      </w:r>
      <w:r>
        <w:rPr>
          <w:spacing w:val="-3"/>
        </w:rPr>
        <w:t>在合并财务报表中，母公司在不丧失控制权的情况下部分处置对子公司的长期股权投资，</w:t>
      </w:r>
    </w:p>
    <w:p>
      <w:pPr>
        <w:pStyle w:val="BodyText"/>
        <w:spacing w:line="312" w:lineRule="exact"/>
        <w:ind w:left="154" w:right="231"/>
        <w:jc w:val="both"/>
      </w:pPr>
      <w:r>
        <w:rPr/>
        <w:t>处置价款与处置长期股权投资相对应享有子公司净资产的差额计入股东权益；母公司部分处 </w:t>
      </w:r>
      <w:r>
        <w:rPr>
          <w:spacing w:val="-2"/>
        </w:rPr>
        <w:t>置对子公司的长期股权投资导致丧失对子公司控制权的，按本附注四、</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w:t>
      </w:r>
      <w:r>
        <w:rPr>
          <w:spacing w:val="-2"/>
        </w:rPr>
        <w:t>合并财务报</w:t>
      </w:r>
      <w:r>
        <w:rPr>
          <w:spacing w:val="-108"/>
        </w:rPr>
        <w:t> </w:t>
      </w:r>
      <w:r>
        <w:rPr/>
        <w:t>表编制的方法</w:t>
      </w:r>
      <w:r>
        <w:rPr>
          <w:rFonts w:ascii="Times New Roman" w:hAnsi="Times New Roman" w:cs="Times New Roman" w:eastAsia="Times New Roman" w:hint="default"/>
        </w:rPr>
        <w:t>”</w:t>
      </w:r>
      <w:r>
        <w:rPr/>
        <w:t>中所述的相关会计政策处理。</w:t>
      </w:r>
    </w:p>
    <w:p>
      <w:pPr>
        <w:pStyle w:val="BodyText"/>
        <w:spacing w:line="312" w:lineRule="exact"/>
        <w:ind w:left="154" w:right="99" w:firstLine="480"/>
        <w:jc w:val="left"/>
      </w:pPr>
      <w:r>
        <w:rPr>
          <w:spacing w:val="-3"/>
        </w:rPr>
        <w:t>其他情形下的长期股权投资处置，对于处置的股权，其账面价值与实际取得价款的差额，</w:t>
      </w:r>
      <w:r>
        <w:rPr/>
        <w:t> 计入当期损益。</w:t>
      </w:r>
    </w:p>
    <w:p>
      <w:pPr>
        <w:pStyle w:val="BodyText"/>
        <w:spacing w:line="312" w:lineRule="exact"/>
        <w:ind w:left="154" w:right="268" w:firstLine="480"/>
        <w:jc w:val="both"/>
      </w:pPr>
      <w:r>
        <w:rPr/>
        <w:t>采用权益法核算的长期股权投资，处置后的剩余股权仍采用权益法核算的，在处置时将 原计入股东权益的其他综合收益部分按相应的比例采用与被投资单位直接处置相关资产或负 债相同的基础进行会计处理。因被投资方除净损益、其他综合收益和利润分配以外的其他所 有者权益变动而确认的所有者权益，按比例结转入当期损益。</w:t>
      </w:r>
    </w:p>
    <w:p>
      <w:pPr>
        <w:pStyle w:val="BodyText"/>
        <w:spacing w:line="312" w:lineRule="exact"/>
        <w:ind w:left="154" w:right="268" w:firstLine="480"/>
        <w:jc w:val="both"/>
      </w:pPr>
      <w:r>
        <w:rPr/>
        <w:t>采用成本法核算的长期股权投资，处置后剩余股权仍采用成本法核算的，其在取得对被 投资单位的控制之前因采用权益法核算或金融工具确认和计量准则核算而确认的其他综合收 益，采用与被投资单位直接处置相关资产或负债相同的基础进行会计处理，并按比例结转当 期损益；因采用权益法核算而确认的被投资单位净资产中除净损益、其他综合收益和利润分 配以外的其他所有者权益变动按比例结转当期损益。</w:t>
      </w:r>
    </w:p>
    <w:p>
      <w:pPr>
        <w:pStyle w:val="BodyText"/>
        <w:spacing w:line="312" w:lineRule="exact"/>
        <w:ind w:left="154" w:right="268" w:firstLine="480"/>
        <w:jc w:val="both"/>
      </w:pPr>
      <w:r>
        <w:rPr/>
        <w:t>本公司因处置部分股权投资丧失了对被投资单位的控制的，在编制个别财务报表时，处 置后的剩余股权能够对被投资单位实施共同控制或施加重大影响的，改按权益法核算，并对 该剩余股权视同自取得时即采用权益法核算进行调整；处置后的剩余股权不能对被投资单位 实施共同控制或施加重大影响的，改按金融工具确认和计量准则的有关规定进行会计处理， 其在丧失控制之日的公允价值与账面价值之间的差额计入当期损益。对于本公司取得对被投 资单位的控制之前，因采用权益法核算或金融工具确认和计量准则核算而确认的其他综合收 益，在丧失对被投资单位控制时采用与被投资单位直接处置相关资产或负债相同的基础进行 会计处理，因采用权益法核算而确认的被投资单位净资产中除净损益、其他综合收益和利润 分配以外的其他所有者权益变动在丧失对被投资单位控制时结转入当期损益。其中，处置后 的剩余股权采用权益法核算的，其他综合收益和其他所有者权益按比例结转；处置后的剩余 股权改按金融工具确认和计量准则进行会计处理的，其他综合收益和其他所有者权益全部结 转。</w:t>
      </w:r>
    </w:p>
    <w:p>
      <w:pPr>
        <w:pStyle w:val="BodyText"/>
        <w:spacing w:line="312" w:lineRule="exact"/>
        <w:ind w:left="154" w:right="268" w:firstLine="480"/>
        <w:jc w:val="both"/>
      </w:pPr>
      <w:r>
        <w:rPr/>
        <w:t>本公司因处置部分股权投资丧失了对被投资单位的共同控制或重大影响的，处置后的剩 余股权改按金融工具确认和计量准则核算，其在丧失共同控制或重大影响之日的公允价值与 账面价值之间的差额计入当期损益。原股权投资因采用权益法核算而确认的其他综合收益， 在终止采用权益法核算时采用与被投资单位直接处置相关资产或负债相同的基础进行会计处 理，因被投资方除净损益、其他综合收益和利润分配以外的其他所有者权益变动而确认的所 有者权益，在终止采用权益法时全部转入当期投资收益。</w:t>
      </w:r>
    </w:p>
    <w:p>
      <w:pPr>
        <w:pStyle w:val="BodyText"/>
        <w:spacing w:line="312" w:lineRule="exact"/>
        <w:ind w:left="154" w:right="268" w:firstLine="480"/>
        <w:jc w:val="both"/>
      </w:pPr>
      <w:r>
        <w:rPr/>
        <w:t>本公司通过多次交易分步处置对子公司股权投资直至丧失控制权，如果上述交易属于一 揽子交易的，将各项交易作为一项处置子公司股权投资并丧失控制权的交易进行会计处理，</w:t>
      </w:r>
    </w:p>
    <w:p>
      <w:pPr>
        <w:spacing w:after="0" w:line="312" w:lineRule="exact"/>
        <w:jc w:val="both"/>
        <w:sectPr>
          <w:pgSz w:w="11910" w:h="16840"/>
          <w:pgMar w:header="877" w:footer="982" w:top="1100" w:bottom="1180" w:left="980" w:right="900"/>
        </w:sectPr>
      </w:pPr>
    </w:p>
    <w:p>
      <w:pPr>
        <w:spacing w:line="240" w:lineRule="auto" w:before="7"/>
        <w:rPr>
          <w:rFonts w:ascii="宋体" w:hAnsi="宋体" w:cs="宋体" w:eastAsia="宋体" w:hint="default"/>
          <w:sz w:val="19"/>
          <w:szCs w:val="19"/>
        </w:rPr>
      </w:pPr>
    </w:p>
    <w:p>
      <w:pPr>
        <w:pStyle w:val="BodyText"/>
        <w:spacing w:line="312" w:lineRule="exact" w:before="56"/>
        <w:ind w:left="474" w:right="410"/>
        <w:jc w:val="left"/>
      </w:pPr>
      <w:r>
        <w:rPr/>
        <w:t>在丧失控制权之前每一次处置价款与所处置的股权对应的长期股权投资账面价值之间的差 额，先确认为其他综合收益，到丧失控制权时再一并转入丧失控制权的当期损益。</w:t>
      </w:r>
    </w:p>
    <w:p>
      <w:pPr>
        <w:spacing w:line="240" w:lineRule="auto" w:before="7"/>
        <w:rPr>
          <w:rFonts w:ascii="宋体" w:hAnsi="宋体" w:cs="宋体" w:eastAsia="宋体" w:hint="default"/>
          <w:sz w:val="22"/>
          <w:szCs w:val="22"/>
        </w:rPr>
      </w:pPr>
    </w:p>
    <w:p>
      <w:pPr>
        <w:spacing w:before="0"/>
        <w:ind w:left="474" w:right="4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57" w:lineRule="auto" w:before="0"/>
        <w:ind w:left="473" w:right="7971"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不适用</w:t>
      </w:r>
    </w:p>
    <w:p>
      <w:pPr>
        <w:spacing w:line="240" w:lineRule="auto" w:before="1"/>
        <w:rPr>
          <w:rFonts w:ascii="宋体" w:hAnsi="宋体" w:cs="宋体" w:eastAsia="宋体" w:hint="default"/>
          <w:sz w:val="20"/>
          <w:szCs w:val="20"/>
        </w:rPr>
      </w:pPr>
    </w:p>
    <w:p>
      <w:pPr>
        <w:spacing w:before="0"/>
        <w:ind w:left="474" w:right="4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473" w:right="4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19" w:lineRule="auto" w:before="0"/>
        <w:ind w:left="474" w:right="149" w:firstLine="360"/>
        <w:jc w:val="both"/>
        <w:rPr>
          <w:rFonts w:ascii="宋体" w:hAnsi="宋体" w:cs="宋体" w:eastAsia="宋体" w:hint="default"/>
          <w:sz w:val="18"/>
          <w:szCs w:val="18"/>
        </w:rPr>
      </w:pPr>
      <w:r>
        <w:rPr>
          <w:rFonts w:ascii="宋体" w:hAnsi="宋体" w:cs="宋体" w:eastAsia="宋体" w:hint="default"/>
          <w:spacing w:val="-2"/>
          <w:sz w:val="18"/>
          <w:szCs w:val="18"/>
        </w:rPr>
        <w:t>固定资产是指为生产商品、提供劳务、出租或经营管理而持有的，使用寿命超过一个会计年度的有形资产。固定资产仅</w:t>
      </w:r>
      <w:r>
        <w:rPr>
          <w:rFonts w:ascii="宋体" w:hAnsi="宋体" w:cs="宋体" w:eastAsia="宋体" w:hint="default"/>
          <w:sz w:val="18"/>
          <w:szCs w:val="18"/>
        </w:rPr>
        <w:t> </w:t>
      </w:r>
      <w:r>
        <w:rPr>
          <w:rFonts w:ascii="宋体" w:hAnsi="宋体" w:cs="宋体" w:eastAsia="宋体" w:hint="default"/>
          <w:spacing w:val="-2"/>
          <w:sz w:val="18"/>
          <w:szCs w:val="18"/>
        </w:rPr>
        <w:t>在与其有关的经济利益很可能流入本公司，且其成本能够可靠地计量时才予以确认。固定资产按成本并考虑预计弃置费用因</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素的影响进行初始计量。</w:t>
      </w:r>
    </w:p>
    <w:p>
      <w:pPr>
        <w:spacing w:line="240" w:lineRule="auto" w:before="3"/>
        <w:rPr>
          <w:rFonts w:ascii="宋体" w:hAnsi="宋体" w:cs="宋体" w:eastAsia="宋体" w:hint="default"/>
          <w:sz w:val="22"/>
          <w:szCs w:val="22"/>
        </w:rPr>
      </w:pPr>
    </w:p>
    <w:p>
      <w:pPr>
        <w:spacing w:before="0"/>
        <w:ind w:left="474" w:right="41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）折旧方法</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469" w:type="dxa"/>
        <w:tblLayout w:type="fixed"/>
        <w:tblCellMar>
          <w:top w:w="0" w:type="dxa"/>
          <w:left w:w="0" w:type="dxa"/>
          <w:bottom w:w="0" w:type="dxa"/>
          <w:right w:w="0" w:type="dxa"/>
        </w:tblCellMar>
        <w:tblLook w:val="01E0"/>
      </w:tblPr>
      <w:tblGrid>
        <w:gridCol w:w="1903"/>
        <w:gridCol w:w="1925"/>
        <w:gridCol w:w="1914"/>
        <w:gridCol w:w="1914"/>
        <w:gridCol w:w="1903"/>
      </w:tblGrid>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3"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25"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10-50</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1.90-9.50</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25"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5-15</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6.33-19.00</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25"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925"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0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19.00-31.67</w:t>
            </w:r>
          </w:p>
        </w:tc>
      </w:tr>
    </w:tbl>
    <w:p>
      <w:pPr>
        <w:spacing w:line="240" w:lineRule="auto" w:before="2"/>
        <w:rPr>
          <w:rFonts w:ascii="宋体" w:hAnsi="宋体" w:cs="宋体" w:eastAsia="宋体" w:hint="default"/>
          <w:b/>
          <w:bCs/>
          <w:sz w:val="19"/>
          <w:szCs w:val="19"/>
        </w:rPr>
      </w:pPr>
    </w:p>
    <w:p>
      <w:pPr>
        <w:spacing w:before="35"/>
        <w:ind w:left="47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）融资租入固定资产的认定依据、计价和折旧方法</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line="319" w:lineRule="auto" w:before="0"/>
        <w:ind w:left="473" w:right="151" w:firstLine="0"/>
        <w:jc w:val="both"/>
        <w:rPr>
          <w:rFonts w:ascii="宋体" w:hAnsi="宋体" w:cs="宋体" w:eastAsia="宋体" w:hint="default"/>
          <w:sz w:val="18"/>
          <w:szCs w:val="18"/>
        </w:rPr>
      </w:pPr>
      <w:r>
        <w:rPr>
          <w:rFonts w:ascii="宋体" w:hAnsi="宋体" w:cs="宋体" w:eastAsia="宋体" w:hint="default"/>
          <w:spacing w:val="-2"/>
          <w:sz w:val="18"/>
          <w:szCs w:val="18"/>
        </w:rPr>
        <w:t>融资租赁为实质上转移了与资产所有权有关的全部风险和报酬的租赁，其所有权最终可能转移，也可能不转移。以融资租赁</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方式租入的固定资产采用与自有固定资产一致的政策计提租赁资产折旧。能够合理确定租赁期届满时取得租赁资产所有权的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在租赁资产使用寿命内计提折旧，无法合理确定租赁期届满能够取得租赁资产所有权的，在租赁期与租赁资产使用寿命两者</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中较短的期间内计提折旧。</w:t>
      </w:r>
    </w:p>
    <w:p>
      <w:pPr>
        <w:spacing w:line="240" w:lineRule="auto" w:before="3"/>
        <w:rPr>
          <w:rFonts w:ascii="宋体" w:hAnsi="宋体" w:cs="宋体" w:eastAsia="宋体" w:hint="default"/>
          <w:sz w:val="22"/>
          <w:szCs w:val="22"/>
        </w:rPr>
      </w:pPr>
    </w:p>
    <w:p>
      <w:pPr>
        <w:spacing w:before="0"/>
        <w:ind w:left="47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left="474" w:right="188" w:firstLine="480"/>
        <w:jc w:val="both"/>
      </w:pPr>
      <w:r>
        <w:rPr/>
        <w:t>在建工程成本按实际工程支出确定，包括在建期间发生的各项工程支出以及其他相关费 用等。在建工程在达到预定可使用状态后结转为固定资产。</w:t>
      </w:r>
    </w:p>
    <w:p>
      <w:pPr>
        <w:pStyle w:val="BodyText"/>
        <w:tabs>
          <w:tab w:pos="473" w:val="left" w:leader="none"/>
        </w:tabs>
        <w:spacing w:line="302" w:lineRule="exact"/>
        <w:ind w:left="113" w:right="410"/>
        <w:jc w:val="left"/>
      </w:pPr>
      <w:r>
        <w:rPr/>
        <w:t>3</w:t>
        <w:tab/>
        <w:t>在建工程的减值测试方法和减值准备计提方法详见附注四、</w:t>
      </w:r>
      <w:r>
        <w:rPr>
          <w:rFonts w:ascii="Times New Roman" w:hAnsi="Times New Roman" w:cs="Times New Roman" w:eastAsia="Times New Roman" w:hint="default"/>
        </w:rPr>
        <w:t>18“</w:t>
      </w:r>
      <w:r>
        <w:rPr/>
        <w:t>长期资产减值</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3"/>
          <w:szCs w:val="23"/>
        </w:rPr>
      </w:pPr>
    </w:p>
    <w:p>
      <w:pPr>
        <w:spacing w:before="0"/>
        <w:ind w:left="47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474" w:right="188" w:firstLine="480"/>
        <w:jc w:val="both"/>
      </w:pPr>
      <w:r>
        <w:rPr/>
        <w:t>借款费用包括借款利息、折价或溢价的摊销、辅助费用以及因外币借款而发生的汇兑差 额等。可直接归属于符合资本化条件的资产的购建或者生产的借款费用，在资产支出已经发 生、借款费用已经发生、为使资产达到预定可使用或可销售状态所必要的购建或生产活动已</w:t>
      </w:r>
    </w:p>
    <w:p>
      <w:pPr>
        <w:spacing w:after="0" w:line="312" w:lineRule="exact"/>
        <w:jc w:val="both"/>
        <w:sectPr>
          <w:pgSz w:w="11910" w:h="16840"/>
          <w:pgMar w:header="877" w:footer="982" w:top="1100" w:bottom="1180" w:left="660" w:right="980"/>
        </w:sectPr>
      </w:pPr>
    </w:p>
    <w:p>
      <w:pPr>
        <w:spacing w:line="240" w:lineRule="auto" w:before="7"/>
        <w:rPr>
          <w:rFonts w:ascii="宋体" w:hAnsi="宋体" w:cs="宋体" w:eastAsia="宋体" w:hint="default"/>
          <w:sz w:val="19"/>
          <w:szCs w:val="19"/>
        </w:rPr>
      </w:pPr>
    </w:p>
    <w:p>
      <w:pPr>
        <w:pStyle w:val="BodyText"/>
        <w:spacing w:line="312" w:lineRule="exact" w:before="56"/>
        <w:ind w:left="154" w:right="250"/>
        <w:jc w:val="left"/>
      </w:pPr>
      <w:r>
        <w:rPr/>
        <w:t>经开始时，开始资本化；构建或者生产的符合资本化条件的资产达到预定可使用状态或者可 销售状态时，停止资本化。其余借款费用在发生当期确认为费用。</w:t>
      </w:r>
    </w:p>
    <w:p>
      <w:pPr>
        <w:pStyle w:val="BodyText"/>
        <w:spacing w:line="312" w:lineRule="exact"/>
        <w:ind w:right="268" w:firstLine="480"/>
        <w:jc w:val="both"/>
      </w:pPr>
      <w:r>
        <w:rPr/>
        <w:t>专门借款当期实际发生的利息费用，减去尚未动用的借款资金存入银行取得的利息收入 或进行暂时性投资取得的投资收益后的金额予以资本化；一般借款根据累计资产支出超过专 门借款部分的资产支出加权平均数乘以所占用一般借款的资本化率，确定资本化金额。资本 化率根据一般借款的加权平均利率计算确定。</w:t>
      </w:r>
    </w:p>
    <w:p>
      <w:pPr>
        <w:pStyle w:val="BodyText"/>
        <w:spacing w:line="312" w:lineRule="exact"/>
        <w:ind w:right="268" w:firstLine="480"/>
        <w:jc w:val="both"/>
      </w:pPr>
      <w:r>
        <w:rPr/>
        <w:t>资本化期间内，外币专门借款的汇兑差额全部予以资本化；外币一般借款的汇兑差额计 入当期损益。</w:t>
      </w:r>
    </w:p>
    <w:p>
      <w:pPr>
        <w:pStyle w:val="BodyText"/>
        <w:spacing w:line="312" w:lineRule="exact"/>
        <w:ind w:right="268" w:firstLine="480"/>
        <w:jc w:val="both"/>
      </w:pPr>
      <w:r>
        <w:rPr/>
        <w:t>符合资本化条件的资产指需要经过相当长时间的购建或者生产活动才能达到预定可使用 或可销售状态的固定资产、投资性房地产和存货等资产。</w:t>
      </w:r>
    </w:p>
    <w:p>
      <w:pPr>
        <w:pStyle w:val="BodyText"/>
        <w:spacing w:line="312" w:lineRule="exact"/>
        <w:ind w:right="230" w:firstLine="480"/>
        <w:jc w:val="both"/>
      </w:pPr>
      <w:r>
        <w:rPr/>
        <w:t>如果符合资本化条件的资产在购建或生产过程中发生非正常中断、并且中断时间连续超</w:t>
      </w:r>
      <w:r>
        <w:rPr>
          <w:spacing w:val="1"/>
        </w:rPr>
        <w:t> </w:t>
      </w:r>
      <w:r>
        <w:rPr/>
        <w:t>过</w:t>
      </w:r>
      <w:r>
        <w:rPr>
          <w:rFonts w:ascii="Times New Roman" w:hAnsi="Times New Roman" w:cs="Times New Roman" w:eastAsia="Times New Roman" w:hint="default"/>
        </w:rPr>
        <w:t>3</w:t>
      </w:r>
      <w:r>
        <w:rPr/>
        <w:t>个月的，暂停借款费用的资本化，直至资产的购建或生产活动重新开始。</w:t>
      </w:r>
    </w:p>
    <w:p>
      <w:pPr>
        <w:spacing w:line="240" w:lineRule="auto" w:before="7"/>
        <w:rPr>
          <w:rFonts w:ascii="宋体" w:hAnsi="宋体" w:cs="宋体" w:eastAsia="宋体" w:hint="default"/>
          <w:sz w:val="22"/>
          <w:szCs w:val="22"/>
        </w:rPr>
      </w:pPr>
    </w:p>
    <w:p>
      <w:pPr>
        <w:spacing w:before="0"/>
        <w:ind w:left="154"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、生物资产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9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633" w:right="251"/>
        <w:jc w:val="left"/>
      </w:pPr>
      <w:r>
        <w:rPr/>
        <w:t>无形资产是指本公司拥有或者控制的没有实物形态的可辨认非货币性资产。 无形资产按成本进行初始计量。与无形资产有关的支出，如果相关的经济利益很可能流</w:t>
      </w:r>
    </w:p>
    <w:p>
      <w:pPr>
        <w:pStyle w:val="BodyText"/>
        <w:spacing w:line="312" w:lineRule="exact"/>
        <w:ind w:right="251"/>
        <w:jc w:val="left"/>
      </w:pPr>
      <w:r>
        <w:rPr/>
        <w:t>入本公司且其成本能可靠地计量，则计入无形资产成本。除此以外的其他项目的支出，在发 生时计入当期损益。</w:t>
      </w:r>
    </w:p>
    <w:p>
      <w:pPr>
        <w:pStyle w:val="BodyText"/>
        <w:spacing w:line="312" w:lineRule="exact"/>
        <w:ind w:right="93" w:firstLine="480"/>
        <w:jc w:val="left"/>
      </w:pPr>
      <w:r>
        <w:rPr/>
        <w:t>取得的土地使用权通常作为无形资产核算。自行开发建造厂房等建筑物，相关的土地使 </w:t>
      </w:r>
      <w:r>
        <w:rPr>
          <w:spacing w:val="-2"/>
        </w:rPr>
        <w:t>用权支出和建筑物建造成本则分别作为无形资产和固定资产核算。如为外购的房屋及建筑物，</w:t>
      </w:r>
      <w:r>
        <w:rPr/>
        <w:t> 则将有关价款在土地使用权和建筑物之间进行分配，难以合理分配的，全部作为固定资产处 理。</w:t>
      </w:r>
    </w:p>
    <w:p>
      <w:pPr>
        <w:pStyle w:val="BodyText"/>
        <w:spacing w:line="312" w:lineRule="exact"/>
        <w:ind w:right="268" w:firstLine="480"/>
        <w:jc w:val="both"/>
      </w:pPr>
      <w:r>
        <w:rPr/>
        <w:t>使用寿命有限的无形资产自可供使用时起，对其原值减去预计净残值和已计提的减值准 备累计金额在其预计使用寿命内采用直线法分期平均摊销。使用寿命不确定的无形资产不予 摊销。</w:t>
      </w:r>
    </w:p>
    <w:p>
      <w:pPr>
        <w:pStyle w:val="BodyText"/>
        <w:spacing w:line="312" w:lineRule="exact"/>
        <w:ind w:right="256" w:firstLine="492"/>
        <w:jc w:val="both"/>
      </w:pPr>
      <w:r>
        <w:rPr/>
        <w:t>期末，对使用寿命有限的无形资产的使用寿命和摊销方法进行复核，如发生变更则作为 会计估计变更处理。此外，还对使用寿命不确定的无形资产的使用寿命进行复核，如果有证 据表明该无形资产为企业带来经济利益的期限是可预见的，则估计其使用寿命并按照使用寿 命有限的无形资产的摊销政策进行摊销。</w:t>
      </w:r>
    </w:p>
    <w:p>
      <w:pPr>
        <w:spacing w:line="240" w:lineRule="auto" w:before="7"/>
        <w:rPr>
          <w:rFonts w:ascii="宋体" w:hAnsi="宋体" w:cs="宋体" w:eastAsia="宋体" w:hint="default"/>
          <w:sz w:val="22"/>
          <w:szCs w:val="22"/>
        </w:rPr>
      </w:pPr>
    </w:p>
    <w:p>
      <w:pPr>
        <w:spacing w:before="0"/>
        <w:ind w:left="154" w:right="9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633" w:right="251"/>
        <w:jc w:val="left"/>
      </w:pPr>
      <w:r>
        <w:rPr/>
        <w:t>本公司内部研究开发项目的支出分为研究阶段支出与开发阶段支出。 研究阶段的支出，于发生时计入当期损益。 开发阶段的支出同时满足下列条件的，确认为无形资产，不能满足下述条件的开发阶段</w:t>
      </w:r>
    </w:p>
    <w:p>
      <w:pPr>
        <w:pStyle w:val="BodyText"/>
        <w:spacing w:line="282" w:lineRule="exact"/>
        <w:ind w:right="99"/>
        <w:jc w:val="left"/>
      </w:pPr>
      <w:r>
        <w:rPr/>
        <w:t>的支出计入当期损益：</w:t>
      </w:r>
    </w:p>
    <w:p>
      <w:pPr>
        <w:pStyle w:val="BodyText"/>
        <w:spacing w:line="313" w:lineRule="exact"/>
        <w:ind w:left="633" w:right="99"/>
        <w:jc w:val="left"/>
      </w:pPr>
      <w:r>
        <w:rPr/>
        <w:t>①完成该无形资产以使其能够使用或出售在技术上具有可行性；</w:t>
      </w:r>
    </w:p>
    <w:p>
      <w:pPr>
        <w:spacing w:after="0" w:line="313" w:lineRule="exact"/>
        <w:jc w:val="left"/>
        <w:sectPr>
          <w:pgSz w:w="11910" w:h="16840"/>
          <w:pgMar w:header="877" w:footer="982" w:top="1100" w:bottom="1180" w:left="980" w:right="900"/>
        </w:sectPr>
      </w:pPr>
    </w:p>
    <w:p>
      <w:pPr>
        <w:spacing w:line="240" w:lineRule="auto" w:before="7"/>
        <w:rPr>
          <w:rFonts w:ascii="宋体" w:hAnsi="宋体" w:cs="宋体" w:eastAsia="宋体" w:hint="default"/>
          <w:sz w:val="19"/>
          <w:szCs w:val="19"/>
        </w:rPr>
      </w:pPr>
    </w:p>
    <w:p>
      <w:pPr>
        <w:pStyle w:val="BodyText"/>
        <w:spacing w:line="313" w:lineRule="exact" w:before="26"/>
        <w:ind w:left="634" w:right="99"/>
        <w:jc w:val="left"/>
      </w:pPr>
      <w:r>
        <w:rPr/>
        <w:t>②具有完成该无形资产并使用或出售的意图；</w:t>
      </w:r>
    </w:p>
    <w:p>
      <w:pPr>
        <w:pStyle w:val="BodyText"/>
        <w:spacing w:line="312" w:lineRule="exact" w:before="29"/>
        <w:ind w:right="251" w:firstLine="480"/>
        <w:jc w:val="left"/>
      </w:pPr>
      <w:r>
        <w:rPr/>
        <w:t>③无形资产产生经济利益的方式，包括能够证明运用该无形资产生产的产品存在市场或 无形资产自身存在市场，无形资产将在内部使用的，能够证明其有用性；</w:t>
      </w:r>
    </w:p>
    <w:p>
      <w:pPr>
        <w:pStyle w:val="BodyText"/>
        <w:spacing w:line="312" w:lineRule="exact"/>
        <w:ind w:right="251" w:firstLine="480"/>
        <w:jc w:val="left"/>
      </w:pPr>
      <w:r>
        <w:rPr/>
        <w:t>④有足够的技术、财务资源和其他资源支持，以完成该无形资产的开发，并有能力使用 或出售该无形资产；</w:t>
      </w:r>
    </w:p>
    <w:p>
      <w:pPr>
        <w:pStyle w:val="BodyText"/>
        <w:spacing w:line="312" w:lineRule="exact"/>
        <w:ind w:left="633" w:right="731"/>
        <w:jc w:val="left"/>
      </w:pPr>
      <w:r>
        <w:rPr/>
        <w:t>⑤归属于该无形资产开发阶段的支出能够可靠地计量。 无法区分研究阶段支出和开发阶段支出的，将发生的研发支出全部计入当期损益。</w:t>
      </w:r>
    </w:p>
    <w:p>
      <w:pPr>
        <w:pStyle w:val="BodyText"/>
        <w:spacing w:line="312" w:lineRule="exact"/>
        <w:ind w:left="634" w:right="997"/>
        <w:jc w:val="left"/>
      </w:pPr>
      <w:r>
        <w:rPr/>
        <w:t>（</w:t>
      </w:r>
      <w:r>
        <w:rPr>
          <w:rFonts w:ascii="Times New Roman" w:hAnsi="Times New Roman" w:cs="Times New Roman" w:eastAsia="Times New Roman" w:hint="default"/>
        </w:rPr>
        <w:t>3</w:t>
      </w:r>
      <w:r>
        <w:rPr/>
        <w:t>）无形资产的减值测试方法及减值准备计提方法 无形资产的减值测试方法和减值准备计提方法详见附注四、</w:t>
      </w:r>
      <w:r>
        <w:rPr>
          <w:rFonts w:ascii="Times New Roman" w:hAnsi="Times New Roman" w:cs="Times New Roman" w:eastAsia="Times New Roman" w:hint="default"/>
        </w:rPr>
        <w:t>18“</w:t>
      </w:r>
      <w:r>
        <w:rPr/>
        <w:t>长期资产减值</w:t>
      </w:r>
      <w:r>
        <w:rPr>
          <w:rFonts w:ascii="Times New Roman" w:hAnsi="Times New Roman" w:cs="Times New Roman" w:eastAsia="Times New Roman" w:hint="default"/>
        </w:rPr>
        <w:t>”</w:t>
      </w:r>
      <w:r>
        <w:rPr/>
        <w:t>。</w:t>
      </w:r>
    </w:p>
    <w:p>
      <w:pPr>
        <w:spacing w:line="240" w:lineRule="auto" w:before="7"/>
        <w:rPr>
          <w:rFonts w:ascii="宋体" w:hAnsi="宋体" w:cs="宋体" w:eastAsia="宋体" w:hint="default"/>
          <w:sz w:val="22"/>
          <w:szCs w:val="22"/>
        </w:rPr>
      </w:pPr>
    </w:p>
    <w:p>
      <w:pPr>
        <w:spacing w:before="0"/>
        <w:ind w:left="154"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、长期资产减值</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93" w:firstLine="480"/>
        <w:jc w:val="left"/>
      </w:pPr>
      <w:r>
        <w:rPr/>
        <w:t>对于固定资产、在建工程、使用寿命有限的无形资产、以成本模式计量的投资性房地产</w:t>
      </w:r>
      <w:r>
        <w:rPr>
          <w:spacing w:val="1"/>
        </w:rPr>
        <w:t> </w:t>
      </w:r>
      <w:r>
        <w:rPr/>
        <w:t>及对子公司、合营企业、联营企业的长期股权投资等非流动非金融资产，本公司于资产负债</w:t>
      </w:r>
      <w:r>
        <w:rPr>
          <w:spacing w:val="-83"/>
        </w:rPr>
        <w:t> </w:t>
      </w:r>
      <w:r>
        <w:rPr>
          <w:spacing w:val="-83"/>
        </w:rPr>
      </w:r>
      <w:r>
        <w:rPr/>
        <w:t>表日判断是否存在减值迹象。如存在减值迹象的，则估计其可收回金额，进行减值测试。商</w:t>
      </w:r>
      <w:r>
        <w:rPr>
          <w:spacing w:val="-83"/>
        </w:rPr>
        <w:t> </w:t>
      </w:r>
      <w:r>
        <w:rPr>
          <w:spacing w:val="-83"/>
        </w:rPr>
      </w:r>
      <w:r>
        <w:rPr>
          <w:spacing w:val="-2"/>
        </w:rPr>
        <w:t>誉、使用寿命不确定的无形资产和尚未达到可使用状态的无形资产，无论是否存在减值迹象，</w:t>
      </w:r>
      <w:r>
        <w:rPr/>
        <w:t> 每年均进行减值测试。</w:t>
      </w:r>
    </w:p>
    <w:p>
      <w:pPr>
        <w:pStyle w:val="BodyText"/>
        <w:spacing w:line="312" w:lineRule="exact"/>
        <w:ind w:right="228" w:firstLine="480"/>
        <w:jc w:val="both"/>
      </w:pPr>
      <w:r>
        <w:rPr/>
        <w:t>减值测试结果表明资产的可收回金额低于其账面价值的，按其差额计提减值准备并计入</w:t>
      </w:r>
      <w:r>
        <w:rPr>
          <w:spacing w:val="1"/>
        </w:rPr>
        <w:t> </w:t>
      </w:r>
      <w:r>
        <w:rPr/>
        <w:t>减值损失。可收回金额为资产的公允价值减去处置费用后的净额与资产预计未来现金流量的</w:t>
      </w:r>
      <w:r>
        <w:rPr>
          <w:spacing w:val="-83"/>
        </w:rPr>
        <w:t> </w:t>
      </w:r>
      <w:r>
        <w:rPr>
          <w:spacing w:val="-83"/>
        </w:rPr>
      </w:r>
      <w:r>
        <w:rPr/>
        <w:t>现值两者之间的较高者。资产的公允价值根据公平交易中销售协议价格确定；不存在销售协</w:t>
      </w:r>
      <w:r>
        <w:rPr>
          <w:spacing w:val="-83"/>
        </w:rPr>
        <w:t> </w:t>
      </w:r>
      <w:r>
        <w:rPr>
          <w:spacing w:val="-83"/>
        </w:rPr>
      </w:r>
      <w:r>
        <w:rPr/>
        <w:t>议但存在资产活跃市场的，公允价值按照该资产的买方出价确定；不存在销售协议和资产活</w:t>
      </w:r>
      <w:r>
        <w:rPr>
          <w:spacing w:val="-83"/>
        </w:rPr>
        <w:t> </w:t>
      </w:r>
      <w:r>
        <w:rPr>
          <w:spacing w:val="-83"/>
        </w:rPr>
      </w:r>
      <w:r>
        <w:rPr/>
        <w:t>跃市场的，则以可获取的最佳信息为基础估计资产的公允价值。处置费用包括与资产处置有</w:t>
      </w:r>
      <w:r>
        <w:rPr>
          <w:spacing w:val="-83"/>
        </w:rPr>
        <w:t> </w:t>
      </w:r>
      <w:r>
        <w:rPr>
          <w:spacing w:val="-83"/>
        </w:rPr>
      </w:r>
      <w:r>
        <w:rPr/>
        <w:t>关的法律费用、相关税费、搬运费以及为使资产达到可销售状态所发生的直接费用。资产预</w:t>
      </w:r>
      <w:r>
        <w:rPr>
          <w:spacing w:val="-83"/>
        </w:rPr>
        <w:t> </w:t>
      </w:r>
      <w:r>
        <w:rPr>
          <w:spacing w:val="-83"/>
        </w:rPr>
      </w:r>
      <w:r>
        <w:rPr/>
        <w:t>计未来现金流量的现值，按照资产在持续使用过程中和最终处置时所产生的预计未来现金流</w:t>
      </w:r>
      <w:r>
        <w:rPr>
          <w:spacing w:val="-83"/>
        </w:rPr>
        <w:t> </w:t>
      </w:r>
      <w:r>
        <w:rPr>
          <w:spacing w:val="-83"/>
        </w:rPr>
      </w:r>
      <w:r>
        <w:rPr/>
        <w:t>量，选择恰当的折现率对其进行折现后的金额加以确定。资产减值准备按单项资产为基础计</w:t>
      </w:r>
      <w:r>
        <w:rPr>
          <w:spacing w:val="-83"/>
        </w:rPr>
        <w:t> </w:t>
      </w:r>
      <w:r>
        <w:rPr>
          <w:spacing w:val="-83"/>
        </w:rPr>
      </w:r>
      <w:r>
        <w:rPr/>
        <w:t>算并确认，如果难以对单项资产的可收回金额进行估计的，以该资产所属的资产组确定资产</w:t>
      </w:r>
      <w:r>
        <w:rPr>
          <w:spacing w:val="-83"/>
        </w:rPr>
        <w:t> </w:t>
      </w:r>
      <w:r>
        <w:rPr>
          <w:spacing w:val="-83"/>
        </w:rPr>
      </w:r>
      <w:r>
        <w:rPr/>
        <w:t>组的可收回金额。资产组是能够独立产生现金流入的最小资产组合。</w:t>
      </w:r>
    </w:p>
    <w:p>
      <w:pPr>
        <w:pStyle w:val="BodyText"/>
        <w:spacing w:line="312" w:lineRule="exact"/>
        <w:ind w:right="228" w:firstLine="480"/>
        <w:jc w:val="both"/>
      </w:pPr>
      <w:r>
        <w:rPr/>
        <w:t>在财务报表中单独列示的商誉，在进行减值测试时，将商誉的账面价值分摊至预期从企</w:t>
      </w:r>
      <w:r>
        <w:rPr>
          <w:spacing w:val="1"/>
        </w:rPr>
        <w:t> </w:t>
      </w:r>
      <w:r>
        <w:rPr/>
        <w:t>业合并的协同效应中受益的资产组或资产组组合。测试结果表明包含分摊的商誉的资产组或</w:t>
      </w:r>
      <w:r>
        <w:rPr>
          <w:spacing w:val="-83"/>
        </w:rPr>
        <w:t> </w:t>
      </w:r>
      <w:r>
        <w:rPr>
          <w:spacing w:val="-83"/>
        </w:rPr>
      </w:r>
      <w:r>
        <w:rPr/>
        <w:t>资产组组合的可收回金额低于其账面价值的，确认相应的减值损失。减值损失金额先抵减分</w:t>
      </w:r>
      <w:r>
        <w:rPr>
          <w:spacing w:val="-83"/>
        </w:rPr>
        <w:t> </w:t>
      </w:r>
      <w:r>
        <w:rPr>
          <w:spacing w:val="-83"/>
        </w:rPr>
      </w:r>
      <w:r>
        <w:rPr/>
        <w:t>摊至该资产组或资产组组合的商誉的账面价值，再根据资产组或资产组组合中除商誉以外的</w:t>
      </w:r>
      <w:r>
        <w:rPr>
          <w:spacing w:val="-83"/>
        </w:rPr>
        <w:t> </w:t>
      </w:r>
      <w:r>
        <w:rPr>
          <w:spacing w:val="-83"/>
        </w:rPr>
      </w:r>
      <w:r>
        <w:rPr/>
        <w:t>其他各项资产的账面价值所占比重，按比例抵减其他各项资产的账面价值。</w:t>
      </w:r>
    </w:p>
    <w:p>
      <w:pPr>
        <w:pStyle w:val="BodyText"/>
        <w:spacing w:line="283" w:lineRule="exact"/>
        <w:ind w:left="633" w:right="99"/>
        <w:jc w:val="left"/>
      </w:pPr>
      <w:r>
        <w:rPr/>
        <w:t>上述资产减值损失一经确认，以后期间不予转回价值得以恢复的部分。</w:t>
      </w:r>
    </w:p>
    <w:p>
      <w:pPr>
        <w:spacing w:line="240" w:lineRule="auto" w:before="9"/>
        <w:rPr>
          <w:rFonts w:ascii="宋体" w:hAnsi="宋体" w:cs="宋体" w:eastAsia="宋体" w:hint="default"/>
          <w:sz w:val="24"/>
          <w:szCs w:val="24"/>
        </w:rPr>
      </w:pPr>
    </w:p>
    <w:p>
      <w:pPr>
        <w:spacing w:before="0"/>
        <w:ind w:left="154"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54" w:right="250" w:firstLine="480"/>
        <w:jc w:val="left"/>
      </w:pPr>
      <w:r>
        <w:rPr/>
        <w:t>长期待摊费用为已经发生但应由报告期和以后各期负担的分摊期限在一年以上的各项费 用。长期待摊费用在预计受益期间按直线法</w:t>
      </w:r>
      <w:r>
        <w:rPr>
          <w:rFonts w:ascii="Times New Roman" w:hAnsi="Times New Roman" w:cs="Times New Roman" w:eastAsia="Times New Roman" w:hint="default"/>
        </w:rPr>
        <w:t>⁄</w:t>
      </w:r>
      <w:r>
        <w:rPr/>
        <w:t>摊销。</w:t>
      </w:r>
    </w:p>
    <w:p>
      <w:pPr>
        <w:spacing w:line="240" w:lineRule="auto" w:before="7"/>
        <w:rPr>
          <w:rFonts w:ascii="宋体" w:hAnsi="宋体" w:cs="宋体" w:eastAsia="宋体" w:hint="default"/>
          <w:sz w:val="22"/>
          <w:szCs w:val="22"/>
        </w:rPr>
      </w:pPr>
    </w:p>
    <w:p>
      <w:pPr>
        <w:spacing w:before="0"/>
        <w:ind w:left="154"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、职工薪酬</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9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left="634" w:right="99"/>
        <w:jc w:val="left"/>
      </w:pPr>
      <w:r>
        <w:rPr/>
        <w:t>短期薪酬主要包括工资、奖金、津贴和补贴、职工福利费、医疗保险费、生育保险费、</w:t>
      </w:r>
    </w:p>
    <w:p>
      <w:pPr>
        <w:spacing w:after="0" w:line="240" w:lineRule="auto"/>
        <w:jc w:val="left"/>
        <w:sectPr>
          <w:pgSz w:w="11910" w:h="16840"/>
          <w:pgMar w:header="877" w:footer="982" w:top="1100" w:bottom="1180" w:left="980" w:right="900"/>
        </w:sectPr>
      </w:pPr>
    </w:p>
    <w:p>
      <w:pPr>
        <w:spacing w:line="240" w:lineRule="auto" w:before="7"/>
        <w:rPr>
          <w:rFonts w:ascii="宋体" w:hAnsi="宋体" w:cs="宋体" w:eastAsia="宋体" w:hint="default"/>
          <w:sz w:val="19"/>
          <w:szCs w:val="19"/>
        </w:rPr>
      </w:pPr>
    </w:p>
    <w:p>
      <w:pPr>
        <w:pStyle w:val="BodyText"/>
        <w:spacing w:line="312" w:lineRule="exact" w:before="56"/>
        <w:ind w:right="148"/>
        <w:jc w:val="both"/>
      </w:pPr>
      <w:r>
        <w:rPr/>
        <w:t>工伤保险费、住房公积金、工会经费和职工教育经费、非货币性福利等。本公司在职工为本</w:t>
      </w:r>
      <w:r>
        <w:rPr>
          <w:spacing w:val="-83"/>
        </w:rPr>
        <w:t> </w:t>
      </w:r>
      <w:r>
        <w:rPr>
          <w:spacing w:val="-83"/>
        </w:rPr>
      </w:r>
      <w:r>
        <w:rPr/>
        <w:t>公司提供服务的会计期间将实际发生的短期职工薪酬确认为负债，并计入当期损益或相关资</w:t>
      </w:r>
      <w:r>
        <w:rPr>
          <w:spacing w:val="-83"/>
        </w:rPr>
        <w:t> </w:t>
      </w:r>
      <w:r>
        <w:rPr>
          <w:spacing w:val="-83"/>
        </w:rPr>
      </w:r>
      <w:r>
        <w:rPr/>
        <w:t>产成本。其中非货币性福利按公允价值计量。</w:t>
      </w:r>
    </w:p>
    <w:p>
      <w:pPr>
        <w:spacing w:line="240" w:lineRule="auto" w:before="7"/>
        <w:rPr>
          <w:rFonts w:ascii="宋体" w:hAnsi="宋体" w:cs="宋体" w:eastAsia="宋体" w:hint="default"/>
          <w:sz w:val="22"/>
          <w:szCs w:val="22"/>
        </w:rPr>
      </w:pPr>
    </w:p>
    <w:p>
      <w:pPr>
        <w:spacing w:before="0"/>
        <w:ind w:left="15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50" w:firstLine="480"/>
        <w:jc w:val="both"/>
      </w:pPr>
      <w:r>
        <w:rPr/>
        <w:t>离职后福利主要包括设定提存计划。设定提存计划主要包括基本养老保险、失业保险以</w:t>
      </w:r>
      <w:r>
        <w:rPr>
          <w:spacing w:val="1"/>
        </w:rPr>
        <w:t> </w:t>
      </w:r>
      <w:r>
        <w:rPr/>
        <w:t>及年金等，相应的应缴存金额于发生时计入相关资产成本或当期损益。</w:t>
      </w:r>
    </w:p>
    <w:p>
      <w:pPr>
        <w:spacing w:line="240" w:lineRule="auto" w:before="7"/>
        <w:rPr>
          <w:rFonts w:ascii="宋体" w:hAnsi="宋体" w:cs="宋体" w:eastAsia="宋体" w:hint="default"/>
          <w:sz w:val="22"/>
          <w:szCs w:val="22"/>
        </w:rPr>
      </w:pPr>
    </w:p>
    <w:p>
      <w:pPr>
        <w:spacing w:before="0"/>
        <w:ind w:left="15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48" w:firstLine="480"/>
        <w:jc w:val="both"/>
      </w:pPr>
      <w:r>
        <w:rPr/>
        <w:t>在职工劳动合同到期之前解除与职工的劳动关系，或为鼓励职工自愿接受裁减而提出给</w:t>
      </w:r>
      <w:r>
        <w:rPr>
          <w:spacing w:val="1"/>
        </w:rPr>
        <w:t> </w:t>
      </w:r>
      <w:r>
        <w:rPr/>
        <w:t>予补偿的建议，在本公司不能单方面撤回因解除劳动关系计划或裁减建议所提供的辞退福利</w:t>
      </w:r>
      <w:r>
        <w:rPr>
          <w:spacing w:val="-83"/>
        </w:rPr>
        <w:t> </w:t>
      </w:r>
      <w:r>
        <w:rPr>
          <w:spacing w:val="-83"/>
        </w:rPr>
      </w:r>
      <w:r>
        <w:rPr/>
        <w:t>时，和本公司确认与涉及支付辞退福利的重组相关的成本两者孰早日，确认辞退福利产生的</w:t>
      </w:r>
      <w:r>
        <w:rPr>
          <w:spacing w:val="-83"/>
        </w:rPr>
        <w:t> </w:t>
      </w:r>
      <w:r>
        <w:rPr>
          <w:spacing w:val="-83"/>
        </w:rPr>
      </w:r>
      <w:r>
        <w:rPr/>
        <w:t>职工薪酬负债，并计入当期损益。但辞退福利预期在年度报告期结束后十二个月不能完全支</w:t>
      </w:r>
      <w:r>
        <w:rPr>
          <w:spacing w:val="-83"/>
        </w:rPr>
        <w:t> </w:t>
      </w:r>
      <w:r>
        <w:rPr>
          <w:spacing w:val="-83"/>
        </w:rPr>
      </w:r>
      <w:r>
        <w:rPr/>
        <w:t>付的，按照其他长期职工薪酬处理。</w:t>
      </w:r>
    </w:p>
    <w:p>
      <w:pPr>
        <w:pStyle w:val="BodyText"/>
        <w:spacing w:line="312" w:lineRule="exact"/>
        <w:ind w:right="148" w:firstLine="480"/>
        <w:jc w:val="both"/>
      </w:pPr>
      <w:r>
        <w:rPr/>
        <w:t>职工内部退休计划采用与上述辞退福利相同的原则处理。本公司将自职工停止提供服务</w:t>
      </w:r>
      <w:r>
        <w:rPr>
          <w:spacing w:val="1"/>
        </w:rPr>
        <w:t> </w:t>
      </w:r>
      <w:r>
        <w:rPr/>
        <w:t>日至正常退休日的期间拟支付的内退人员工资和缴纳的社会保险费等，在符合预计负债确认</w:t>
      </w:r>
      <w:r>
        <w:rPr>
          <w:spacing w:val="-83"/>
        </w:rPr>
        <w:t> </w:t>
      </w:r>
      <w:r>
        <w:rPr>
          <w:spacing w:val="-83"/>
        </w:rPr>
      </w:r>
      <w:r>
        <w:rPr/>
        <w:t>条件时，计入当期损益（辞退福利）。</w:t>
      </w:r>
    </w:p>
    <w:p>
      <w:pPr>
        <w:spacing w:line="240" w:lineRule="auto" w:before="7"/>
        <w:rPr>
          <w:rFonts w:ascii="宋体" w:hAnsi="宋体" w:cs="宋体" w:eastAsia="宋体" w:hint="default"/>
          <w:sz w:val="22"/>
          <w:szCs w:val="22"/>
        </w:rPr>
      </w:pPr>
    </w:p>
    <w:p>
      <w:pPr>
        <w:spacing w:before="0"/>
        <w:ind w:left="15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50" w:firstLine="480"/>
        <w:jc w:val="both"/>
      </w:pPr>
      <w:r>
        <w:rPr/>
        <w:t>本公司向职工提供的其他长期职工福利，符合设定提存计划的，按照设定提存计划进行</w:t>
      </w:r>
      <w:r>
        <w:rPr>
          <w:spacing w:val="1"/>
        </w:rPr>
        <w:t> </w:t>
      </w:r>
      <w:r>
        <w:rPr/>
        <w:t>会计处理，除此之外按照设定受益计划进行会计处理。</w:t>
      </w:r>
    </w:p>
    <w:p>
      <w:pPr>
        <w:spacing w:line="240" w:lineRule="auto" w:before="7"/>
        <w:rPr>
          <w:rFonts w:ascii="宋体" w:hAnsi="宋体" w:cs="宋体" w:eastAsia="宋体" w:hint="default"/>
          <w:sz w:val="22"/>
          <w:szCs w:val="22"/>
        </w:rPr>
      </w:pPr>
    </w:p>
    <w:p>
      <w:pPr>
        <w:spacing w:before="0"/>
        <w:ind w:left="15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151" w:firstLine="480"/>
        <w:jc w:val="both"/>
      </w:pPr>
      <w:r>
        <w:rPr>
          <w:spacing w:val="-3"/>
        </w:rPr>
        <w:t>当与或有事项相关的义务同时符合以下条件，确认为预计负债：（</w:t>
      </w:r>
      <w:r>
        <w:rPr>
          <w:rFonts w:ascii="Times New Roman" w:hAnsi="Times New Roman" w:cs="Times New Roman" w:eastAsia="Times New Roman" w:hint="default"/>
          <w:spacing w:val="-3"/>
        </w:rPr>
        <w:t>1</w:t>
      </w:r>
      <w:r>
        <w:rPr>
          <w:spacing w:val="-3"/>
        </w:rPr>
        <w:t>）该义务是本公司承</w:t>
      </w:r>
      <w:r>
        <w:rPr/>
        <w:t> 担的现时义务；（</w:t>
      </w:r>
      <w:r>
        <w:rPr>
          <w:rFonts w:ascii="Times New Roman" w:hAnsi="Times New Roman" w:cs="Times New Roman" w:eastAsia="Times New Roman" w:hint="default"/>
        </w:rPr>
        <w:t>2</w:t>
      </w:r>
      <w:r>
        <w:rPr/>
        <w:t>）履行该义务很可能导致经济利益流出；（</w:t>
      </w:r>
      <w:r>
        <w:rPr>
          <w:rFonts w:ascii="Times New Roman" w:hAnsi="Times New Roman" w:cs="Times New Roman" w:eastAsia="Times New Roman" w:hint="default"/>
        </w:rPr>
        <w:t>3</w:t>
      </w:r>
      <w:r>
        <w:rPr/>
        <w:t>）该义务的金额能够可靠地 计量。</w:t>
      </w:r>
    </w:p>
    <w:p>
      <w:pPr>
        <w:pStyle w:val="BodyText"/>
        <w:spacing w:line="312" w:lineRule="exact"/>
        <w:ind w:right="188" w:firstLine="480"/>
        <w:jc w:val="both"/>
      </w:pPr>
      <w:r>
        <w:rPr/>
        <w:t>在资产负债表日，考虑与或有事项有关的风险、不确定性和货币时间价值等因素，按照 履行相关现时义务所需支出的最佳估计数对预计负债进行计量。</w:t>
      </w:r>
    </w:p>
    <w:p>
      <w:pPr>
        <w:pStyle w:val="BodyText"/>
        <w:spacing w:line="312" w:lineRule="exact"/>
        <w:ind w:right="188" w:firstLine="480"/>
        <w:jc w:val="both"/>
      </w:pPr>
      <w:r>
        <w:rPr/>
        <w:t>如果清偿预计负债所需支出全部或部分预期由第三方补偿的，补偿金额在基本确定能够 收到时，作为资产单独确认，且确认的补偿金额不超过预计负债的账面价值。</w:t>
      </w:r>
    </w:p>
    <w:p>
      <w:pPr>
        <w:pStyle w:val="BodyText"/>
        <w:spacing w:line="312" w:lineRule="exact"/>
        <w:ind w:left="633" w:right="171"/>
        <w:jc w:val="left"/>
      </w:pPr>
      <w:r>
        <w:rPr/>
        <w:t>（</w:t>
      </w:r>
      <w:r>
        <w:rPr>
          <w:rFonts w:ascii="Times New Roman" w:hAnsi="Times New Roman" w:cs="Times New Roman" w:eastAsia="Times New Roman" w:hint="default"/>
        </w:rPr>
        <w:t>1</w:t>
      </w:r>
      <w:r>
        <w:rPr/>
        <w:t>）亏损合同 亏损合同是履行合同义务不可避免会发生的成本超过预期经济利益的合同。待执行合同</w:t>
      </w:r>
    </w:p>
    <w:p>
      <w:pPr>
        <w:pStyle w:val="BodyText"/>
        <w:spacing w:line="312" w:lineRule="exact"/>
        <w:ind w:right="171"/>
        <w:jc w:val="left"/>
      </w:pPr>
      <w:r>
        <w:rPr/>
        <w:t>变成亏损合同，且该亏损合同产生的义务满足上述预计负债的确认条件的，将合同预计损失 超过合同标的资产已确认的减值损失（如有）的部分，确认为预计负债。</w:t>
      </w:r>
    </w:p>
    <w:p>
      <w:pPr>
        <w:pStyle w:val="BodyText"/>
        <w:spacing w:line="312" w:lineRule="exact"/>
        <w:ind w:left="633" w:right="171"/>
        <w:jc w:val="left"/>
      </w:pPr>
      <w:r>
        <w:rPr/>
        <w:t>（</w:t>
      </w:r>
      <w:r>
        <w:rPr>
          <w:rFonts w:ascii="Times New Roman" w:hAnsi="Times New Roman" w:cs="Times New Roman" w:eastAsia="Times New Roman" w:hint="default"/>
        </w:rPr>
        <w:t>2</w:t>
      </w:r>
      <w:r>
        <w:rPr/>
        <w:t>）重组义务 对于有详细、正式并且已经对外公告的重组计划，在满足前述预计负债的确认条件的情</w:t>
      </w:r>
    </w:p>
    <w:p>
      <w:pPr>
        <w:pStyle w:val="BodyText"/>
        <w:spacing w:line="312" w:lineRule="exact"/>
        <w:ind w:right="171"/>
        <w:jc w:val="left"/>
      </w:pPr>
      <w:r>
        <w:rPr/>
        <w:t>况下，按照与重组有关的直接支出确定预计负债金额。对于出售部分业务的重组义务，只有 在本公司承诺出售部分业务（即签订了约束性出售协议时），才确认与重组相关的义务。</w:t>
      </w:r>
    </w:p>
    <w:p>
      <w:pPr>
        <w:spacing w:after="0" w:line="312" w:lineRule="exact"/>
        <w:jc w:val="left"/>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spacing w:before="35"/>
        <w:ind w:left="15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、股份支付</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、优先股、永续债等其他金融工具</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633" w:right="171"/>
        <w:jc w:val="left"/>
      </w:pPr>
      <w:r>
        <w:rPr/>
        <w:t>（</w:t>
      </w:r>
      <w:r>
        <w:rPr>
          <w:rFonts w:ascii="Times New Roman" w:hAnsi="Times New Roman" w:cs="Times New Roman" w:eastAsia="Times New Roman" w:hint="default"/>
        </w:rPr>
        <w:t>1</w:t>
      </w:r>
      <w:r>
        <w:rPr/>
        <w:t>）商品销售收入 在已将商品所有权上的主要风险和报酬转移给买方，既没有保留通常与所有权相联系的</w:t>
      </w:r>
    </w:p>
    <w:p>
      <w:pPr>
        <w:pStyle w:val="BodyText"/>
        <w:spacing w:line="312" w:lineRule="exact"/>
        <w:ind w:right="188"/>
        <w:jc w:val="both"/>
      </w:pPr>
      <w:r>
        <w:rPr/>
        <w:t>继续管理权，也没有对已售商品实施有效控制，收入的金额能够可靠地计量，相关的经济利 益很可能流入企业，相关的已发生或将发生的成本能够可靠地计量时，确认商品销售收入的 实现。</w:t>
      </w:r>
    </w:p>
    <w:p>
      <w:pPr>
        <w:pStyle w:val="BodyText"/>
        <w:spacing w:line="312" w:lineRule="exact"/>
        <w:ind w:left="633" w:right="171"/>
        <w:jc w:val="left"/>
      </w:pPr>
      <w:r>
        <w:rPr/>
        <w:t>（</w:t>
      </w:r>
      <w:r>
        <w:rPr>
          <w:rFonts w:ascii="Times New Roman" w:hAnsi="Times New Roman" w:cs="Times New Roman" w:eastAsia="Times New Roman" w:hint="default"/>
        </w:rPr>
        <w:t>2</w:t>
      </w:r>
      <w:r>
        <w:rPr/>
        <w:t>）提供劳务收入 在提供劳务交易的结果能够可靠估计的情况下，于资产负债表日按照完工百分比法确认</w:t>
      </w:r>
    </w:p>
    <w:p>
      <w:pPr>
        <w:pStyle w:val="BodyText"/>
        <w:spacing w:line="312" w:lineRule="exact"/>
        <w:ind w:left="634" w:right="170" w:hanging="480"/>
        <w:jc w:val="left"/>
      </w:pPr>
      <w:r>
        <w:rPr/>
        <w:t>提供的劳务收入。劳务交易的完工进度按已经发生的劳务成本占估计总成本的比例确定。 提供劳务交易的结果能够可靠估计是指同时满足：①收入的金额能够可靠地计量；②相</w:t>
      </w:r>
    </w:p>
    <w:p>
      <w:pPr>
        <w:pStyle w:val="BodyText"/>
        <w:spacing w:line="312" w:lineRule="exact"/>
        <w:ind w:left="154" w:right="188"/>
        <w:jc w:val="both"/>
      </w:pPr>
      <w:r>
        <w:rPr/>
        <w:t>关的经济利益很可能流入企业；③交易的完工程度能够可靠地确定；④交易中已发生和将发 生的成本能够可靠地计量。</w:t>
      </w:r>
    </w:p>
    <w:p>
      <w:pPr>
        <w:pStyle w:val="BodyText"/>
        <w:spacing w:line="312" w:lineRule="exact"/>
        <w:ind w:left="154" w:right="188" w:firstLine="480"/>
        <w:jc w:val="both"/>
      </w:pPr>
      <w:r>
        <w:rPr/>
        <w:t>如果提供劳务交易的结果不能够可靠估计，则按已经发生并预计能够得到补偿的劳务成 本金额确认提供的劳务收入，并将已发生的劳务成本作为当期费用。已经发生的劳务成本如 预计不能得到补偿的，则不确认收入。</w:t>
      </w:r>
    </w:p>
    <w:p>
      <w:pPr>
        <w:pStyle w:val="BodyText"/>
        <w:spacing w:line="312" w:lineRule="exact"/>
        <w:ind w:left="154" w:right="188" w:firstLine="480"/>
        <w:jc w:val="both"/>
      </w:pPr>
      <w:r>
        <w:rPr/>
        <w:t>本公司与其他企业签订的合同或协议包括销售商品和提供劳务时，如销售商品部分和提 供劳务部分能够区分并单独计量的，将销售商品部分和提供劳务部分分别处理；如销售商品 部分和提供劳务部分不能够区分，或虽能区分但不能够单独计量的，将该合同全部作为销售 商品处理。</w:t>
      </w:r>
    </w:p>
    <w:p>
      <w:pPr>
        <w:pStyle w:val="BodyText"/>
        <w:spacing w:line="286" w:lineRule="exact"/>
        <w:ind w:left="634" w:right="0"/>
        <w:jc w:val="left"/>
      </w:pPr>
      <w:r>
        <w:rPr/>
        <w:t>（</w:t>
      </w:r>
      <w:r>
        <w:rPr>
          <w:rFonts w:ascii="Times New Roman" w:hAnsi="Times New Roman" w:cs="Times New Roman" w:eastAsia="Times New Roman" w:hint="default"/>
        </w:rPr>
        <w:t>3</w:t>
      </w:r>
      <w:r>
        <w:rPr/>
        <w:t>）使用费收入</w:t>
      </w:r>
    </w:p>
    <w:p>
      <w:pPr>
        <w:pStyle w:val="Heading2"/>
        <w:spacing w:line="309" w:lineRule="exact"/>
        <w:ind w:left="633" w:right="0"/>
        <w:jc w:val="left"/>
        <w:rPr>
          <w:i w:val="0"/>
        </w:rPr>
      </w:pPr>
      <w:r>
        <w:rPr/>
        <w:t>根据有关合同或协议，按权责发生制确认收入。</w:t>
      </w:r>
      <w:r>
        <w:rPr>
          <w:i w:val="0"/>
        </w:rPr>
      </w:r>
    </w:p>
    <w:p>
      <w:pPr>
        <w:pStyle w:val="BodyText"/>
        <w:spacing w:line="312" w:lineRule="exact" w:before="29"/>
        <w:ind w:left="633" w:right="3051"/>
        <w:jc w:val="left"/>
      </w:pPr>
      <w:r>
        <w:rPr/>
        <w:t>（</w:t>
      </w:r>
      <w:r>
        <w:rPr>
          <w:rFonts w:ascii="Times New Roman" w:hAnsi="Times New Roman" w:cs="Times New Roman" w:eastAsia="Times New Roman" w:hint="default"/>
        </w:rPr>
        <w:t>4</w:t>
      </w:r>
      <w:r>
        <w:rPr/>
        <w:t>）利息收入 按照他人使用本公司货币资金的时间和实际利率计算确定。</w:t>
      </w:r>
    </w:p>
    <w:p>
      <w:pPr>
        <w:pStyle w:val="BodyText"/>
        <w:spacing w:line="312" w:lineRule="exact"/>
        <w:ind w:left="633" w:right="171"/>
        <w:jc w:val="left"/>
      </w:pPr>
      <w:r>
        <w:rPr/>
        <w:t>（</w:t>
      </w:r>
      <w:r>
        <w:rPr>
          <w:rFonts w:ascii="Times New Roman" w:hAnsi="Times New Roman" w:cs="Times New Roman" w:eastAsia="Times New Roman" w:hint="default"/>
        </w:rPr>
        <w:t>5</w:t>
      </w:r>
      <w:r>
        <w:rPr/>
        <w:t>）收入确认的具体方法 据本公司的业务情况，对广告及策划、报刊发行、印刷具体收入原则： </w:t>
      </w:r>
      <w:r>
        <w:rPr>
          <w:rFonts w:ascii="Times New Roman" w:hAnsi="Times New Roman" w:cs="Times New Roman" w:eastAsia="Times New Roman" w:hint="default"/>
        </w:rPr>
        <w:t>1</w:t>
      </w:r>
      <w:r>
        <w:rPr/>
        <w:t>）广告及策划收入 广告及策划收入在同时满足下列条件时予以确认：①广告或商业行为开始出现于公众面</w:t>
      </w:r>
    </w:p>
    <w:p>
      <w:pPr>
        <w:pStyle w:val="BodyText"/>
        <w:spacing w:line="312" w:lineRule="exact"/>
        <w:ind w:right="188"/>
        <w:jc w:val="both"/>
      </w:pPr>
      <w:r>
        <w:rPr/>
        <w:t>前；②收入的金额能够可靠地计量；③相关的经济利益很可能流入；④相关的已发生或将发 生的成本能够可靠地计量。</w:t>
      </w:r>
    </w:p>
    <w:p>
      <w:pPr>
        <w:pStyle w:val="BodyText"/>
        <w:spacing w:line="312" w:lineRule="exact"/>
        <w:ind w:left="633" w:right="171"/>
        <w:jc w:val="left"/>
      </w:pPr>
      <w:r>
        <w:rPr>
          <w:rFonts w:ascii="Times New Roman" w:hAnsi="Times New Roman" w:cs="Times New Roman" w:eastAsia="Times New Roman" w:hint="default"/>
        </w:rPr>
        <w:t>2</w:t>
      </w:r>
      <w:r>
        <w:rPr/>
        <w:t>）报刊发行收入 报刊发行收入在同时满足下列条件时予以确认：①报刊已实际投递；②收入的金额能够</w:t>
      </w:r>
    </w:p>
    <w:p>
      <w:pPr>
        <w:pStyle w:val="BodyText"/>
        <w:spacing w:line="312" w:lineRule="exact"/>
        <w:ind w:right="188"/>
        <w:jc w:val="both"/>
      </w:pPr>
      <w:r>
        <w:rPr/>
        <w:t>可靠地计量；③相关的经济利益很可能流入；④相关的已发生或将发生的成本能够可靠地计 量。</w:t>
      </w:r>
    </w:p>
    <w:p>
      <w:pPr>
        <w:pStyle w:val="BodyText"/>
        <w:spacing w:line="312" w:lineRule="exact"/>
        <w:ind w:left="633" w:right="171"/>
        <w:jc w:val="left"/>
      </w:pPr>
      <w:r>
        <w:rPr>
          <w:rFonts w:ascii="Times New Roman" w:hAnsi="Times New Roman" w:cs="Times New Roman" w:eastAsia="Times New Roman" w:hint="default"/>
        </w:rPr>
        <w:t>3</w:t>
      </w:r>
      <w:r>
        <w:rPr/>
        <w:t>）印刷收入 印刷收入在同时满足下列条件时予以确认：①产品完工交付订货单位；②收入的金额能</w:t>
      </w:r>
    </w:p>
    <w:p>
      <w:pPr>
        <w:pStyle w:val="BodyText"/>
        <w:spacing w:line="312" w:lineRule="exact"/>
        <w:ind w:right="188"/>
        <w:jc w:val="both"/>
      </w:pPr>
      <w:r>
        <w:rPr/>
        <w:t>够可靠地计量；③相关的经济利益很可能流入；④相关的已发生或将发生的成本能够可靠地 计量。</w:t>
      </w:r>
    </w:p>
    <w:p>
      <w:pPr>
        <w:spacing w:after="0" w:line="312" w:lineRule="exact"/>
        <w:jc w:val="both"/>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spacing w:before="35"/>
        <w:ind w:left="154"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9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54" w:right="231" w:firstLine="480"/>
        <w:jc w:val="both"/>
      </w:pPr>
      <w:r>
        <w:rPr/>
        <w:t>政府补助是指本公司从政府无偿取得货币性资产和非货币性资产，不包括政府作为所有 者投入的资本。政府补助分为与资产相关的政府补助和与收益相关的政府补助。本公司将所 取得的用于购建或以其他方式形成长期资产的政府补助界定为与资产相关的政府补助；其余 政府补助界定为与收益相关的政府补助。若政府文件未明确规定补助对象，则采用以下方式 </w:t>
      </w:r>
      <w:r>
        <w:rPr>
          <w:spacing w:val="-3"/>
        </w:rPr>
        <w:t>将补助款划分为与收益相关的政府补助和与资产相关的政府补助：（1）政府文件明确了补助</w:t>
      </w:r>
      <w:r>
        <w:rPr>
          <w:spacing w:val="-81"/>
        </w:rPr>
        <w:t> </w:t>
      </w:r>
      <w:r>
        <w:rPr>
          <w:spacing w:val="-81"/>
        </w:rPr>
      </w:r>
      <w:r>
        <w:rPr/>
        <w:t>所针对的特定项目的，根据该特定项目的预算中将形成资产的支出金额和计入费用的支出金 额的相对比例进行划分，对该划分比例需在每个资产负债表日进行复核，必要时进行变更；</w:t>
      </w:r>
    </w:p>
    <w:p>
      <w:pPr>
        <w:pStyle w:val="BodyText"/>
        <w:spacing w:line="312" w:lineRule="exact"/>
        <w:ind w:left="634" w:right="100" w:hanging="480"/>
        <w:jc w:val="left"/>
      </w:pPr>
      <w:r>
        <w:rPr>
          <w:spacing w:val="-5"/>
        </w:rPr>
        <w:t>（2）政府文件中对用途仅作一般性表述，没有指明特定项目的，作为与收益相关的政府补助。</w:t>
      </w:r>
      <w:r>
        <w:rPr>
          <w:spacing w:val="-114"/>
        </w:rPr>
        <w:t> </w:t>
      </w:r>
      <w:r>
        <w:rPr>
          <w:spacing w:val="-114"/>
        </w:rPr>
      </w:r>
      <w:r>
        <w:rPr/>
        <w:t>政府补助为货币性资产的，按照收到或应收的金额计量。政府补助为非货币性资产的，</w:t>
      </w:r>
    </w:p>
    <w:p>
      <w:pPr>
        <w:pStyle w:val="BodyText"/>
        <w:spacing w:line="312" w:lineRule="exact"/>
        <w:ind w:left="154" w:right="250"/>
        <w:jc w:val="left"/>
      </w:pPr>
      <w:r>
        <w:rPr/>
        <w:t>按照公允价值计量；公允价值不能够可靠取得的，按照名义金额计量。按照名义金额计量的 政府补助，直接计入当期损益。</w:t>
      </w:r>
    </w:p>
    <w:p>
      <w:pPr>
        <w:pStyle w:val="BodyText"/>
        <w:spacing w:line="312" w:lineRule="exact"/>
        <w:ind w:right="99" w:firstLine="480"/>
        <w:jc w:val="left"/>
      </w:pPr>
      <w:r>
        <w:rPr/>
        <w:t>本公司对于政府补助通常在实际收到时，按照实收金额予以确认和计量。但对于期末有 确凿证据表明能够符合财政扶持政策规定的相关条件预计能够收到财政扶持资金，按照应收 </w:t>
      </w:r>
      <w:r>
        <w:rPr>
          <w:spacing w:val="-3"/>
        </w:rPr>
        <w:t>的金额计量。按照应收金额计量的政府补助应同时符合以下条件：（</w:t>
      </w:r>
      <w:r>
        <w:rPr>
          <w:rFonts w:ascii="Times New Roman" w:hAnsi="Times New Roman" w:cs="Times New Roman" w:eastAsia="Times New Roman" w:hint="default"/>
          <w:spacing w:val="-3"/>
        </w:rPr>
        <w:t>1</w:t>
      </w:r>
      <w:r>
        <w:rPr>
          <w:spacing w:val="-3"/>
        </w:rPr>
        <w:t>）应收补助款的金额已</w:t>
      </w:r>
      <w:r>
        <w:rPr>
          <w:spacing w:val="-80"/>
        </w:rPr>
        <w:t> </w:t>
      </w:r>
      <w:r>
        <w:rPr>
          <w:spacing w:val="-80"/>
        </w:rPr>
      </w:r>
      <w:r>
        <w:rPr/>
        <w:t>经过有权政府部门发文确认，或者可根据正式发布的财政资金管理办法的有关规定自行合理 </w:t>
      </w:r>
      <w:r>
        <w:rPr>
          <w:spacing w:val="-8"/>
        </w:rPr>
        <w:t>测算，且预计其金额不存在重大不确定性；（</w:t>
      </w:r>
      <w:r>
        <w:rPr>
          <w:rFonts w:ascii="Times New Roman" w:hAnsi="Times New Roman" w:cs="Times New Roman" w:eastAsia="Times New Roman" w:hint="default"/>
          <w:spacing w:val="-8"/>
        </w:rPr>
        <w:t>2</w:t>
      </w:r>
      <w:r>
        <w:rPr>
          <w:spacing w:val="-8"/>
        </w:rPr>
        <w:t>）所依据的是当地财政部门正式发布并按照《政</w:t>
      </w:r>
      <w:r>
        <w:rPr>
          <w:spacing w:val="-108"/>
        </w:rPr>
        <w:t> </w:t>
      </w:r>
      <w:r>
        <w:rPr>
          <w:spacing w:val="-108"/>
        </w:rPr>
      </w:r>
      <w:r>
        <w:rPr/>
        <w:t>府信息公开条例》的规定予以主动公开的财政扶持项目及其财政资金管理办法，且该管理办 </w:t>
      </w:r>
      <w:r>
        <w:rPr>
          <w:spacing w:val="-3"/>
        </w:rPr>
        <w:t>法应当是普惠性的（任何符合规定条件的企业均可申请），而不是专门针对特定企业制定的；</w:t>
      </w:r>
    </w:p>
    <w:p>
      <w:pPr>
        <w:pStyle w:val="BodyText"/>
        <w:spacing w:line="312" w:lineRule="exact"/>
        <w:ind w:right="101"/>
        <w:jc w:val="left"/>
      </w:pPr>
      <w:r>
        <w:rPr/>
        <w:t>（</w:t>
      </w:r>
      <w:r>
        <w:rPr>
          <w:rFonts w:ascii="Times New Roman" w:hAnsi="Times New Roman" w:cs="Times New Roman" w:eastAsia="Times New Roman" w:hint="default"/>
        </w:rPr>
        <w:t>3</w:t>
      </w:r>
      <w:r>
        <w:rPr/>
        <w:t>）相关的补助款批文中已明确承诺了拨付期限，且该款项的拨付是有相应财政预算作为保 </w:t>
      </w:r>
      <w:r>
        <w:rPr>
          <w:spacing w:val="-5"/>
        </w:rPr>
        <w:t>障的，因而可以合理保证其可在规定期限内收到；（</w:t>
      </w:r>
      <w:r>
        <w:rPr>
          <w:rFonts w:ascii="Times New Roman" w:hAnsi="Times New Roman" w:cs="Times New Roman" w:eastAsia="Times New Roman" w:hint="default"/>
          <w:spacing w:val="-5"/>
        </w:rPr>
        <w:t>4</w:t>
      </w:r>
      <w:r>
        <w:rPr>
          <w:spacing w:val="-5"/>
        </w:rPr>
        <w:t>）根据本公司和该补助事项的具体情况，</w:t>
      </w:r>
      <w:r>
        <w:rPr>
          <w:spacing w:val="-113"/>
        </w:rPr>
        <w:t> </w:t>
      </w:r>
      <w:r>
        <w:rPr>
          <w:spacing w:val="-113"/>
        </w:rPr>
      </w:r>
      <w:r>
        <w:rPr/>
        <w:t>应满足的其他相关条件（如有）。 与资产相关的政府补助，确认为递延收益，并在相关资产的使用寿命内平均分配计入当期损</w:t>
      </w:r>
      <w:r>
        <w:rPr>
          <w:spacing w:val="-83"/>
        </w:rPr>
        <w:t> </w:t>
      </w:r>
      <w:r>
        <w:rPr>
          <w:spacing w:val="-83"/>
        </w:rPr>
      </w:r>
      <w:r>
        <w:rPr/>
        <w:t>益。</w:t>
      </w:r>
    </w:p>
    <w:p>
      <w:pPr>
        <w:spacing w:line="240" w:lineRule="auto" w:before="7"/>
        <w:rPr>
          <w:rFonts w:ascii="宋体" w:hAnsi="宋体" w:cs="宋体" w:eastAsia="宋体" w:hint="default"/>
          <w:sz w:val="22"/>
          <w:szCs w:val="22"/>
        </w:rPr>
      </w:pPr>
    </w:p>
    <w:p>
      <w:pPr>
        <w:spacing w:before="0"/>
        <w:ind w:left="154" w:right="9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54" w:right="268" w:firstLine="480"/>
        <w:jc w:val="both"/>
      </w:pPr>
      <w:r>
        <w:rPr/>
        <w:t>与收益相关的政府补助，用于补偿以后期间的相关费用和损失的，确认为递延收益，并 在确认相关费用的期间计入当期损益；用于补偿已经发生的相关费用和损失的，直接计入当 期损益。</w:t>
      </w:r>
    </w:p>
    <w:p>
      <w:pPr>
        <w:pStyle w:val="BodyText"/>
        <w:spacing w:line="312" w:lineRule="exact"/>
        <w:ind w:left="154" w:right="99" w:firstLine="480"/>
        <w:jc w:val="left"/>
      </w:pPr>
      <w:r>
        <w:rPr>
          <w:spacing w:val="-3"/>
        </w:rPr>
        <w:t>已确认的政府补助需要返还时，存在相关递延收益余额的，冲减相关递延收益账面余额，</w:t>
      </w:r>
      <w:r>
        <w:rPr/>
        <w:t> 超出部分计入当期损益；不存在相关递延收益的，直接计入当期损益。</w:t>
      </w:r>
    </w:p>
    <w:p>
      <w:pPr>
        <w:pStyle w:val="BodyText"/>
        <w:spacing w:line="283" w:lineRule="exact"/>
        <w:ind w:left="633" w:right="99"/>
        <w:jc w:val="left"/>
      </w:pPr>
      <w:r>
        <w:rPr/>
        <w:t>政府资本性投入不属于政府补助。</w:t>
      </w:r>
    </w:p>
    <w:p>
      <w:pPr>
        <w:spacing w:line="240" w:lineRule="auto" w:before="9"/>
        <w:rPr>
          <w:rFonts w:ascii="宋体" w:hAnsi="宋体" w:cs="宋体" w:eastAsia="宋体" w:hint="default"/>
          <w:sz w:val="24"/>
          <w:szCs w:val="24"/>
        </w:rPr>
      </w:pPr>
    </w:p>
    <w:p>
      <w:pPr>
        <w:spacing w:before="0"/>
        <w:ind w:left="154"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633" w:right="251"/>
        <w:jc w:val="left"/>
      </w:pPr>
      <w:r>
        <w:rPr/>
        <w:t>（</w:t>
      </w:r>
      <w:r>
        <w:rPr>
          <w:rFonts w:ascii="Times New Roman" w:hAnsi="Times New Roman" w:cs="Times New Roman" w:eastAsia="Times New Roman" w:hint="default"/>
        </w:rPr>
        <w:t>1</w:t>
      </w:r>
      <w:r>
        <w:rPr/>
        <w:t>）当期所得税 资产负债表日，对于当期和以前期间形成的当期所得税负债（或资产），以按照税法规</w:t>
      </w:r>
    </w:p>
    <w:p>
      <w:pPr>
        <w:pStyle w:val="BodyText"/>
        <w:spacing w:line="312" w:lineRule="exact"/>
        <w:ind w:right="251"/>
        <w:jc w:val="left"/>
      </w:pPr>
      <w:r>
        <w:rPr/>
        <w:t>定计算的预期应交纳（或返还）的所得税金额计量。计算当期所得税费用所依据的应纳税所 得额系根据有关税法规定对本年度税前会计利润作相应调整后计算得出。</w:t>
      </w:r>
    </w:p>
    <w:p>
      <w:pPr>
        <w:pStyle w:val="BodyText"/>
        <w:spacing w:line="302" w:lineRule="exact"/>
        <w:ind w:left="633" w:right="99"/>
        <w:jc w:val="left"/>
      </w:pPr>
      <w:r>
        <w:rPr/>
        <w:t>（</w:t>
      </w:r>
      <w:r>
        <w:rPr>
          <w:rFonts w:ascii="Times New Roman" w:hAnsi="Times New Roman" w:cs="Times New Roman" w:eastAsia="Times New Roman" w:hint="default"/>
        </w:rPr>
        <w:t>2</w:t>
      </w:r>
      <w:r>
        <w:rPr/>
        <w:t>）递延所得税资产及递延所得税负债</w:t>
      </w:r>
    </w:p>
    <w:p>
      <w:pPr>
        <w:spacing w:after="0" w:line="302" w:lineRule="exact"/>
        <w:jc w:val="left"/>
        <w:sectPr>
          <w:pgSz w:w="11910" w:h="16840"/>
          <w:pgMar w:header="877" w:footer="982" w:top="1100" w:bottom="1180" w:left="980" w:right="900"/>
        </w:sectPr>
      </w:pPr>
    </w:p>
    <w:p>
      <w:pPr>
        <w:spacing w:line="240" w:lineRule="auto" w:before="7"/>
        <w:rPr>
          <w:rFonts w:ascii="宋体" w:hAnsi="宋体" w:cs="宋体" w:eastAsia="宋体" w:hint="default"/>
          <w:sz w:val="19"/>
          <w:szCs w:val="19"/>
        </w:rPr>
      </w:pPr>
    </w:p>
    <w:p>
      <w:pPr>
        <w:pStyle w:val="BodyText"/>
        <w:spacing w:line="312" w:lineRule="exact" w:before="56"/>
        <w:ind w:left="154" w:right="268" w:firstLine="480"/>
        <w:jc w:val="both"/>
      </w:pPr>
      <w:r>
        <w:rPr/>
        <w:t>某些资产、负债项目的账面价值与其计税基础之间的差额，以及未作为资产和负债确认 但按照税法规定可以确定其计税基础的项目的账面价值与计税基础之间的差额产生的暂时性 差异，采用资产负债表债务法确认递延所得税资产及递延所得税负债。</w:t>
      </w:r>
    </w:p>
    <w:p>
      <w:pPr>
        <w:pStyle w:val="BodyText"/>
        <w:spacing w:line="312" w:lineRule="exact"/>
        <w:ind w:right="268" w:firstLine="480"/>
        <w:jc w:val="both"/>
      </w:pPr>
      <w:r>
        <w:rPr/>
        <w:t>与商誉的初始确认有关，以及与既不是企业合并、发生时也不影响会计利润和应纳税所 得额（或可抵扣亏损）的交易中产生的资产或负债的初始确认有关的应纳税暂时性差异，不 予确认有关的递延所得税负债。此外，对与子公司、联营企业及合营企业投资相关的应纳税 暂时性差异，如果本公司能够控制暂时性差异转回的时间，而且该暂时性差异在可预见的未 来很可能不会转回，也不予确认有关的递延所得税负债。除上述例外情况，本公司确认其他 所有应纳税暂时性差异产生的递延所得税负债。</w:t>
      </w:r>
    </w:p>
    <w:p>
      <w:pPr>
        <w:pStyle w:val="BodyText"/>
        <w:spacing w:line="312" w:lineRule="exact"/>
        <w:ind w:right="93" w:firstLine="480"/>
        <w:jc w:val="left"/>
      </w:pPr>
      <w:r>
        <w:rPr/>
        <w:t>与既不是企业合并、发生时也不影响会计利润和应纳税所得额（或可抵扣亏损）的交易 </w:t>
      </w:r>
      <w:r>
        <w:rPr>
          <w:spacing w:val="-2"/>
        </w:rPr>
        <w:t>中产生的资产或负债的初始确认有关的可抵扣暂时性差异，不予确认有关的递延所得税资产。</w:t>
      </w:r>
      <w:r>
        <w:rPr/>
        <w:t> 此外，对与子公司、联营企业及合营企业投资相关的可抵扣暂时性差异，如果暂时性差异在 可预见的未来不是很可能转回，或者未来不是很可能获得用来抵扣可抵扣暂时性差异的应纳 税所得额，不予确认有关的递延所得税资产。除上述例外情况，本公司以很可能取得用来抵 扣可抵扣暂时性差异的应纳税所得额为限，确认其他可抵扣暂时性差异产生的递延所得税资 产。</w:t>
      </w:r>
    </w:p>
    <w:p>
      <w:pPr>
        <w:pStyle w:val="BodyText"/>
        <w:spacing w:line="312" w:lineRule="exact"/>
        <w:ind w:right="268" w:firstLine="480"/>
        <w:jc w:val="both"/>
      </w:pPr>
      <w:r>
        <w:rPr/>
        <w:t>对于能够结转以后年度的可抵扣亏损和税款抵减，以很可能获得用来抵扣可抵扣亏损和 税款抵减的未来应纳税所得额为限，确认相应的递延所得税资产。</w:t>
      </w:r>
    </w:p>
    <w:p>
      <w:pPr>
        <w:pStyle w:val="BodyText"/>
        <w:spacing w:line="312" w:lineRule="exact"/>
        <w:ind w:right="268" w:firstLine="480"/>
        <w:jc w:val="both"/>
      </w:pPr>
      <w:r>
        <w:rPr/>
        <w:t>资产负债表日，对于递延所得税资产和递延所得税负债，根据税法规定，按照预期收回 相关资产或清偿相关负债期间的适用税率计量。</w:t>
      </w:r>
    </w:p>
    <w:p>
      <w:pPr>
        <w:pStyle w:val="BodyText"/>
        <w:spacing w:line="312" w:lineRule="exact"/>
        <w:ind w:right="268" w:firstLine="480"/>
        <w:jc w:val="both"/>
      </w:pPr>
      <w:r>
        <w:rPr/>
        <w:t>于资产负债表日，对递延所得税资产的账面价值进行复核，如果未来很可能无法获得足 够的应纳税所得额用以抵扣递延所得税资产的利益，则减记递延所得税资产的账面价值。在 很可能获得足够的应纳税所得额时，减记的金额予以转回。</w:t>
      </w:r>
    </w:p>
    <w:p>
      <w:pPr>
        <w:pStyle w:val="BodyText"/>
        <w:spacing w:line="312" w:lineRule="exact"/>
        <w:ind w:left="633" w:right="4811"/>
        <w:jc w:val="left"/>
      </w:pPr>
      <w:r>
        <w:rPr/>
        <w:t>（</w:t>
      </w:r>
      <w:r>
        <w:rPr>
          <w:rFonts w:ascii="Times New Roman" w:hAnsi="Times New Roman" w:cs="Times New Roman" w:eastAsia="Times New Roman" w:hint="default"/>
        </w:rPr>
        <w:t>3</w:t>
      </w:r>
      <w:r>
        <w:rPr/>
        <w:t>）所得税费用 所得税费用包括当期所得税和递延所得税。</w:t>
      </w:r>
    </w:p>
    <w:p>
      <w:pPr>
        <w:pStyle w:val="BodyText"/>
        <w:spacing w:line="312" w:lineRule="exact"/>
        <w:ind w:right="268" w:firstLine="480"/>
        <w:jc w:val="both"/>
      </w:pPr>
      <w:r>
        <w:rPr/>
        <w:t>除确认为其他综合收益或直接计入股东权益的交易和事项相关的当期所得税和递延所得 税计入其他综合收益或股东权益，以及企业合并产生的递延所得税调整商誉的账面价值外， 其余当期所得税和递延所得税费用或收益计入当期损益。</w:t>
      </w:r>
    </w:p>
    <w:p>
      <w:pPr>
        <w:pStyle w:val="BodyText"/>
        <w:spacing w:line="312" w:lineRule="exact"/>
        <w:ind w:left="633" w:right="251"/>
        <w:jc w:val="left"/>
      </w:pPr>
      <w:r>
        <w:rPr/>
        <w:t>（</w:t>
      </w:r>
      <w:r>
        <w:rPr>
          <w:rFonts w:ascii="Times New Roman" w:hAnsi="Times New Roman" w:cs="Times New Roman" w:eastAsia="Times New Roman" w:hint="default"/>
        </w:rPr>
        <w:t>4</w:t>
      </w:r>
      <w:r>
        <w:rPr/>
        <w:t>）所得税的抵销 当拥有以净额结算的法定权利，且意图以净额结算或取得资产、清偿负债同时进行时，</w:t>
      </w:r>
    </w:p>
    <w:p>
      <w:pPr>
        <w:pStyle w:val="BodyText"/>
        <w:spacing w:line="312" w:lineRule="exact"/>
        <w:ind w:left="633" w:right="251" w:hanging="480"/>
        <w:jc w:val="left"/>
      </w:pPr>
      <w:r>
        <w:rPr/>
        <w:t>本公司当期所得税资产及当期所得税负债以抵销后的净额列报。 当拥有以净额结算当期所得税资产及当期所得税负债的法定权利，且递延所得税资产及</w:t>
      </w:r>
    </w:p>
    <w:p>
      <w:pPr>
        <w:pStyle w:val="BodyText"/>
        <w:spacing w:line="312" w:lineRule="exact"/>
        <w:ind w:right="268"/>
        <w:jc w:val="both"/>
      </w:pPr>
      <w:r>
        <w:rPr/>
        <w:t>递延所得税负债是与同一税收征管部门对同一纳税主体征收的所得税相关或者是对不同的纳 税主体相关，但在未来每一具有重要性的递延所得税资产及负债转回的期间内，涉及的纳税 主体意图以净额结算当期所得税资产和负债或是同时取得资产、清偿负债时，本公司递延所 得税资产及递延所得税负债以抵销后的净额列报。</w:t>
      </w:r>
    </w:p>
    <w:p>
      <w:pPr>
        <w:spacing w:line="240" w:lineRule="auto" w:before="7"/>
        <w:rPr>
          <w:rFonts w:ascii="宋体" w:hAnsi="宋体" w:cs="宋体" w:eastAsia="宋体" w:hint="default"/>
          <w:sz w:val="22"/>
          <w:szCs w:val="22"/>
        </w:rPr>
      </w:pPr>
    </w:p>
    <w:p>
      <w:pPr>
        <w:spacing w:before="0"/>
        <w:ind w:left="15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、租赁</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154" w:right="268" w:firstLine="480"/>
        <w:jc w:val="both"/>
      </w:pPr>
      <w:r>
        <w:rPr/>
        <w:t>融资租赁为实质上转移了与资产所有权有关的全部风险和报酬的租赁，其所有权最终可 能转移，也可能不转移。融资租赁以外的其他租赁为经营租赁。</w:t>
      </w:r>
    </w:p>
    <w:p>
      <w:pPr>
        <w:pStyle w:val="BodyText"/>
        <w:spacing w:line="302" w:lineRule="exact"/>
        <w:ind w:left="633" w:right="99"/>
        <w:jc w:val="left"/>
      </w:pPr>
      <w:r>
        <w:rPr/>
        <w:t>（</w:t>
      </w:r>
      <w:r>
        <w:rPr>
          <w:rFonts w:ascii="Times New Roman" w:hAnsi="Times New Roman" w:cs="Times New Roman" w:eastAsia="Times New Roman" w:hint="default"/>
        </w:rPr>
        <w:t>1</w:t>
      </w:r>
      <w:r>
        <w:rPr/>
        <w:t>）本公司作为承租人记录经营租赁业务</w:t>
      </w:r>
    </w:p>
    <w:p>
      <w:pPr>
        <w:spacing w:after="0" w:line="302" w:lineRule="exact"/>
        <w:jc w:val="left"/>
        <w:sectPr>
          <w:pgSz w:w="11910" w:h="16840"/>
          <w:pgMar w:header="877" w:footer="982" w:top="1100" w:bottom="1180" w:left="980" w:right="900"/>
        </w:sectPr>
      </w:pPr>
    </w:p>
    <w:p>
      <w:pPr>
        <w:spacing w:line="240" w:lineRule="auto" w:before="7"/>
        <w:rPr>
          <w:rFonts w:ascii="宋体" w:hAnsi="宋体" w:cs="宋体" w:eastAsia="宋体" w:hint="default"/>
          <w:sz w:val="19"/>
          <w:szCs w:val="19"/>
        </w:rPr>
      </w:pPr>
    </w:p>
    <w:p>
      <w:pPr>
        <w:pStyle w:val="BodyText"/>
        <w:spacing w:line="312" w:lineRule="exact" w:before="56"/>
        <w:ind w:left="154" w:right="250" w:firstLine="480"/>
        <w:jc w:val="left"/>
      </w:pPr>
      <w:r>
        <w:rPr/>
        <w:t>经营租赁的租金支出在租赁期内的各个期间按直线法计入相关资产成本或当期损益。初 始直接费用计入当期损益。或有租金于实际发生时计入当期损益。</w:t>
      </w:r>
    </w:p>
    <w:p>
      <w:pPr>
        <w:pStyle w:val="BodyText"/>
        <w:spacing w:line="312" w:lineRule="exact"/>
        <w:ind w:left="633" w:right="251"/>
        <w:jc w:val="left"/>
      </w:pPr>
      <w:r>
        <w:rPr/>
        <w:t>（</w:t>
      </w:r>
      <w:r>
        <w:rPr>
          <w:rFonts w:ascii="Times New Roman" w:hAnsi="Times New Roman" w:cs="Times New Roman" w:eastAsia="Times New Roman" w:hint="default"/>
        </w:rPr>
        <w:t>2</w:t>
      </w:r>
      <w:r>
        <w:rPr/>
        <w:t>）本公司作为出租人记录经营租赁业务 经营租赁的租金收入在租赁期内的各个期间按直线法确认为当期损益。对金额较大的初</w:t>
      </w:r>
    </w:p>
    <w:p>
      <w:pPr>
        <w:pStyle w:val="BodyText"/>
        <w:spacing w:line="312" w:lineRule="exact"/>
        <w:ind w:right="268"/>
        <w:jc w:val="both"/>
      </w:pPr>
      <w:r>
        <w:rPr/>
        <w:t>始直接费用于发生时予以资本化，在整个租赁期间内按照与确认租金收入相同的基础分期计 入当期损益；其他金额较小的初始直接费用于发生时计入当期损益。或有租金于实际发生时 计入当期损益。</w:t>
      </w:r>
    </w:p>
    <w:p>
      <w:pPr>
        <w:spacing w:line="240" w:lineRule="auto" w:before="7"/>
        <w:rPr>
          <w:rFonts w:ascii="宋体" w:hAnsi="宋体" w:cs="宋体" w:eastAsia="宋体" w:hint="default"/>
          <w:sz w:val="22"/>
          <w:szCs w:val="22"/>
        </w:rPr>
      </w:pPr>
    </w:p>
    <w:p>
      <w:pPr>
        <w:spacing w:before="0"/>
        <w:ind w:left="15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633" w:right="251"/>
        <w:jc w:val="left"/>
      </w:pPr>
      <w:r>
        <w:rPr/>
        <w:t>（</w:t>
      </w:r>
      <w:r>
        <w:rPr>
          <w:rFonts w:ascii="Times New Roman" w:hAnsi="Times New Roman" w:cs="Times New Roman" w:eastAsia="Times New Roman" w:hint="default"/>
        </w:rPr>
        <w:t>1</w:t>
      </w:r>
      <w:r>
        <w:rPr/>
        <w:t>）本公司作为承租人记录融资租赁业务 于租赁期开始日，将租赁开始日租赁资产的公允价值与最低租赁付款额现值两者中较低</w:t>
      </w:r>
    </w:p>
    <w:p>
      <w:pPr>
        <w:pStyle w:val="BodyText"/>
        <w:spacing w:line="312" w:lineRule="exact"/>
        <w:ind w:right="268"/>
        <w:jc w:val="both"/>
      </w:pPr>
      <w:r>
        <w:rPr/>
        <w:t>者作为租入资产的入账价值，将最低租赁付款额作为长期应付款的入账价值，其差额作为未 确认融资费用。此外，在租赁谈判和签订租赁合同过程中发生的，可归属于租赁项目的初始 直接费用也计入租入资产价值。最低租赁付款额扣除未确认融资费用后的余额分别长期负债 和一年内到期的长期负债列示。</w:t>
      </w:r>
    </w:p>
    <w:p>
      <w:pPr>
        <w:pStyle w:val="BodyText"/>
        <w:spacing w:line="312" w:lineRule="exact"/>
        <w:ind w:right="251" w:firstLine="480"/>
        <w:jc w:val="left"/>
      </w:pPr>
      <w:r>
        <w:rPr/>
        <w:t>未确认融资费用在租赁期内采用实际利率法计算确认当期的融资费用。或有租金于实际 发生时计入当期损益。</w:t>
      </w:r>
    </w:p>
    <w:p>
      <w:pPr>
        <w:pStyle w:val="BodyText"/>
        <w:spacing w:line="312" w:lineRule="exact"/>
        <w:ind w:left="633" w:right="251"/>
        <w:jc w:val="left"/>
      </w:pPr>
      <w:r>
        <w:rPr/>
        <w:t>（</w:t>
      </w:r>
      <w:r>
        <w:rPr>
          <w:rFonts w:ascii="Times New Roman" w:hAnsi="Times New Roman" w:cs="Times New Roman" w:eastAsia="Times New Roman" w:hint="default"/>
        </w:rPr>
        <w:t>2</w:t>
      </w:r>
      <w:r>
        <w:rPr/>
        <w:t>）本公司作为出租人记录融资租赁业务 于租赁期开始日，将租赁开始日最低租赁收款额与初始直接费用之和作为应收融资租赁</w:t>
      </w:r>
    </w:p>
    <w:p>
      <w:pPr>
        <w:pStyle w:val="BodyText"/>
        <w:spacing w:line="312" w:lineRule="exact"/>
        <w:ind w:right="268"/>
        <w:jc w:val="both"/>
      </w:pPr>
      <w:r>
        <w:rPr/>
        <w:t>款的入账价值，同时记录未担保余值；将最低租赁收款额、初始直接费用及未担保余值之和 与其现值之和的差额确认为未实现融资收益。应收融资租赁款扣除未实现融资收益后的余额 分别长期债权和一年内到期的长期债权列示。</w:t>
      </w:r>
    </w:p>
    <w:p>
      <w:pPr>
        <w:pStyle w:val="BodyText"/>
        <w:spacing w:line="312" w:lineRule="exact"/>
        <w:ind w:right="251" w:firstLine="480"/>
        <w:jc w:val="left"/>
      </w:pPr>
      <w:r>
        <w:rPr/>
        <w:t>未实现融资收益在租赁期内采用实际利率法计算确认当期的融资收入。或有租金于实际 发生时计入当期损益。</w:t>
      </w:r>
    </w:p>
    <w:p>
      <w:pPr>
        <w:spacing w:line="240" w:lineRule="auto" w:before="7"/>
        <w:rPr>
          <w:rFonts w:ascii="宋体" w:hAnsi="宋体" w:cs="宋体" w:eastAsia="宋体" w:hint="default"/>
          <w:sz w:val="22"/>
          <w:szCs w:val="22"/>
        </w:rPr>
      </w:pPr>
    </w:p>
    <w:p>
      <w:pPr>
        <w:spacing w:before="0"/>
        <w:ind w:left="15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、其他重要的会计政策和会计估计</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99" w:firstLine="480"/>
        <w:jc w:val="left"/>
      </w:pPr>
      <w:r>
        <w:rPr/>
        <w:t>在运用会计政策过程中，由于经营活动内在的不确定性，本公司需要对无法准确计量的</w:t>
      </w:r>
      <w:r>
        <w:rPr>
          <w:spacing w:val="1"/>
        </w:rPr>
        <w:t> </w:t>
      </w:r>
      <w:r>
        <w:rPr/>
        <w:t>报表项目的账面价值进行判断、估计和假设。这些判断、估计和假设是基于本公司管理层过</w:t>
      </w:r>
      <w:r>
        <w:rPr>
          <w:spacing w:val="-83"/>
        </w:rPr>
        <w:t> </w:t>
      </w:r>
      <w:r>
        <w:rPr>
          <w:spacing w:val="-83"/>
        </w:rPr>
      </w:r>
      <w:r>
        <w:rPr>
          <w:spacing w:val="-3"/>
        </w:rPr>
        <w:t>去的历史经验，并在考虑其他相关因素的基础上做出的。这些判断、估计和假设会影响收入、</w:t>
      </w:r>
      <w:r>
        <w:rPr>
          <w:spacing w:val="-81"/>
        </w:rPr>
        <w:t> </w:t>
      </w:r>
      <w:r>
        <w:rPr>
          <w:spacing w:val="-81"/>
        </w:rPr>
      </w:r>
      <w:r>
        <w:rPr/>
        <w:t>费用、资产和负债的报告金额以及资产负债表日或有负债的披露。然而，这些估计的不确定</w:t>
      </w:r>
      <w:r>
        <w:rPr>
          <w:spacing w:val="-83"/>
        </w:rPr>
        <w:t> </w:t>
      </w:r>
      <w:r>
        <w:rPr>
          <w:spacing w:val="-83"/>
        </w:rPr>
      </w:r>
      <w:r>
        <w:rPr/>
        <w:t>性所导致的实际结果可能与本公司管理层当前的估计存在差异，进而造成对未来受影响的资</w:t>
      </w:r>
      <w:r>
        <w:rPr>
          <w:spacing w:val="-83"/>
        </w:rPr>
        <w:t> </w:t>
      </w:r>
      <w:r>
        <w:rPr>
          <w:spacing w:val="-83"/>
        </w:rPr>
      </w:r>
      <w:r>
        <w:rPr/>
        <w:t>产或负债的账面金额进行重大调整。</w:t>
      </w:r>
    </w:p>
    <w:p>
      <w:pPr>
        <w:pStyle w:val="BodyText"/>
        <w:spacing w:line="312" w:lineRule="exact"/>
        <w:ind w:right="228" w:firstLine="480"/>
        <w:jc w:val="both"/>
      </w:pPr>
      <w:r>
        <w:rPr/>
        <w:t>对前述判断、估计和假设在持续经营的基础上进行定期复核，会计估计的变更仅影响变</w:t>
      </w:r>
      <w:r>
        <w:rPr>
          <w:spacing w:val="1"/>
        </w:rPr>
        <w:t> </w:t>
      </w:r>
      <w:r>
        <w:rPr/>
        <w:t>更当期的，其影响数在变更当期予以确认；既影响变更当期又影响未来期间的，其影响数在</w:t>
      </w:r>
      <w:r>
        <w:rPr>
          <w:spacing w:val="-83"/>
        </w:rPr>
        <w:t> </w:t>
      </w:r>
      <w:r>
        <w:rPr>
          <w:spacing w:val="-83"/>
        </w:rPr>
      </w:r>
      <w:r>
        <w:rPr/>
        <w:t>变更当期和未来期间予以确认。</w:t>
      </w:r>
    </w:p>
    <w:p>
      <w:pPr>
        <w:pStyle w:val="BodyText"/>
        <w:spacing w:line="282" w:lineRule="exact"/>
        <w:ind w:left="633" w:right="99"/>
        <w:jc w:val="left"/>
      </w:pPr>
      <w:r>
        <w:rPr>
          <w:spacing w:val="-3"/>
        </w:rPr>
        <w:t>于资产负债表日，本公司需对财务报表项目金额进行判断、估计和假设的重要领域如下：</w:t>
      </w:r>
    </w:p>
    <w:p>
      <w:pPr>
        <w:pStyle w:val="BodyText"/>
        <w:spacing w:line="312" w:lineRule="exact" w:before="29"/>
        <w:ind w:left="633" w:right="99"/>
        <w:jc w:val="left"/>
      </w:pPr>
      <w:r>
        <w:rPr/>
        <w:t>（</w:t>
      </w:r>
      <w:r>
        <w:rPr>
          <w:rFonts w:ascii="Times New Roman" w:hAnsi="Times New Roman" w:cs="Times New Roman" w:eastAsia="Times New Roman" w:hint="default"/>
        </w:rPr>
        <w:t>1</w:t>
      </w:r>
      <w:r>
        <w:rPr/>
        <w:t>）租赁的归类 根据《企业会计准则第</w:t>
      </w:r>
      <w:r>
        <w:rPr>
          <w:rFonts w:ascii="Times New Roman" w:hAnsi="Times New Roman" w:cs="Times New Roman" w:eastAsia="Times New Roman" w:hint="default"/>
        </w:rPr>
        <w:t>21</w:t>
      </w:r>
      <w:r>
        <w:rPr/>
        <w:t>号</w:t>
      </w:r>
      <w:r>
        <w:rPr>
          <w:rFonts w:ascii="Times New Roman" w:hAnsi="Times New Roman" w:cs="Times New Roman" w:eastAsia="Times New Roman" w:hint="default"/>
        </w:rPr>
        <w:t>——</w:t>
      </w:r>
      <w:r>
        <w:rPr/>
        <w:t>租赁》的规定，将租赁归类为经营租赁和融资租赁，在</w:t>
      </w:r>
    </w:p>
    <w:p>
      <w:pPr>
        <w:pStyle w:val="BodyText"/>
        <w:spacing w:line="312" w:lineRule="exact"/>
        <w:ind w:right="228"/>
        <w:jc w:val="both"/>
      </w:pPr>
      <w:r>
        <w:rPr/>
        <w:t>进行归类时，管理层需要对是否已将与租出资产所有权有关的全部风险和报酬实质上转移给</w:t>
      </w:r>
      <w:r>
        <w:rPr>
          <w:spacing w:val="-83"/>
        </w:rPr>
        <w:t> </w:t>
      </w:r>
      <w:r>
        <w:rPr>
          <w:spacing w:val="-83"/>
        </w:rPr>
      </w:r>
      <w:r>
        <w:rPr/>
        <w:t>承租人，或者本公司是否已经实质上承担与租入资产所有权有关的全部风险和报酬，作出分</w:t>
      </w:r>
      <w:r>
        <w:rPr>
          <w:spacing w:val="-83"/>
        </w:rPr>
        <w:t> </w:t>
      </w:r>
      <w:r>
        <w:rPr>
          <w:spacing w:val="-83"/>
        </w:rPr>
      </w:r>
      <w:r>
        <w:rPr/>
        <w:t>析和判断。</w:t>
      </w:r>
    </w:p>
    <w:p>
      <w:pPr>
        <w:pStyle w:val="BodyText"/>
        <w:spacing w:line="302" w:lineRule="exact"/>
        <w:ind w:left="633" w:right="99"/>
        <w:jc w:val="left"/>
      </w:pPr>
      <w:r>
        <w:rPr/>
        <w:t>（</w:t>
      </w:r>
      <w:r>
        <w:rPr>
          <w:rFonts w:ascii="Times New Roman" w:hAnsi="Times New Roman" w:cs="Times New Roman" w:eastAsia="Times New Roman" w:hint="default"/>
        </w:rPr>
        <w:t>2</w:t>
      </w:r>
      <w:r>
        <w:rPr/>
        <w:t>）坏账准备计提</w:t>
      </w:r>
    </w:p>
    <w:p>
      <w:pPr>
        <w:spacing w:after="0" w:line="302" w:lineRule="exact"/>
        <w:jc w:val="left"/>
        <w:sectPr>
          <w:pgSz w:w="11910" w:h="16840"/>
          <w:pgMar w:header="877" w:footer="982" w:top="1100" w:bottom="1180" w:left="980" w:right="900"/>
        </w:sectPr>
      </w:pPr>
    </w:p>
    <w:p>
      <w:pPr>
        <w:spacing w:line="240" w:lineRule="auto" w:before="7"/>
        <w:rPr>
          <w:rFonts w:ascii="宋体" w:hAnsi="宋体" w:cs="宋体" w:eastAsia="宋体" w:hint="default"/>
          <w:sz w:val="19"/>
          <w:szCs w:val="19"/>
        </w:rPr>
      </w:pPr>
    </w:p>
    <w:p>
      <w:pPr>
        <w:pStyle w:val="BodyText"/>
        <w:spacing w:line="312" w:lineRule="exact" w:before="56"/>
        <w:ind w:right="228" w:firstLine="480"/>
        <w:jc w:val="both"/>
      </w:pPr>
      <w:r>
        <w:rPr/>
        <w:t>根据应收款项的会计政策，采用备抵法核算坏账损失。应收账款减值是基于评估应收账</w:t>
      </w:r>
      <w:r>
        <w:rPr>
          <w:spacing w:val="1"/>
        </w:rPr>
        <w:t> </w:t>
      </w:r>
      <w:r>
        <w:rPr/>
        <w:t>款的可收回性。鉴定应收账款减值要求管理层的判断和估计。实际的结果与原先估计的差异</w:t>
      </w:r>
      <w:r>
        <w:rPr>
          <w:spacing w:val="-83"/>
        </w:rPr>
        <w:t> </w:t>
      </w:r>
      <w:r>
        <w:rPr>
          <w:spacing w:val="-83"/>
        </w:rPr>
      </w:r>
      <w:r>
        <w:rPr/>
        <w:t>将在估计被改变的期间影响应收账款的账面价值及应收账款坏账准备的计提或转回。</w:t>
      </w:r>
    </w:p>
    <w:p>
      <w:pPr>
        <w:pStyle w:val="BodyText"/>
        <w:spacing w:line="312" w:lineRule="exact"/>
        <w:ind w:left="633" w:right="99"/>
        <w:jc w:val="left"/>
      </w:pPr>
      <w:r>
        <w:rPr/>
        <w:t>（</w:t>
      </w:r>
      <w:r>
        <w:rPr>
          <w:rFonts w:ascii="Times New Roman" w:hAnsi="Times New Roman" w:cs="Times New Roman" w:eastAsia="Times New Roman" w:hint="default"/>
        </w:rPr>
        <w:t>3</w:t>
      </w:r>
      <w:r>
        <w:rPr/>
        <w:t>）存货跌价准备 根据存货会计政策，按照成本与可变现净值孰低计量，对成本高于可变现净值及陈旧和</w:t>
      </w:r>
    </w:p>
    <w:p>
      <w:pPr>
        <w:pStyle w:val="BodyText"/>
        <w:spacing w:line="312" w:lineRule="exact"/>
        <w:ind w:right="228"/>
        <w:jc w:val="both"/>
      </w:pPr>
      <w:r>
        <w:rPr/>
        <w:t>滞销的存货，计提存货跌价准备。存货减值至可变现净值是基于评估存货的可售性及其可变</w:t>
      </w:r>
      <w:r>
        <w:rPr>
          <w:spacing w:val="-83"/>
        </w:rPr>
        <w:t> </w:t>
      </w:r>
      <w:r>
        <w:rPr>
          <w:spacing w:val="-83"/>
        </w:rPr>
      </w:r>
      <w:r>
        <w:rPr/>
        <w:t>现净值。鉴定存货减值要求管理层在取得确凿证据，并且考虑持有存货的目的、资产负债表</w:t>
      </w:r>
      <w:r>
        <w:rPr>
          <w:spacing w:val="-83"/>
        </w:rPr>
        <w:t> </w:t>
      </w:r>
      <w:r>
        <w:rPr>
          <w:spacing w:val="-83"/>
        </w:rPr>
      </w:r>
      <w:r>
        <w:rPr/>
        <w:t>日后事项的影响等因素的基础上作出判断和估计。实际的结果与原先估计的差异将在估计被</w:t>
      </w:r>
      <w:r>
        <w:rPr>
          <w:spacing w:val="-83"/>
        </w:rPr>
        <w:t> </w:t>
      </w:r>
      <w:r>
        <w:rPr>
          <w:spacing w:val="-83"/>
        </w:rPr>
      </w:r>
      <w:r>
        <w:rPr/>
        <w:t>改变的期间影响存货的账面价值及存货跌价准备的计提或转回。</w:t>
      </w:r>
    </w:p>
    <w:p>
      <w:pPr>
        <w:pStyle w:val="BodyText"/>
        <w:spacing w:line="312" w:lineRule="exact"/>
        <w:ind w:left="633" w:right="99"/>
        <w:jc w:val="left"/>
      </w:pPr>
      <w:r>
        <w:rPr/>
        <w:t>（</w:t>
      </w:r>
      <w:r>
        <w:rPr>
          <w:rFonts w:ascii="Times New Roman" w:hAnsi="Times New Roman" w:cs="Times New Roman" w:eastAsia="Times New Roman" w:hint="default"/>
        </w:rPr>
        <w:t>4</w:t>
      </w:r>
      <w:r>
        <w:rPr/>
        <w:t>）金融工具公允价值 对不存在活跃交易市场的金融工具，通过各种估值方法确定其公允价值。这些估值方法</w:t>
      </w:r>
    </w:p>
    <w:p>
      <w:pPr>
        <w:pStyle w:val="BodyText"/>
        <w:spacing w:line="312" w:lineRule="exact"/>
        <w:ind w:right="228"/>
        <w:jc w:val="both"/>
      </w:pPr>
      <w:r>
        <w:rPr/>
        <w:t>包括贴现现金流模型分析等。估值时需对未来现金流量、信用风险、市场波动率和相关性等</w:t>
      </w:r>
      <w:r>
        <w:rPr>
          <w:spacing w:val="-83"/>
        </w:rPr>
        <w:t> </w:t>
      </w:r>
      <w:r>
        <w:rPr>
          <w:spacing w:val="-83"/>
        </w:rPr>
      </w:r>
      <w:r>
        <w:rPr/>
        <w:t>方面进行估计，并选择适当的折现率。这些相关假设具有不确定性，其变化会对金融工具的</w:t>
      </w:r>
      <w:r>
        <w:rPr>
          <w:spacing w:val="-83"/>
        </w:rPr>
        <w:t> </w:t>
      </w:r>
      <w:r>
        <w:rPr>
          <w:spacing w:val="-83"/>
        </w:rPr>
      </w:r>
      <w:r>
        <w:rPr/>
        <w:t>公允价值产生影响。</w:t>
      </w:r>
    </w:p>
    <w:p>
      <w:pPr>
        <w:pStyle w:val="BodyText"/>
        <w:spacing w:line="312" w:lineRule="exact"/>
        <w:ind w:left="633" w:right="99"/>
        <w:jc w:val="left"/>
      </w:pPr>
      <w:r>
        <w:rPr/>
        <w:t>（</w:t>
      </w:r>
      <w:r>
        <w:rPr>
          <w:rFonts w:ascii="Times New Roman" w:hAnsi="Times New Roman" w:cs="Times New Roman" w:eastAsia="Times New Roman" w:hint="default"/>
        </w:rPr>
        <w:t>5</w:t>
      </w:r>
      <w:r>
        <w:rPr/>
        <w:t>）可供出售金融资产减值 确定可供出售金融资产是否减值在很大程度上依赖于管理层的判断和假设，以确定是否</w:t>
      </w:r>
    </w:p>
    <w:p>
      <w:pPr>
        <w:pStyle w:val="BodyText"/>
        <w:spacing w:line="312" w:lineRule="exact"/>
        <w:ind w:right="228"/>
        <w:jc w:val="both"/>
      </w:pPr>
      <w:r>
        <w:rPr/>
        <w:t>需要在利润表中确认其减值损失。在进行判断和作出假设的过程中，需评估该项投资的公允</w:t>
      </w:r>
      <w:r>
        <w:rPr>
          <w:spacing w:val="-83"/>
        </w:rPr>
        <w:t> </w:t>
      </w:r>
      <w:r>
        <w:rPr>
          <w:spacing w:val="-83"/>
        </w:rPr>
      </w:r>
      <w:r>
        <w:rPr/>
        <w:t>价值低于成本的程度和持续期间，以及被投资对象的财务状况和短期业务展望，包括行业状</w:t>
      </w:r>
      <w:r>
        <w:rPr>
          <w:spacing w:val="-83"/>
        </w:rPr>
        <w:t> </w:t>
      </w:r>
      <w:r>
        <w:rPr>
          <w:spacing w:val="-83"/>
        </w:rPr>
      </w:r>
      <w:r>
        <w:rPr/>
        <w:t>况、技术变革、信用评级、违约率和对手方的风险。</w:t>
      </w:r>
    </w:p>
    <w:p>
      <w:pPr>
        <w:pStyle w:val="BodyText"/>
        <w:spacing w:line="312" w:lineRule="exact"/>
        <w:ind w:left="633" w:right="99"/>
        <w:jc w:val="left"/>
      </w:pPr>
      <w:r>
        <w:rPr/>
        <w:t>（</w:t>
      </w:r>
      <w:r>
        <w:rPr>
          <w:rFonts w:ascii="Times New Roman" w:hAnsi="Times New Roman" w:cs="Times New Roman" w:eastAsia="Times New Roman" w:hint="default"/>
        </w:rPr>
        <w:t>6</w:t>
      </w:r>
      <w:r>
        <w:rPr/>
        <w:t>）非金融非流动资产减值准备 于资产负债表日对除金融资产之外的非流动资产判断是否存在可能发生减值的迹象。对</w:t>
      </w:r>
    </w:p>
    <w:p>
      <w:pPr>
        <w:pStyle w:val="BodyText"/>
        <w:spacing w:line="312" w:lineRule="exact"/>
        <w:ind w:right="228"/>
        <w:jc w:val="both"/>
      </w:pPr>
      <w:r>
        <w:rPr/>
        <w:t>使用寿命不确定的无形资产，除每年进行的减值测试外，当其存在减值迹象时，也进行减值</w:t>
      </w:r>
      <w:r>
        <w:rPr>
          <w:spacing w:val="-83"/>
        </w:rPr>
        <w:t> </w:t>
      </w:r>
      <w:r>
        <w:rPr>
          <w:spacing w:val="-83"/>
        </w:rPr>
      </w:r>
      <w:r>
        <w:rPr/>
        <w:t>测试。其他除金融资产之外的非流动资产，当存在迹象表明其账面金额不可收回时，进行减</w:t>
      </w:r>
      <w:r>
        <w:rPr>
          <w:spacing w:val="-83"/>
        </w:rPr>
        <w:t> </w:t>
      </w:r>
      <w:r>
        <w:rPr>
          <w:spacing w:val="-83"/>
        </w:rPr>
      </w:r>
      <w:r>
        <w:rPr/>
        <w:t>值测试。</w:t>
      </w:r>
    </w:p>
    <w:p>
      <w:pPr>
        <w:pStyle w:val="BodyText"/>
        <w:spacing w:line="312" w:lineRule="exact"/>
        <w:ind w:right="230" w:firstLine="480"/>
        <w:jc w:val="both"/>
      </w:pPr>
      <w:r>
        <w:rPr/>
        <w:t>当资产或资产组的账面价值高于可收回金额，即公允价值减去处置费用后的净额和预计</w:t>
      </w:r>
      <w:r>
        <w:rPr>
          <w:spacing w:val="1"/>
        </w:rPr>
        <w:t> </w:t>
      </w:r>
      <w:r>
        <w:rPr/>
        <w:t>未来现金流量的现值中的较高者，表明发生了减值。</w:t>
      </w:r>
    </w:p>
    <w:p>
      <w:pPr>
        <w:pStyle w:val="BodyText"/>
        <w:spacing w:line="312" w:lineRule="exact"/>
        <w:ind w:right="230" w:firstLine="480"/>
        <w:jc w:val="both"/>
      </w:pPr>
      <w:r>
        <w:rPr/>
        <w:t>公允价值减去处置费用后的净额，参考公平交易中类似资产的销售协议价格或可观察到</w:t>
      </w:r>
      <w:r>
        <w:rPr>
          <w:spacing w:val="1"/>
        </w:rPr>
        <w:t> </w:t>
      </w:r>
      <w:r>
        <w:rPr/>
        <w:t>的市场价格，减去可直接归属于该资产处置的增量成本确定。</w:t>
      </w:r>
    </w:p>
    <w:p>
      <w:pPr>
        <w:pStyle w:val="BodyText"/>
        <w:spacing w:line="312" w:lineRule="exact"/>
        <w:ind w:right="228" w:firstLine="480"/>
        <w:jc w:val="both"/>
      </w:pPr>
      <w:r>
        <w:rPr/>
        <w:t>在预计未来现金流量现值时，需要对该资产（或资产组）的产量、售价、相关经营成本</w:t>
      </w:r>
      <w:r>
        <w:rPr>
          <w:spacing w:val="1"/>
        </w:rPr>
        <w:t> </w:t>
      </w:r>
      <w:r>
        <w:rPr/>
        <w:t>以及计算现值时使用的折现率等作出重大判断。在估计可收回金额时会采用所有能够获得的</w:t>
      </w:r>
      <w:r>
        <w:rPr>
          <w:spacing w:val="-83"/>
        </w:rPr>
        <w:t> </w:t>
      </w:r>
      <w:r>
        <w:rPr>
          <w:spacing w:val="-83"/>
        </w:rPr>
      </w:r>
      <w:r>
        <w:rPr/>
        <w:t>相关资料，包括根据合理和可支持的假设所作出有关产量、售价和相关经营成本的预测。</w:t>
      </w:r>
    </w:p>
    <w:p>
      <w:pPr>
        <w:pStyle w:val="BodyText"/>
        <w:spacing w:line="312" w:lineRule="exact"/>
        <w:ind w:left="634" w:right="99"/>
        <w:jc w:val="left"/>
      </w:pPr>
      <w:r>
        <w:rPr/>
        <w:t>（</w:t>
      </w:r>
      <w:r>
        <w:rPr>
          <w:rFonts w:ascii="Times New Roman" w:hAnsi="Times New Roman" w:cs="Times New Roman" w:eastAsia="Times New Roman" w:hint="default"/>
        </w:rPr>
        <w:t>7</w:t>
      </w:r>
      <w:r>
        <w:rPr/>
        <w:t>）折旧和摊销 本公司对投资性房地产、固定资产和无形资产在考虑其残值后，在使用寿命内按直线法</w:t>
      </w:r>
    </w:p>
    <w:p>
      <w:pPr>
        <w:pStyle w:val="BodyText"/>
        <w:spacing w:line="312" w:lineRule="exact"/>
        <w:ind w:left="154" w:right="228"/>
        <w:jc w:val="both"/>
      </w:pPr>
      <w:r>
        <w:rPr/>
        <w:t>计提折旧和摊销。本公司定期复核使用寿命，以决定将计入每个报告期的折旧和摊销费用数</w:t>
      </w:r>
      <w:r>
        <w:rPr>
          <w:spacing w:val="-83"/>
        </w:rPr>
        <w:t> </w:t>
      </w:r>
      <w:r>
        <w:rPr>
          <w:spacing w:val="-83"/>
        </w:rPr>
      </w:r>
      <w:r>
        <w:rPr/>
        <w:t>额。使用寿命是本公司根据对同类资产的以往经验并结合预期的技术更新而确定的。如果以</w:t>
      </w:r>
      <w:r>
        <w:rPr>
          <w:spacing w:val="-83"/>
        </w:rPr>
        <w:t> </w:t>
      </w:r>
      <w:r>
        <w:rPr>
          <w:spacing w:val="-83"/>
        </w:rPr>
      </w:r>
      <w:r>
        <w:rPr/>
        <w:t>前的估计发生重大变化，则会在未来期间对折旧和摊销费用进行调整。</w:t>
      </w:r>
    </w:p>
    <w:p>
      <w:pPr>
        <w:pStyle w:val="BodyText"/>
        <w:spacing w:line="312" w:lineRule="exact"/>
        <w:ind w:left="634" w:right="99"/>
        <w:jc w:val="left"/>
      </w:pPr>
      <w:r>
        <w:rPr/>
        <w:t>（</w:t>
      </w:r>
      <w:r>
        <w:rPr>
          <w:rFonts w:ascii="Times New Roman" w:hAnsi="Times New Roman" w:cs="Times New Roman" w:eastAsia="Times New Roman" w:hint="default"/>
        </w:rPr>
        <w:t>8</w:t>
      </w:r>
      <w:r>
        <w:rPr/>
        <w:t>）所得税 在正常的经营活动中，有部分交易其最终的税务处理和计算存在一定的不确定性。部分</w:t>
      </w:r>
    </w:p>
    <w:p>
      <w:pPr>
        <w:pStyle w:val="BodyText"/>
        <w:spacing w:line="312" w:lineRule="exact"/>
        <w:ind w:left="154" w:right="92"/>
        <w:jc w:val="left"/>
      </w:pPr>
      <w:r>
        <w:rPr/>
        <w:t>项目是否能够在税前列支需要税收主管机关的审批。如果这些税务事项的最终认定结果同最</w:t>
      </w:r>
      <w:r>
        <w:rPr>
          <w:spacing w:val="-83"/>
        </w:rPr>
        <w:t> </w:t>
      </w:r>
      <w:r>
        <w:rPr>
          <w:spacing w:val="-83"/>
        </w:rPr>
      </w:r>
      <w:r>
        <w:rPr>
          <w:spacing w:val="-2"/>
        </w:rPr>
        <w:t>初估计的金额存在差异，则该差异将对其最终认定期间的当期所得税和递延所得税产生影响。</w:t>
      </w:r>
    </w:p>
    <w:p>
      <w:pPr>
        <w:spacing w:after="0" w:line="312" w:lineRule="exact"/>
        <w:jc w:val="left"/>
        <w:sectPr>
          <w:pgSz w:w="11910" w:h="16840"/>
          <w:pgMar w:header="877" w:footer="982" w:top="1100" w:bottom="1180" w:left="980" w:right="900"/>
        </w:sectPr>
      </w:pPr>
    </w:p>
    <w:p>
      <w:pPr>
        <w:spacing w:line="240" w:lineRule="auto" w:before="10"/>
        <w:rPr>
          <w:rFonts w:ascii="宋体" w:hAnsi="宋体" w:cs="宋体" w:eastAsia="宋体" w:hint="default"/>
          <w:sz w:val="20"/>
          <w:szCs w:val="20"/>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、重要会计政策和会计估计变更</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）重要会计估计变更</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line="487" w:lineRule="auto" w:before="0"/>
        <w:ind w:left="154" w:right="798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60" w:type="dxa"/>
        <w:tblLayout w:type="fixed"/>
        <w:tblCellMar>
          <w:top w:w="0" w:type="dxa"/>
          <w:left w:w="0" w:type="dxa"/>
          <w:bottom w:w="0" w:type="dxa"/>
          <w:right w:w="0" w:type="dxa"/>
        </w:tblCellMar>
        <w:tblLook w:val="01E0"/>
      </w:tblPr>
      <w:tblGrid>
        <w:gridCol w:w="3178"/>
        <w:gridCol w:w="3190"/>
        <w:gridCol w:w="3179"/>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4" w:hRule="exact"/>
        </w:trPr>
        <w:tc>
          <w:tcPr>
            <w:tcW w:w="3178" w:type="dxa"/>
            <w:tcBorders>
              <w:top w:val="single" w:sz="4" w:space="0" w:color="000000"/>
              <w:left w:val="single" w:sz="4" w:space="0" w:color="000000"/>
              <w:bottom w:val="nil" w:sz="6" w:space="0" w:color="auto"/>
              <w:right w:val="single" w:sz="4" w:space="0" w:color="000000"/>
            </w:tcBorders>
            <w:shd w:val="clear" w:color="auto" w:fill="D3D3D3"/>
          </w:tcPr>
          <w:p>
            <w:pPr/>
          </w:p>
        </w:tc>
        <w:tc>
          <w:tcPr>
            <w:tcW w:w="3190" w:type="dxa"/>
            <w:tcBorders>
              <w:top w:val="single" w:sz="4" w:space="0" w:color="000000"/>
              <w:left w:val="single" w:sz="4" w:space="0" w:color="000000"/>
              <w:bottom w:val="nil" w:sz="6" w:space="0" w:color="auto"/>
              <w:right w:val="single" w:sz="4" w:space="0" w:color="000000"/>
            </w:tcBorders>
            <w:shd w:val="clear" w:color="auto" w:fill="C7EDCC"/>
          </w:tcPr>
          <w:p>
            <w:pPr/>
          </w:p>
        </w:tc>
        <w:tc>
          <w:tcPr>
            <w:tcW w:w="3179" w:type="dxa"/>
            <w:vMerge w:val="restart"/>
            <w:tcBorders>
              <w:top w:val="single" w:sz="4" w:space="0" w:color="000000"/>
              <w:left w:val="single" w:sz="4" w:space="0" w:color="000000"/>
              <w:right w:val="single" w:sz="4" w:space="0" w:color="000000"/>
            </w:tcBorders>
            <w:shd w:val="clear" w:color="auto" w:fill="C7EDCC"/>
          </w:tcPr>
          <w:p>
            <w:pPr>
              <w:pStyle w:val="TableParagraph"/>
              <w:spacing w:line="312" w:lineRule="auto" w:before="52"/>
              <w:ind w:left="23" w:right="39"/>
              <w:jc w:val="both"/>
              <w:rPr>
                <w:rFonts w:ascii="宋体" w:hAnsi="宋体" w:cs="宋体" w:eastAsia="宋体" w:hint="default"/>
                <w:sz w:val="18"/>
                <w:szCs w:val="18"/>
              </w:rPr>
            </w:pPr>
            <w:r>
              <w:rPr>
                <w:rFonts w:ascii="宋体" w:hAnsi="宋体" w:cs="宋体" w:eastAsia="宋体" w:hint="default"/>
                <w:sz w:val="18"/>
                <w:szCs w:val="18"/>
              </w:rPr>
              <w:t>应税收入按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的税率计算 销项税，并按扣除当期允许抵扣的进项 税额后的差额计缴增值税。小规模纳税 人按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的征收率计缴增值税。</w:t>
            </w:r>
          </w:p>
        </w:tc>
      </w:tr>
      <w:tr>
        <w:trPr>
          <w:trHeight w:val="392" w:hRule="exact"/>
        </w:trPr>
        <w:tc>
          <w:tcPr>
            <w:tcW w:w="3178" w:type="dxa"/>
            <w:tcBorders>
              <w:top w:val="nil" w:sz="6" w:space="0" w:color="auto"/>
              <w:left w:val="single" w:sz="4" w:space="0" w:color="000000"/>
              <w:bottom w:val="nil" w:sz="6" w:space="0" w:color="auto"/>
              <w:right w:val="single" w:sz="9" w:space="0" w:color="C7EDCC"/>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nil" w:sz="6" w:space="0" w:color="auto"/>
              <w:left w:val="single" w:sz="13" w:space="0" w:color="D3D3D3"/>
              <w:bottom w:val="nil" w:sz="6" w:space="0" w:color="auto"/>
              <w:right w:val="single" w:sz="4" w:space="0" w:color="000000"/>
            </w:tcBorders>
            <w:shd w:val="clear" w:color="auto" w:fill="C7EDCC"/>
          </w:tcPr>
          <w:p>
            <w:pPr/>
          </w:p>
        </w:tc>
        <w:tc>
          <w:tcPr>
            <w:tcW w:w="3179" w:type="dxa"/>
            <w:vMerge/>
            <w:tcBorders>
              <w:left w:val="single" w:sz="4" w:space="0" w:color="000000"/>
              <w:right w:val="single" w:sz="4" w:space="0" w:color="000000"/>
            </w:tcBorders>
            <w:shd w:val="clear" w:color="auto" w:fill="C7EDCC"/>
          </w:tcPr>
          <w:p>
            <w:pPr/>
          </w:p>
        </w:tc>
      </w:tr>
      <w:tr>
        <w:trPr>
          <w:trHeight w:val="472" w:hRule="exact"/>
        </w:trPr>
        <w:tc>
          <w:tcPr>
            <w:tcW w:w="3178"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0" w:type="dxa"/>
            <w:tcBorders>
              <w:top w:val="nil" w:sz="6" w:space="0" w:color="auto"/>
              <w:left w:val="single" w:sz="4" w:space="0" w:color="000000"/>
              <w:bottom w:val="single" w:sz="4" w:space="0" w:color="000000"/>
              <w:right w:val="single" w:sz="4" w:space="0" w:color="000000"/>
            </w:tcBorders>
            <w:shd w:val="clear" w:color="auto" w:fill="C7EDCC"/>
          </w:tcPr>
          <w:p>
            <w:pPr/>
          </w:p>
        </w:tc>
        <w:tc>
          <w:tcPr>
            <w:tcW w:w="3179" w:type="dxa"/>
            <w:vMerge/>
            <w:tcBorders>
              <w:left w:val="single" w:sz="4" w:space="0" w:color="000000"/>
              <w:bottom w:val="single" w:sz="4" w:space="0" w:color="000000"/>
              <w:right w:val="single" w:sz="4" w:space="0" w:color="000000"/>
            </w:tcBorders>
            <w:shd w:val="clear" w:color="auto" w:fill="C7EDCC"/>
          </w:tcPr>
          <w:p>
            <w:pPr/>
          </w:p>
        </w:tc>
      </w:tr>
      <w:tr>
        <w:trPr>
          <w:trHeight w:val="402" w:hRule="exact"/>
        </w:trPr>
        <w:tc>
          <w:tcPr>
            <w:tcW w:w="3178" w:type="dxa"/>
            <w:tcBorders>
              <w:top w:val="single" w:sz="4" w:space="0" w:color="000000"/>
              <w:left w:val="single" w:sz="4" w:space="0" w:color="000000"/>
              <w:bottom w:val="single" w:sz="4" w:space="0" w:color="000000"/>
              <w:right w:val="single" w:sz="13" w:space="0" w:color="C7EDCC"/>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13" w:space="0" w:color="D3D3D3"/>
              <w:bottom w:val="single" w:sz="4" w:space="0" w:color="000000"/>
              <w:right w:val="single" w:sz="4" w:space="0" w:color="000000"/>
            </w:tcBorders>
            <w:shd w:val="clear" w:color="auto" w:fill="C7EDCC"/>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按应税营业额的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w:t>
            </w:r>
            <w:r>
              <w:rPr>
                <w:rFonts w:ascii="宋体" w:hAnsi="宋体" w:cs="宋体" w:eastAsia="宋体" w:hint="default"/>
                <w:sz w:val="18"/>
                <w:szCs w:val="18"/>
              </w:rPr>
              <w:t>计缴营业税。</w:t>
            </w:r>
          </w:p>
        </w:tc>
      </w:tr>
      <w:tr>
        <w:trPr>
          <w:trHeight w:val="402" w:hRule="exact"/>
        </w:trPr>
        <w:tc>
          <w:tcPr>
            <w:tcW w:w="3178" w:type="dxa"/>
            <w:tcBorders>
              <w:top w:val="single" w:sz="4" w:space="0" w:color="000000"/>
              <w:left w:val="single" w:sz="4" w:space="0" w:color="000000"/>
              <w:bottom w:val="single" w:sz="4" w:space="0" w:color="000000"/>
              <w:right w:val="single" w:sz="13" w:space="0" w:color="C7EDCC"/>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3D3D3"/>
              <w:bottom w:val="single" w:sz="4" w:space="0" w:color="000000"/>
              <w:right w:val="single" w:sz="4" w:space="0" w:color="000000"/>
            </w:tcBorders>
            <w:shd w:val="clear" w:color="auto" w:fill="C7EDCC"/>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按应缴纳的流转税的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计缴。</w:t>
            </w:r>
          </w:p>
        </w:tc>
      </w:tr>
      <w:tr>
        <w:trPr>
          <w:trHeight w:val="402" w:hRule="exact"/>
        </w:trPr>
        <w:tc>
          <w:tcPr>
            <w:tcW w:w="3178" w:type="dxa"/>
            <w:tcBorders>
              <w:top w:val="single" w:sz="4" w:space="0" w:color="000000"/>
              <w:left w:val="single" w:sz="4" w:space="0" w:color="000000"/>
              <w:bottom w:val="single" w:sz="4" w:space="0" w:color="000000"/>
              <w:right w:val="single" w:sz="13" w:space="0" w:color="C7EDCC"/>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3D3D3"/>
              <w:bottom w:val="single" w:sz="4" w:space="0" w:color="000000"/>
              <w:right w:val="single" w:sz="4" w:space="0" w:color="000000"/>
            </w:tcBorders>
            <w:shd w:val="clear" w:color="auto" w:fill="C7EDCC"/>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详见下表。</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按应缴纳的流转税的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计缴。</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按应缴纳的流转税的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计缴。</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按应税营业额的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计缴。</w:t>
            </w:r>
          </w:p>
        </w:tc>
      </w:tr>
      <w:tr>
        <w:trPr>
          <w:trHeight w:val="403" w:hRule="exact"/>
        </w:trPr>
        <w:tc>
          <w:tcPr>
            <w:tcW w:w="31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地方水里建设基金</w:t>
            </w:r>
          </w:p>
        </w:tc>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按销售额、营业额的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计缴。</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浙江都市快报控股有限公司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杭州都健网络科技有限公司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杭州快房传媒有限公司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杭州大快文化创意有限公司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杭州云瞰科技有限公司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杭州都快投资管理有限公司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杭州都市快报教育文化创意有限公司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杭州网络传媒有限公司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快点文化传播（上海）有限公司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12.5%</w:t>
            </w:r>
            <w:r>
              <w:rPr>
                <w:rFonts w:ascii="宋体" w:hAnsi="宋体" w:cs="宋体" w:eastAsia="宋体" w:hint="default"/>
                <w:sz w:val="18"/>
                <w:szCs w:val="18"/>
              </w:rPr>
              <w:t>计缴。</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深圳广和互联信息有限公司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杭州休闲文化传媒有限公司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杭州风景名胜传媒有限公司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杭州房产传媒有限公司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杭州日报品牌策划有限公司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杭州日报华知投资有限公司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杭州中韩德蔓特科技有限公司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杭州富阳日报传媒有限公司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杭州富阳网络传媒有限公司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杭州萧山日报传媒有限公司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杭州萧滨每日送发行有限公司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杭州萧山网络传媒有限公司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浙江风盛传媒有限公司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杭州朗盛传媒有限公司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杭州观盛文化传播有限公司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杭州悦报传媒有限公司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杭州每日传媒有限公司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杭州日报报业集团每日送电子商务有限公司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杭州日报报业集团盛元印务有限公司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杭州盛景科技有限公司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杭州盛友广告设计有限公司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宁波盛发印务有限公司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上海盛元第高数码图文影像有限公司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杭州余杭晨报传媒有限公司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杭州余杭晨报文化创意有限公司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杭州都市周报传媒有限公司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浙江华媒控股股份有限公司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杭州华泰一媒文化传媒有限公司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浙江华媒信息传播有限公司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计缴。</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浙江华媒投资有限公司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、税收优惠</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left="514" w:right="0"/>
        <w:jc w:val="left"/>
      </w:pPr>
      <w:r>
        <w:rPr/>
        <w:t>（</w:t>
      </w:r>
      <w:r>
        <w:rPr>
          <w:rFonts w:ascii="Times New Roman" w:hAnsi="Times New Roman" w:cs="Times New Roman" w:eastAsia="Times New Roman" w:hint="default"/>
        </w:rPr>
        <w:t>1</w:t>
      </w:r>
      <w:r>
        <w:rPr/>
        <w:t>）根据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日国务院办公厅出台的《关于印发文化体制改革中经营性文化事业</w:t>
      </w:r>
    </w:p>
    <w:p>
      <w:pPr>
        <w:spacing w:after="0" w:line="240" w:lineRule="auto"/>
        <w:jc w:val="left"/>
        <w:sectPr>
          <w:pgSz w:w="11910" w:h="16840"/>
          <w:pgMar w:header="877" w:footer="982" w:top="1100" w:bottom="1180" w:left="980" w:right="980"/>
        </w:sectPr>
      </w:pPr>
    </w:p>
    <w:p>
      <w:pPr>
        <w:spacing w:line="240" w:lineRule="auto" w:before="7"/>
        <w:rPr>
          <w:rFonts w:ascii="宋体" w:hAnsi="宋体" w:cs="宋体" w:eastAsia="宋体" w:hint="default"/>
          <w:sz w:val="19"/>
          <w:szCs w:val="19"/>
        </w:rPr>
      </w:pPr>
    </w:p>
    <w:p>
      <w:pPr>
        <w:pStyle w:val="BodyText"/>
        <w:spacing w:line="322" w:lineRule="exact" w:before="26"/>
        <w:ind w:left="154" w:right="0"/>
        <w:jc w:val="both"/>
      </w:pPr>
      <w:r>
        <w:rPr>
          <w:spacing w:val="2"/>
        </w:rPr>
        <w:t>单位转制为企业和进一步支持文化企业发展两个规定的通知》（国办发</w:t>
      </w:r>
      <w:r>
        <w:rPr>
          <w:rFonts w:ascii="Times New Roman" w:hAnsi="Times New Roman" w:cs="Times New Roman" w:eastAsia="Times New Roman" w:hint="default"/>
          <w:spacing w:val="2"/>
        </w:rPr>
        <w:t>[2014]15</w:t>
      </w:r>
      <w:r>
        <w:rPr>
          <w:spacing w:val="2"/>
        </w:rPr>
        <w:t>号），根据</w:t>
      </w:r>
      <w:r>
        <w:rPr/>
      </w:r>
    </w:p>
    <w:p>
      <w:pPr>
        <w:pStyle w:val="BodyText"/>
        <w:spacing w:line="312" w:lineRule="exact" w:before="20"/>
        <w:ind w:right="224"/>
        <w:jc w:val="both"/>
      </w:pPr>
      <w:r>
        <w:rPr/>
        <w:t>《关于继续实施文化体制改革中经营性文化事业单位转制为企业若干税收政策的通知》财税</w:t>
      </w:r>
      <w:r>
        <w:rPr>
          <w:spacing w:val="-83"/>
        </w:rPr>
        <w:t> </w:t>
      </w:r>
      <w:r>
        <w:rPr>
          <w:spacing w:val="-83"/>
        </w:rPr>
      </w:r>
      <w:r>
        <w:rPr>
          <w:rFonts w:ascii="Times New Roman" w:hAnsi="Times New Roman" w:cs="Times New Roman" w:eastAsia="Times New Roman" w:hint="default"/>
          <w:spacing w:val="2"/>
        </w:rPr>
        <w:t>[2014]84</w:t>
      </w:r>
      <w:r>
        <w:rPr>
          <w:spacing w:val="2"/>
        </w:rPr>
        <w:t>号，根据杭州市财政局、杭州市国家税务局、杭州市地方税务局、中共杭州市宣传</w:t>
      </w:r>
      <w:r>
        <w:rPr>
          <w:spacing w:val="-106"/>
        </w:rPr>
        <w:t> </w:t>
      </w:r>
      <w:r>
        <w:rPr>
          <w:spacing w:val="-106"/>
        </w:rPr>
      </w:r>
      <w:r>
        <w:rPr/>
        <w:t>部发布的《关于明确杭州日报传媒有限公司等</w:t>
      </w:r>
      <w:r>
        <w:rPr>
          <w:rFonts w:ascii="Times New Roman" w:hAnsi="Times New Roman" w:cs="Times New Roman" w:eastAsia="Times New Roman" w:hint="default"/>
        </w:rPr>
        <w:t>20</w:t>
      </w:r>
      <w:r>
        <w:rPr/>
        <w:t>家企业可继续享受文化体制改革税收优惠政</w:t>
      </w:r>
      <w:r>
        <w:rPr>
          <w:spacing w:val="-83"/>
        </w:rPr>
        <w:t> </w:t>
      </w:r>
      <w:r>
        <w:rPr>
          <w:spacing w:val="-2"/>
        </w:rPr>
        <w:t>策的通知》市宣通</w:t>
      </w:r>
      <w:r>
        <w:rPr>
          <w:rFonts w:ascii="Times New Roman" w:hAnsi="Times New Roman" w:cs="Times New Roman" w:eastAsia="Times New Roman" w:hint="default"/>
          <w:spacing w:val="-2"/>
        </w:rPr>
        <w:t>[2014]59</w:t>
      </w:r>
      <w:r>
        <w:rPr>
          <w:spacing w:val="-2"/>
        </w:rPr>
        <w:t>号和市宣通</w:t>
      </w:r>
      <w:r>
        <w:rPr>
          <w:rFonts w:ascii="Times New Roman" w:hAnsi="Times New Roman" w:cs="Times New Roman" w:eastAsia="Times New Roman" w:hint="default"/>
          <w:spacing w:val="-2"/>
        </w:rPr>
        <w:t>[2014]85</w:t>
      </w:r>
      <w:r>
        <w:rPr>
          <w:spacing w:val="-2"/>
        </w:rPr>
        <w:t>号文：经营性文化事业单位转制为企业后，免</w:t>
      </w:r>
      <w:r>
        <w:rPr>
          <w:spacing w:val="-83"/>
        </w:rPr>
        <w:t> </w:t>
      </w:r>
      <w:r>
        <w:rPr>
          <w:spacing w:val="-83"/>
        </w:rPr>
      </w:r>
      <w:r>
        <w:rPr>
          <w:spacing w:val="3"/>
        </w:rPr>
        <w:t>征企业所得税；上述政策适用于开展文化体制改革的地区和转制企业；执行期限为</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46"/>
        </w:rPr>
        <w:t> </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pStyle w:val="BodyText"/>
        <w:spacing w:line="312" w:lineRule="exact"/>
        <w:ind w:left="154" w:right="92" w:firstLine="480"/>
        <w:jc w:val="left"/>
      </w:pPr>
      <w:r>
        <w:rPr/>
        <w:t>子公司杭州日报传媒有限公司、浙江都市快报控股有限公司、杭州每日传媒有限公司、</w:t>
      </w:r>
      <w:r>
        <w:rPr>
          <w:spacing w:val="1"/>
        </w:rPr>
        <w:t> </w:t>
      </w:r>
      <w:r>
        <w:rPr/>
        <w:t>杭州网络传媒有限公司、杭州萧山日报传媒有限公司、杭州富阳日报传媒有限公司、杭州城</w:t>
      </w:r>
      <w:r>
        <w:rPr>
          <w:spacing w:val="-83"/>
        </w:rPr>
        <w:t> </w:t>
      </w:r>
      <w:r>
        <w:rPr>
          <w:spacing w:val="-83"/>
        </w:rPr>
      </w:r>
      <w:r>
        <w:rPr/>
        <w:t>乡导报传媒有限公司、杭州日报报业集团每日送电子商务有限公司、杭州日报报业集团盛元</w:t>
      </w:r>
      <w:r>
        <w:rPr>
          <w:spacing w:val="-83"/>
        </w:rPr>
        <w:t> </w:t>
      </w:r>
      <w:r>
        <w:rPr>
          <w:spacing w:val="-83"/>
        </w:rPr>
      </w:r>
      <w:r>
        <w:rPr/>
        <w:t>印务有限公司、杭州都市周报传媒有限公司、杭州休闲文化传媒有限公司、杭州风景名胜传</w:t>
      </w:r>
      <w:r>
        <w:rPr>
          <w:spacing w:val="-83"/>
        </w:rPr>
        <w:t> </w:t>
      </w:r>
      <w:r>
        <w:rPr>
          <w:spacing w:val="-83"/>
        </w:rPr>
      </w:r>
      <w:r>
        <w:rPr>
          <w:spacing w:val="-3"/>
        </w:rPr>
        <w:t>媒有限公司、杭州房产传媒有限公司、浙江风盛传媒有限公司、杭州萧山网络传媒有限公司、</w:t>
      </w:r>
      <w:r>
        <w:rPr>
          <w:spacing w:val="-81"/>
        </w:rPr>
        <w:t> </w:t>
      </w:r>
      <w:r>
        <w:rPr>
          <w:spacing w:val="-81"/>
        </w:rPr>
      </w:r>
      <w:r>
        <w:rPr/>
        <w:t>杭州富阳网络传媒有限公司、杭州萧滨每日送发行有限公司、杭州朗盛传媒有限公司、杭州</w:t>
      </w:r>
      <w:r>
        <w:rPr>
          <w:spacing w:val="-83"/>
        </w:rPr>
        <w:t> </w:t>
      </w:r>
      <w:r>
        <w:rPr>
          <w:spacing w:val="-83"/>
        </w:rPr>
      </w:r>
      <w:r>
        <w:rPr/>
        <w:t>快房传媒有限公司、杭州大快文化创意有限公司、杭州都健网络科技有限公司、杭州日报品</w:t>
      </w:r>
      <w:r>
        <w:rPr>
          <w:spacing w:val="-83"/>
        </w:rPr>
        <w:t> </w:t>
      </w:r>
      <w:r>
        <w:rPr>
          <w:spacing w:val="-83"/>
        </w:rPr>
      </w:r>
      <w:r>
        <w:rPr>
          <w:spacing w:val="-2"/>
        </w:rPr>
        <w:t>牌策划有限公司、杭州盛景科技有限公司、杭州盛友广告设计有限公司均享受上述优惠政策。</w:t>
      </w:r>
    </w:p>
    <w:p>
      <w:pPr>
        <w:pStyle w:val="BodyText"/>
        <w:spacing w:line="312" w:lineRule="exact"/>
        <w:ind w:right="225" w:firstLine="360"/>
        <w:jc w:val="both"/>
      </w:pPr>
      <w:r>
        <w:rPr/>
        <w:t>（</w:t>
      </w:r>
      <w:r>
        <w:rPr>
          <w:rFonts w:ascii="Times New Roman" w:hAnsi="Times New Roman" w:cs="Times New Roman" w:eastAsia="Times New Roman" w:hint="default"/>
        </w:rPr>
        <w:t>2</w:t>
      </w:r>
      <w:r>
        <w:rPr/>
        <w:t>）根据小型微利企业所得税优惠政策，符合条件的小微企业减按</w:t>
      </w:r>
      <w:r>
        <w:rPr>
          <w:rFonts w:ascii="Times New Roman" w:hAnsi="Times New Roman" w:cs="Times New Roman" w:eastAsia="Times New Roman" w:hint="default"/>
        </w:rPr>
        <w:t>20%</w:t>
      </w:r>
      <w:r>
        <w:rPr/>
        <w:t>的税率缴纳企业</w:t>
      </w:r>
      <w:r>
        <w:rPr>
          <w:spacing w:val="2"/>
        </w:rPr>
        <w:t> </w:t>
      </w:r>
      <w:r>
        <w:rPr/>
        <w:t>所得税。自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日，对年应纳税所得额低于</w:t>
      </w:r>
      <w:r>
        <w:rPr>
          <w:rFonts w:ascii="Times New Roman" w:hAnsi="Times New Roman" w:cs="Times New Roman" w:eastAsia="Times New Roman" w:hint="default"/>
        </w:rPr>
        <w:t>20</w:t>
      </w:r>
      <w:r>
        <w:rPr/>
        <w:t>万元（含</w:t>
      </w:r>
      <w:r>
        <w:rPr>
          <w:rFonts w:ascii="Times New Roman" w:hAnsi="Times New Roman" w:cs="Times New Roman" w:eastAsia="Times New Roman" w:hint="default"/>
        </w:rPr>
        <w:t>20</w:t>
      </w:r>
      <w:r>
        <w:rPr/>
        <w:t>万元）</w:t>
      </w:r>
      <w:r>
        <w:rPr>
          <w:spacing w:val="-99"/>
        </w:rPr>
        <w:t> </w:t>
      </w:r>
      <w:r>
        <w:rPr>
          <w:spacing w:val="2"/>
        </w:rPr>
        <w:t>的小微企业，其所得减按</w:t>
      </w:r>
      <w:r>
        <w:rPr>
          <w:rFonts w:ascii="Times New Roman" w:hAnsi="Times New Roman" w:cs="Times New Roman" w:eastAsia="Times New Roman" w:hint="default"/>
          <w:spacing w:val="2"/>
        </w:rPr>
        <w:t>50%</w:t>
      </w:r>
      <w:r>
        <w:rPr>
          <w:spacing w:val="2"/>
        </w:rPr>
        <w:t>计入应纳税所得额，按</w:t>
      </w:r>
      <w:r>
        <w:rPr>
          <w:rFonts w:ascii="Times New Roman" w:hAnsi="Times New Roman" w:cs="Times New Roman" w:eastAsia="Times New Roman" w:hint="default"/>
          <w:spacing w:val="2"/>
        </w:rPr>
        <w:t>20%</w:t>
      </w:r>
      <w:r>
        <w:rPr>
          <w:spacing w:val="2"/>
        </w:rPr>
        <w:t>的税率缴纳企业所得税。自</w:t>
      </w:r>
      <w:r>
        <w:rPr>
          <w:rFonts w:ascii="Times New Roman" w:hAnsi="Times New Roman" w:cs="Times New Roman" w:eastAsia="Times New Roman" w:hint="default"/>
          <w:spacing w:val="2"/>
        </w:rPr>
        <w:t>2015</w:t>
      </w:r>
      <w:r>
        <w:rPr>
          <w:spacing w:val="2"/>
        </w:rPr>
        <w:t>年</w:t>
      </w:r>
      <w:r>
        <w:rPr>
          <w:spacing w:val="-102"/>
        </w:rPr>
        <w:t> </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w:t>
      </w:r>
      <w:r>
        <w:rPr>
          <w:spacing w:val="-2"/>
        </w:rPr>
        <w:t>日起至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日，对年应纳税所得额在</w:t>
      </w:r>
      <w:r>
        <w:rPr>
          <w:rFonts w:ascii="Times New Roman" w:hAnsi="Times New Roman" w:cs="Times New Roman" w:eastAsia="Times New Roman" w:hint="default"/>
          <w:spacing w:val="-2"/>
        </w:rPr>
        <w:t>20</w:t>
      </w:r>
      <w:r>
        <w:rPr>
          <w:spacing w:val="-2"/>
        </w:rPr>
        <w:t>万元到</w:t>
      </w:r>
      <w:r>
        <w:rPr>
          <w:rFonts w:ascii="Times New Roman" w:hAnsi="Times New Roman" w:cs="Times New Roman" w:eastAsia="Times New Roman" w:hint="default"/>
          <w:spacing w:val="-2"/>
        </w:rPr>
        <w:t>30</w:t>
      </w:r>
      <w:r>
        <w:rPr>
          <w:spacing w:val="-2"/>
        </w:rPr>
        <w:t>万元（含</w:t>
      </w:r>
      <w:r>
        <w:rPr>
          <w:rFonts w:ascii="Times New Roman" w:hAnsi="Times New Roman" w:cs="Times New Roman" w:eastAsia="Times New Roman" w:hint="default"/>
          <w:spacing w:val="-2"/>
        </w:rPr>
        <w:t>30</w:t>
      </w:r>
      <w:r>
        <w:rPr>
          <w:spacing w:val="-2"/>
        </w:rPr>
        <w:t>万元）之间的小微</w:t>
      </w:r>
      <w:r>
        <w:rPr>
          <w:spacing w:val="-106"/>
        </w:rPr>
        <w:t> </w:t>
      </w:r>
      <w:r>
        <w:rPr>
          <w:spacing w:val="-106"/>
        </w:rPr>
      </w:r>
      <w:r>
        <w:rPr>
          <w:spacing w:val="2"/>
        </w:rPr>
        <w:t>企业，其所得减按</w:t>
      </w:r>
      <w:r>
        <w:rPr>
          <w:rFonts w:ascii="Times New Roman" w:hAnsi="Times New Roman" w:cs="Times New Roman" w:eastAsia="Times New Roman" w:hint="default"/>
          <w:spacing w:val="2"/>
        </w:rPr>
        <w:t>50%</w:t>
      </w:r>
      <w:r>
        <w:rPr>
          <w:spacing w:val="2"/>
        </w:rPr>
        <w:t>计入应纳税所得额，按</w:t>
      </w:r>
      <w:r>
        <w:rPr>
          <w:rFonts w:ascii="Times New Roman" w:hAnsi="Times New Roman" w:cs="Times New Roman" w:eastAsia="Times New Roman" w:hint="default"/>
          <w:spacing w:val="2"/>
        </w:rPr>
        <w:t>20%</w:t>
      </w:r>
      <w:r>
        <w:rPr>
          <w:spacing w:val="2"/>
        </w:rPr>
        <w:t>的税率缴纳企业所得税。子公司杭州都快</w:t>
      </w:r>
      <w:r>
        <w:rPr>
          <w:spacing w:val="-94"/>
        </w:rPr>
        <w:t> </w:t>
      </w:r>
      <w:r>
        <w:rPr/>
        <w:t>投资管理有限公司、杭州都市快报教育文化创意有限公司、杭州观盛文化传播有限公司、杭</w:t>
      </w:r>
      <w:r>
        <w:rPr>
          <w:spacing w:val="-83"/>
        </w:rPr>
        <w:t> </w:t>
      </w:r>
      <w:r>
        <w:rPr>
          <w:spacing w:val="-83"/>
        </w:rPr>
      </w:r>
      <w:r>
        <w:rPr/>
        <w:t>州悦报传媒有限公司、浙江华媒信息传播有限公司均享受上述优惠政策。</w:t>
      </w:r>
    </w:p>
    <w:p>
      <w:pPr>
        <w:pStyle w:val="BodyText"/>
        <w:spacing w:line="312" w:lineRule="exact"/>
        <w:ind w:right="224" w:firstLine="360"/>
        <w:jc w:val="both"/>
      </w:pPr>
      <w:r>
        <w:rPr/>
        <w:t>（</w:t>
      </w:r>
      <w:r>
        <w:rPr>
          <w:rFonts w:ascii="Times New Roman" w:hAnsi="Times New Roman" w:cs="Times New Roman" w:eastAsia="Times New Roman" w:hint="default"/>
        </w:rPr>
        <w:t>3</w:t>
      </w:r>
      <w:r>
        <w:rPr/>
        <w:t>）根据</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26</w:t>
      </w:r>
      <w:r>
        <w:rPr/>
        <w:t>日国务院出台的《国务院关于经济特区和上海浦东新区新设立高</w:t>
      </w:r>
      <w:r>
        <w:rPr>
          <w:spacing w:val="1"/>
        </w:rPr>
        <w:t> </w:t>
      </w:r>
      <w:r>
        <w:rPr>
          <w:spacing w:val="2"/>
        </w:rPr>
        <w:t>新技术企业实行过渡性税收优惠的通知》（国发</w:t>
      </w:r>
      <w:r>
        <w:rPr>
          <w:rFonts w:ascii="Times New Roman" w:hAnsi="Times New Roman" w:cs="Times New Roman" w:eastAsia="Times New Roman" w:hint="default"/>
          <w:spacing w:val="2"/>
        </w:rPr>
        <w:t>[2007]40</w:t>
      </w:r>
      <w:r>
        <w:rPr>
          <w:spacing w:val="2"/>
        </w:rPr>
        <w:t>号）文：对经济特区和上海浦东新</w:t>
      </w:r>
      <w:r>
        <w:rPr>
          <w:spacing w:val="-104"/>
        </w:rPr>
        <w:t> </w:t>
      </w:r>
      <w:r>
        <w:rPr/>
        <w:t>区内在</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日（含）之后完成登记注册的国家需要重点扶持的高新技术企业（以下简</w:t>
      </w:r>
      <w:r>
        <w:rPr>
          <w:spacing w:val="-84"/>
        </w:rPr>
        <w:t> </w:t>
      </w:r>
      <w:r>
        <w:rPr>
          <w:spacing w:val="-84"/>
        </w:rPr>
      </w:r>
      <w:r>
        <w:rPr/>
        <w:t>称高新技术企业），在经济特区和上海浦东新区内取得的所得，自取得第一笔生产经营收入</w:t>
      </w:r>
      <w:r>
        <w:rPr>
          <w:spacing w:val="-83"/>
        </w:rPr>
        <w:t> </w:t>
      </w:r>
      <w:r>
        <w:rPr>
          <w:spacing w:val="-83"/>
        </w:rPr>
      </w:r>
      <w:r>
        <w:rPr/>
        <w:t>所属纳税年度起，第一年至第二年免征企业所得税，第三年至第五年按照</w:t>
      </w:r>
      <w:r>
        <w:rPr>
          <w:rFonts w:ascii="Times New Roman" w:hAnsi="Times New Roman" w:cs="Times New Roman" w:eastAsia="Times New Roman" w:hint="default"/>
        </w:rPr>
        <w:t>25%</w:t>
      </w:r>
      <w:r>
        <w:rPr/>
        <w:t>的法定税率减</w:t>
      </w:r>
      <w:r>
        <w:rPr>
          <w:spacing w:val="-53"/>
        </w:rPr>
        <w:t> </w:t>
      </w:r>
      <w:r>
        <w:rPr/>
        <w:t>半征收企业所得税。</w:t>
      </w:r>
    </w:p>
    <w:p>
      <w:pPr>
        <w:pStyle w:val="BodyText"/>
        <w:spacing w:line="312" w:lineRule="exact"/>
        <w:ind w:right="225" w:firstLine="480"/>
        <w:jc w:val="both"/>
      </w:pPr>
      <w:r>
        <w:rPr/>
        <w:t>子公司快点文化传播（上海）有限公司属于高新技术企业，自</w:t>
      </w:r>
      <w:r>
        <w:rPr>
          <w:rFonts w:ascii="Times New Roman" w:hAnsi="Times New Roman" w:cs="Times New Roman" w:eastAsia="Times New Roman" w:hint="default"/>
        </w:rPr>
        <w:t>2012</w:t>
      </w:r>
      <w:r>
        <w:rPr/>
        <w:t>年取得第一笔生产经</w:t>
      </w:r>
      <w:r>
        <w:rPr>
          <w:spacing w:val="1"/>
        </w:rPr>
        <w:t> </w:t>
      </w:r>
      <w:r>
        <w:rPr/>
        <w:t>营收入所属纳税年度起，本年度属于第三年，享受按照</w:t>
      </w:r>
      <w:r>
        <w:rPr>
          <w:rFonts w:ascii="Times New Roman" w:hAnsi="Times New Roman" w:cs="Times New Roman" w:eastAsia="Times New Roman" w:hint="default"/>
        </w:rPr>
        <w:t>25%</w:t>
      </w:r>
      <w:r>
        <w:rPr/>
        <w:t>的法定税率减半征收企业所得税</w:t>
      </w:r>
      <w:r>
        <w:rPr>
          <w:spacing w:val="-45"/>
        </w:rPr>
        <w:t> </w:t>
      </w:r>
      <w:r>
        <w:rPr/>
        <w:t>的优惠政策。</w:t>
      </w:r>
    </w:p>
    <w:p>
      <w:pPr>
        <w:pStyle w:val="BodyText"/>
        <w:spacing w:line="312" w:lineRule="exact"/>
        <w:ind w:right="224" w:firstLine="480"/>
        <w:jc w:val="both"/>
      </w:pPr>
      <w:r>
        <w:rPr>
          <w:spacing w:val="-2"/>
        </w:rPr>
        <w:t>（</w:t>
      </w:r>
      <w:r>
        <w:rPr>
          <w:rFonts w:ascii="Times New Roman" w:hAnsi="Times New Roman" w:cs="Times New Roman" w:eastAsia="Times New Roman" w:hint="default"/>
          <w:spacing w:val="-2"/>
        </w:rPr>
        <w:t>4</w:t>
      </w:r>
      <w:r>
        <w:rPr>
          <w:spacing w:val="-2"/>
        </w:rPr>
        <w:t>）根据</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5</w:t>
      </w:r>
      <w:r>
        <w:rPr>
          <w:spacing w:val="-2"/>
        </w:rPr>
        <w:t>日中华人民共和国财政部和国家税务总局出台的《关于广东横琴新</w:t>
      </w:r>
      <w:r>
        <w:rPr/>
        <w:t> 区福建平潭综合实验区深圳前海深港现代服务业合作区企业所得税优惠政策及优惠目录的通</w:t>
      </w:r>
      <w:r>
        <w:rPr>
          <w:spacing w:val="-83"/>
        </w:rPr>
        <w:t> </w:t>
      </w:r>
      <w:r>
        <w:rPr>
          <w:spacing w:val="-83"/>
        </w:rPr>
      </w:r>
      <w:r>
        <w:rPr>
          <w:spacing w:val="2"/>
        </w:rPr>
        <w:t>知》（财税</w:t>
      </w:r>
      <w:r>
        <w:rPr>
          <w:rFonts w:ascii="Times New Roman" w:hAnsi="Times New Roman" w:cs="Times New Roman" w:eastAsia="Times New Roman" w:hint="default"/>
          <w:spacing w:val="2"/>
        </w:rPr>
        <w:t>[2014]26</w:t>
      </w:r>
      <w:r>
        <w:rPr>
          <w:spacing w:val="2"/>
        </w:rPr>
        <w:t>号文）：对设在横琴新区、平潭综合实验区和前海深港现代服务业合作</w:t>
      </w:r>
      <w:r>
        <w:rPr>
          <w:spacing w:val="-107"/>
        </w:rPr>
        <w:t> </w:t>
      </w:r>
      <w:r>
        <w:rPr>
          <w:spacing w:val="-107"/>
        </w:rPr>
      </w:r>
      <w:r>
        <w:rPr/>
        <w:t>区的鼓励类产业企业减按</w:t>
      </w:r>
      <w:r>
        <w:rPr>
          <w:rFonts w:ascii="Times New Roman" w:hAnsi="Times New Roman" w:cs="Times New Roman" w:eastAsia="Times New Roman" w:hint="default"/>
        </w:rPr>
        <w:t>15%</w:t>
      </w:r>
      <w:r>
        <w:rPr/>
        <w:t>的税率征收企业所得税。执行期限为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rFonts w:ascii="Times New Roman" w:hAnsi="Times New Roman" w:cs="Times New Roman" w:eastAsia="Times New Roman" w:hint="default"/>
        </w:rPr>
        <w:t>31</w:t>
      </w:r>
      <w:r>
        <w:rPr/>
        <w:t>日。</w:t>
      </w:r>
    </w:p>
    <w:p>
      <w:pPr>
        <w:pStyle w:val="BodyText"/>
        <w:spacing w:line="312" w:lineRule="exact"/>
        <w:ind w:right="230" w:firstLine="480"/>
        <w:jc w:val="both"/>
      </w:pPr>
      <w:r>
        <w:rPr/>
        <w:t>子公司深圳广和互联信息有限公司属于文化创意产业，且主营业务收入占企业收入总额</w:t>
      </w:r>
      <w:r>
        <w:rPr>
          <w:spacing w:val="1"/>
        </w:rPr>
        <w:t> </w:t>
      </w:r>
      <w:r>
        <w:rPr/>
        <w:t>的</w:t>
      </w:r>
      <w:r>
        <w:rPr>
          <w:rFonts w:ascii="Times New Roman" w:hAnsi="Times New Roman" w:cs="Times New Roman" w:eastAsia="Times New Roman" w:hint="default"/>
        </w:rPr>
        <w:t>70%</w:t>
      </w:r>
      <w:r>
        <w:rPr/>
        <w:t>以上，符合鼓励类产业企业的要求，享受上述优惠政策。</w:t>
      </w:r>
    </w:p>
    <w:p>
      <w:pPr>
        <w:spacing w:after="0" w:line="312" w:lineRule="exact"/>
        <w:jc w:val="both"/>
        <w:sectPr>
          <w:pgSz w:w="11910" w:h="16840"/>
          <w:pgMar w:header="877" w:footer="982" w:top="1100" w:bottom="1180" w:left="980" w:right="900"/>
        </w:sectPr>
      </w:pPr>
    </w:p>
    <w:p>
      <w:pPr>
        <w:spacing w:line="240" w:lineRule="auto" w:before="10"/>
        <w:rPr>
          <w:rFonts w:ascii="宋体" w:hAnsi="宋体" w:cs="宋体" w:eastAsia="宋体" w:hint="default"/>
          <w:sz w:val="20"/>
          <w:szCs w:val="20"/>
        </w:rPr>
      </w:pPr>
    </w:p>
    <w:p>
      <w:pPr>
        <w:spacing w:line="487" w:lineRule="auto" w:before="35"/>
        <w:ind w:left="154" w:right="687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08"/>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865,612.68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859,828.43</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883,394,617.49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434,580,597.02</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34,808,266.05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18,300,394.49</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919,068,496.22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453,740,819.94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12" w:lineRule="exact" w:before="97"/>
        <w:ind w:right="231"/>
        <w:jc w:val="left"/>
      </w:pPr>
      <w:r>
        <w:rPr/>
        <w:t>其他货币资金年末余额中，有</w:t>
      </w:r>
      <w:r>
        <w:rPr>
          <w:rFonts w:ascii="Times New Roman" w:hAnsi="Times New Roman" w:cs="Times New Roman" w:eastAsia="Times New Roman" w:hint="default"/>
        </w:rPr>
        <w:t>32,115,312.10</w:t>
      </w:r>
      <w:r>
        <w:rPr/>
        <w:t>元为本公司向银行申请开具银行承兑汇票和信用 证所存入的保证金存款。</w:t>
      </w:r>
    </w:p>
    <w:p>
      <w:pPr>
        <w:spacing w:line="240" w:lineRule="auto" w:before="7"/>
        <w:rPr>
          <w:rFonts w:ascii="宋体" w:hAnsi="宋体" w:cs="宋体" w:eastAsia="宋体" w:hint="default"/>
          <w:sz w:val="22"/>
          <w:szCs w:val="22"/>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、以公允价值计量且其变动计入当期损益的金融资产</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2" w:type="dxa"/>
            <w:tcBorders>
              <w:top w:val="single" w:sz="4" w:space="0" w:color="000000"/>
              <w:left w:val="single" w:sz="13" w:space="0" w:color="D3D3D3"/>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24,167,267.21</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343"/>
              <w:jc w:val="right"/>
              <w:rPr>
                <w:rFonts w:ascii="宋体" w:hAnsi="宋体" w:cs="宋体" w:eastAsia="宋体" w:hint="default"/>
                <w:sz w:val="18"/>
                <w:szCs w:val="18"/>
              </w:rPr>
            </w:pPr>
            <w:r>
              <w:rPr>
                <w:rFonts w:ascii="宋体" w:hAnsi="宋体" w:cs="宋体" w:eastAsia="宋体" w:hint="default"/>
                <w:sz w:val="18"/>
                <w:szCs w:val="18"/>
              </w:rPr>
              <w:t>其中：债务工具投资</w:t>
            </w:r>
          </w:p>
        </w:tc>
        <w:tc>
          <w:tcPr>
            <w:tcW w:w="3202" w:type="dxa"/>
            <w:tcBorders>
              <w:top w:val="single" w:sz="4" w:space="0" w:color="000000"/>
              <w:left w:val="single" w:sz="13" w:space="0" w:color="D3D3D3"/>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2,800,500.00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343"/>
              <w:jc w:val="right"/>
              <w:rPr>
                <w:rFonts w:ascii="宋体" w:hAnsi="宋体" w:cs="宋体" w:eastAsia="宋体" w:hint="default"/>
                <w:sz w:val="18"/>
                <w:szCs w:val="18"/>
              </w:rPr>
            </w:pPr>
            <w:r>
              <w:rPr>
                <w:rFonts w:ascii="宋体" w:hAnsi="宋体" w:cs="宋体" w:eastAsia="宋体" w:hint="default"/>
                <w:sz w:val="18"/>
                <w:szCs w:val="18"/>
              </w:rPr>
              <w:t>权益工具投资</w:t>
            </w:r>
          </w:p>
        </w:tc>
        <w:tc>
          <w:tcPr>
            <w:tcW w:w="3202" w:type="dxa"/>
            <w:tcBorders>
              <w:top w:val="single" w:sz="4" w:space="0" w:color="000000"/>
              <w:left w:val="single" w:sz="13" w:space="0" w:color="D3D3D3"/>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2,037,502.54</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2" w:type="dxa"/>
            <w:tcBorders>
              <w:top w:val="single" w:sz="4" w:space="0" w:color="000000"/>
              <w:left w:val="single" w:sz="13" w:space="0" w:color="D3D3D3"/>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19,329,264.67</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24,167,267.21</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、衍生金融资产</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）应收票据分类列示</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1,874,941.13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7,277,515.80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220,000.00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2,674,941.13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7,497,515.80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spacing w:before="35"/>
        <w:ind w:left="79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）期末公司已质押的应收票据</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79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）期末公司已背书或贴现且在资产负债表日尚未到期的应收票据</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79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）期末公司因出票人未履约而将其转应收账款的票据</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79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79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8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14" w:type="dxa"/>
        <w:tblLayout w:type="fixed"/>
        <w:tblCellMar>
          <w:top w:w="0" w:type="dxa"/>
          <w:left w:w="0" w:type="dxa"/>
          <w:bottom w:w="0" w:type="dxa"/>
          <w:right w:w="0" w:type="dxa"/>
        </w:tblCellMar>
        <w:tblLook w:val="01E0"/>
      </w:tblPr>
      <w:tblGrid>
        <w:gridCol w:w="1277"/>
        <w:gridCol w:w="1193"/>
        <w:gridCol w:w="701"/>
        <w:gridCol w:w="1091"/>
        <w:gridCol w:w="701"/>
        <w:gridCol w:w="1182"/>
        <w:gridCol w:w="1181"/>
        <w:gridCol w:w="701"/>
        <w:gridCol w:w="1091"/>
        <w:gridCol w:w="701"/>
        <w:gridCol w:w="1181"/>
      </w:tblGrid>
      <w:tr>
        <w:trPr>
          <w:trHeight w:val="402" w:hRule="exact"/>
        </w:trPr>
        <w:tc>
          <w:tcPr>
            <w:tcW w:w="1277" w:type="dxa"/>
            <w:vMerge w:val="restart"/>
            <w:tcBorders>
              <w:top w:val="single" w:sz="4" w:space="0" w:color="000000"/>
              <w:left w:val="single" w:sz="4" w:space="0" w:color="000000"/>
              <w:right w:val="single" w:sz="4" w:space="0" w:color="000000"/>
            </w:tcBorders>
            <w:shd w:val="clear" w:color="auto" w:fill="D3D3D3"/>
          </w:tcPr>
          <w:p>
            <w:pPr/>
          </w:p>
        </w:tc>
        <w:tc>
          <w:tcPr>
            <w:tcW w:w="4867"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85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277" w:type="dxa"/>
            <w:vMerge/>
            <w:tcBorders>
              <w:left w:val="single" w:sz="4" w:space="0" w:color="000000"/>
              <w:bottom w:val="nil" w:sz="6" w:space="0" w:color="auto"/>
              <w:right w:val="single" w:sz="4" w:space="0" w:color="000000"/>
            </w:tcBorders>
            <w:shd w:val="clear" w:color="auto" w:fill="D3D3D3"/>
          </w:tcPr>
          <w:p>
            <w:pPr/>
          </w:p>
        </w:tc>
        <w:tc>
          <w:tcPr>
            <w:tcW w:w="189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9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3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2" w:type="dxa"/>
            <w:vMerge w:val="restart"/>
            <w:tcBorders>
              <w:top w:val="single" w:sz="4" w:space="0" w:color="000000"/>
              <w:left w:val="single" w:sz="4" w:space="0" w:color="000000"/>
              <w:right w:val="single" w:sz="4" w:space="0" w:color="000000"/>
            </w:tcBorders>
            <w:shd w:val="clear" w:color="auto" w:fill="D3D3D3"/>
          </w:tcPr>
          <w:p>
            <w:pPr/>
          </w:p>
        </w:tc>
        <w:tc>
          <w:tcPr>
            <w:tcW w:w="188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7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9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3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1" w:type="dxa"/>
            <w:vMerge w:val="restart"/>
            <w:tcBorders>
              <w:top w:val="single" w:sz="4" w:space="0" w:color="000000"/>
              <w:left w:val="single" w:sz="4" w:space="0" w:color="000000"/>
              <w:right w:val="single" w:sz="4" w:space="0" w:color="000000"/>
            </w:tcBorders>
            <w:shd w:val="clear" w:color="auto" w:fill="D3D3D3"/>
          </w:tcPr>
          <w:p>
            <w:pPr/>
          </w:p>
        </w:tc>
      </w:tr>
      <w:tr>
        <w:trPr>
          <w:trHeight w:val="241" w:hRule="exact"/>
        </w:trPr>
        <w:tc>
          <w:tcPr>
            <w:tcW w:w="127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894" w:type="dxa"/>
            <w:gridSpan w:val="2"/>
            <w:vMerge/>
            <w:tcBorders>
              <w:left w:val="single" w:sz="4" w:space="0" w:color="000000"/>
              <w:bottom w:val="single" w:sz="4" w:space="0" w:color="000000"/>
              <w:right w:val="single" w:sz="4" w:space="0" w:color="000000"/>
            </w:tcBorders>
            <w:shd w:val="clear" w:color="auto" w:fill="D3D3D3"/>
          </w:tcPr>
          <w:p>
            <w:pPr/>
          </w:p>
        </w:tc>
        <w:tc>
          <w:tcPr>
            <w:tcW w:w="1792" w:type="dxa"/>
            <w:gridSpan w:val="2"/>
            <w:vMerge/>
            <w:tcBorders>
              <w:left w:val="single" w:sz="4" w:space="0" w:color="000000"/>
              <w:bottom w:val="single" w:sz="4" w:space="0" w:color="000000"/>
              <w:right w:val="single" w:sz="4" w:space="0" w:color="000000"/>
            </w:tcBorders>
            <w:shd w:val="clear" w:color="auto" w:fill="D3D3D3"/>
          </w:tcPr>
          <w:p>
            <w:pPr/>
          </w:p>
        </w:tc>
        <w:tc>
          <w:tcPr>
            <w:tcW w:w="1182" w:type="dxa"/>
            <w:vMerge/>
            <w:tcBorders>
              <w:left w:val="single" w:sz="4" w:space="0" w:color="000000"/>
              <w:bottom w:val="nil" w:sz="6" w:space="0" w:color="auto"/>
              <w:right w:val="single" w:sz="4" w:space="0" w:color="000000"/>
            </w:tcBorders>
            <w:shd w:val="clear" w:color="auto" w:fill="D3D3D3"/>
          </w:tcPr>
          <w:p>
            <w:pPr/>
          </w:p>
        </w:tc>
        <w:tc>
          <w:tcPr>
            <w:tcW w:w="1882" w:type="dxa"/>
            <w:gridSpan w:val="2"/>
            <w:vMerge/>
            <w:tcBorders>
              <w:left w:val="single" w:sz="4" w:space="0" w:color="000000"/>
              <w:bottom w:val="single" w:sz="4" w:space="0" w:color="000000"/>
              <w:right w:val="single" w:sz="4" w:space="0" w:color="000000"/>
            </w:tcBorders>
            <w:shd w:val="clear" w:color="auto" w:fill="D3D3D3"/>
          </w:tcPr>
          <w:p>
            <w:pPr/>
          </w:p>
        </w:tc>
        <w:tc>
          <w:tcPr>
            <w:tcW w:w="1792" w:type="dxa"/>
            <w:gridSpan w:val="2"/>
            <w:vMerge/>
            <w:tcBorders>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nil" w:sz="6" w:space="0" w:color="auto"/>
              <w:right w:val="single" w:sz="4" w:space="0" w:color="000000"/>
            </w:tcBorders>
            <w:shd w:val="clear" w:color="auto" w:fill="D3D3D3"/>
          </w:tcPr>
          <w:p>
            <w:pPr/>
          </w:p>
        </w:tc>
      </w:tr>
      <w:tr>
        <w:trPr>
          <w:trHeight w:val="160" w:hRule="exact"/>
        </w:trPr>
        <w:tc>
          <w:tcPr>
            <w:tcW w:w="1277" w:type="dxa"/>
            <w:vMerge/>
            <w:tcBorders>
              <w:left w:val="single" w:sz="4" w:space="0" w:color="000000"/>
              <w:bottom w:val="nil" w:sz="6" w:space="0" w:color="auto"/>
              <w:right w:val="single" w:sz="4" w:space="0" w:color="000000"/>
            </w:tcBorders>
            <w:shd w:val="clear" w:color="auto" w:fill="D3D3D3"/>
          </w:tcPr>
          <w:p>
            <w:pPr/>
          </w:p>
        </w:tc>
        <w:tc>
          <w:tcPr>
            <w:tcW w:w="1193" w:type="dxa"/>
            <w:tcBorders>
              <w:top w:val="single" w:sz="4" w:space="0" w:color="000000"/>
              <w:left w:val="single" w:sz="4" w:space="0" w:color="000000"/>
              <w:bottom w:val="nil" w:sz="6" w:space="0" w:color="auto"/>
              <w:right w:val="single" w:sz="4" w:space="0" w:color="000000"/>
            </w:tcBorders>
            <w:shd w:val="clear" w:color="auto" w:fill="D3D3D3"/>
          </w:tcPr>
          <w:p>
            <w:pPr/>
          </w:p>
        </w:tc>
        <w:tc>
          <w:tcPr>
            <w:tcW w:w="701" w:type="dxa"/>
            <w:tcBorders>
              <w:top w:val="single" w:sz="4" w:space="0" w:color="000000"/>
              <w:left w:val="single" w:sz="4" w:space="0" w:color="000000"/>
              <w:bottom w:val="nil" w:sz="6" w:space="0" w:color="auto"/>
              <w:right w:val="single" w:sz="4" w:space="0" w:color="000000"/>
            </w:tcBorders>
            <w:shd w:val="clear" w:color="auto" w:fill="D3D3D3"/>
          </w:tcPr>
          <w:p>
            <w:pPr/>
          </w:p>
        </w:tc>
        <w:tc>
          <w:tcPr>
            <w:tcW w:w="1091" w:type="dxa"/>
            <w:tcBorders>
              <w:top w:val="single" w:sz="4" w:space="0" w:color="000000"/>
              <w:left w:val="single" w:sz="4" w:space="0" w:color="000000"/>
              <w:bottom w:val="nil" w:sz="6" w:space="0" w:color="auto"/>
              <w:right w:val="single" w:sz="4" w:space="0" w:color="000000"/>
            </w:tcBorders>
            <w:shd w:val="clear" w:color="auto" w:fill="D3D3D3"/>
          </w:tcPr>
          <w:p>
            <w:pPr/>
          </w:p>
        </w:tc>
        <w:tc>
          <w:tcPr>
            <w:tcW w:w="70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55" w:right="7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18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22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81" w:type="dxa"/>
            <w:tcBorders>
              <w:top w:val="single" w:sz="4" w:space="0" w:color="000000"/>
              <w:left w:val="single" w:sz="4" w:space="0" w:color="000000"/>
              <w:bottom w:val="nil" w:sz="6" w:space="0" w:color="auto"/>
              <w:right w:val="single" w:sz="4" w:space="0" w:color="000000"/>
            </w:tcBorders>
            <w:shd w:val="clear" w:color="auto" w:fill="D3D3D3"/>
          </w:tcPr>
          <w:p>
            <w:pPr/>
          </w:p>
        </w:tc>
        <w:tc>
          <w:tcPr>
            <w:tcW w:w="701" w:type="dxa"/>
            <w:tcBorders>
              <w:top w:val="single" w:sz="4" w:space="0" w:color="000000"/>
              <w:left w:val="single" w:sz="4" w:space="0" w:color="000000"/>
              <w:bottom w:val="nil" w:sz="6" w:space="0" w:color="auto"/>
              <w:right w:val="single" w:sz="4" w:space="0" w:color="000000"/>
            </w:tcBorders>
            <w:shd w:val="clear" w:color="auto" w:fill="D3D3D3"/>
          </w:tcPr>
          <w:p>
            <w:pPr/>
          </w:p>
        </w:tc>
        <w:tc>
          <w:tcPr>
            <w:tcW w:w="1091" w:type="dxa"/>
            <w:tcBorders>
              <w:top w:val="single" w:sz="4" w:space="0" w:color="000000"/>
              <w:left w:val="single" w:sz="4" w:space="0" w:color="000000"/>
              <w:bottom w:val="nil" w:sz="6" w:space="0" w:color="auto"/>
              <w:right w:val="single" w:sz="4" w:space="0" w:color="000000"/>
            </w:tcBorders>
            <w:shd w:val="clear" w:color="auto" w:fill="D3D3D3"/>
          </w:tcPr>
          <w:p>
            <w:pPr/>
          </w:p>
        </w:tc>
        <w:tc>
          <w:tcPr>
            <w:tcW w:w="70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55" w:right="7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18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22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277" w:type="dxa"/>
            <w:vMerge w:val="restart"/>
            <w:tcBorders>
              <w:top w:val="nil" w:sz="6" w:space="0" w:color="auto"/>
              <w:left w:val="single" w:sz="4" w:space="0" w:color="000000"/>
              <w:right w:val="single" w:sz="4" w:space="0" w:color="000000"/>
            </w:tcBorders>
            <w:shd w:val="clear" w:color="auto" w:fill="D3D3D3"/>
          </w:tcPr>
          <w:p>
            <w:pPr/>
          </w:p>
        </w:tc>
        <w:tc>
          <w:tcPr>
            <w:tcW w:w="119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9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1" w:type="dxa"/>
            <w:vMerge/>
            <w:tcBorders>
              <w:left w:val="single" w:sz="4" w:space="0" w:color="000000"/>
              <w:right w:val="single" w:sz="4" w:space="0" w:color="000000"/>
            </w:tcBorders>
            <w:shd w:val="clear" w:color="auto" w:fill="D3D3D3"/>
          </w:tcPr>
          <w:p>
            <w:pPr/>
          </w:p>
        </w:tc>
        <w:tc>
          <w:tcPr>
            <w:tcW w:w="1182" w:type="dxa"/>
            <w:vMerge/>
            <w:tcBorders>
              <w:left w:val="single" w:sz="4" w:space="0" w:color="000000"/>
              <w:bottom w:val="nil" w:sz="6" w:space="0" w:color="auto"/>
              <w:right w:val="single" w:sz="4" w:space="0" w:color="000000"/>
            </w:tcBorders>
            <w:shd w:val="clear" w:color="auto" w:fill="D3D3D3"/>
          </w:tcPr>
          <w:p>
            <w:pPr/>
          </w:p>
        </w:tc>
        <w:tc>
          <w:tcPr>
            <w:tcW w:w="118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9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1" w:type="dxa"/>
            <w:vMerge/>
            <w:tcBorders>
              <w:left w:val="single" w:sz="4" w:space="0" w:color="000000"/>
              <w:right w:val="single" w:sz="4" w:space="0" w:color="000000"/>
            </w:tcBorders>
            <w:shd w:val="clear" w:color="auto" w:fill="D3D3D3"/>
          </w:tcPr>
          <w:p>
            <w:pPr/>
          </w:p>
        </w:tc>
        <w:tc>
          <w:tcPr>
            <w:tcW w:w="1181" w:type="dxa"/>
            <w:vMerge/>
            <w:tcBorders>
              <w:left w:val="single" w:sz="4" w:space="0" w:color="000000"/>
              <w:bottom w:val="nil" w:sz="6" w:space="0" w:color="auto"/>
              <w:right w:val="single" w:sz="4" w:space="0" w:color="000000"/>
            </w:tcBorders>
            <w:shd w:val="clear" w:color="auto" w:fill="D3D3D3"/>
          </w:tcPr>
          <w:p>
            <w:pPr/>
          </w:p>
        </w:tc>
      </w:tr>
      <w:tr>
        <w:trPr>
          <w:trHeight w:val="200" w:hRule="exact"/>
        </w:trPr>
        <w:tc>
          <w:tcPr>
            <w:tcW w:w="1277" w:type="dxa"/>
            <w:vMerge/>
            <w:tcBorders>
              <w:left w:val="single" w:sz="4" w:space="0" w:color="000000"/>
              <w:right w:val="single" w:sz="4" w:space="0" w:color="000000"/>
            </w:tcBorders>
            <w:shd w:val="clear" w:color="auto" w:fill="D3D3D3"/>
          </w:tcPr>
          <w:p>
            <w:pPr/>
          </w:p>
        </w:tc>
        <w:tc>
          <w:tcPr>
            <w:tcW w:w="1193" w:type="dxa"/>
            <w:vMerge/>
            <w:tcBorders>
              <w:left w:val="single" w:sz="4" w:space="0" w:color="000000"/>
              <w:bottom w:val="nil" w:sz="6" w:space="0" w:color="auto"/>
              <w:right w:val="single" w:sz="4" w:space="0" w:color="000000"/>
            </w:tcBorders>
            <w:shd w:val="clear" w:color="auto" w:fill="D3D3D3"/>
          </w:tcPr>
          <w:p>
            <w:pPr/>
          </w:p>
        </w:tc>
        <w:tc>
          <w:tcPr>
            <w:tcW w:w="701" w:type="dxa"/>
            <w:vMerge/>
            <w:tcBorders>
              <w:left w:val="single" w:sz="4" w:space="0" w:color="000000"/>
              <w:bottom w:val="nil" w:sz="6" w:space="0" w:color="auto"/>
              <w:right w:val="single" w:sz="4" w:space="0" w:color="000000"/>
            </w:tcBorders>
            <w:shd w:val="clear" w:color="auto" w:fill="D3D3D3"/>
          </w:tcPr>
          <w:p>
            <w:pPr/>
          </w:p>
        </w:tc>
        <w:tc>
          <w:tcPr>
            <w:tcW w:w="1091" w:type="dxa"/>
            <w:vMerge/>
            <w:tcBorders>
              <w:left w:val="single" w:sz="4" w:space="0" w:color="000000"/>
              <w:bottom w:val="nil" w:sz="6" w:space="0" w:color="auto"/>
              <w:right w:val="single" w:sz="4" w:space="0" w:color="000000"/>
            </w:tcBorders>
            <w:shd w:val="clear" w:color="auto" w:fill="D3D3D3"/>
          </w:tcPr>
          <w:p>
            <w:pPr/>
          </w:p>
        </w:tc>
        <w:tc>
          <w:tcPr>
            <w:tcW w:w="701" w:type="dxa"/>
            <w:vMerge/>
            <w:tcBorders>
              <w:left w:val="single" w:sz="4" w:space="0" w:color="000000"/>
              <w:right w:val="single" w:sz="4" w:space="0" w:color="000000"/>
            </w:tcBorders>
            <w:shd w:val="clear" w:color="auto" w:fill="D3D3D3"/>
          </w:tcPr>
          <w:p>
            <w:pPr/>
          </w:p>
        </w:tc>
        <w:tc>
          <w:tcPr>
            <w:tcW w:w="1182" w:type="dxa"/>
            <w:vMerge w:val="restart"/>
            <w:tcBorders>
              <w:top w:val="nil" w:sz="6" w:space="0" w:color="auto"/>
              <w:left w:val="single" w:sz="4" w:space="0" w:color="000000"/>
              <w:right w:val="single" w:sz="4" w:space="0" w:color="000000"/>
            </w:tcBorders>
            <w:shd w:val="clear" w:color="auto" w:fill="D3D3D3"/>
          </w:tcPr>
          <w:p>
            <w:pPr/>
          </w:p>
        </w:tc>
        <w:tc>
          <w:tcPr>
            <w:tcW w:w="1181" w:type="dxa"/>
            <w:vMerge/>
            <w:tcBorders>
              <w:left w:val="single" w:sz="4" w:space="0" w:color="000000"/>
              <w:bottom w:val="nil" w:sz="6" w:space="0" w:color="auto"/>
              <w:right w:val="single" w:sz="4" w:space="0" w:color="000000"/>
            </w:tcBorders>
            <w:shd w:val="clear" w:color="auto" w:fill="D3D3D3"/>
          </w:tcPr>
          <w:p>
            <w:pPr/>
          </w:p>
        </w:tc>
        <w:tc>
          <w:tcPr>
            <w:tcW w:w="701" w:type="dxa"/>
            <w:vMerge/>
            <w:tcBorders>
              <w:left w:val="single" w:sz="4" w:space="0" w:color="000000"/>
              <w:bottom w:val="nil" w:sz="6" w:space="0" w:color="auto"/>
              <w:right w:val="single" w:sz="4" w:space="0" w:color="000000"/>
            </w:tcBorders>
            <w:shd w:val="clear" w:color="auto" w:fill="D3D3D3"/>
          </w:tcPr>
          <w:p>
            <w:pPr/>
          </w:p>
        </w:tc>
        <w:tc>
          <w:tcPr>
            <w:tcW w:w="1091" w:type="dxa"/>
            <w:vMerge/>
            <w:tcBorders>
              <w:left w:val="single" w:sz="4" w:space="0" w:color="000000"/>
              <w:bottom w:val="nil" w:sz="6" w:space="0" w:color="auto"/>
              <w:right w:val="single" w:sz="4" w:space="0" w:color="000000"/>
            </w:tcBorders>
            <w:shd w:val="clear" w:color="auto" w:fill="D3D3D3"/>
          </w:tcPr>
          <w:p>
            <w:pPr/>
          </w:p>
        </w:tc>
        <w:tc>
          <w:tcPr>
            <w:tcW w:w="701" w:type="dxa"/>
            <w:vMerge/>
            <w:tcBorders>
              <w:left w:val="single" w:sz="4" w:space="0" w:color="000000"/>
              <w:right w:val="single" w:sz="4" w:space="0" w:color="000000"/>
            </w:tcBorders>
            <w:shd w:val="clear" w:color="auto" w:fill="D3D3D3"/>
          </w:tcPr>
          <w:p>
            <w:pPr/>
          </w:p>
        </w:tc>
        <w:tc>
          <w:tcPr>
            <w:tcW w:w="1181" w:type="dxa"/>
            <w:vMerge w:val="restart"/>
            <w:tcBorders>
              <w:top w:val="nil" w:sz="6" w:space="0" w:color="auto"/>
              <w:left w:val="single" w:sz="4" w:space="0" w:color="000000"/>
              <w:right w:val="single" w:sz="4" w:space="0" w:color="000000"/>
            </w:tcBorders>
            <w:shd w:val="clear" w:color="auto" w:fill="D3D3D3"/>
          </w:tcPr>
          <w:p>
            <w:pPr/>
          </w:p>
        </w:tc>
      </w:tr>
      <w:tr>
        <w:trPr>
          <w:trHeight w:val="162" w:hRule="exact"/>
        </w:trPr>
        <w:tc>
          <w:tcPr>
            <w:tcW w:w="1277" w:type="dxa"/>
            <w:vMerge/>
            <w:tcBorders>
              <w:left w:val="single" w:sz="4" w:space="0" w:color="000000"/>
              <w:bottom w:val="single" w:sz="4" w:space="0" w:color="000000"/>
              <w:right w:val="single" w:sz="4" w:space="0" w:color="000000"/>
            </w:tcBorders>
            <w:shd w:val="clear" w:color="auto" w:fill="D3D3D3"/>
          </w:tcPr>
          <w:p>
            <w:pPr/>
          </w:p>
        </w:tc>
        <w:tc>
          <w:tcPr>
            <w:tcW w:w="1193" w:type="dxa"/>
            <w:tcBorders>
              <w:top w:val="nil" w:sz="6" w:space="0" w:color="auto"/>
              <w:left w:val="single" w:sz="4" w:space="0" w:color="000000"/>
              <w:bottom w:val="single" w:sz="4" w:space="0" w:color="000000"/>
              <w:right w:val="single" w:sz="4" w:space="0" w:color="000000"/>
            </w:tcBorders>
            <w:shd w:val="clear" w:color="auto" w:fill="D3D3D3"/>
          </w:tcPr>
          <w:p>
            <w:pPr/>
          </w:p>
        </w:tc>
        <w:tc>
          <w:tcPr>
            <w:tcW w:w="701" w:type="dxa"/>
            <w:tcBorders>
              <w:top w:val="nil" w:sz="6" w:space="0" w:color="auto"/>
              <w:left w:val="single" w:sz="4" w:space="0" w:color="000000"/>
              <w:bottom w:val="single" w:sz="4" w:space="0" w:color="000000"/>
              <w:right w:val="single" w:sz="4" w:space="0" w:color="000000"/>
            </w:tcBorders>
            <w:shd w:val="clear" w:color="auto" w:fill="D3D3D3"/>
          </w:tcPr>
          <w:p>
            <w:pPr/>
          </w:p>
        </w:tc>
        <w:tc>
          <w:tcPr>
            <w:tcW w:w="1091" w:type="dxa"/>
            <w:tcBorders>
              <w:top w:val="nil" w:sz="6" w:space="0" w:color="auto"/>
              <w:left w:val="single" w:sz="4" w:space="0" w:color="000000"/>
              <w:bottom w:val="single" w:sz="4" w:space="0" w:color="000000"/>
              <w:right w:val="single" w:sz="4" w:space="0" w:color="000000"/>
            </w:tcBorders>
            <w:shd w:val="clear" w:color="auto" w:fill="D3D3D3"/>
          </w:tcPr>
          <w:p>
            <w:pPr/>
          </w:p>
        </w:tc>
        <w:tc>
          <w:tcPr>
            <w:tcW w:w="701" w:type="dxa"/>
            <w:vMerge/>
            <w:tcBorders>
              <w:left w:val="single" w:sz="4" w:space="0" w:color="000000"/>
              <w:bottom w:val="single" w:sz="4" w:space="0" w:color="000000"/>
              <w:right w:val="single" w:sz="4" w:space="0" w:color="000000"/>
            </w:tcBorders>
            <w:shd w:val="clear" w:color="auto" w:fill="D3D3D3"/>
          </w:tcPr>
          <w:p>
            <w:pPr/>
          </w:p>
        </w:tc>
        <w:tc>
          <w:tcPr>
            <w:tcW w:w="1182" w:type="dxa"/>
            <w:vMerge/>
            <w:tcBorders>
              <w:left w:val="single" w:sz="4" w:space="0" w:color="000000"/>
              <w:bottom w:val="single" w:sz="4" w:space="0" w:color="000000"/>
              <w:right w:val="single" w:sz="4" w:space="0" w:color="000000"/>
            </w:tcBorders>
            <w:shd w:val="clear" w:color="auto" w:fill="D3D3D3"/>
          </w:tcPr>
          <w:p>
            <w:pPr/>
          </w:p>
        </w:tc>
        <w:tc>
          <w:tcPr>
            <w:tcW w:w="1181" w:type="dxa"/>
            <w:tcBorders>
              <w:top w:val="nil" w:sz="6" w:space="0" w:color="auto"/>
              <w:left w:val="single" w:sz="4" w:space="0" w:color="000000"/>
              <w:bottom w:val="single" w:sz="4" w:space="0" w:color="000000"/>
              <w:right w:val="single" w:sz="4" w:space="0" w:color="000000"/>
            </w:tcBorders>
            <w:shd w:val="clear" w:color="auto" w:fill="D3D3D3"/>
          </w:tcPr>
          <w:p>
            <w:pPr/>
          </w:p>
        </w:tc>
        <w:tc>
          <w:tcPr>
            <w:tcW w:w="701" w:type="dxa"/>
            <w:tcBorders>
              <w:top w:val="nil" w:sz="6" w:space="0" w:color="auto"/>
              <w:left w:val="single" w:sz="4" w:space="0" w:color="000000"/>
              <w:bottom w:val="single" w:sz="4" w:space="0" w:color="000000"/>
              <w:right w:val="single" w:sz="4" w:space="0" w:color="000000"/>
            </w:tcBorders>
            <w:shd w:val="clear" w:color="auto" w:fill="D3D3D3"/>
          </w:tcPr>
          <w:p>
            <w:pPr/>
          </w:p>
        </w:tc>
        <w:tc>
          <w:tcPr>
            <w:tcW w:w="1091" w:type="dxa"/>
            <w:tcBorders>
              <w:top w:val="nil" w:sz="6" w:space="0" w:color="auto"/>
              <w:left w:val="single" w:sz="4" w:space="0" w:color="000000"/>
              <w:bottom w:val="single" w:sz="4" w:space="0" w:color="000000"/>
              <w:right w:val="single" w:sz="4" w:space="0" w:color="000000"/>
            </w:tcBorders>
            <w:shd w:val="clear" w:color="auto" w:fill="D3D3D3"/>
          </w:tcPr>
          <w:p>
            <w:pPr/>
          </w:p>
        </w:tc>
        <w:tc>
          <w:tcPr>
            <w:tcW w:w="701" w:type="dxa"/>
            <w:vMerge/>
            <w:tcBorders>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r>
      <w:tr>
        <w:trPr>
          <w:trHeight w:val="1338" w:hRule="exact"/>
        </w:trPr>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73"/>
              <w:jc w:val="both"/>
              <w:rPr>
                <w:rFonts w:ascii="宋体" w:hAnsi="宋体" w:cs="宋体" w:eastAsia="宋体" w:hint="default"/>
                <w:sz w:val="18"/>
                <w:szCs w:val="18"/>
              </w:rPr>
            </w:pPr>
            <w:r>
              <w:rPr>
                <w:rFonts w:ascii="宋体" w:hAnsi="宋体" w:cs="宋体" w:eastAsia="宋体" w:hint="default"/>
                <w:sz w:val="18"/>
                <w:szCs w:val="18"/>
              </w:rPr>
              <w:t>按信用风险特 征组合计提坏 账准备的应收 账款</w:t>
            </w:r>
          </w:p>
        </w:tc>
        <w:tc>
          <w:tcPr>
            <w:tcW w:w="1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500,436,206.80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99.86%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25,963,818.62</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5.19%</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474,472,388.18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407,110,439.19</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99.99%</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18,593,676.68</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388,516,762.51</w:t>
            </w:r>
          </w:p>
        </w:tc>
      </w:tr>
      <w:tr>
        <w:trPr>
          <w:trHeight w:val="1338" w:hRule="exact"/>
        </w:trPr>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73"/>
              <w:jc w:val="both"/>
              <w:rPr>
                <w:rFonts w:ascii="宋体" w:hAnsi="宋体" w:cs="宋体" w:eastAsia="宋体" w:hint="default"/>
                <w:sz w:val="18"/>
                <w:szCs w:val="18"/>
              </w:rPr>
            </w:pPr>
            <w:r>
              <w:rPr>
                <w:rFonts w:ascii="宋体" w:hAnsi="宋体" w:cs="宋体" w:eastAsia="宋体" w:hint="default"/>
                <w:sz w:val="18"/>
                <w:szCs w:val="18"/>
              </w:rPr>
              <w:t>单项金额不重 大但单独计提 坏账准备的应 收账款</w:t>
            </w:r>
          </w:p>
        </w:tc>
        <w:tc>
          <w:tcPr>
            <w:tcW w:w="1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702,563.70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0.14%</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702,563.70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1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501,138,770.50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26,666,382.32</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5.32%</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474,472,388.18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407,165,439.19</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18,648,676.68</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388,516,762.51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340" w:right="320"/>
        </w:sectPr>
      </w:pPr>
    </w:p>
    <w:p>
      <w:pPr>
        <w:spacing w:before="51"/>
        <w:ind w:left="79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79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2"/>
        <w:ind w:left="79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79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340" w:right="320"/>
          <w:cols w:num="2" w:equalWidth="0">
            <w:col w:w="4935" w:space="3894"/>
            <w:col w:w="2421"/>
          </w:cols>
        </w:sectPr>
      </w:pPr>
    </w:p>
    <w:p>
      <w:pPr>
        <w:spacing w:line="240" w:lineRule="auto" w:before="13"/>
        <w:rPr>
          <w:rFonts w:ascii="宋体" w:hAnsi="宋体" w:cs="宋体" w:eastAsia="宋体" w:hint="default"/>
          <w:sz w:val="7"/>
          <w:szCs w:val="7"/>
        </w:rPr>
      </w:pPr>
    </w:p>
    <w:tbl>
      <w:tblPr>
        <w:tblW w:w="0" w:type="auto"/>
        <w:jc w:val="left"/>
        <w:tblInd w:w="789" w:type="dxa"/>
        <w:tblLayout w:type="fixed"/>
        <w:tblCellMar>
          <w:top w:w="0" w:type="dxa"/>
          <w:left w:w="0" w:type="dxa"/>
          <w:bottom w:w="0" w:type="dxa"/>
          <w:right w:w="0" w:type="dxa"/>
        </w:tblCellMar>
        <w:tblLook w:val="01E0"/>
      </w:tblPr>
      <w:tblGrid>
        <w:gridCol w:w="2386"/>
        <w:gridCol w:w="2399"/>
        <w:gridCol w:w="2392"/>
        <w:gridCol w:w="2392"/>
      </w:tblGrid>
      <w:tr>
        <w:trPr>
          <w:trHeight w:val="402" w:hRule="exact"/>
        </w:trPr>
        <w:tc>
          <w:tcPr>
            <w:tcW w:w="23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86" w:type="dxa"/>
            <w:vMerge/>
            <w:tcBorders>
              <w:left w:val="single" w:sz="4" w:space="0" w:color="000000"/>
              <w:bottom w:val="single" w:sz="4" w:space="0" w:color="000000"/>
              <w:right w:val="single" w:sz="4" w:space="0" w:color="000000"/>
            </w:tcBorders>
            <w:shd w:val="clear" w:color="auto" w:fill="D3D3D3"/>
          </w:tcPr>
          <w:p>
            <w:pPr/>
          </w:p>
        </w:tc>
        <w:tc>
          <w:tcPr>
            <w:tcW w:w="23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r>
              <w:rPr>
                <w:rFonts w:ascii="Times New Roman" w:hAnsi="Times New Roman" w:cs="Times New Roman" w:eastAsia="Times New Roman" w:hint="default"/>
                <w:sz w:val="18"/>
                <w:szCs w:val="18"/>
              </w:rPr>
              <w:t>]</w:t>
            </w:r>
          </w:p>
        </w:tc>
        <w:tc>
          <w:tcPr>
            <w:tcW w:w="2399"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291,003,744.78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9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w:t>
            </w:r>
          </w:p>
        </w:tc>
        <w:tc>
          <w:tcPr>
            <w:tcW w:w="2399"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40,725,045.48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2,036,252.27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331,728,790.26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2,036,252.27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0.61%</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55,567,943.04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5,556,794.30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28,520,850.72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5,704,170.14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17,936,430.74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12,666,601.90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70.62%</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8,247,428.19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4,123,714.10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340" w:right="32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80"/>
        <w:gridCol w:w="2404"/>
        <w:gridCol w:w="2392"/>
        <w:gridCol w:w="2392"/>
      </w:tblGrid>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5,730,573.75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4,584,459.00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3,958,428.80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3,958,428.80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433,754,014.76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25,963,818.62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5.99%</w:t>
            </w:r>
          </w:p>
        </w:tc>
      </w:tr>
    </w:tbl>
    <w:p>
      <w:pPr>
        <w:spacing w:line="357" w:lineRule="auto" w:before="51"/>
        <w:ind w:left="538" w:right="206" w:hanging="384"/>
        <w:jc w:val="left"/>
        <w:rPr>
          <w:rFonts w:ascii="宋体" w:hAnsi="宋体" w:cs="宋体" w:eastAsia="宋体" w:hint="default"/>
          <w:sz w:val="18"/>
          <w:szCs w:val="18"/>
        </w:rPr>
      </w:pPr>
      <w:r>
        <w:rPr>
          <w:rFonts w:ascii="宋体" w:hAnsi="宋体" w:cs="宋体" w:eastAsia="宋体" w:hint="default"/>
          <w:sz w:val="18"/>
          <w:szCs w:val="18"/>
        </w:rPr>
        <w:t>确定该组合依据的说明： 已单独计提减值准备的应收账款除外，公司根据以前年度与之相同或相类似的、按账龄段划分的具有类似信用风险特</w:t>
      </w:r>
    </w:p>
    <w:p>
      <w:pPr>
        <w:spacing w:line="224"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征的应收账款组合的实际损失率为基础，结合现时情况分析法确定坏账准备计提的比例。</w:t>
      </w:r>
    </w:p>
    <w:p>
      <w:pPr>
        <w:spacing w:before="117"/>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38" w:lineRule="auto" w:before="117"/>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1"/>
        <w:rPr>
          <w:rFonts w:ascii="宋体" w:hAnsi="宋体" w:cs="宋体" w:eastAsia="宋体" w:hint="default"/>
          <w:sz w:val="21"/>
          <w:szCs w:val="21"/>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line="338" w:lineRule="auto" w:before="0"/>
        <w:ind w:left="154" w:right="3474"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8,017,705.64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其中本期坏账准备收回或转回金额重要的：无</w:t>
      </w:r>
    </w:p>
    <w:p>
      <w:pPr>
        <w:spacing w:line="240" w:lineRule="auto" w:before="2"/>
        <w:rPr>
          <w:rFonts w:ascii="宋体" w:hAnsi="宋体" w:cs="宋体" w:eastAsia="宋体" w:hint="default"/>
          <w:sz w:val="21"/>
          <w:szCs w:val="21"/>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31,120.75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杭州青贝品牌策划 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19,800.00</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总经理批准</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杭州欣华置业有限 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11,320.75</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总经理批准</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31,120.75</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pStyle w:val="BodyText"/>
        <w:spacing w:line="312" w:lineRule="exact"/>
        <w:ind w:left="154" w:right="506" w:firstLine="480"/>
        <w:jc w:val="both"/>
      </w:pPr>
      <w:r>
        <w:rPr/>
        <w:t>本公司本年按欠款方归集的年末余额前五名应收账款汇总金额为</w:t>
      </w:r>
      <w:r>
        <w:rPr>
          <w:rFonts w:ascii="Times New Roman" w:hAnsi="Times New Roman" w:cs="Times New Roman" w:eastAsia="Times New Roman" w:hint="default"/>
        </w:rPr>
        <w:t>100,163,267.49</w:t>
      </w:r>
      <w:r>
        <w:rPr/>
        <w:t>元，</w:t>
      </w:r>
      <w:r>
        <w:rPr>
          <w:spacing w:val="2"/>
        </w:rPr>
        <w:t> </w:t>
      </w:r>
      <w:r>
        <w:rPr>
          <w:spacing w:val="3"/>
        </w:rPr>
        <w:t>占应收账款年末余额合计数的比例为</w:t>
      </w:r>
      <w:r>
        <w:rPr>
          <w:rFonts w:ascii="Times New Roman" w:hAnsi="Times New Roman" w:cs="Times New Roman" w:eastAsia="Times New Roman" w:hint="default"/>
          <w:spacing w:val="3"/>
        </w:rPr>
        <w:t>19.99%</w:t>
      </w:r>
      <w:r>
        <w:rPr>
          <w:spacing w:val="3"/>
        </w:rPr>
        <w:t>，相应计提的坏账准备年末余额汇总金额为 </w:t>
      </w:r>
      <w:r>
        <w:rPr>
          <w:rFonts w:ascii="Times New Roman" w:hAnsi="Times New Roman" w:cs="Times New Roman" w:eastAsia="Times New Roman" w:hint="default"/>
        </w:rPr>
        <w:t>1,706,631.27</w:t>
      </w:r>
      <w:r>
        <w:rPr/>
        <w:t>元。</w:t>
      </w:r>
    </w:p>
    <w:p>
      <w:pPr>
        <w:spacing w:after="0" w:line="312" w:lineRule="exact"/>
        <w:jc w:val="both"/>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5" w:hRule="exact"/>
        </w:trPr>
        <w:tc>
          <w:tcPr>
            <w:tcW w:w="1889" w:type="dxa"/>
            <w:tcBorders>
              <w:top w:val="single" w:sz="4" w:space="0" w:color="000000"/>
              <w:left w:val="single" w:sz="4" w:space="0" w:color="000000"/>
              <w:bottom w:val="nil" w:sz="6" w:space="0" w:color="auto"/>
              <w:right w:val="single" w:sz="4" w:space="0" w:color="000000"/>
            </w:tcBorders>
            <w:shd w:val="clear" w:color="auto" w:fill="D3D3D3"/>
          </w:tcPr>
          <w:p>
            <w:pPr/>
          </w:p>
        </w:tc>
        <w:tc>
          <w:tcPr>
            <w:tcW w:w="384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7" w:hRule="exact"/>
        </w:trPr>
        <w:tc>
          <w:tcPr>
            <w:tcW w:w="188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3D3D3"/>
          </w:tcPr>
          <w:p>
            <w:pPr/>
          </w:p>
        </w:tc>
        <w:tc>
          <w:tcPr>
            <w:tcW w:w="3829"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3D3D3"/>
          </w:tcPr>
          <w:p>
            <w:pPr/>
          </w:p>
        </w:tc>
        <w:tc>
          <w:tcPr>
            <w:tcW w:w="19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3D3D3"/>
          </w:tcPr>
          <w:p>
            <w:pPr/>
          </w:p>
        </w:tc>
        <w:tc>
          <w:tcPr>
            <w:tcW w:w="1927"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11,943,329.40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9,164,212.45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98.50%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89,528.02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114,808.00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15,108.00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9" w:space="0" w:color="D3D3D3"/>
              <w:bottom w:val="single" w:sz="4" w:space="0" w:color="000000"/>
              <w:right w:val="single" w:sz="9"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12,067,965.42</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9,304,020.45</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0" w:firstLine="480"/>
        <w:jc w:val="left"/>
      </w:pPr>
      <w:r>
        <w:rPr/>
        <w:t>本公司按预付对象归集的年末余额前五名预付账款汇总金额为</w:t>
      </w:r>
      <w:r>
        <w:rPr>
          <w:rFonts w:ascii="Times New Roman" w:hAnsi="Times New Roman" w:cs="Times New Roman" w:eastAsia="Times New Roman" w:hint="default"/>
        </w:rPr>
        <w:t>4,949,623.61</w:t>
      </w:r>
      <w:r>
        <w:rPr/>
        <w:t>元，占预</w:t>
      </w:r>
      <w:r>
        <w:rPr>
          <w:spacing w:val="3"/>
        </w:rPr>
        <w:t> </w:t>
      </w:r>
      <w:r>
        <w:rPr/>
        <w:t>付账款年末余额合计数的比例为</w:t>
      </w:r>
      <w:r>
        <w:rPr>
          <w:rFonts w:ascii="Times New Roman" w:hAnsi="Times New Roman" w:cs="Times New Roman" w:eastAsia="Times New Roman" w:hint="default"/>
        </w:rPr>
        <w:t>41.01%</w:t>
      </w:r>
      <w:r>
        <w:rPr/>
        <w:t>。</w:t>
      </w:r>
    </w:p>
    <w:p>
      <w:pPr>
        <w:spacing w:line="240" w:lineRule="auto" w:before="7"/>
        <w:rPr>
          <w:rFonts w:ascii="宋体" w:hAnsi="宋体" w:cs="宋体" w:eastAsia="宋体" w:hint="default"/>
          <w:sz w:val="22"/>
          <w:szCs w:val="22"/>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）应收利息分类</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8"/>
        <w:gridCol w:w="3191"/>
        <w:gridCol w:w="3188"/>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5,176.91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130,555.71</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信托产品</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342,208.00</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5,176.91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472,763.71</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77" w:footer="982" w:top="1100" w:bottom="1180" w:left="980" w:right="980"/>
        </w:sectPr>
      </w:pPr>
    </w:p>
    <w:p>
      <w:pPr>
        <w:spacing w:line="240" w:lineRule="auto" w:before="10"/>
        <w:rPr>
          <w:rFonts w:ascii="宋体" w:hAnsi="宋体" w:cs="宋体" w:eastAsia="宋体" w:hint="default"/>
          <w:b/>
          <w:bCs/>
          <w:sz w:val="20"/>
          <w:szCs w:val="20"/>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、应收股利</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）应收股利</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8"/>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十九楼网络股份有限公司</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6,213,033.60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6,213,033.60</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）重要的账龄超过</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年的应收股利</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974"/>
        <w:gridCol w:w="1080"/>
        <w:gridCol w:w="701"/>
        <w:gridCol w:w="865"/>
        <w:gridCol w:w="522"/>
        <w:gridCol w:w="1102"/>
        <w:gridCol w:w="1169"/>
        <w:gridCol w:w="701"/>
        <w:gridCol w:w="866"/>
        <w:gridCol w:w="521"/>
        <w:gridCol w:w="1181"/>
      </w:tblGrid>
      <w:tr>
        <w:trPr>
          <w:trHeight w:val="402" w:hRule="exact"/>
        </w:trPr>
        <w:tc>
          <w:tcPr>
            <w:tcW w:w="974" w:type="dxa"/>
            <w:vMerge w:val="restart"/>
            <w:tcBorders>
              <w:top w:val="single" w:sz="4" w:space="0" w:color="000000"/>
              <w:left w:val="single" w:sz="4" w:space="0" w:color="000000"/>
              <w:right w:val="single" w:sz="4" w:space="0" w:color="000000"/>
            </w:tcBorders>
            <w:shd w:val="clear" w:color="auto" w:fill="D3D3D3"/>
          </w:tcPr>
          <w:p>
            <w:pPr/>
          </w:p>
        </w:tc>
        <w:tc>
          <w:tcPr>
            <w:tcW w:w="42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3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974" w:type="dxa"/>
            <w:vMerge/>
            <w:tcBorders>
              <w:left w:val="single" w:sz="4" w:space="0" w:color="000000"/>
              <w:bottom w:val="nil" w:sz="6" w:space="0" w:color="auto"/>
              <w:right w:val="single" w:sz="4" w:space="0" w:color="000000"/>
            </w:tcBorders>
            <w:shd w:val="clear" w:color="auto" w:fill="D3D3D3"/>
          </w:tcPr>
          <w:p>
            <w:pPr/>
          </w:p>
        </w:tc>
        <w:tc>
          <w:tcPr>
            <w:tcW w:w="178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5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02" w:type="dxa"/>
            <w:vMerge w:val="restart"/>
            <w:tcBorders>
              <w:top w:val="single" w:sz="4" w:space="0" w:color="000000"/>
              <w:left w:val="single" w:sz="4" w:space="0" w:color="000000"/>
              <w:right w:val="single" w:sz="4" w:space="0" w:color="000000"/>
            </w:tcBorders>
            <w:shd w:val="clear" w:color="auto" w:fill="D3D3D3"/>
          </w:tcPr>
          <w:p>
            <w:pPr/>
          </w:p>
        </w:tc>
        <w:tc>
          <w:tcPr>
            <w:tcW w:w="187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5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1" w:type="dxa"/>
            <w:vMerge w:val="restart"/>
            <w:tcBorders>
              <w:top w:val="single" w:sz="4" w:space="0" w:color="000000"/>
              <w:left w:val="single" w:sz="4" w:space="0" w:color="000000"/>
              <w:right w:val="single" w:sz="4" w:space="0" w:color="000000"/>
            </w:tcBorders>
            <w:shd w:val="clear" w:color="auto" w:fill="D3D3D3"/>
          </w:tcPr>
          <w:p>
            <w:pPr/>
          </w:p>
        </w:tc>
      </w:tr>
      <w:tr>
        <w:trPr>
          <w:trHeight w:val="241" w:hRule="exact"/>
        </w:trPr>
        <w:tc>
          <w:tcPr>
            <w:tcW w:w="97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89"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781" w:type="dxa"/>
            <w:gridSpan w:val="2"/>
            <w:vMerge/>
            <w:tcBorders>
              <w:left w:val="single" w:sz="4" w:space="0" w:color="000000"/>
              <w:bottom w:val="single" w:sz="4" w:space="0" w:color="000000"/>
              <w:right w:val="single" w:sz="4" w:space="0" w:color="000000"/>
            </w:tcBorders>
            <w:shd w:val="clear" w:color="auto" w:fill="D3D3D3"/>
          </w:tcPr>
          <w:p>
            <w:pPr/>
          </w:p>
        </w:tc>
        <w:tc>
          <w:tcPr>
            <w:tcW w:w="1387" w:type="dxa"/>
            <w:gridSpan w:val="2"/>
            <w:vMerge/>
            <w:tcBorders>
              <w:left w:val="single" w:sz="4" w:space="0" w:color="000000"/>
              <w:bottom w:val="single" w:sz="4" w:space="0" w:color="000000"/>
              <w:right w:val="single" w:sz="4" w:space="0" w:color="000000"/>
            </w:tcBorders>
            <w:shd w:val="clear" w:color="auto" w:fill="D3D3D3"/>
          </w:tcPr>
          <w:p>
            <w:pPr/>
          </w:p>
        </w:tc>
        <w:tc>
          <w:tcPr>
            <w:tcW w:w="1102" w:type="dxa"/>
            <w:vMerge/>
            <w:tcBorders>
              <w:left w:val="single" w:sz="4" w:space="0" w:color="000000"/>
              <w:bottom w:val="nil" w:sz="6" w:space="0" w:color="auto"/>
              <w:right w:val="single" w:sz="4" w:space="0" w:color="000000"/>
            </w:tcBorders>
            <w:shd w:val="clear" w:color="auto" w:fill="D3D3D3"/>
          </w:tcPr>
          <w:p>
            <w:pPr/>
          </w:p>
        </w:tc>
        <w:tc>
          <w:tcPr>
            <w:tcW w:w="1870" w:type="dxa"/>
            <w:gridSpan w:val="2"/>
            <w:vMerge/>
            <w:tcBorders>
              <w:left w:val="single" w:sz="4" w:space="0" w:color="000000"/>
              <w:bottom w:val="single" w:sz="4" w:space="0" w:color="000000"/>
              <w:right w:val="single" w:sz="4" w:space="0" w:color="000000"/>
            </w:tcBorders>
            <w:shd w:val="clear" w:color="auto" w:fill="D3D3D3"/>
          </w:tcPr>
          <w:p>
            <w:pPr/>
          </w:p>
        </w:tc>
        <w:tc>
          <w:tcPr>
            <w:tcW w:w="1387" w:type="dxa"/>
            <w:gridSpan w:val="2"/>
            <w:vMerge/>
            <w:tcBorders>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974" w:type="dxa"/>
            <w:vMerge/>
            <w:tcBorders>
              <w:left w:val="single" w:sz="4" w:space="0" w:color="000000"/>
              <w:bottom w:val="nil" w:sz="6" w:space="0" w:color="auto"/>
              <w:right w:val="single" w:sz="4" w:space="0" w:color="000000"/>
            </w:tcBorders>
            <w:shd w:val="clear" w:color="auto" w:fill="D3D3D3"/>
          </w:tcPr>
          <w:p>
            <w:pPr/>
          </w:p>
        </w:tc>
        <w:tc>
          <w:tcPr>
            <w:tcW w:w="1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701" w:type="dxa"/>
            <w:tcBorders>
              <w:top w:val="single" w:sz="4" w:space="0" w:color="000000"/>
              <w:left w:val="single" w:sz="4" w:space="0" w:color="000000"/>
              <w:bottom w:val="nil" w:sz="6" w:space="0" w:color="auto"/>
              <w:right w:val="single" w:sz="4" w:space="0" w:color="000000"/>
            </w:tcBorders>
            <w:shd w:val="clear" w:color="auto" w:fill="D3D3D3"/>
          </w:tcPr>
          <w:p>
            <w:pPr/>
          </w:p>
        </w:tc>
        <w:tc>
          <w:tcPr>
            <w:tcW w:w="865" w:type="dxa"/>
            <w:tcBorders>
              <w:top w:val="single" w:sz="4" w:space="0" w:color="000000"/>
              <w:left w:val="single" w:sz="4" w:space="0" w:color="000000"/>
              <w:bottom w:val="nil" w:sz="6" w:space="0" w:color="auto"/>
              <w:right w:val="single" w:sz="4" w:space="0" w:color="000000"/>
            </w:tcBorders>
            <w:shd w:val="clear" w:color="auto" w:fill="D3D3D3"/>
          </w:tcPr>
          <w:p>
            <w:pPr/>
          </w:p>
        </w:tc>
        <w:tc>
          <w:tcPr>
            <w:tcW w:w="52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76" w:right="73"/>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0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18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nil" w:sz="6" w:space="0" w:color="auto"/>
              <w:right w:val="single" w:sz="4" w:space="0" w:color="000000"/>
            </w:tcBorders>
            <w:shd w:val="clear" w:color="auto" w:fill="D3D3D3"/>
          </w:tcPr>
          <w:p>
            <w:pPr/>
          </w:p>
        </w:tc>
        <w:tc>
          <w:tcPr>
            <w:tcW w:w="701" w:type="dxa"/>
            <w:tcBorders>
              <w:top w:val="single" w:sz="4" w:space="0" w:color="000000"/>
              <w:left w:val="single" w:sz="4" w:space="0" w:color="000000"/>
              <w:bottom w:val="nil" w:sz="6" w:space="0" w:color="auto"/>
              <w:right w:val="single" w:sz="4" w:space="0" w:color="000000"/>
            </w:tcBorders>
            <w:shd w:val="clear" w:color="auto" w:fill="D3D3D3"/>
          </w:tcPr>
          <w:p>
            <w:pPr/>
          </w:p>
        </w:tc>
        <w:tc>
          <w:tcPr>
            <w:tcW w:w="866" w:type="dxa"/>
            <w:tcBorders>
              <w:top w:val="single" w:sz="4" w:space="0" w:color="000000"/>
              <w:left w:val="single" w:sz="4" w:space="0" w:color="000000"/>
              <w:bottom w:val="nil" w:sz="6" w:space="0" w:color="auto"/>
              <w:right w:val="single" w:sz="4" w:space="0" w:color="000000"/>
            </w:tcBorders>
            <w:shd w:val="clear" w:color="auto" w:fill="D3D3D3"/>
          </w:tcPr>
          <w:p>
            <w:pPr/>
          </w:p>
        </w:tc>
        <w:tc>
          <w:tcPr>
            <w:tcW w:w="52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75" w:right="73"/>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8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22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974" w:type="dxa"/>
            <w:vMerge w:val="restart"/>
            <w:tcBorders>
              <w:top w:val="nil" w:sz="6" w:space="0" w:color="auto"/>
              <w:left w:val="single" w:sz="4" w:space="0" w:color="000000"/>
              <w:right w:val="single" w:sz="4" w:space="0" w:color="000000"/>
            </w:tcBorders>
            <w:shd w:val="clear" w:color="auto" w:fill="D3D3D3"/>
          </w:tcPr>
          <w:p>
            <w:pPr/>
          </w:p>
        </w:tc>
        <w:tc>
          <w:tcPr>
            <w:tcW w:w="108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4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6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2" w:type="dxa"/>
            <w:vMerge/>
            <w:tcBorders>
              <w:left w:val="single" w:sz="4" w:space="0" w:color="000000"/>
              <w:right w:val="single" w:sz="4" w:space="0" w:color="000000"/>
            </w:tcBorders>
            <w:shd w:val="clear" w:color="auto" w:fill="D3D3D3"/>
          </w:tcPr>
          <w:p>
            <w:pPr/>
          </w:p>
        </w:tc>
        <w:tc>
          <w:tcPr>
            <w:tcW w:w="1102" w:type="dxa"/>
            <w:vMerge/>
            <w:tcBorders>
              <w:left w:val="single" w:sz="4" w:space="0" w:color="000000"/>
              <w:bottom w:val="nil" w:sz="6" w:space="0" w:color="auto"/>
              <w:right w:val="single" w:sz="4" w:space="0" w:color="000000"/>
            </w:tcBorders>
            <w:shd w:val="clear" w:color="auto" w:fill="D3D3D3"/>
          </w:tcPr>
          <w:p>
            <w:pPr/>
          </w:p>
        </w:tc>
        <w:tc>
          <w:tcPr>
            <w:tcW w:w="116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金额</w:t>
            </w:r>
          </w:p>
        </w:tc>
        <w:tc>
          <w:tcPr>
            <w:tcW w:w="70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6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1" w:type="dxa"/>
            <w:vMerge/>
            <w:tcBorders>
              <w:left w:val="single" w:sz="4" w:space="0" w:color="000000"/>
              <w:right w:val="single" w:sz="4" w:space="0" w:color="000000"/>
            </w:tcBorders>
            <w:shd w:val="clear" w:color="auto" w:fill="D3D3D3"/>
          </w:tcPr>
          <w:p>
            <w:pPr/>
          </w:p>
        </w:tc>
        <w:tc>
          <w:tcPr>
            <w:tcW w:w="1181" w:type="dxa"/>
            <w:vMerge/>
            <w:tcBorders>
              <w:left w:val="single" w:sz="4" w:space="0" w:color="000000"/>
              <w:bottom w:val="nil" w:sz="6" w:space="0" w:color="auto"/>
              <w:right w:val="single" w:sz="4" w:space="0" w:color="000000"/>
            </w:tcBorders>
            <w:shd w:val="clear" w:color="auto" w:fill="D3D3D3"/>
          </w:tcPr>
          <w:p>
            <w:pPr/>
          </w:p>
        </w:tc>
      </w:tr>
      <w:tr>
        <w:trPr>
          <w:trHeight w:val="200" w:hRule="exact"/>
        </w:trPr>
        <w:tc>
          <w:tcPr>
            <w:tcW w:w="974" w:type="dxa"/>
            <w:vMerge/>
            <w:tcBorders>
              <w:left w:val="single" w:sz="4" w:space="0" w:color="000000"/>
              <w:right w:val="single" w:sz="4" w:space="0" w:color="000000"/>
            </w:tcBorders>
            <w:shd w:val="clear" w:color="auto" w:fill="D3D3D3"/>
          </w:tcPr>
          <w:p>
            <w:pPr/>
          </w:p>
        </w:tc>
        <w:tc>
          <w:tcPr>
            <w:tcW w:w="1080" w:type="dxa"/>
            <w:vMerge/>
            <w:tcBorders>
              <w:left w:val="single" w:sz="4" w:space="0" w:color="000000"/>
              <w:bottom w:val="nil" w:sz="6" w:space="0" w:color="auto"/>
              <w:right w:val="single" w:sz="4" w:space="0" w:color="000000"/>
            </w:tcBorders>
            <w:shd w:val="clear" w:color="auto" w:fill="D3D3D3"/>
          </w:tcPr>
          <w:p>
            <w:pPr/>
          </w:p>
        </w:tc>
        <w:tc>
          <w:tcPr>
            <w:tcW w:w="701" w:type="dxa"/>
            <w:vMerge/>
            <w:tcBorders>
              <w:left w:val="single" w:sz="4" w:space="0" w:color="000000"/>
              <w:bottom w:val="nil" w:sz="6" w:space="0" w:color="auto"/>
              <w:right w:val="single" w:sz="4" w:space="0" w:color="000000"/>
            </w:tcBorders>
            <w:shd w:val="clear" w:color="auto" w:fill="D3D3D3"/>
          </w:tcPr>
          <w:p>
            <w:pPr/>
          </w:p>
        </w:tc>
        <w:tc>
          <w:tcPr>
            <w:tcW w:w="865" w:type="dxa"/>
            <w:vMerge/>
            <w:tcBorders>
              <w:left w:val="single" w:sz="4" w:space="0" w:color="000000"/>
              <w:bottom w:val="nil" w:sz="6" w:space="0" w:color="auto"/>
              <w:right w:val="single" w:sz="4" w:space="0" w:color="000000"/>
            </w:tcBorders>
            <w:shd w:val="clear" w:color="auto" w:fill="D3D3D3"/>
          </w:tcPr>
          <w:p>
            <w:pPr/>
          </w:p>
        </w:tc>
        <w:tc>
          <w:tcPr>
            <w:tcW w:w="522" w:type="dxa"/>
            <w:vMerge/>
            <w:tcBorders>
              <w:left w:val="single" w:sz="4" w:space="0" w:color="000000"/>
              <w:right w:val="single" w:sz="4" w:space="0" w:color="000000"/>
            </w:tcBorders>
            <w:shd w:val="clear" w:color="auto" w:fill="D3D3D3"/>
          </w:tcPr>
          <w:p>
            <w:pPr/>
          </w:p>
        </w:tc>
        <w:tc>
          <w:tcPr>
            <w:tcW w:w="1102" w:type="dxa"/>
            <w:vMerge w:val="restart"/>
            <w:tcBorders>
              <w:top w:val="nil" w:sz="6" w:space="0" w:color="auto"/>
              <w:left w:val="single" w:sz="4" w:space="0" w:color="000000"/>
              <w:right w:val="single" w:sz="4" w:space="0" w:color="000000"/>
            </w:tcBorders>
            <w:shd w:val="clear" w:color="auto" w:fill="D3D3D3"/>
          </w:tcPr>
          <w:p>
            <w:pPr/>
          </w:p>
        </w:tc>
        <w:tc>
          <w:tcPr>
            <w:tcW w:w="1169" w:type="dxa"/>
            <w:vMerge/>
            <w:tcBorders>
              <w:left w:val="single" w:sz="4" w:space="0" w:color="000000"/>
              <w:bottom w:val="nil" w:sz="6" w:space="0" w:color="auto"/>
              <w:right w:val="single" w:sz="4" w:space="0" w:color="000000"/>
            </w:tcBorders>
            <w:shd w:val="clear" w:color="auto" w:fill="D3D3D3"/>
          </w:tcPr>
          <w:p>
            <w:pPr/>
          </w:p>
        </w:tc>
        <w:tc>
          <w:tcPr>
            <w:tcW w:w="701" w:type="dxa"/>
            <w:vMerge/>
            <w:tcBorders>
              <w:left w:val="single" w:sz="4" w:space="0" w:color="000000"/>
              <w:bottom w:val="nil" w:sz="6" w:space="0" w:color="auto"/>
              <w:right w:val="single" w:sz="4" w:space="0" w:color="000000"/>
            </w:tcBorders>
            <w:shd w:val="clear" w:color="auto" w:fill="D3D3D3"/>
          </w:tcPr>
          <w:p>
            <w:pPr/>
          </w:p>
        </w:tc>
        <w:tc>
          <w:tcPr>
            <w:tcW w:w="866" w:type="dxa"/>
            <w:vMerge/>
            <w:tcBorders>
              <w:left w:val="single" w:sz="4" w:space="0" w:color="000000"/>
              <w:bottom w:val="nil" w:sz="6" w:space="0" w:color="auto"/>
              <w:right w:val="single" w:sz="4" w:space="0" w:color="000000"/>
            </w:tcBorders>
            <w:shd w:val="clear" w:color="auto" w:fill="D3D3D3"/>
          </w:tcPr>
          <w:p>
            <w:pPr/>
          </w:p>
        </w:tc>
        <w:tc>
          <w:tcPr>
            <w:tcW w:w="521" w:type="dxa"/>
            <w:vMerge/>
            <w:tcBorders>
              <w:left w:val="single" w:sz="4" w:space="0" w:color="000000"/>
              <w:right w:val="single" w:sz="4" w:space="0" w:color="000000"/>
            </w:tcBorders>
            <w:shd w:val="clear" w:color="auto" w:fill="D3D3D3"/>
          </w:tcPr>
          <w:p>
            <w:pPr/>
          </w:p>
        </w:tc>
        <w:tc>
          <w:tcPr>
            <w:tcW w:w="1181"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974" w:type="dxa"/>
            <w:vMerge/>
            <w:tcBorders>
              <w:left w:val="single" w:sz="4" w:space="0" w:color="000000"/>
              <w:bottom w:val="single" w:sz="4" w:space="0" w:color="000000"/>
              <w:right w:val="single" w:sz="4" w:space="0" w:color="000000"/>
            </w:tcBorders>
            <w:shd w:val="clear" w:color="auto" w:fill="D3D3D3"/>
          </w:tcPr>
          <w:p>
            <w:pPr/>
          </w:p>
        </w:tc>
        <w:tc>
          <w:tcPr>
            <w:tcW w:w="1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701" w:type="dxa"/>
            <w:tcBorders>
              <w:top w:val="nil" w:sz="6" w:space="0" w:color="auto"/>
              <w:left w:val="single" w:sz="4" w:space="0" w:color="000000"/>
              <w:bottom w:val="single" w:sz="4" w:space="0" w:color="000000"/>
              <w:right w:val="single" w:sz="4" w:space="0" w:color="000000"/>
            </w:tcBorders>
            <w:shd w:val="clear" w:color="auto" w:fill="D3D3D3"/>
          </w:tcPr>
          <w:p>
            <w:pPr/>
          </w:p>
        </w:tc>
        <w:tc>
          <w:tcPr>
            <w:tcW w:w="865" w:type="dxa"/>
            <w:tcBorders>
              <w:top w:val="nil" w:sz="6" w:space="0" w:color="auto"/>
              <w:left w:val="single" w:sz="4" w:space="0" w:color="000000"/>
              <w:bottom w:val="single" w:sz="4" w:space="0" w:color="000000"/>
              <w:right w:val="single" w:sz="4" w:space="0" w:color="000000"/>
            </w:tcBorders>
            <w:shd w:val="clear" w:color="auto" w:fill="D3D3D3"/>
          </w:tcPr>
          <w:p>
            <w:pPr/>
          </w:p>
        </w:tc>
        <w:tc>
          <w:tcPr>
            <w:tcW w:w="522" w:type="dxa"/>
            <w:vMerge/>
            <w:tcBorders>
              <w:left w:val="single" w:sz="4" w:space="0" w:color="000000"/>
              <w:bottom w:val="single" w:sz="4" w:space="0" w:color="000000"/>
              <w:right w:val="single" w:sz="4" w:space="0" w:color="000000"/>
            </w:tcBorders>
            <w:shd w:val="clear" w:color="auto" w:fill="D3D3D3"/>
          </w:tcPr>
          <w:p>
            <w:pPr/>
          </w:p>
        </w:tc>
        <w:tc>
          <w:tcPr>
            <w:tcW w:w="1102" w:type="dxa"/>
            <w:vMerge/>
            <w:tcBorders>
              <w:left w:val="single" w:sz="4" w:space="0" w:color="000000"/>
              <w:bottom w:val="single" w:sz="4" w:space="0" w:color="000000"/>
              <w:right w:val="single" w:sz="4" w:space="0" w:color="000000"/>
            </w:tcBorders>
            <w:shd w:val="clear" w:color="auto" w:fill="D3D3D3"/>
          </w:tcPr>
          <w:p>
            <w:pPr/>
          </w:p>
        </w:tc>
        <w:tc>
          <w:tcPr>
            <w:tcW w:w="1169" w:type="dxa"/>
            <w:tcBorders>
              <w:top w:val="nil" w:sz="6" w:space="0" w:color="auto"/>
              <w:left w:val="single" w:sz="4" w:space="0" w:color="000000"/>
              <w:bottom w:val="single" w:sz="4" w:space="0" w:color="000000"/>
              <w:right w:val="single" w:sz="4" w:space="0" w:color="000000"/>
            </w:tcBorders>
            <w:shd w:val="clear" w:color="auto" w:fill="D3D3D3"/>
          </w:tcPr>
          <w:p>
            <w:pPr/>
          </w:p>
        </w:tc>
        <w:tc>
          <w:tcPr>
            <w:tcW w:w="701" w:type="dxa"/>
            <w:tcBorders>
              <w:top w:val="nil" w:sz="6" w:space="0" w:color="auto"/>
              <w:left w:val="single" w:sz="4" w:space="0" w:color="000000"/>
              <w:bottom w:val="single" w:sz="4" w:space="0" w:color="000000"/>
              <w:right w:val="single" w:sz="4" w:space="0" w:color="000000"/>
            </w:tcBorders>
            <w:shd w:val="clear" w:color="auto" w:fill="D3D3D3"/>
          </w:tcPr>
          <w:p>
            <w:pPr/>
          </w:p>
        </w:tc>
        <w:tc>
          <w:tcPr>
            <w:tcW w:w="866" w:type="dxa"/>
            <w:tcBorders>
              <w:top w:val="nil" w:sz="6" w:space="0" w:color="auto"/>
              <w:left w:val="single" w:sz="4" w:space="0" w:color="000000"/>
              <w:bottom w:val="single" w:sz="4" w:space="0" w:color="000000"/>
              <w:right w:val="single" w:sz="4" w:space="0" w:color="000000"/>
            </w:tcBorders>
            <w:shd w:val="clear" w:color="auto" w:fill="D3D3D3"/>
          </w:tcPr>
          <w:p>
            <w:pPr/>
          </w:p>
        </w:tc>
        <w:tc>
          <w:tcPr>
            <w:tcW w:w="521" w:type="dxa"/>
            <w:vMerge/>
            <w:tcBorders>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r>
      <w:tr>
        <w:trPr>
          <w:trHeight w:val="1650" w:hRule="exact"/>
        </w:trPr>
        <w:tc>
          <w:tcPr>
            <w:tcW w:w="9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50"/>
              <w:jc w:val="both"/>
              <w:rPr>
                <w:rFonts w:ascii="宋体" w:hAnsi="宋体" w:cs="宋体" w:eastAsia="宋体" w:hint="default"/>
                <w:sz w:val="18"/>
                <w:szCs w:val="18"/>
              </w:rPr>
            </w:pPr>
            <w:r>
              <w:rPr>
                <w:rFonts w:ascii="宋体" w:hAnsi="宋体" w:cs="宋体" w:eastAsia="宋体" w:hint="default"/>
                <w:sz w:val="18"/>
                <w:szCs w:val="18"/>
              </w:rPr>
              <w:t>按信用风险 特征组合计 提坏账准备 的其他应收 款</w:t>
            </w:r>
          </w:p>
        </w:tc>
        <w:tc>
          <w:tcPr>
            <w:tcW w:w="10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 w:right="0"/>
              <w:jc w:val="left"/>
              <w:rPr>
                <w:rFonts w:ascii="Times New Roman" w:hAnsi="Times New Roman" w:cs="Times New Roman" w:eastAsia="Times New Roman" w:hint="default"/>
                <w:sz w:val="18"/>
                <w:szCs w:val="18"/>
              </w:rPr>
            </w:pPr>
            <w:r>
              <w:rPr>
                <w:rFonts w:ascii="Times New Roman"/>
                <w:sz w:val="18"/>
              </w:rPr>
              <w:t>16,537,157.17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955,506.80</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5.78%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15,581,650.37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378,304,655.67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905,295.90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0.24%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377,399,359.77</w:t>
            </w:r>
          </w:p>
        </w:tc>
      </w:tr>
      <w:tr>
        <w:trPr>
          <w:trHeight w:val="403" w:hRule="exact"/>
        </w:trPr>
        <w:tc>
          <w:tcPr>
            <w:tcW w:w="9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1" w:right="0"/>
              <w:jc w:val="left"/>
              <w:rPr>
                <w:rFonts w:ascii="Times New Roman" w:hAnsi="Times New Roman" w:cs="Times New Roman" w:eastAsia="Times New Roman" w:hint="default"/>
                <w:sz w:val="18"/>
                <w:szCs w:val="18"/>
              </w:rPr>
            </w:pPr>
            <w:r>
              <w:rPr>
                <w:rFonts w:ascii="Times New Roman"/>
                <w:sz w:val="18"/>
              </w:rPr>
              <w:t>16,537,157.17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100.00%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955,506.80</w:t>
            </w:r>
          </w:p>
        </w:tc>
        <w:tc>
          <w:tcPr>
            <w:tcW w:w="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5.78%</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15,581,650.37</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6"/>
              <w:jc w:val="center"/>
              <w:rPr>
                <w:rFonts w:ascii="Times New Roman" w:hAnsi="Times New Roman" w:cs="Times New Roman" w:eastAsia="Times New Roman" w:hint="default"/>
                <w:sz w:val="18"/>
                <w:szCs w:val="18"/>
              </w:rPr>
            </w:pPr>
            <w:r>
              <w:rPr>
                <w:rFonts w:ascii="Times New Roman"/>
                <w:sz w:val="18"/>
              </w:rPr>
              <w:t>378,304,655.67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905,295.90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0.24%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377,399,359.77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6"/>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0"/>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475" w:space="435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r>
              <w:rPr>
                <w:rFonts w:ascii="Times New Roman" w:hAnsi="Times New Roman" w:cs="Times New Roman" w:eastAsia="Times New Roman"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10,515,960.49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9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1,479,344.28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74,029.22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11,995,304.77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74,029.22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3,430,273.82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343,027.38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226,650.00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45,330.00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699,928.58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493,120.20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70.45%</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337,764.37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168,882.19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189,631.00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151,704.80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172,533.21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172,533.21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16,352,157.17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955,506.80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312" w:lineRule="exact" w:before="97"/>
        <w:ind w:right="148" w:firstLine="480"/>
        <w:jc w:val="both"/>
      </w:pPr>
      <w:r>
        <w:rPr/>
        <w:t>已单独计提减值准备的应收账款除外，公司根据以前年度与之相同或相类似的、按账龄</w:t>
      </w:r>
      <w:r>
        <w:rPr>
          <w:spacing w:val="1"/>
        </w:rPr>
        <w:t> </w:t>
      </w:r>
      <w:r>
        <w:rPr/>
        <w:t>段划分的具有类似信用风险特征的应收账款组合的实际损失率为基础，结合现时情况分析法</w:t>
      </w:r>
      <w:r>
        <w:rPr>
          <w:spacing w:val="-83"/>
        </w:rPr>
        <w:t> </w:t>
      </w:r>
      <w:r>
        <w:rPr>
          <w:spacing w:val="-83"/>
        </w:rPr>
      </w:r>
      <w:r>
        <w:rPr/>
        <w:t>确定坏账准备计提的比例。</w:t>
      </w:r>
    </w:p>
    <w:p>
      <w:pPr>
        <w:spacing w:before="59"/>
        <w:ind w:left="153"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7"/>
        <w:ind w:left="154" w:right="56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line="340" w:lineRule="auto" w:before="0"/>
        <w:ind w:left="154" w:right="3699"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50,210.90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其中本期坏账准备转回或收回金额重要的：无</w:t>
      </w:r>
    </w:p>
    <w:p>
      <w:pPr>
        <w:spacing w:line="240" w:lineRule="auto" w:before="12"/>
        <w:rPr>
          <w:rFonts w:ascii="宋体" w:hAnsi="宋体" w:cs="宋体" w:eastAsia="宋体" w:hint="default"/>
          <w:sz w:val="20"/>
          <w:szCs w:val="20"/>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新华通讯社印刷厂</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120,000.00</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账龄较长</w:t>
            </w:r>
            <w:r>
              <w:rPr>
                <w:rFonts w:ascii="宋体" w:hAnsi="宋体" w:cs="宋体" w:eastAsia="宋体" w:hint="default"/>
                <w:spacing w:val="-82"/>
                <w:sz w:val="18"/>
                <w:szCs w:val="18"/>
              </w:rPr>
              <w:t>，</w:t>
            </w:r>
            <w:r>
              <w:rPr>
                <w:rFonts w:ascii="宋体" w:hAnsi="宋体" w:cs="宋体" w:eastAsia="宋体" w:hint="default"/>
                <w:sz w:val="18"/>
                <w:szCs w:val="18"/>
              </w:rPr>
              <w:t>无法收回</w:t>
            </w:r>
          </w:p>
        </w:tc>
        <w:tc>
          <w:tcPr>
            <w:tcW w:w="159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总经理批准</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120,000.00</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67,785.90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891,381.21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重组置出资产处置款等</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368,504,060.08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2"/>
                <w:sz w:val="18"/>
              </w:rPr>
              <w:t>11,997,511.41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6,292,324.08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1,790,831.27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1,481,058.06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2,681,028.59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1,135,832.24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16,537,157.17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378,304,655.67</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4"/>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杭州杭港地铁有限 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5,376,000.00</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32.51%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杭州经济广播电台</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2,832,550.00</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283,255.00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泰山财产保险股份 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赔偿金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560,000.00</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浙江中豪房屋建设 开发有限公司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500,000.00</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杭州未来科技城资 产管理有限公司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305,000.00</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15,250.00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9,573,550.00</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323,505.00</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）涉及政府补助的应收款项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）转移其他应收款且继续涉入形成的资产、负债金额</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7" w:hRule="exact"/>
        </w:trPr>
        <w:tc>
          <w:tcPr>
            <w:tcW w:w="1357" w:type="dxa"/>
            <w:tcBorders>
              <w:top w:val="single" w:sz="4" w:space="0" w:color="000000"/>
              <w:left w:val="single" w:sz="4" w:space="0" w:color="000000"/>
              <w:bottom w:val="nil" w:sz="6" w:space="0" w:color="auto"/>
              <w:right w:val="single" w:sz="4" w:space="0" w:color="000000"/>
            </w:tcBorders>
            <w:shd w:val="clear" w:color="auto" w:fill="D3D3D3"/>
          </w:tcPr>
          <w:p>
            <w:pPr/>
          </w:p>
        </w:tc>
        <w:tc>
          <w:tcPr>
            <w:tcW w:w="410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5" w:hRule="exact"/>
        </w:trPr>
        <w:tc>
          <w:tcPr>
            <w:tcW w:w="135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3D3D3"/>
          </w:tcPr>
          <w:p>
            <w:pPr/>
          </w:p>
        </w:tc>
        <w:tc>
          <w:tcPr>
            <w:tcW w:w="4102" w:type="dxa"/>
            <w:gridSpan w:val="3"/>
            <w:vMerge/>
            <w:tcBorders>
              <w:left w:val="single" w:sz="4" w:space="0" w:color="000000"/>
              <w:bottom w:val="single" w:sz="4" w:space="0" w:color="000000"/>
              <w:right w:val="single" w:sz="4" w:space="0" w:color="000000"/>
            </w:tcBorders>
            <w:shd w:val="clear" w:color="auto" w:fill="D3D3D3"/>
          </w:tcPr>
          <w:p>
            <w:pPr/>
          </w:p>
        </w:tc>
      </w:tr>
      <w:tr>
        <w:trPr>
          <w:trHeight w:val="195" w:hRule="exact"/>
        </w:trPr>
        <w:tc>
          <w:tcPr>
            <w:tcW w:w="1357" w:type="dxa"/>
            <w:vMerge/>
            <w:tcBorders>
              <w:left w:val="single" w:sz="4" w:space="0" w:color="000000"/>
              <w:bottom w:val="nil" w:sz="6" w:space="0" w:color="auto"/>
              <w:right w:val="single" w:sz="4" w:space="0" w:color="000000"/>
            </w:tcBorders>
            <w:shd w:val="clear" w:color="auto" w:fill="D3D3D3"/>
          </w:tcPr>
          <w:p>
            <w:pP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7" w:hRule="exact"/>
        </w:trPr>
        <w:tc>
          <w:tcPr>
            <w:tcW w:w="135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34,840,948.69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34,840,948.69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27,794,240.21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27,794,240.21</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6,042,712.34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41,388.84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6,001,323.50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7,204,888.47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7,204,888.47</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118,653.85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118,653.85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19,462.42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19,462.42</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894,258.41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894,258.41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41,896,573.29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41,388.84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41,855,184.45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35,018,591.10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35,018,591.10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）存货跌价准备</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7"/>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273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3D3D3"/>
          </w:tcPr>
          <w:p>
            <w:pPr/>
          </w:p>
        </w:tc>
        <w:tc>
          <w:tcPr>
            <w:tcW w:w="2734" w:type="dxa"/>
            <w:gridSpan w:val="2"/>
            <w:vMerge/>
            <w:tcBorders>
              <w:left w:val="single" w:sz="4" w:space="0" w:color="000000"/>
              <w:bottom w:val="single" w:sz="4" w:space="0" w:color="000000"/>
              <w:right w:val="single" w:sz="4" w:space="0" w:color="000000"/>
            </w:tcBorders>
            <w:shd w:val="clear" w:color="auto" w:fill="D3D3D3"/>
          </w:tcPr>
          <w:p>
            <w:pPr/>
          </w:p>
        </w:tc>
        <w:tc>
          <w:tcPr>
            <w:tcW w:w="136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57" w:type="dxa"/>
            <w:vMerge/>
            <w:tcBorders>
              <w:left w:val="single" w:sz="4" w:space="0" w:color="000000"/>
              <w:bottom w:val="nil" w:sz="6" w:space="0" w:color="auto"/>
              <w:right w:val="single" w:sz="4" w:space="0" w:color="000000"/>
            </w:tcBorders>
            <w:shd w:val="clear" w:color="auto" w:fill="D3D3D3"/>
          </w:tcPr>
          <w:p>
            <w:pPr/>
          </w:p>
        </w:tc>
        <w:tc>
          <w:tcPr>
            <w:tcW w:w="1368" w:type="dxa"/>
            <w:vMerge/>
            <w:tcBorders>
              <w:left w:val="single" w:sz="4" w:space="0" w:color="000000"/>
              <w:bottom w:val="nil" w:sz="6" w:space="0" w:color="auto"/>
              <w:right w:val="single" w:sz="4" w:space="0" w:color="000000"/>
            </w:tcBorders>
            <w:shd w:val="clear" w:color="auto" w:fill="D3D3D3"/>
          </w:tcPr>
          <w:p>
            <w:pP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3D3D3"/>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41,388.84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41,388.84</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3D3D3"/>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41,388.84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41,388.84</w:t>
            </w:r>
          </w:p>
        </w:tc>
      </w:tr>
    </w:tbl>
    <w:p>
      <w:pPr>
        <w:spacing w:line="276" w:lineRule="exact"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年度市场价格下降，导致置换广告的库存商品可变现净值低于存货成本。</w:t>
      </w:r>
    </w:p>
    <w:p>
      <w:pPr>
        <w:spacing w:line="240" w:lineRule="auto" w:before="8"/>
        <w:rPr>
          <w:rFonts w:ascii="宋体" w:hAnsi="宋体" w:cs="宋体" w:eastAsia="宋体" w:hint="default"/>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）存货期末余额含有借款费用资本化金额的说明</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）期末建造合同形成的已完工未结算资产情况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、划分为持有待售的资产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、一年内到期的非流动资产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、其他流动资产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28,100,000.00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133,350,000.00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待摊费用（房租、广告租赁费等）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11,863,081.17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5,256,467.60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预交所得税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276,868.88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11,381,226.40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6,789,505.92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4,631,573.11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47,029,455.97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154,619,267.11</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、可供出售金融资产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8"/>
        <w:gridCol w:w="1196"/>
        <w:gridCol w:w="1195"/>
        <w:gridCol w:w="1196"/>
        <w:gridCol w:w="1249"/>
        <w:gridCol w:w="1367"/>
        <w:gridCol w:w="1355"/>
      </w:tblGrid>
      <w:tr>
        <w:trPr>
          <w:trHeight w:val="207" w:hRule="exact"/>
        </w:trPr>
        <w:tc>
          <w:tcPr>
            <w:tcW w:w="1988" w:type="dxa"/>
            <w:tcBorders>
              <w:top w:val="single" w:sz="4" w:space="0" w:color="000000"/>
              <w:left w:val="single" w:sz="4" w:space="0" w:color="000000"/>
              <w:bottom w:val="nil" w:sz="6" w:space="0" w:color="auto"/>
              <w:right w:val="single" w:sz="4" w:space="0" w:color="000000"/>
            </w:tcBorders>
            <w:shd w:val="clear" w:color="auto" w:fill="D3D3D3"/>
          </w:tcPr>
          <w:p>
            <w:pPr/>
          </w:p>
        </w:tc>
        <w:tc>
          <w:tcPr>
            <w:tcW w:w="3587"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71"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5" w:hRule="exact"/>
        </w:trPr>
        <w:tc>
          <w:tcPr>
            <w:tcW w:w="198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3D3D3"/>
          </w:tcPr>
          <w:p>
            <w:pPr/>
          </w:p>
        </w:tc>
        <w:tc>
          <w:tcPr>
            <w:tcW w:w="3971" w:type="dxa"/>
            <w:gridSpan w:val="3"/>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988" w:type="dxa"/>
            <w:vMerge/>
            <w:tcBorders>
              <w:left w:val="single" w:sz="4" w:space="0" w:color="000000"/>
              <w:bottom w:val="nil" w:sz="6" w:space="0" w:color="auto"/>
              <w:right w:val="single" w:sz="4" w:space="0" w:color="000000"/>
            </w:tcBorders>
            <w:shd w:val="clear" w:color="auto" w:fill="D3D3D3"/>
          </w:tcPr>
          <w:p>
            <w:pP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5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8"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24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5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1,249,000.00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909,000.00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340,000.00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1,809,000.00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909,000.00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900,000.00</w:t>
            </w:r>
          </w:p>
        </w:tc>
      </w:tr>
      <w:tr>
        <w:trPr>
          <w:trHeight w:val="402" w:hRule="exact"/>
        </w:trPr>
        <w:tc>
          <w:tcPr>
            <w:tcW w:w="1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1,249,000.00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909,000.00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340,000.00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1,809,000.00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909,000.00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900,000.00</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1,249,000.00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909,000.00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340,000.00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1,809,000.00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909,000.00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900,000.00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）期末按公允价值计量的可供出售金融资产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）期末按成本计量的可供出售金融资产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847"/>
        <w:gridCol w:w="1001"/>
        <w:gridCol w:w="865"/>
        <w:gridCol w:w="866"/>
        <w:gridCol w:w="1001"/>
        <w:gridCol w:w="866"/>
        <w:gridCol w:w="824"/>
        <w:gridCol w:w="857"/>
        <w:gridCol w:w="865"/>
        <w:gridCol w:w="846"/>
        <w:gridCol w:w="854"/>
      </w:tblGrid>
      <w:tr>
        <w:trPr>
          <w:trHeight w:val="402" w:hRule="exact"/>
        </w:trPr>
        <w:tc>
          <w:tcPr>
            <w:tcW w:w="8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27" w:right="57"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73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1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4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58" w:right="55"/>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5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2" w:right="60"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19" w:hRule="exact"/>
        </w:trPr>
        <w:tc>
          <w:tcPr>
            <w:tcW w:w="847" w:type="dxa"/>
            <w:vMerge/>
            <w:tcBorders>
              <w:left w:val="single" w:sz="4" w:space="0" w:color="000000"/>
              <w:bottom w:val="single" w:sz="4" w:space="0" w:color="000000"/>
              <w:right w:val="single" w:sz="4" w:space="0" w:color="000000"/>
            </w:tcBorders>
            <w:shd w:val="clear" w:color="auto" w:fill="D3D3D3"/>
          </w:tcPr>
          <w:p>
            <w:pPr/>
          </w:p>
        </w:tc>
        <w:tc>
          <w:tcPr>
            <w:tcW w:w="10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0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8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46" w:type="dxa"/>
            <w:vMerge/>
            <w:tcBorders>
              <w:left w:val="single" w:sz="4" w:space="0" w:color="000000"/>
              <w:bottom w:val="single" w:sz="4" w:space="0" w:color="000000"/>
              <w:right w:val="single" w:sz="4" w:space="0" w:color="000000"/>
            </w:tcBorders>
            <w:shd w:val="clear" w:color="auto" w:fill="D3D3D3"/>
          </w:tcPr>
          <w:p>
            <w:pPr/>
          </w:p>
        </w:tc>
        <w:tc>
          <w:tcPr>
            <w:tcW w:w="854" w:type="dxa"/>
            <w:vMerge/>
            <w:tcBorders>
              <w:left w:val="single" w:sz="4" w:space="0" w:color="000000"/>
              <w:bottom w:val="single" w:sz="4" w:space="0" w:color="000000"/>
              <w:right w:val="single" w:sz="4" w:space="0" w:color="000000"/>
            </w:tcBorders>
            <w:shd w:val="clear" w:color="auto" w:fill="D3D3D3"/>
          </w:tcPr>
          <w:p>
            <w:pPr/>
          </w:p>
        </w:tc>
      </w:tr>
      <w:tr>
        <w:trPr>
          <w:trHeight w:val="363" w:hRule="exact"/>
        </w:trPr>
        <w:tc>
          <w:tcPr>
            <w:tcW w:w="847"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杭州宝芝</w:t>
            </w:r>
          </w:p>
        </w:tc>
        <w:tc>
          <w:tcPr>
            <w:tcW w:w="1001" w:type="dxa"/>
            <w:tcBorders>
              <w:top w:val="single" w:sz="4" w:space="0" w:color="000000"/>
              <w:left w:val="single" w:sz="4" w:space="0" w:color="000000"/>
              <w:bottom w:val="nil" w:sz="6" w:space="0" w:color="auto"/>
              <w:right w:val="single" w:sz="4" w:space="0" w:color="000000"/>
            </w:tcBorders>
          </w:tcPr>
          <w:p>
            <w:pPr/>
          </w:p>
        </w:tc>
        <w:tc>
          <w:tcPr>
            <w:tcW w:w="865" w:type="dxa"/>
            <w:vMerge w:val="restart"/>
            <w:tcBorders>
              <w:top w:val="single" w:sz="4" w:space="0" w:color="000000"/>
              <w:left w:val="single" w:sz="4" w:space="0" w:color="000000"/>
              <w:right w:val="single" w:sz="4" w:space="0" w:color="000000"/>
            </w:tcBorders>
          </w:tcPr>
          <w:p>
            <w:pPr/>
          </w:p>
        </w:tc>
        <w:tc>
          <w:tcPr>
            <w:tcW w:w="866" w:type="dxa"/>
            <w:vMerge w:val="restart"/>
            <w:tcBorders>
              <w:top w:val="single" w:sz="4" w:space="0" w:color="000000"/>
              <w:left w:val="single" w:sz="4" w:space="0" w:color="000000"/>
              <w:right w:val="single" w:sz="4" w:space="0" w:color="000000"/>
            </w:tcBorders>
          </w:tcPr>
          <w:p>
            <w:pPr/>
          </w:p>
        </w:tc>
        <w:tc>
          <w:tcPr>
            <w:tcW w:w="1001" w:type="dxa"/>
            <w:tcBorders>
              <w:top w:val="single" w:sz="4" w:space="0" w:color="000000"/>
              <w:left w:val="single" w:sz="4" w:space="0" w:color="000000"/>
              <w:bottom w:val="nil" w:sz="6" w:space="0" w:color="auto"/>
              <w:right w:val="single" w:sz="4" w:space="0" w:color="000000"/>
            </w:tcBorders>
          </w:tcPr>
          <w:p>
            <w:pPr/>
          </w:p>
        </w:tc>
        <w:tc>
          <w:tcPr>
            <w:tcW w:w="866" w:type="dxa"/>
            <w:tcBorders>
              <w:top w:val="single" w:sz="4" w:space="0" w:color="000000"/>
              <w:left w:val="single" w:sz="4" w:space="0" w:color="000000"/>
              <w:bottom w:val="nil" w:sz="6" w:space="0" w:color="auto"/>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857" w:type="dxa"/>
            <w:vMerge w:val="restart"/>
            <w:tcBorders>
              <w:top w:val="single" w:sz="4" w:space="0" w:color="000000"/>
              <w:left w:val="single" w:sz="4" w:space="0" w:color="000000"/>
              <w:right w:val="single" w:sz="4" w:space="0" w:color="000000"/>
            </w:tcBorders>
          </w:tcPr>
          <w:p>
            <w:pPr/>
          </w:p>
        </w:tc>
        <w:tc>
          <w:tcPr>
            <w:tcW w:w="865" w:type="dxa"/>
            <w:tcBorders>
              <w:top w:val="single" w:sz="4" w:space="0" w:color="000000"/>
              <w:left w:val="single" w:sz="4" w:space="0" w:color="000000"/>
              <w:bottom w:val="nil" w:sz="6" w:space="0" w:color="auto"/>
              <w:right w:val="single" w:sz="4" w:space="0" w:color="000000"/>
            </w:tcBorders>
          </w:tcPr>
          <w:p>
            <w:pPr/>
          </w:p>
        </w:tc>
        <w:tc>
          <w:tcPr>
            <w:tcW w:w="846" w:type="dxa"/>
            <w:tcBorders>
              <w:top w:val="single" w:sz="4" w:space="0" w:color="000000"/>
              <w:left w:val="single" w:sz="4" w:space="0" w:color="000000"/>
              <w:bottom w:val="nil" w:sz="6" w:space="0" w:color="auto"/>
              <w:right w:val="single" w:sz="4" w:space="0" w:color="000000"/>
            </w:tcBorders>
          </w:tcPr>
          <w:p>
            <w:pPr/>
          </w:p>
        </w:tc>
        <w:tc>
          <w:tcPr>
            <w:tcW w:w="854" w:type="dxa"/>
            <w:vMerge w:val="restart"/>
            <w:tcBorders>
              <w:top w:val="single" w:sz="4" w:space="0" w:color="000000"/>
              <w:left w:val="single" w:sz="4" w:space="0" w:color="000000"/>
              <w:right w:val="single" w:sz="4" w:space="0" w:color="000000"/>
            </w:tcBorders>
          </w:tcPr>
          <w:p>
            <w:pPr/>
          </w:p>
        </w:tc>
      </w:tr>
      <w:tr>
        <w:trPr>
          <w:trHeight w:val="316" w:hRule="exact"/>
        </w:trPr>
        <w:tc>
          <w:tcPr>
            <w:tcW w:w="84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林科技有</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909,000.00</w:t>
            </w:r>
          </w:p>
        </w:tc>
        <w:tc>
          <w:tcPr>
            <w:tcW w:w="86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909,000.00</w:t>
            </w:r>
          </w:p>
        </w:tc>
        <w:tc>
          <w:tcPr>
            <w:tcW w:w="86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909,000.00</w:t>
            </w:r>
          </w:p>
        </w:tc>
        <w:tc>
          <w:tcPr>
            <w:tcW w:w="824" w:type="dxa"/>
            <w:vMerge/>
            <w:tcBorders>
              <w:left w:val="single" w:sz="4" w:space="0" w:color="000000"/>
              <w:right w:val="single" w:sz="4" w:space="0" w:color="000000"/>
            </w:tcBorders>
          </w:tcPr>
          <w:p>
            <w:pPr/>
          </w:p>
        </w:tc>
        <w:tc>
          <w:tcPr>
            <w:tcW w:w="857" w:type="dxa"/>
            <w:vMerge/>
            <w:tcBorders>
              <w:left w:val="single" w:sz="4" w:space="0" w:color="000000"/>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909,000.00</w:t>
            </w:r>
          </w:p>
        </w:tc>
        <w:tc>
          <w:tcPr>
            <w:tcW w:w="84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349" w:right="0"/>
              <w:jc w:val="left"/>
              <w:rPr>
                <w:rFonts w:ascii="Times New Roman" w:hAnsi="Times New Roman" w:cs="Times New Roman" w:eastAsia="Times New Roman" w:hint="default"/>
                <w:sz w:val="18"/>
                <w:szCs w:val="18"/>
              </w:rPr>
            </w:pPr>
            <w:r>
              <w:rPr>
                <w:rFonts w:ascii="Times New Roman"/>
                <w:sz w:val="18"/>
              </w:rPr>
              <w:t>5.00%</w:t>
            </w:r>
          </w:p>
        </w:tc>
        <w:tc>
          <w:tcPr>
            <w:tcW w:w="854" w:type="dxa"/>
            <w:vMerge/>
            <w:tcBorders>
              <w:left w:val="single" w:sz="4" w:space="0" w:color="000000"/>
              <w:right w:val="single" w:sz="4" w:space="0" w:color="000000"/>
            </w:tcBorders>
          </w:tcPr>
          <w:p>
            <w:pPr/>
          </w:p>
        </w:tc>
      </w:tr>
      <w:tr>
        <w:trPr>
          <w:trHeight w:val="351" w:hRule="exact"/>
        </w:trPr>
        <w:tc>
          <w:tcPr>
            <w:tcW w:w="847"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001" w:type="dxa"/>
            <w:tcBorders>
              <w:top w:val="nil" w:sz="6" w:space="0" w:color="auto"/>
              <w:left w:val="single" w:sz="4" w:space="0" w:color="000000"/>
              <w:bottom w:val="single" w:sz="4" w:space="0" w:color="000000"/>
              <w:right w:val="single" w:sz="4" w:space="0" w:color="000000"/>
            </w:tcBorders>
          </w:tcPr>
          <w:p>
            <w:pPr/>
          </w:p>
        </w:tc>
        <w:tc>
          <w:tcPr>
            <w:tcW w:w="865" w:type="dxa"/>
            <w:vMerge/>
            <w:tcBorders>
              <w:left w:val="single" w:sz="4" w:space="0" w:color="000000"/>
              <w:bottom w:val="single" w:sz="4" w:space="0" w:color="000000"/>
              <w:right w:val="single" w:sz="4" w:space="0" w:color="000000"/>
            </w:tcBorders>
          </w:tcPr>
          <w:p>
            <w:pPr/>
          </w:p>
        </w:tc>
        <w:tc>
          <w:tcPr>
            <w:tcW w:w="866" w:type="dxa"/>
            <w:vMerge/>
            <w:tcBorders>
              <w:left w:val="single" w:sz="4" w:space="0" w:color="000000"/>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866" w:type="dxa"/>
            <w:tcBorders>
              <w:top w:val="nil" w:sz="6" w:space="0" w:color="auto"/>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65" w:type="dxa"/>
            <w:tcBorders>
              <w:top w:val="nil" w:sz="6" w:space="0" w:color="auto"/>
              <w:left w:val="single" w:sz="4" w:space="0" w:color="000000"/>
              <w:bottom w:val="single" w:sz="4" w:space="0" w:color="000000"/>
              <w:right w:val="single" w:sz="4" w:space="0" w:color="000000"/>
            </w:tcBorders>
          </w:tcPr>
          <w:p>
            <w:pPr/>
          </w:p>
        </w:tc>
        <w:tc>
          <w:tcPr>
            <w:tcW w:w="846" w:type="dxa"/>
            <w:tcBorders>
              <w:top w:val="nil" w:sz="6" w:space="0" w:color="auto"/>
              <w:left w:val="single" w:sz="4" w:space="0" w:color="000000"/>
              <w:bottom w:val="single" w:sz="4" w:space="0" w:color="000000"/>
              <w:right w:val="single" w:sz="4" w:space="0" w:color="000000"/>
            </w:tcBorders>
          </w:tcPr>
          <w:p>
            <w:pPr/>
          </w:p>
        </w:tc>
        <w:tc>
          <w:tcPr>
            <w:tcW w:w="854" w:type="dxa"/>
            <w:vMerge/>
            <w:tcBorders>
              <w:left w:val="single" w:sz="4" w:space="0" w:color="000000"/>
              <w:bottom w:val="single" w:sz="4" w:space="0" w:color="000000"/>
              <w:right w:val="single" w:sz="4" w:space="0" w:color="000000"/>
            </w:tcBorders>
          </w:tcPr>
          <w:p>
            <w:pPr/>
          </w:p>
        </w:tc>
      </w:tr>
      <w:tr>
        <w:trPr>
          <w:trHeight w:val="358" w:hRule="exact"/>
        </w:trPr>
        <w:tc>
          <w:tcPr>
            <w:tcW w:w="847"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上海合印</w:t>
            </w:r>
          </w:p>
        </w:tc>
        <w:tc>
          <w:tcPr>
            <w:tcW w:w="1001" w:type="dxa"/>
            <w:tcBorders>
              <w:top w:val="single" w:sz="4" w:space="0" w:color="000000"/>
              <w:left w:val="single" w:sz="4" w:space="0" w:color="000000"/>
              <w:bottom w:val="nil" w:sz="6" w:space="0" w:color="auto"/>
              <w:right w:val="single" w:sz="4" w:space="0" w:color="000000"/>
            </w:tcBorders>
          </w:tcPr>
          <w:p>
            <w:pPr/>
          </w:p>
        </w:tc>
        <w:tc>
          <w:tcPr>
            <w:tcW w:w="865" w:type="dxa"/>
            <w:vMerge w:val="restart"/>
            <w:tcBorders>
              <w:top w:val="single" w:sz="4" w:space="0" w:color="000000"/>
              <w:left w:val="single" w:sz="4" w:space="0" w:color="000000"/>
              <w:right w:val="single" w:sz="4" w:space="0" w:color="000000"/>
            </w:tcBorders>
          </w:tcPr>
          <w:p>
            <w:pPr/>
          </w:p>
        </w:tc>
        <w:tc>
          <w:tcPr>
            <w:tcW w:w="866" w:type="dxa"/>
            <w:tcBorders>
              <w:top w:val="single" w:sz="4" w:space="0" w:color="000000"/>
              <w:left w:val="single" w:sz="4" w:space="0" w:color="000000"/>
              <w:bottom w:val="nil" w:sz="6" w:space="0" w:color="auto"/>
              <w:right w:val="single" w:sz="4" w:space="0" w:color="000000"/>
            </w:tcBorders>
          </w:tcPr>
          <w:p>
            <w:pPr/>
          </w:p>
        </w:tc>
        <w:tc>
          <w:tcPr>
            <w:tcW w:w="1001" w:type="dxa"/>
            <w:vMerge w:val="restart"/>
            <w:tcBorders>
              <w:top w:val="single" w:sz="4" w:space="0" w:color="000000"/>
              <w:left w:val="single" w:sz="4" w:space="0" w:color="000000"/>
              <w:right w:val="single" w:sz="4" w:space="0" w:color="000000"/>
            </w:tcBorders>
          </w:tcPr>
          <w:p>
            <w:pPr/>
          </w:p>
        </w:tc>
        <w:tc>
          <w:tcPr>
            <w:tcW w:w="866"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857" w:type="dxa"/>
            <w:vMerge w:val="restart"/>
            <w:tcBorders>
              <w:top w:val="single" w:sz="4" w:space="0" w:color="000000"/>
              <w:left w:val="single" w:sz="4" w:space="0" w:color="000000"/>
              <w:right w:val="single" w:sz="4" w:space="0" w:color="000000"/>
            </w:tcBorders>
          </w:tcPr>
          <w:p>
            <w:pPr/>
          </w:p>
        </w:tc>
        <w:tc>
          <w:tcPr>
            <w:tcW w:w="865" w:type="dxa"/>
            <w:vMerge w:val="restart"/>
            <w:tcBorders>
              <w:top w:val="single" w:sz="4" w:space="0" w:color="000000"/>
              <w:left w:val="single" w:sz="4" w:space="0" w:color="000000"/>
              <w:right w:val="single" w:sz="4" w:space="0" w:color="000000"/>
            </w:tcBorders>
          </w:tcPr>
          <w:p>
            <w:pPr/>
          </w:p>
        </w:tc>
        <w:tc>
          <w:tcPr>
            <w:tcW w:w="846" w:type="dxa"/>
            <w:vMerge w:val="restart"/>
            <w:tcBorders>
              <w:top w:val="single" w:sz="4" w:space="0" w:color="000000"/>
              <w:left w:val="single" w:sz="4" w:space="0" w:color="000000"/>
              <w:right w:val="single" w:sz="4" w:space="0" w:color="000000"/>
            </w:tcBorders>
          </w:tcPr>
          <w:p>
            <w:pPr/>
          </w:p>
        </w:tc>
        <w:tc>
          <w:tcPr>
            <w:tcW w:w="854" w:type="dxa"/>
            <w:vMerge w:val="restart"/>
            <w:tcBorders>
              <w:top w:val="single" w:sz="4" w:space="0" w:color="000000"/>
              <w:left w:val="single" w:sz="4" w:space="0" w:color="000000"/>
              <w:right w:val="single" w:sz="4" w:space="0" w:color="000000"/>
            </w:tcBorders>
          </w:tcPr>
          <w:p>
            <w:pPr/>
          </w:p>
        </w:tc>
      </w:tr>
      <w:tr>
        <w:trPr>
          <w:trHeight w:val="316" w:hRule="exact"/>
        </w:trPr>
        <w:tc>
          <w:tcPr>
            <w:tcW w:w="84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包装服务</w:t>
            </w: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900,000.00</w:t>
            </w:r>
          </w:p>
        </w:tc>
        <w:tc>
          <w:tcPr>
            <w:tcW w:w="865" w:type="dxa"/>
            <w:vMerge/>
            <w:tcBorders>
              <w:left w:val="single" w:sz="4" w:space="0" w:color="000000"/>
              <w:right w:val="single" w:sz="4" w:space="0" w:color="000000"/>
            </w:tcBorders>
          </w:tcPr>
          <w:p>
            <w:pPr/>
          </w:p>
        </w:tc>
        <w:tc>
          <w:tcPr>
            <w:tcW w:w="86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sz w:val="18"/>
              </w:rPr>
              <w:t>900,000.00</w:t>
            </w:r>
          </w:p>
        </w:tc>
        <w:tc>
          <w:tcPr>
            <w:tcW w:w="1001"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57"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846"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r>
      <w:tr>
        <w:trPr>
          <w:trHeight w:val="351" w:hRule="exact"/>
        </w:trPr>
        <w:tc>
          <w:tcPr>
            <w:tcW w:w="847"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01" w:type="dxa"/>
            <w:tcBorders>
              <w:top w:val="nil" w:sz="6" w:space="0" w:color="auto"/>
              <w:left w:val="single" w:sz="4" w:space="0" w:color="000000"/>
              <w:bottom w:val="single" w:sz="4" w:space="0" w:color="000000"/>
              <w:right w:val="single" w:sz="4" w:space="0" w:color="000000"/>
            </w:tcBorders>
          </w:tcPr>
          <w:p>
            <w:pPr/>
          </w:p>
        </w:tc>
        <w:tc>
          <w:tcPr>
            <w:tcW w:w="865" w:type="dxa"/>
            <w:vMerge/>
            <w:tcBorders>
              <w:left w:val="single" w:sz="4" w:space="0" w:color="000000"/>
              <w:bottom w:val="single" w:sz="4" w:space="0" w:color="000000"/>
              <w:right w:val="single" w:sz="4" w:space="0" w:color="000000"/>
            </w:tcBorders>
          </w:tcPr>
          <w:p>
            <w:pPr/>
          </w:p>
        </w:tc>
        <w:tc>
          <w:tcPr>
            <w:tcW w:w="866" w:type="dxa"/>
            <w:tcBorders>
              <w:top w:val="nil" w:sz="6" w:space="0" w:color="auto"/>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866"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65" w:type="dxa"/>
            <w:vMerge/>
            <w:tcBorders>
              <w:left w:val="single" w:sz="4" w:space="0" w:color="000000"/>
              <w:bottom w:val="single" w:sz="4" w:space="0" w:color="000000"/>
              <w:right w:val="single" w:sz="4" w:space="0" w:color="000000"/>
            </w:tcBorders>
          </w:tcPr>
          <w:p>
            <w:pPr/>
          </w:p>
        </w:tc>
        <w:tc>
          <w:tcPr>
            <w:tcW w:w="846" w:type="dxa"/>
            <w:vMerge/>
            <w:tcBorders>
              <w:left w:val="single" w:sz="4" w:space="0" w:color="000000"/>
              <w:bottom w:val="single" w:sz="4" w:space="0" w:color="000000"/>
              <w:right w:val="single" w:sz="4" w:space="0" w:color="000000"/>
            </w:tcBorders>
          </w:tcPr>
          <w:p>
            <w:pPr/>
          </w:p>
        </w:tc>
        <w:tc>
          <w:tcPr>
            <w:tcW w:w="854" w:type="dxa"/>
            <w:vMerge/>
            <w:tcBorders>
              <w:left w:val="single" w:sz="4" w:space="0" w:color="000000"/>
              <w:bottom w:val="single" w:sz="4" w:space="0" w:color="000000"/>
              <w:right w:val="single" w:sz="4" w:space="0" w:color="000000"/>
            </w:tcBorders>
          </w:tcPr>
          <w:p>
            <w:pPr/>
          </w:p>
        </w:tc>
      </w:tr>
      <w:tr>
        <w:trPr>
          <w:trHeight w:val="358" w:hRule="exact"/>
        </w:trPr>
        <w:tc>
          <w:tcPr>
            <w:tcW w:w="847"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杭州来嗨</w:t>
            </w:r>
          </w:p>
        </w:tc>
        <w:tc>
          <w:tcPr>
            <w:tcW w:w="1001" w:type="dxa"/>
            <w:vMerge w:val="restart"/>
            <w:tcBorders>
              <w:top w:val="single" w:sz="4" w:space="0" w:color="000000"/>
              <w:left w:val="single" w:sz="4" w:space="0" w:color="000000"/>
              <w:right w:val="single" w:sz="4" w:space="0" w:color="000000"/>
            </w:tcBorders>
          </w:tcPr>
          <w:p>
            <w:pPr/>
          </w:p>
        </w:tc>
        <w:tc>
          <w:tcPr>
            <w:tcW w:w="865" w:type="dxa"/>
            <w:tcBorders>
              <w:top w:val="single" w:sz="4" w:space="0" w:color="000000"/>
              <w:left w:val="single" w:sz="4" w:space="0" w:color="000000"/>
              <w:bottom w:val="nil" w:sz="6" w:space="0" w:color="auto"/>
              <w:right w:val="single" w:sz="4" w:space="0" w:color="000000"/>
            </w:tcBorders>
          </w:tcPr>
          <w:p>
            <w:pPr/>
          </w:p>
        </w:tc>
        <w:tc>
          <w:tcPr>
            <w:tcW w:w="866" w:type="dxa"/>
            <w:vMerge w:val="restart"/>
            <w:tcBorders>
              <w:top w:val="single" w:sz="4" w:space="0" w:color="000000"/>
              <w:left w:val="single" w:sz="4" w:space="0" w:color="000000"/>
              <w:right w:val="single" w:sz="4" w:space="0" w:color="000000"/>
            </w:tcBorders>
          </w:tcPr>
          <w:p>
            <w:pPr/>
          </w:p>
        </w:tc>
        <w:tc>
          <w:tcPr>
            <w:tcW w:w="1001" w:type="dxa"/>
            <w:tcBorders>
              <w:top w:val="single" w:sz="4" w:space="0" w:color="000000"/>
              <w:left w:val="single" w:sz="4" w:space="0" w:color="000000"/>
              <w:bottom w:val="nil" w:sz="6" w:space="0" w:color="auto"/>
              <w:right w:val="single" w:sz="4" w:space="0" w:color="000000"/>
            </w:tcBorders>
          </w:tcPr>
          <w:p>
            <w:pPr/>
          </w:p>
        </w:tc>
        <w:tc>
          <w:tcPr>
            <w:tcW w:w="866"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857" w:type="dxa"/>
            <w:vMerge w:val="restart"/>
            <w:tcBorders>
              <w:top w:val="single" w:sz="4" w:space="0" w:color="000000"/>
              <w:left w:val="single" w:sz="4" w:space="0" w:color="000000"/>
              <w:right w:val="single" w:sz="4" w:space="0" w:color="000000"/>
            </w:tcBorders>
          </w:tcPr>
          <w:p>
            <w:pPr/>
          </w:p>
        </w:tc>
        <w:tc>
          <w:tcPr>
            <w:tcW w:w="865" w:type="dxa"/>
            <w:vMerge w:val="restart"/>
            <w:tcBorders>
              <w:top w:val="single" w:sz="4" w:space="0" w:color="000000"/>
              <w:left w:val="single" w:sz="4" w:space="0" w:color="000000"/>
              <w:right w:val="single" w:sz="4" w:space="0" w:color="000000"/>
            </w:tcBorders>
          </w:tcPr>
          <w:p>
            <w:pPr/>
          </w:p>
        </w:tc>
        <w:tc>
          <w:tcPr>
            <w:tcW w:w="846" w:type="dxa"/>
            <w:tcBorders>
              <w:top w:val="single" w:sz="4" w:space="0" w:color="000000"/>
              <w:left w:val="single" w:sz="4" w:space="0" w:color="000000"/>
              <w:bottom w:val="nil" w:sz="6" w:space="0" w:color="auto"/>
              <w:right w:val="single" w:sz="4" w:space="0" w:color="000000"/>
            </w:tcBorders>
          </w:tcPr>
          <w:p>
            <w:pPr/>
          </w:p>
        </w:tc>
        <w:tc>
          <w:tcPr>
            <w:tcW w:w="854" w:type="dxa"/>
            <w:vMerge w:val="restart"/>
            <w:tcBorders>
              <w:top w:val="single" w:sz="4" w:space="0" w:color="000000"/>
              <w:left w:val="single" w:sz="4" w:space="0" w:color="000000"/>
              <w:right w:val="single" w:sz="4" w:space="0" w:color="000000"/>
            </w:tcBorders>
          </w:tcPr>
          <w:p>
            <w:pPr/>
          </w:p>
        </w:tc>
      </w:tr>
      <w:tr>
        <w:trPr>
          <w:trHeight w:val="316" w:hRule="exact"/>
        </w:trPr>
        <w:tc>
          <w:tcPr>
            <w:tcW w:w="84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科技有限</w:t>
            </w:r>
          </w:p>
        </w:tc>
        <w:tc>
          <w:tcPr>
            <w:tcW w:w="1001" w:type="dxa"/>
            <w:vMerge/>
            <w:tcBorders>
              <w:left w:val="single" w:sz="4" w:space="0" w:color="000000"/>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240,000.00</w:t>
            </w:r>
          </w:p>
        </w:tc>
        <w:tc>
          <w:tcPr>
            <w:tcW w:w="866" w:type="dxa"/>
            <w:vMerge/>
            <w:tcBorders>
              <w:left w:val="single" w:sz="4" w:space="0" w:color="000000"/>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240,000.00</w:t>
            </w:r>
          </w:p>
        </w:tc>
        <w:tc>
          <w:tcPr>
            <w:tcW w:w="866"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57"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84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349" w:right="0"/>
              <w:jc w:val="left"/>
              <w:rPr>
                <w:rFonts w:ascii="Times New Roman" w:hAnsi="Times New Roman" w:cs="Times New Roman" w:eastAsia="Times New Roman" w:hint="default"/>
                <w:sz w:val="18"/>
                <w:szCs w:val="18"/>
              </w:rPr>
            </w:pPr>
            <w:r>
              <w:rPr>
                <w:rFonts w:ascii="Times New Roman"/>
                <w:sz w:val="18"/>
              </w:rPr>
              <w:t>6.00%</w:t>
            </w:r>
          </w:p>
        </w:tc>
        <w:tc>
          <w:tcPr>
            <w:tcW w:w="854" w:type="dxa"/>
            <w:vMerge/>
            <w:tcBorders>
              <w:left w:val="single" w:sz="4" w:space="0" w:color="000000"/>
              <w:right w:val="single" w:sz="4" w:space="0" w:color="000000"/>
            </w:tcBorders>
          </w:tcPr>
          <w:p>
            <w:pPr/>
          </w:p>
        </w:tc>
      </w:tr>
      <w:tr>
        <w:trPr>
          <w:trHeight w:val="351" w:hRule="exact"/>
        </w:trPr>
        <w:tc>
          <w:tcPr>
            <w:tcW w:w="847"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01" w:type="dxa"/>
            <w:vMerge/>
            <w:tcBorders>
              <w:left w:val="single" w:sz="4" w:space="0" w:color="000000"/>
              <w:bottom w:val="single" w:sz="4" w:space="0" w:color="000000"/>
              <w:right w:val="single" w:sz="4" w:space="0" w:color="000000"/>
            </w:tcBorders>
          </w:tcPr>
          <w:p>
            <w:pPr/>
          </w:p>
        </w:tc>
        <w:tc>
          <w:tcPr>
            <w:tcW w:w="865" w:type="dxa"/>
            <w:tcBorders>
              <w:top w:val="nil" w:sz="6" w:space="0" w:color="auto"/>
              <w:left w:val="single" w:sz="4" w:space="0" w:color="000000"/>
              <w:bottom w:val="single" w:sz="4" w:space="0" w:color="000000"/>
              <w:right w:val="single" w:sz="4" w:space="0" w:color="000000"/>
            </w:tcBorders>
          </w:tcPr>
          <w:p>
            <w:pPr/>
          </w:p>
        </w:tc>
        <w:tc>
          <w:tcPr>
            <w:tcW w:w="866" w:type="dxa"/>
            <w:vMerge/>
            <w:tcBorders>
              <w:left w:val="single" w:sz="4" w:space="0" w:color="000000"/>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866"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65" w:type="dxa"/>
            <w:vMerge/>
            <w:tcBorders>
              <w:left w:val="single" w:sz="4" w:space="0" w:color="000000"/>
              <w:bottom w:val="single" w:sz="4" w:space="0" w:color="000000"/>
              <w:right w:val="single" w:sz="4" w:space="0" w:color="000000"/>
            </w:tcBorders>
          </w:tcPr>
          <w:p>
            <w:pPr/>
          </w:p>
        </w:tc>
        <w:tc>
          <w:tcPr>
            <w:tcW w:w="846" w:type="dxa"/>
            <w:tcBorders>
              <w:top w:val="nil" w:sz="6" w:space="0" w:color="auto"/>
              <w:left w:val="single" w:sz="4" w:space="0" w:color="000000"/>
              <w:bottom w:val="single" w:sz="4" w:space="0" w:color="000000"/>
              <w:right w:val="single" w:sz="4" w:space="0" w:color="000000"/>
            </w:tcBorders>
          </w:tcPr>
          <w:p>
            <w:pPr/>
          </w:p>
        </w:tc>
        <w:tc>
          <w:tcPr>
            <w:tcW w:w="854" w:type="dxa"/>
            <w:vMerge/>
            <w:tcBorders>
              <w:left w:val="single" w:sz="4" w:space="0" w:color="000000"/>
              <w:bottom w:val="single" w:sz="4" w:space="0" w:color="000000"/>
              <w:right w:val="single" w:sz="4" w:space="0" w:color="000000"/>
            </w:tcBorders>
          </w:tcPr>
          <w:p>
            <w:pPr/>
          </w:p>
        </w:tc>
      </w:tr>
      <w:tr>
        <w:trPr>
          <w:trHeight w:val="358" w:hRule="exact"/>
        </w:trPr>
        <w:tc>
          <w:tcPr>
            <w:tcW w:w="847"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杭州比目</w:t>
            </w:r>
          </w:p>
        </w:tc>
        <w:tc>
          <w:tcPr>
            <w:tcW w:w="1001" w:type="dxa"/>
            <w:vMerge w:val="restart"/>
            <w:tcBorders>
              <w:top w:val="single" w:sz="4" w:space="0" w:color="000000"/>
              <w:left w:val="single" w:sz="4" w:space="0" w:color="000000"/>
              <w:right w:val="single" w:sz="4" w:space="0" w:color="000000"/>
            </w:tcBorders>
          </w:tcPr>
          <w:p>
            <w:pPr/>
          </w:p>
        </w:tc>
        <w:tc>
          <w:tcPr>
            <w:tcW w:w="865" w:type="dxa"/>
            <w:tcBorders>
              <w:top w:val="single" w:sz="4" w:space="0" w:color="000000"/>
              <w:left w:val="single" w:sz="4" w:space="0" w:color="000000"/>
              <w:bottom w:val="nil" w:sz="6" w:space="0" w:color="auto"/>
              <w:right w:val="single" w:sz="4" w:space="0" w:color="000000"/>
            </w:tcBorders>
          </w:tcPr>
          <w:p>
            <w:pPr/>
          </w:p>
        </w:tc>
        <w:tc>
          <w:tcPr>
            <w:tcW w:w="866" w:type="dxa"/>
            <w:vMerge w:val="restart"/>
            <w:tcBorders>
              <w:top w:val="single" w:sz="4" w:space="0" w:color="000000"/>
              <w:left w:val="single" w:sz="4" w:space="0" w:color="000000"/>
              <w:right w:val="single" w:sz="4" w:space="0" w:color="000000"/>
            </w:tcBorders>
          </w:tcPr>
          <w:p>
            <w:pPr/>
          </w:p>
        </w:tc>
        <w:tc>
          <w:tcPr>
            <w:tcW w:w="1001" w:type="dxa"/>
            <w:tcBorders>
              <w:top w:val="single" w:sz="4" w:space="0" w:color="000000"/>
              <w:left w:val="single" w:sz="4" w:space="0" w:color="000000"/>
              <w:bottom w:val="nil" w:sz="6" w:space="0" w:color="auto"/>
              <w:right w:val="single" w:sz="4" w:space="0" w:color="000000"/>
            </w:tcBorders>
          </w:tcPr>
          <w:p>
            <w:pPr/>
          </w:p>
        </w:tc>
        <w:tc>
          <w:tcPr>
            <w:tcW w:w="866"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857" w:type="dxa"/>
            <w:vMerge w:val="restart"/>
            <w:tcBorders>
              <w:top w:val="single" w:sz="4" w:space="0" w:color="000000"/>
              <w:left w:val="single" w:sz="4" w:space="0" w:color="000000"/>
              <w:right w:val="single" w:sz="4" w:space="0" w:color="000000"/>
            </w:tcBorders>
          </w:tcPr>
          <w:p>
            <w:pPr/>
          </w:p>
        </w:tc>
        <w:tc>
          <w:tcPr>
            <w:tcW w:w="865" w:type="dxa"/>
            <w:vMerge w:val="restart"/>
            <w:tcBorders>
              <w:top w:val="single" w:sz="4" w:space="0" w:color="000000"/>
              <w:left w:val="single" w:sz="4" w:space="0" w:color="000000"/>
              <w:right w:val="single" w:sz="4" w:space="0" w:color="000000"/>
            </w:tcBorders>
          </w:tcPr>
          <w:p>
            <w:pPr/>
          </w:p>
        </w:tc>
        <w:tc>
          <w:tcPr>
            <w:tcW w:w="846" w:type="dxa"/>
            <w:tcBorders>
              <w:top w:val="single" w:sz="4" w:space="0" w:color="000000"/>
              <w:left w:val="single" w:sz="4" w:space="0" w:color="000000"/>
              <w:bottom w:val="nil" w:sz="6" w:space="0" w:color="auto"/>
              <w:right w:val="single" w:sz="4" w:space="0" w:color="000000"/>
            </w:tcBorders>
          </w:tcPr>
          <w:p>
            <w:pPr/>
          </w:p>
        </w:tc>
        <w:tc>
          <w:tcPr>
            <w:tcW w:w="854" w:type="dxa"/>
            <w:vMerge w:val="restart"/>
            <w:tcBorders>
              <w:top w:val="single" w:sz="4" w:space="0" w:color="000000"/>
              <w:left w:val="single" w:sz="4" w:space="0" w:color="000000"/>
              <w:right w:val="single" w:sz="4" w:space="0" w:color="000000"/>
            </w:tcBorders>
          </w:tcPr>
          <w:p>
            <w:pPr/>
          </w:p>
        </w:tc>
      </w:tr>
      <w:tr>
        <w:trPr>
          <w:trHeight w:val="311" w:hRule="exact"/>
        </w:trPr>
        <w:tc>
          <w:tcPr>
            <w:tcW w:w="84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鱼投资管</w:t>
            </w:r>
          </w:p>
        </w:tc>
        <w:tc>
          <w:tcPr>
            <w:tcW w:w="1001" w:type="dxa"/>
            <w:vMerge/>
            <w:tcBorders>
              <w:left w:val="single" w:sz="4" w:space="0" w:color="000000"/>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
        </w:tc>
        <w:tc>
          <w:tcPr>
            <w:tcW w:w="866" w:type="dxa"/>
            <w:vMerge/>
            <w:tcBorders>
              <w:left w:val="single" w:sz="4" w:space="0" w:color="000000"/>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866"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57"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846" w:type="dxa"/>
            <w:tcBorders>
              <w:top w:val="nil" w:sz="6" w:space="0" w:color="auto"/>
              <w:left w:val="single" w:sz="4" w:space="0" w:color="000000"/>
              <w:bottom w:val="nil" w:sz="6" w:space="0" w:color="auto"/>
              <w:right w:val="single" w:sz="4" w:space="0" w:color="000000"/>
            </w:tcBorders>
          </w:tcPr>
          <w:p>
            <w:pPr/>
          </w:p>
        </w:tc>
        <w:tc>
          <w:tcPr>
            <w:tcW w:w="854" w:type="dxa"/>
            <w:vMerge/>
            <w:tcBorders>
              <w:left w:val="single" w:sz="4" w:space="0" w:color="000000"/>
              <w:right w:val="single" w:sz="4" w:space="0" w:color="000000"/>
            </w:tcBorders>
          </w:tcPr>
          <w:p>
            <w:pPr/>
          </w:p>
        </w:tc>
      </w:tr>
      <w:tr>
        <w:trPr>
          <w:trHeight w:val="316" w:hRule="exact"/>
        </w:trPr>
        <w:tc>
          <w:tcPr>
            <w:tcW w:w="84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理合伙企</w:t>
            </w:r>
          </w:p>
        </w:tc>
        <w:tc>
          <w:tcPr>
            <w:tcW w:w="1001" w:type="dxa"/>
            <w:vMerge/>
            <w:tcBorders>
              <w:left w:val="single" w:sz="4" w:space="0" w:color="000000"/>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100,000.00</w:t>
            </w:r>
          </w:p>
        </w:tc>
        <w:tc>
          <w:tcPr>
            <w:tcW w:w="866" w:type="dxa"/>
            <w:vMerge/>
            <w:tcBorders>
              <w:left w:val="single" w:sz="4" w:space="0" w:color="000000"/>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100,000.00</w:t>
            </w:r>
          </w:p>
        </w:tc>
        <w:tc>
          <w:tcPr>
            <w:tcW w:w="866"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57"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84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349" w:right="0"/>
              <w:jc w:val="left"/>
              <w:rPr>
                <w:rFonts w:ascii="Times New Roman" w:hAnsi="Times New Roman" w:cs="Times New Roman" w:eastAsia="Times New Roman" w:hint="default"/>
                <w:sz w:val="18"/>
                <w:szCs w:val="18"/>
              </w:rPr>
            </w:pPr>
            <w:r>
              <w:rPr>
                <w:rFonts w:ascii="Times New Roman"/>
                <w:sz w:val="18"/>
              </w:rPr>
              <w:t>0.90%</w:t>
            </w:r>
          </w:p>
        </w:tc>
        <w:tc>
          <w:tcPr>
            <w:tcW w:w="854" w:type="dxa"/>
            <w:vMerge/>
            <w:tcBorders>
              <w:left w:val="single" w:sz="4" w:space="0" w:color="000000"/>
              <w:right w:val="single" w:sz="4" w:space="0" w:color="000000"/>
            </w:tcBorders>
          </w:tcPr>
          <w:p>
            <w:pPr/>
          </w:p>
        </w:tc>
      </w:tr>
      <w:tr>
        <w:trPr>
          <w:trHeight w:val="308" w:hRule="exact"/>
        </w:trPr>
        <w:tc>
          <w:tcPr>
            <w:tcW w:w="84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业（有限</w:t>
            </w:r>
          </w:p>
        </w:tc>
        <w:tc>
          <w:tcPr>
            <w:tcW w:w="1001" w:type="dxa"/>
            <w:vMerge/>
            <w:tcBorders>
              <w:left w:val="single" w:sz="4" w:space="0" w:color="000000"/>
              <w:right w:val="single" w:sz="4" w:space="0" w:color="000000"/>
            </w:tcBorders>
          </w:tcPr>
          <w:p>
            <w:pPr/>
          </w:p>
        </w:tc>
        <w:tc>
          <w:tcPr>
            <w:tcW w:w="865" w:type="dxa"/>
            <w:tcBorders>
              <w:top w:val="nil" w:sz="6" w:space="0" w:color="auto"/>
              <w:left w:val="single" w:sz="4" w:space="0" w:color="000000"/>
              <w:bottom w:val="nil" w:sz="6" w:space="0" w:color="auto"/>
              <w:right w:val="single" w:sz="4" w:space="0" w:color="000000"/>
            </w:tcBorders>
          </w:tcPr>
          <w:p>
            <w:pPr/>
          </w:p>
        </w:tc>
        <w:tc>
          <w:tcPr>
            <w:tcW w:w="866" w:type="dxa"/>
            <w:vMerge/>
            <w:tcBorders>
              <w:left w:val="single" w:sz="4" w:space="0" w:color="000000"/>
              <w:right w:val="single" w:sz="4" w:space="0" w:color="000000"/>
            </w:tcBorders>
          </w:tcPr>
          <w:p>
            <w:pPr/>
          </w:p>
        </w:tc>
        <w:tc>
          <w:tcPr>
            <w:tcW w:w="1001" w:type="dxa"/>
            <w:tcBorders>
              <w:top w:val="nil" w:sz="6" w:space="0" w:color="auto"/>
              <w:left w:val="single" w:sz="4" w:space="0" w:color="000000"/>
              <w:bottom w:val="nil" w:sz="6" w:space="0" w:color="auto"/>
              <w:right w:val="single" w:sz="4" w:space="0" w:color="000000"/>
            </w:tcBorders>
          </w:tcPr>
          <w:p>
            <w:pPr/>
          </w:p>
        </w:tc>
        <w:tc>
          <w:tcPr>
            <w:tcW w:w="866"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57"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846" w:type="dxa"/>
            <w:tcBorders>
              <w:top w:val="nil" w:sz="6" w:space="0" w:color="auto"/>
              <w:left w:val="single" w:sz="4" w:space="0" w:color="000000"/>
              <w:bottom w:val="nil" w:sz="6" w:space="0" w:color="auto"/>
              <w:right w:val="single" w:sz="4" w:space="0" w:color="000000"/>
            </w:tcBorders>
          </w:tcPr>
          <w:p>
            <w:pPr/>
          </w:p>
        </w:tc>
        <w:tc>
          <w:tcPr>
            <w:tcW w:w="854" w:type="dxa"/>
            <w:vMerge/>
            <w:tcBorders>
              <w:left w:val="single" w:sz="4" w:space="0" w:color="000000"/>
              <w:right w:val="single" w:sz="4" w:space="0" w:color="000000"/>
            </w:tcBorders>
          </w:tcPr>
          <w:p>
            <w:pPr/>
          </w:p>
        </w:tc>
      </w:tr>
      <w:tr>
        <w:trPr>
          <w:trHeight w:val="356" w:hRule="exact"/>
        </w:trPr>
        <w:tc>
          <w:tcPr>
            <w:tcW w:w="847"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合伙）</w:t>
            </w:r>
          </w:p>
        </w:tc>
        <w:tc>
          <w:tcPr>
            <w:tcW w:w="1001" w:type="dxa"/>
            <w:vMerge/>
            <w:tcBorders>
              <w:left w:val="single" w:sz="4" w:space="0" w:color="000000"/>
              <w:bottom w:val="single" w:sz="4" w:space="0" w:color="000000"/>
              <w:right w:val="single" w:sz="4" w:space="0" w:color="000000"/>
            </w:tcBorders>
          </w:tcPr>
          <w:p>
            <w:pPr/>
          </w:p>
        </w:tc>
        <w:tc>
          <w:tcPr>
            <w:tcW w:w="865" w:type="dxa"/>
            <w:tcBorders>
              <w:top w:val="nil" w:sz="6" w:space="0" w:color="auto"/>
              <w:left w:val="single" w:sz="4" w:space="0" w:color="000000"/>
              <w:bottom w:val="single" w:sz="4" w:space="0" w:color="000000"/>
              <w:right w:val="single" w:sz="4" w:space="0" w:color="000000"/>
            </w:tcBorders>
          </w:tcPr>
          <w:p>
            <w:pPr/>
          </w:p>
        </w:tc>
        <w:tc>
          <w:tcPr>
            <w:tcW w:w="866" w:type="dxa"/>
            <w:vMerge/>
            <w:tcBorders>
              <w:left w:val="single" w:sz="4" w:space="0" w:color="000000"/>
              <w:bottom w:val="single" w:sz="4" w:space="0" w:color="000000"/>
              <w:right w:val="single" w:sz="4" w:space="0" w:color="000000"/>
            </w:tcBorders>
          </w:tcPr>
          <w:p>
            <w:pPr/>
          </w:p>
        </w:tc>
        <w:tc>
          <w:tcPr>
            <w:tcW w:w="1001" w:type="dxa"/>
            <w:tcBorders>
              <w:top w:val="nil" w:sz="6" w:space="0" w:color="auto"/>
              <w:left w:val="single" w:sz="4" w:space="0" w:color="000000"/>
              <w:bottom w:val="single" w:sz="4" w:space="0" w:color="000000"/>
              <w:right w:val="single" w:sz="4" w:space="0" w:color="000000"/>
            </w:tcBorders>
          </w:tcPr>
          <w:p>
            <w:pPr/>
          </w:p>
        </w:tc>
        <w:tc>
          <w:tcPr>
            <w:tcW w:w="866"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65" w:type="dxa"/>
            <w:vMerge/>
            <w:tcBorders>
              <w:left w:val="single" w:sz="4" w:space="0" w:color="000000"/>
              <w:bottom w:val="single" w:sz="4" w:space="0" w:color="000000"/>
              <w:right w:val="single" w:sz="4" w:space="0" w:color="000000"/>
            </w:tcBorders>
          </w:tcPr>
          <w:p>
            <w:pPr/>
          </w:p>
        </w:tc>
        <w:tc>
          <w:tcPr>
            <w:tcW w:w="846" w:type="dxa"/>
            <w:tcBorders>
              <w:top w:val="nil" w:sz="6" w:space="0" w:color="auto"/>
              <w:left w:val="single" w:sz="4" w:space="0" w:color="000000"/>
              <w:bottom w:val="single" w:sz="4" w:space="0" w:color="000000"/>
              <w:right w:val="single" w:sz="4" w:space="0" w:color="000000"/>
            </w:tcBorders>
          </w:tcPr>
          <w:p>
            <w:pPr/>
          </w:p>
        </w:tc>
        <w:tc>
          <w:tcPr>
            <w:tcW w:w="854" w:type="dxa"/>
            <w:vMerge/>
            <w:tcBorders>
              <w:left w:val="single" w:sz="4" w:space="0" w:color="000000"/>
              <w:bottom w:val="single" w:sz="4" w:space="0" w:color="000000"/>
              <w:right w:val="single" w:sz="4" w:space="0" w:color="000000"/>
            </w:tcBorders>
          </w:tcPr>
          <w:p>
            <w:pPr/>
          </w:p>
        </w:tc>
      </w:tr>
      <w:tr>
        <w:trPr>
          <w:trHeight w:val="358" w:hRule="exact"/>
        </w:trPr>
        <w:tc>
          <w:tcPr>
            <w:tcW w:w="847"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杭州太仆</w:t>
            </w:r>
          </w:p>
        </w:tc>
        <w:tc>
          <w:tcPr>
            <w:tcW w:w="1001" w:type="dxa"/>
            <w:vMerge w:val="restart"/>
            <w:tcBorders>
              <w:top w:val="single" w:sz="4" w:space="0" w:color="000000"/>
              <w:left w:val="single" w:sz="4" w:space="0" w:color="000000"/>
              <w:right w:val="single" w:sz="4" w:space="0" w:color="000000"/>
            </w:tcBorders>
          </w:tcPr>
          <w:p>
            <w:pPr/>
          </w:p>
        </w:tc>
        <w:tc>
          <w:tcPr>
            <w:tcW w:w="865" w:type="dxa"/>
            <w:vMerge w:val="restart"/>
            <w:tcBorders>
              <w:top w:val="single" w:sz="4" w:space="0" w:color="000000"/>
              <w:left w:val="single" w:sz="4" w:space="0" w:color="000000"/>
              <w:right w:val="single" w:sz="4" w:space="0" w:color="000000"/>
            </w:tcBorders>
          </w:tcPr>
          <w:p>
            <w:pPr/>
          </w:p>
        </w:tc>
        <w:tc>
          <w:tcPr>
            <w:tcW w:w="866" w:type="dxa"/>
            <w:vMerge w:val="restart"/>
            <w:tcBorders>
              <w:top w:val="single" w:sz="4" w:space="0" w:color="000000"/>
              <w:left w:val="single" w:sz="4" w:space="0" w:color="000000"/>
              <w:right w:val="single" w:sz="4" w:space="0" w:color="000000"/>
            </w:tcBorders>
          </w:tcPr>
          <w:p>
            <w:pPr/>
          </w:p>
        </w:tc>
        <w:tc>
          <w:tcPr>
            <w:tcW w:w="1001" w:type="dxa"/>
            <w:vMerge w:val="restart"/>
            <w:tcBorders>
              <w:top w:val="single" w:sz="4" w:space="0" w:color="000000"/>
              <w:left w:val="single" w:sz="4" w:space="0" w:color="000000"/>
              <w:right w:val="single" w:sz="4" w:space="0" w:color="000000"/>
            </w:tcBorders>
          </w:tcPr>
          <w:p>
            <w:pPr/>
          </w:p>
        </w:tc>
        <w:tc>
          <w:tcPr>
            <w:tcW w:w="866"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857" w:type="dxa"/>
            <w:vMerge w:val="restart"/>
            <w:tcBorders>
              <w:top w:val="single" w:sz="4" w:space="0" w:color="000000"/>
              <w:left w:val="single" w:sz="4" w:space="0" w:color="000000"/>
              <w:right w:val="single" w:sz="4" w:space="0" w:color="000000"/>
            </w:tcBorders>
          </w:tcPr>
          <w:p>
            <w:pPr/>
          </w:p>
        </w:tc>
        <w:tc>
          <w:tcPr>
            <w:tcW w:w="865" w:type="dxa"/>
            <w:vMerge w:val="restart"/>
            <w:tcBorders>
              <w:top w:val="single" w:sz="4" w:space="0" w:color="000000"/>
              <w:left w:val="single" w:sz="4" w:space="0" w:color="000000"/>
              <w:right w:val="single" w:sz="4" w:space="0" w:color="000000"/>
            </w:tcBorders>
          </w:tcPr>
          <w:p>
            <w:pPr/>
          </w:p>
        </w:tc>
        <w:tc>
          <w:tcPr>
            <w:tcW w:w="846" w:type="dxa"/>
            <w:tcBorders>
              <w:top w:val="single" w:sz="4" w:space="0" w:color="000000"/>
              <w:left w:val="single" w:sz="4" w:space="0" w:color="000000"/>
              <w:bottom w:val="nil" w:sz="6" w:space="0" w:color="auto"/>
              <w:right w:val="single" w:sz="4" w:space="0" w:color="000000"/>
            </w:tcBorders>
          </w:tcPr>
          <w:p>
            <w:pPr/>
          </w:p>
        </w:tc>
        <w:tc>
          <w:tcPr>
            <w:tcW w:w="854" w:type="dxa"/>
            <w:vMerge w:val="restart"/>
            <w:tcBorders>
              <w:top w:val="single" w:sz="4" w:space="0" w:color="000000"/>
              <w:left w:val="single" w:sz="4" w:space="0" w:color="000000"/>
              <w:right w:val="single" w:sz="4" w:space="0" w:color="000000"/>
            </w:tcBorders>
          </w:tcPr>
          <w:p>
            <w:pPr/>
          </w:p>
        </w:tc>
      </w:tr>
      <w:tr>
        <w:trPr>
          <w:trHeight w:val="316" w:hRule="exact"/>
        </w:trPr>
        <w:tc>
          <w:tcPr>
            <w:tcW w:w="84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汽车科技</w:t>
            </w:r>
          </w:p>
        </w:tc>
        <w:tc>
          <w:tcPr>
            <w:tcW w:w="1001"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57"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84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349" w:right="0"/>
              <w:jc w:val="left"/>
              <w:rPr>
                <w:rFonts w:ascii="Times New Roman" w:hAnsi="Times New Roman" w:cs="Times New Roman" w:eastAsia="Times New Roman" w:hint="default"/>
                <w:sz w:val="18"/>
                <w:szCs w:val="18"/>
              </w:rPr>
            </w:pPr>
            <w:r>
              <w:rPr>
                <w:rFonts w:ascii="Times New Roman"/>
                <w:sz w:val="18"/>
              </w:rPr>
              <w:t>5.00%</w:t>
            </w:r>
          </w:p>
        </w:tc>
        <w:tc>
          <w:tcPr>
            <w:tcW w:w="854" w:type="dxa"/>
            <w:vMerge/>
            <w:tcBorders>
              <w:left w:val="single" w:sz="4" w:space="0" w:color="000000"/>
              <w:right w:val="single" w:sz="4" w:space="0" w:color="000000"/>
            </w:tcBorders>
          </w:tcPr>
          <w:p>
            <w:pPr/>
          </w:p>
        </w:tc>
      </w:tr>
      <w:tr>
        <w:trPr>
          <w:trHeight w:val="351" w:hRule="exact"/>
        </w:trPr>
        <w:tc>
          <w:tcPr>
            <w:tcW w:w="847"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01" w:type="dxa"/>
            <w:vMerge/>
            <w:tcBorders>
              <w:left w:val="single" w:sz="4" w:space="0" w:color="000000"/>
              <w:bottom w:val="single" w:sz="4" w:space="0" w:color="000000"/>
              <w:right w:val="single" w:sz="4" w:space="0" w:color="000000"/>
            </w:tcBorders>
          </w:tcPr>
          <w:p>
            <w:pPr/>
          </w:p>
        </w:tc>
        <w:tc>
          <w:tcPr>
            <w:tcW w:w="865" w:type="dxa"/>
            <w:vMerge/>
            <w:tcBorders>
              <w:left w:val="single" w:sz="4" w:space="0" w:color="000000"/>
              <w:bottom w:val="single" w:sz="4" w:space="0" w:color="000000"/>
              <w:right w:val="single" w:sz="4" w:space="0" w:color="000000"/>
            </w:tcBorders>
          </w:tcPr>
          <w:p>
            <w:pPr/>
          </w:p>
        </w:tc>
        <w:tc>
          <w:tcPr>
            <w:tcW w:w="866"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866"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65" w:type="dxa"/>
            <w:vMerge/>
            <w:tcBorders>
              <w:left w:val="single" w:sz="4" w:space="0" w:color="000000"/>
              <w:bottom w:val="single" w:sz="4" w:space="0" w:color="000000"/>
              <w:right w:val="single" w:sz="4" w:space="0" w:color="000000"/>
            </w:tcBorders>
          </w:tcPr>
          <w:p>
            <w:pPr/>
          </w:p>
        </w:tc>
        <w:tc>
          <w:tcPr>
            <w:tcW w:w="846" w:type="dxa"/>
            <w:tcBorders>
              <w:top w:val="nil" w:sz="6" w:space="0" w:color="auto"/>
              <w:left w:val="single" w:sz="4" w:space="0" w:color="000000"/>
              <w:bottom w:val="single" w:sz="4" w:space="0" w:color="000000"/>
              <w:right w:val="single" w:sz="4" w:space="0" w:color="000000"/>
            </w:tcBorders>
          </w:tcPr>
          <w:p>
            <w:pPr/>
          </w:p>
        </w:tc>
        <w:tc>
          <w:tcPr>
            <w:tcW w:w="854" w:type="dxa"/>
            <w:vMerge/>
            <w:tcBorders>
              <w:left w:val="single" w:sz="4" w:space="0" w:color="000000"/>
              <w:bottom w:val="single" w:sz="4" w:space="0" w:color="000000"/>
              <w:right w:val="single" w:sz="4" w:space="0" w:color="000000"/>
            </w:tcBorders>
          </w:tcPr>
          <w:p>
            <w:pPr/>
          </w:p>
        </w:tc>
      </w:tr>
      <w:tr>
        <w:trPr>
          <w:trHeight w:val="358" w:hRule="exact"/>
        </w:trPr>
        <w:tc>
          <w:tcPr>
            <w:tcW w:w="847"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杭州来嗨</w:t>
            </w:r>
          </w:p>
        </w:tc>
        <w:tc>
          <w:tcPr>
            <w:tcW w:w="1001" w:type="dxa"/>
            <w:vMerge w:val="restart"/>
            <w:tcBorders>
              <w:top w:val="single" w:sz="4" w:space="0" w:color="000000"/>
              <w:left w:val="single" w:sz="4" w:space="0" w:color="000000"/>
              <w:right w:val="single" w:sz="4" w:space="0" w:color="000000"/>
            </w:tcBorders>
          </w:tcPr>
          <w:p>
            <w:pPr/>
          </w:p>
        </w:tc>
        <w:tc>
          <w:tcPr>
            <w:tcW w:w="865" w:type="dxa"/>
            <w:vMerge w:val="restart"/>
            <w:tcBorders>
              <w:top w:val="single" w:sz="4" w:space="0" w:color="000000"/>
              <w:left w:val="single" w:sz="4" w:space="0" w:color="000000"/>
              <w:right w:val="single" w:sz="4" w:space="0" w:color="000000"/>
            </w:tcBorders>
          </w:tcPr>
          <w:p>
            <w:pPr/>
          </w:p>
        </w:tc>
        <w:tc>
          <w:tcPr>
            <w:tcW w:w="866" w:type="dxa"/>
            <w:vMerge w:val="restart"/>
            <w:tcBorders>
              <w:top w:val="single" w:sz="4" w:space="0" w:color="000000"/>
              <w:left w:val="single" w:sz="4" w:space="0" w:color="000000"/>
              <w:right w:val="single" w:sz="4" w:space="0" w:color="000000"/>
            </w:tcBorders>
          </w:tcPr>
          <w:p>
            <w:pPr/>
          </w:p>
        </w:tc>
        <w:tc>
          <w:tcPr>
            <w:tcW w:w="1001" w:type="dxa"/>
            <w:vMerge w:val="restart"/>
            <w:tcBorders>
              <w:top w:val="single" w:sz="4" w:space="0" w:color="000000"/>
              <w:left w:val="single" w:sz="4" w:space="0" w:color="000000"/>
              <w:right w:val="single" w:sz="4" w:space="0" w:color="000000"/>
            </w:tcBorders>
          </w:tcPr>
          <w:p>
            <w:pPr/>
          </w:p>
        </w:tc>
        <w:tc>
          <w:tcPr>
            <w:tcW w:w="866"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857" w:type="dxa"/>
            <w:vMerge w:val="restart"/>
            <w:tcBorders>
              <w:top w:val="single" w:sz="4" w:space="0" w:color="000000"/>
              <w:left w:val="single" w:sz="4" w:space="0" w:color="000000"/>
              <w:right w:val="single" w:sz="4" w:space="0" w:color="000000"/>
            </w:tcBorders>
          </w:tcPr>
          <w:p>
            <w:pPr/>
          </w:p>
        </w:tc>
        <w:tc>
          <w:tcPr>
            <w:tcW w:w="865" w:type="dxa"/>
            <w:vMerge w:val="restart"/>
            <w:tcBorders>
              <w:top w:val="single" w:sz="4" w:space="0" w:color="000000"/>
              <w:left w:val="single" w:sz="4" w:space="0" w:color="000000"/>
              <w:right w:val="single" w:sz="4" w:space="0" w:color="000000"/>
            </w:tcBorders>
          </w:tcPr>
          <w:p>
            <w:pPr/>
          </w:p>
        </w:tc>
        <w:tc>
          <w:tcPr>
            <w:tcW w:w="846" w:type="dxa"/>
            <w:tcBorders>
              <w:top w:val="single" w:sz="4" w:space="0" w:color="000000"/>
              <w:left w:val="single" w:sz="4" w:space="0" w:color="000000"/>
              <w:bottom w:val="nil" w:sz="6" w:space="0" w:color="auto"/>
              <w:right w:val="single" w:sz="4" w:space="0" w:color="000000"/>
            </w:tcBorders>
          </w:tcPr>
          <w:p>
            <w:pPr/>
          </w:p>
        </w:tc>
        <w:tc>
          <w:tcPr>
            <w:tcW w:w="854" w:type="dxa"/>
            <w:vMerge w:val="restart"/>
            <w:tcBorders>
              <w:top w:val="single" w:sz="4" w:space="0" w:color="000000"/>
              <w:left w:val="single" w:sz="4" w:space="0" w:color="000000"/>
              <w:right w:val="single" w:sz="4" w:space="0" w:color="000000"/>
            </w:tcBorders>
          </w:tcPr>
          <w:p>
            <w:pPr/>
          </w:p>
        </w:tc>
      </w:tr>
      <w:tr>
        <w:trPr>
          <w:trHeight w:val="316" w:hRule="exact"/>
        </w:trPr>
        <w:tc>
          <w:tcPr>
            <w:tcW w:w="84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科技有限</w:t>
            </w:r>
          </w:p>
        </w:tc>
        <w:tc>
          <w:tcPr>
            <w:tcW w:w="1001"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57"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84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349" w:right="0"/>
              <w:jc w:val="left"/>
              <w:rPr>
                <w:rFonts w:ascii="Times New Roman" w:hAnsi="Times New Roman" w:cs="Times New Roman" w:eastAsia="Times New Roman" w:hint="default"/>
                <w:sz w:val="18"/>
                <w:szCs w:val="18"/>
              </w:rPr>
            </w:pPr>
            <w:r>
              <w:rPr>
                <w:rFonts w:ascii="Times New Roman"/>
                <w:sz w:val="18"/>
              </w:rPr>
              <w:t>6.00%</w:t>
            </w:r>
          </w:p>
        </w:tc>
        <w:tc>
          <w:tcPr>
            <w:tcW w:w="854" w:type="dxa"/>
            <w:vMerge/>
            <w:tcBorders>
              <w:left w:val="single" w:sz="4" w:space="0" w:color="000000"/>
              <w:right w:val="single" w:sz="4" w:space="0" w:color="000000"/>
            </w:tcBorders>
          </w:tcPr>
          <w:p>
            <w:pPr/>
          </w:p>
        </w:tc>
      </w:tr>
      <w:tr>
        <w:trPr>
          <w:trHeight w:val="351" w:hRule="exact"/>
        </w:trPr>
        <w:tc>
          <w:tcPr>
            <w:tcW w:w="847"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01" w:type="dxa"/>
            <w:vMerge/>
            <w:tcBorders>
              <w:left w:val="single" w:sz="4" w:space="0" w:color="000000"/>
              <w:bottom w:val="single" w:sz="4" w:space="0" w:color="000000"/>
              <w:right w:val="single" w:sz="4" w:space="0" w:color="000000"/>
            </w:tcBorders>
          </w:tcPr>
          <w:p>
            <w:pPr/>
          </w:p>
        </w:tc>
        <w:tc>
          <w:tcPr>
            <w:tcW w:w="865" w:type="dxa"/>
            <w:vMerge/>
            <w:tcBorders>
              <w:left w:val="single" w:sz="4" w:space="0" w:color="000000"/>
              <w:bottom w:val="single" w:sz="4" w:space="0" w:color="000000"/>
              <w:right w:val="single" w:sz="4" w:space="0" w:color="000000"/>
            </w:tcBorders>
          </w:tcPr>
          <w:p>
            <w:pPr/>
          </w:p>
        </w:tc>
        <w:tc>
          <w:tcPr>
            <w:tcW w:w="866"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866"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65" w:type="dxa"/>
            <w:vMerge/>
            <w:tcBorders>
              <w:left w:val="single" w:sz="4" w:space="0" w:color="000000"/>
              <w:bottom w:val="single" w:sz="4" w:space="0" w:color="000000"/>
              <w:right w:val="single" w:sz="4" w:space="0" w:color="000000"/>
            </w:tcBorders>
          </w:tcPr>
          <w:p>
            <w:pPr/>
          </w:p>
        </w:tc>
        <w:tc>
          <w:tcPr>
            <w:tcW w:w="846" w:type="dxa"/>
            <w:tcBorders>
              <w:top w:val="nil" w:sz="6" w:space="0" w:color="auto"/>
              <w:left w:val="single" w:sz="4" w:space="0" w:color="000000"/>
              <w:bottom w:val="single" w:sz="4" w:space="0" w:color="000000"/>
              <w:right w:val="single" w:sz="4" w:space="0" w:color="000000"/>
            </w:tcBorders>
          </w:tcPr>
          <w:p>
            <w:pPr/>
          </w:p>
        </w:tc>
        <w:tc>
          <w:tcPr>
            <w:tcW w:w="854" w:type="dxa"/>
            <w:vMerge/>
            <w:tcBorders>
              <w:left w:val="single" w:sz="4" w:space="0" w:color="000000"/>
              <w:bottom w:val="single" w:sz="4" w:space="0" w:color="000000"/>
              <w:right w:val="single" w:sz="4" w:space="0" w:color="000000"/>
            </w:tcBorders>
          </w:tcPr>
          <w:p>
            <w:pPr/>
          </w:p>
        </w:tc>
      </w:tr>
      <w:tr>
        <w:trPr>
          <w:trHeight w:val="358" w:hRule="exact"/>
        </w:trPr>
        <w:tc>
          <w:tcPr>
            <w:tcW w:w="847"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杭州太仆</w:t>
            </w:r>
          </w:p>
        </w:tc>
        <w:tc>
          <w:tcPr>
            <w:tcW w:w="1001" w:type="dxa"/>
            <w:vMerge w:val="restart"/>
            <w:tcBorders>
              <w:top w:val="single" w:sz="4" w:space="0" w:color="000000"/>
              <w:left w:val="single" w:sz="4" w:space="0" w:color="000000"/>
              <w:right w:val="single" w:sz="4" w:space="0" w:color="000000"/>
            </w:tcBorders>
          </w:tcPr>
          <w:p>
            <w:pPr/>
          </w:p>
        </w:tc>
        <w:tc>
          <w:tcPr>
            <w:tcW w:w="865" w:type="dxa"/>
            <w:vMerge w:val="restart"/>
            <w:tcBorders>
              <w:top w:val="single" w:sz="4" w:space="0" w:color="000000"/>
              <w:left w:val="single" w:sz="4" w:space="0" w:color="000000"/>
              <w:right w:val="single" w:sz="4" w:space="0" w:color="000000"/>
            </w:tcBorders>
          </w:tcPr>
          <w:p>
            <w:pPr/>
          </w:p>
        </w:tc>
        <w:tc>
          <w:tcPr>
            <w:tcW w:w="866" w:type="dxa"/>
            <w:vMerge w:val="restart"/>
            <w:tcBorders>
              <w:top w:val="single" w:sz="4" w:space="0" w:color="000000"/>
              <w:left w:val="single" w:sz="4" w:space="0" w:color="000000"/>
              <w:right w:val="single" w:sz="4" w:space="0" w:color="000000"/>
            </w:tcBorders>
          </w:tcPr>
          <w:p>
            <w:pPr/>
          </w:p>
        </w:tc>
        <w:tc>
          <w:tcPr>
            <w:tcW w:w="1001" w:type="dxa"/>
            <w:vMerge w:val="restart"/>
            <w:tcBorders>
              <w:top w:val="single" w:sz="4" w:space="0" w:color="000000"/>
              <w:left w:val="single" w:sz="4" w:space="0" w:color="000000"/>
              <w:right w:val="single" w:sz="4" w:space="0" w:color="000000"/>
            </w:tcBorders>
          </w:tcPr>
          <w:p>
            <w:pPr/>
          </w:p>
        </w:tc>
        <w:tc>
          <w:tcPr>
            <w:tcW w:w="866"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857" w:type="dxa"/>
            <w:vMerge w:val="restart"/>
            <w:tcBorders>
              <w:top w:val="single" w:sz="4" w:space="0" w:color="000000"/>
              <w:left w:val="single" w:sz="4" w:space="0" w:color="000000"/>
              <w:right w:val="single" w:sz="4" w:space="0" w:color="000000"/>
            </w:tcBorders>
          </w:tcPr>
          <w:p>
            <w:pPr/>
          </w:p>
        </w:tc>
        <w:tc>
          <w:tcPr>
            <w:tcW w:w="865" w:type="dxa"/>
            <w:vMerge w:val="restart"/>
            <w:tcBorders>
              <w:top w:val="single" w:sz="4" w:space="0" w:color="000000"/>
              <w:left w:val="single" w:sz="4" w:space="0" w:color="000000"/>
              <w:right w:val="single" w:sz="4" w:space="0" w:color="000000"/>
            </w:tcBorders>
          </w:tcPr>
          <w:p>
            <w:pPr/>
          </w:p>
        </w:tc>
        <w:tc>
          <w:tcPr>
            <w:tcW w:w="846" w:type="dxa"/>
            <w:tcBorders>
              <w:top w:val="single" w:sz="4" w:space="0" w:color="000000"/>
              <w:left w:val="single" w:sz="4" w:space="0" w:color="000000"/>
              <w:bottom w:val="nil" w:sz="6" w:space="0" w:color="auto"/>
              <w:right w:val="single" w:sz="4" w:space="0" w:color="000000"/>
            </w:tcBorders>
          </w:tcPr>
          <w:p>
            <w:pPr/>
          </w:p>
        </w:tc>
        <w:tc>
          <w:tcPr>
            <w:tcW w:w="854" w:type="dxa"/>
            <w:vMerge w:val="restart"/>
            <w:tcBorders>
              <w:top w:val="single" w:sz="4" w:space="0" w:color="000000"/>
              <w:left w:val="single" w:sz="4" w:space="0" w:color="000000"/>
              <w:right w:val="single" w:sz="4" w:space="0" w:color="000000"/>
            </w:tcBorders>
          </w:tcPr>
          <w:p>
            <w:pPr/>
          </w:p>
        </w:tc>
      </w:tr>
      <w:tr>
        <w:trPr>
          <w:trHeight w:val="316" w:hRule="exact"/>
        </w:trPr>
        <w:tc>
          <w:tcPr>
            <w:tcW w:w="847"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农业科技</w:t>
            </w:r>
          </w:p>
        </w:tc>
        <w:tc>
          <w:tcPr>
            <w:tcW w:w="1001"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1001" w:type="dxa"/>
            <w:vMerge/>
            <w:tcBorders>
              <w:left w:val="single" w:sz="4" w:space="0" w:color="000000"/>
              <w:right w:val="single" w:sz="4" w:space="0" w:color="000000"/>
            </w:tcBorders>
          </w:tcPr>
          <w:p>
            <w:pPr/>
          </w:p>
        </w:tc>
        <w:tc>
          <w:tcPr>
            <w:tcW w:w="866"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857" w:type="dxa"/>
            <w:vMerge/>
            <w:tcBorders>
              <w:left w:val="single" w:sz="4" w:space="0" w:color="000000"/>
              <w:right w:val="single" w:sz="4" w:space="0" w:color="000000"/>
            </w:tcBorders>
          </w:tcPr>
          <w:p>
            <w:pPr/>
          </w:p>
        </w:tc>
        <w:tc>
          <w:tcPr>
            <w:tcW w:w="865" w:type="dxa"/>
            <w:vMerge/>
            <w:tcBorders>
              <w:left w:val="single" w:sz="4" w:space="0" w:color="000000"/>
              <w:right w:val="single" w:sz="4" w:space="0" w:color="000000"/>
            </w:tcBorders>
          </w:tcPr>
          <w:p>
            <w:pPr/>
          </w:p>
        </w:tc>
        <w:tc>
          <w:tcPr>
            <w:tcW w:w="84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349" w:right="0"/>
              <w:jc w:val="left"/>
              <w:rPr>
                <w:rFonts w:ascii="Times New Roman" w:hAnsi="Times New Roman" w:cs="Times New Roman" w:eastAsia="Times New Roman" w:hint="default"/>
                <w:sz w:val="18"/>
                <w:szCs w:val="18"/>
              </w:rPr>
            </w:pPr>
            <w:r>
              <w:rPr>
                <w:rFonts w:ascii="Times New Roman"/>
                <w:sz w:val="18"/>
              </w:rPr>
              <w:t>5.00%</w:t>
            </w:r>
          </w:p>
        </w:tc>
        <w:tc>
          <w:tcPr>
            <w:tcW w:w="854" w:type="dxa"/>
            <w:vMerge/>
            <w:tcBorders>
              <w:left w:val="single" w:sz="4" w:space="0" w:color="000000"/>
              <w:right w:val="single" w:sz="4" w:space="0" w:color="000000"/>
            </w:tcBorders>
          </w:tcPr>
          <w:p>
            <w:pPr/>
          </w:p>
        </w:tc>
      </w:tr>
      <w:tr>
        <w:trPr>
          <w:trHeight w:val="351" w:hRule="exact"/>
        </w:trPr>
        <w:tc>
          <w:tcPr>
            <w:tcW w:w="847"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01" w:type="dxa"/>
            <w:vMerge/>
            <w:tcBorders>
              <w:left w:val="single" w:sz="4" w:space="0" w:color="000000"/>
              <w:bottom w:val="single" w:sz="4" w:space="0" w:color="000000"/>
              <w:right w:val="single" w:sz="4" w:space="0" w:color="000000"/>
            </w:tcBorders>
          </w:tcPr>
          <w:p>
            <w:pPr/>
          </w:p>
        </w:tc>
        <w:tc>
          <w:tcPr>
            <w:tcW w:w="865" w:type="dxa"/>
            <w:vMerge/>
            <w:tcBorders>
              <w:left w:val="single" w:sz="4" w:space="0" w:color="000000"/>
              <w:bottom w:val="single" w:sz="4" w:space="0" w:color="000000"/>
              <w:right w:val="single" w:sz="4" w:space="0" w:color="000000"/>
            </w:tcBorders>
          </w:tcPr>
          <w:p>
            <w:pPr/>
          </w:p>
        </w:tc>
        <w:tc>
          <w:tcPr>
            <w:tcW w:w="866"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866"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65" w:type="dxa"/>
            <w:vMerge/>
            <w:tcBorders>
              <w:left w:val="single" w:sz="4" w:space="0" w:color="000000"/>
              <w:bottom w:val="single" w:sz="4" w:space="0" w:color="000000"/>
              <w:right w:val="single" w:sz="4" w:space="0" w:color="000000"/>
            </w:tcBorders>
          </w:tcPr>
          <w:p>
            <w:pPr/>
          </w:p>
        </w:tc>
        <w:tc>
          <w:tcPr>
            <w:tcW w:w="846" w:type="dxa"/>
            <w:tcBorders>
              <w:top w:val="nil" w:sz="6" w:space="0" w:color="auto"/>
              <w:left w:val="single" w:sz="4" w:space="0" w:color="000000"/>
              <w:bottom w:val="single" w:sz="4" w:space="0" w:color="000000"/>
              <w:right w:val="single" w:sz="4" w:space="0" w:color="000000"/>
            </w:tcBorders>
          </w:tcPr>
          <w:p>
            <w:pPr/>
          </w:p>
        </w:tc>
        <w:tc>
          <w:tcPr>
            <w:tcW w:w="854" w:type="dxa"/>
            <w:vMerge/>
            <w:tcBorders>
              <w:left w:val="single" w:sz="4" w:space="0" w:color="000000"/>
              <w:bottom w:val="single" w:sz="4" w:space="0" w:color="000000"/>
              <w:right w:val="single" w:sz="4" w:space="0" w:color="000000"/>
            </w:tcBorders>
          </w:tcPr>
          <w:p>
            <w:pPr/>
          </w:p>
        </w:tc>
      </w:tr>
      <w:tr>
        <w:trPr>
          <w:trHeight w:val="403" w:hRule="exact"/>
        </w:trPr>
        <w:tc>
          <w:tcPr>
            <w:tcW w:w="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1,809,000.00</w:t>
            </w: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340,000.00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900,000.00</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1,249,000.00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909,000.00</w:t>
            </w:r>
          </w:p>
        </w:tc>
        <w:tc>
          <w:tcPr>
            <w:tcW w:w="82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909,000.00</w:t>
            </w:r>
          </w:p>
        </w:tc>
        <w:tc>
          <w:tcPr>
            <w:tcW w:w="8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358" w:right="0"/>
              <w:jc w:val="left"/>
              <w:rPr>
                <w:rFonts w:ascii="Times New Roman" w:hAnsi="Times New Roman" w:cs="Times New Roman" w:eastAsia="Times New Roman" w:hint="default"/>
                <w:sz w:val="18"/>
                <w:szCs w:val="18"/>
              </w:rPr>
            </w:pPr>
            <w:r>
              <w:rPr>
                <w:rFonts w:ascii="Times New Roman"/>
                <w:sz w:val="18"/>
              </w:rPr>
              <w:t>--</w:t>
            </w:r>
          </w:p>
        </w:tc>
        <w:tc>
          <w:tcPr>
            <w:tcW w:w="85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）报告期内可供出售金融资产减值的变动情况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5" w:type="dxa"/>
        <w:tblLayout w:type="fixed"/>
        <w:tblCellMar>
          <w:top w:w="0" w:type="dxa"/>
          <w:left w:w="0" w:type="dxa"/>
          <w:bottom w:w="0" w:type="dxa"/>
          <w:right w:w="0" w:type="dxa"/>
        </w:tblCellMar>
        <w:tblLook w:val="01E0"/>
      </w:tblPr>
      <w:tblGrid>
        <w:gridCol w:w="1886"/>
        <w:gridCol w:w="1925"/>
        <w:gridCol w:w="1914"/>
        <w:gridCol w:w="1914"/>
        <w:gridCol w:w="1914"/>
      </w:tblGrid>
      <w:tr>
        <w:trPr>
          <w:trHeight w:val="402" w:hRule="exact"/>
        </w:trPr>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3"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13" w:space="0" w:color="D3D3D3"/>
              <w:bottom w:val="single" w:sz="4" w:space="0" w:color="000000"/>
              <w:right w:val="single" w:sz="4" w:space="0" w:color="000000"/>
            </w:tcBorders>
            <w:shd w:val="clear" w:color="auto" w:fill="E1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192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909,000.00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909,000.00</w:t>
            </w:r>
          </w:p>
        </w:tc>
      </w:tr>
      <w:tr>
        <w:trPr>
          <w:trHeight w:val="402" w:hRule="exact"/>
        </w:trPr>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192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909,000.00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909,000.00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）可供出售权益工具期末公允价值严重下跌或非暂时性下跌但未计提减值准备的相关说明</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、持有至到期投资</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）持有至到期投资情况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）期末重要的持有至到期投资</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）本期重分类的持有至到期投资</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、长期应收款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）长期应收款情况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）因金融资产转移而终止确认的长期应收款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）转移长期应收款且继续涉入形成的资产、负债金额</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77" w:footer="982" w:top="1100" w:bottom="1180" w:left="980" w:right="980"/>
        </w:sectPr>
      </w:pPr>
    </w:p>
    <w:p>
      <w:pPr>
        <w:spacing w:line="240" w:lineRule="auto" w:before="12"/>
        <w:rPr>
          <w:rFonts w:ascii="宋体" w:hAnsi="宋体" w:cs="宋体" w:eastAsia="宋体" w:hint="default"/>
          <w:b/>
          <w:bCs/>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before="0"/>
        <w:ind w:left="139"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39" w:firstLine="0"/>
        <w:jc w:val="right"/>
        <w:rPr>
          <w:rFonts w:ascii="宋体" w:hAnsi="宋体" w:cs="宋体" w:eastAsia="宋体" w:hint="default"/>
          <w:sz w:val="18"/>
          <w:szCs w:val="18"/>
        </w:rPr>
      </w:pPr>
      <w:r>
        <w:rPr/>
        <w:pict>
          <v:group style="position:absolute;margin-left:280.610992pt;margin-top:39.831726pt;width:54.1pt;height:27.4pt;mso-position-horizontal-relative:page;mso-position-vertical-relative:paragraph;z-index:-1259632" coordorigin="5612,797" coordsize="1082,548">
            <v:shape style="position:absolute;left:5612;top:797;width:1082;height:548" coordorigin="5612,797" coordsize="1082,548" path="m6693,953l6693,797,5612,797,5920,953,6693,953xe" filled="true" fillcolor="#d3d3d3" stroked="false">
              <v:path arrowok="t"/>
              <v:fill type="solid"/>
            </v:shape>
            <v:shape style="position:absolute;left:5612;top:797;width:1082;height:548" coordorigin="5612,797" coordsize="1082,548" path="m6669,1344l6669,1332,5920,953,5635,953,5635,1344,6669,1344xe" filled="true" fillcolor="#d3d3d3" stroked="false">
              <v:path arrowok="t"/>
              <v:fill type="solid"/>
            </v:shape>
            <v:shape style="position:absolute;left:5612;top:797;width:1082;height:548" coordorigin="5612,797" coordsize="1082,548" path="m6693,1344l6693,953,6669,953,6669,1332,6693,1344xe" filled="true" fillcolor="#d3d3d3" stroked="false">
              <v:path arrowok="t"/>
              <v:fill type="solid"/>
            </v:shape>
            <w10:wrap type="none"/>
          </v:group>
        </w:pict>
      </w: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832"/>
        <w:gridCol w:w="1181"/>
        <w:gridCol w:w="1182"/>
        <w:gridCol w:w="1091"/>
        <w:gridCol w:w="1555"/>
        <w:gridCol w:w="857"/>
        <w:gridCol w:w="679"/>
        <w:gridCol w:w="1510"/>
        <w:gridCol w:w="679"/>
        <w:gridCol w:w="1091"/>
        <w:gridCol w:w="1181"/>
        <w:gridCol w:w="1176"/>
      </w:tblGrid>
      <w:tr>
        <w:trPr>
          <w:trHeight w:val="401" w:hRule="exact"/>
        </w:trPr>
        <w:tc>
          <w:tcPr>
            <w:tcW w:w="18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644"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402" w:right="42"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714" w:hRule="exact"/>
        </w:trPr>
        <w:tc>
          <w:tcPr>
            <w:tcW w:w="1832" w:type="dxa"/>
            <w:vMerge/>
            <w:tcBorders>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减少投资</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02" w:right="50" w:hanging="450"/>
              <w:jc w:val="left"/>
              <w:rPr>
                <w:rFonts w:ascii="宋体" w:hAnsi="宋体" w:cs="宋体" w:eastAsia="宋体" w:hint="default"/>
                <w:sz w:val="18"/>
                <w:szCs w:val="18"/>
              </w:rPr>
            </w:pPr>
            <w:r>
              <w:rPr>
                <w:rFonts w:ascii="宋体" w:hAnsi="宋体" w:cs="宋体" w:eastAsia="宋体" w:hint="default"/>
                <w:sz w:val="18"/>
                <w:szCs w:val="18"/>
              </w:rPr>
              <w:t>权益法下确认的投 资损益</w:t>
            </w:r>
          </w:p>
        </w:tc>
        <w:tc>
          <w:tcPr>
            <w:tcW w:w="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3" w:right="6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6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3" w:right="64"/>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15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79" w:right="28" w:hanging="450"/>
              <w:jc w:val="left"/>
              <w:rPr>
                <w:rFonts w:ascii="宋体" w:hAnsi="宋体" w:cs="宋体" w:eastAsia="宋体" w:hint="default"/>
                <w:sz w:val="18"/>
                <w:szCs w:val="18"/>
              </w:rPr>
            </w:pPr>
            <w:r>
              <w:rPr>
                <w:rFonts w:ascii="宋体" w:hAnsi="宋体" w:cs="宋体" w:eastAsia="宋体" w:hint="default"/>
                <w:sz w:val="18"/>
                <w:szCs w:val="18"/>
              </w:rPr>
              <w:t>宣告发放现金股利 或利润</w:t>
            </w:r>
          </w:p>
        </w:tc>
        <w:tc>
          <w:tcPr>
            <w:tcW w:w="6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3" w:right="64"/>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1" w:type="dxa"/>
            <w:vMerge/>
            <w:tcBorders>
              <w:left w:val="single" w:sz="4" w:space="0" w:color="000000"/>
              <w:bottom w:val="single" w:sz="4" w:space="0" w:color="000000"/>
              <w:right w:val="single" w:sz="4" w:space="0" w:color="000000"/>
            </w:tcBorders>
            <w:shd w:val="clear" w:color="auto" w:fill="D3D3D3"/>
          </w:tcPr>
          <w:p>
            <w:pPr/>
          </w:p>
        </w:tc>
        <w:tc>
          <w:tcPr>
            <w:tcW w:w="1176" w:type="dxa"/>
            <w:vMerge/>
            <w:tcBorders>
              <w:left w:val="single" w:sz="4" w:space="0" w:color="000000"/>
              <w:bottom w:val="single" w:sz="4" w:space="0" w:color="000000"/>
              <w:right w:val="single" w:sz="4" w:space="0" w:color="000000"/>
            </w:tcBorders>
            <w:shd w:val="clear" w:color="auto" w:fill="D3D3D3"/>
          </w:tcPr>
          <w:p>
            <w:pPr/>
          </w:p>
        </w:tc>
      </w:tr>
      <w:tr>
        <w:trPr>
          <w:trHeight w:val="397" w:hRule="exact"/>
        </w:trPr>
        <w:tc>
          <w:tcPr>
            <w:tcW w:w="14014"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7" w:hRule="exact"/>
        </w:trPr>
        <w:tc>
          <w:tcPr>
            <w:tcW w:w="183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德清今日传媒企业</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pacing w:val="-1"/>
                <w:sz w:val="18"/>
              </w:rPr>
              <w:t>1,958,721.09</w:t>
            </w:r>
          </w:p>
        </w:tc>
        <w:tc>
          <w:tcPr>
            <w:tcW w:w="11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z w:val="18"/>
              </w:rPr>
              <w:t>347,881.20</w:t>
            </w:r>
          </w:p>
        </w:tc>
        <w:tc>
          <w:tcPr>
            <w:tcW w:w="857"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9"/>
              <w:jc w:val="right"/>
              <w:rPr>
                <w:rFonts w:ascii="Times New Roman" w:hAnsi="Times New Roman" w:cs="Times New Roman" w:eastAsia="Times New Roman" w:hint="default"/>
                <w:sz w:val="18"/>
                <w:szCs w:val="18"/>
              </w:rPr>
            </w:pPr>
            <w:r>
              <w:rPr>
                <w:rFonts w:ascii="Times New Roman"/>
                <w:spacing w:val="-1"/>
                <w:sz w:val="18"/>
              </w:rPr>
              <w:t>2,306,602.29</w:t>
            </w: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3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78"/>
              <w:jc w:val="left"/>
              <w:rPr>
                <w:rFonts w:ascii="宋体" w:hAnsi="宋体" w:cs="宋体" w:eastAsia="宋体" w:hint="default"/>
                <w:sz w:val="18"/>
                <w:szCs w:val="18"/>
              </w:rPr>
            </w:pPr>
            <w:r>
              <w:rPr>
                <w:rFonts w:ascii="宋体" w:hAnsi="宋体" w:cs="宋体" w:eastAsia="宋体" w:hint="default"/>
                <w:sz w:val="18"/>
                <w:szCs w:val="18"/>
              </w:rPr>
              <w:t>杭州激创投资管理有 限公司</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2,450,000.00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-24,276.95</w:t>
            </w:r>
          </w:p>
        </w:tc>
        <w:tc>
          <w:tcPr>
            <w:tcW w:w="857"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2,425,723.05</w:t>
            </w: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3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78"/>
              <w:jc w:val="left"/>
              <w:rPr>
                <w:rFonts w:ascii="宋体" w:hAnsi="宋体" w:cs="宋体" w:eastAsia="宋体" w:hint="default"/>
                <w:sz w:val="18"/>
                <w:szCs w:val="18"/>
              </w:rPr>
            </w:pPr>
            <w:r>
              <w:rPr>
                <w:rFonts w:ascii="宋体" w:hAnsi="宋体" w:cs="宋体" w:eastAsia="宋体" w:hint="default"/>
                <w:sz w:val="18"/>
                <w:szCs w:val="18"/>
              </w:rPr>
              <w:t>浙江华媒金晟文化产 业投资管理有限公司</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1,000,000.00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8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1,958,721.09</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5" w:right="0"/>
              <w:jc w:val="left"/>
              <w:rPr>
                <w:rFonts w:ascii="Times New Roman" w:hAnsi="Times New Roman" w:cs="Times New Roman" w:eastAsia="Times New Roman" w:hint="default"/>
                <w:sz w:val="18"/>
                <w:szCs w:val="18"/>
              </w:rPr>
            </w:pPr>
            <w:r>
              <w:rPr>
                <w:rFonts w:ascii="Times New Roman"/>
                <w:sz w:val="18"/>
              </w:rPr>
              <w:t>3,450,000.00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323,604.25</w:t>
            </w:r>
          </w:p>
        </w:tc>
        <w:tc>
          <w:tcPr>
            <w:tcW w:w="857"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5,732,325.34</w:t>
            </w: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14014"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9" w:hRule="exact"/>
        </w:trPr>
        <w:tc>
          <w:tcPr>
            <w:tcW w:w="183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7"/>
              <w:ind w:left="22" w:right="178"/>
              <w:jc w:val="left"/>
              <w:rPr>
                <w:rFonts w:ascii="宋体" w:hAnsi="宋体" w:cs="宋体" w:eastAsia="宋体" w:hint="default"/>
                <w:sz w:val="18"/>
                <w:szCs w:val="18"/>
              </w:rPr>
            </w:pPr>
            <w:r>
              <w:rPr>
                <w:rFonts w:ascii="宋体" w:hAnsi="宋体" w:cs="宋体" w:eastAsia="宋体" w:hint="default"/>
                <w:sz w:val="18"/>
                <w:szCs w:val="18"/>
              </w:rPr>
              <w:t>杭州都快交通久一点 吧传媒有限公司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30,150,590.41</w:t>
            </w:r>
          </w:p>
        </w:tc>
        <w:tc>
          <w:tcPr>
            <w:tcW w:w="11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12,528,017.74</w:t>
            </w:r>
          </w:p>
        </w:tc>
        <w:tc>
          <w:tcPr>
            <w:tcW w:w="857"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532" w:right="0"/>
              <w:jc w:val="left"/>
              <w:rPr>
                <w:rFonts w:ascii="Times New Roman" w:hAnsi="Times New Roman" w:cs="Times New Roman" w:eastAsia="Times New Roman" w:hint="default"/>
                <w:sz w:val="18"/>
                <w:szCs w:val="18"/>
              </w:rPr>
            </w:pPr>
            <w:r>
              <w:rPr>
                <w:rFonts w:ascii="Times New Roman"/>
                <w:sz w:val="18"/>
              </w:rPr>
              <w:t>8,190,000.00</w:t>
            </w:r>
          </w:p>
        </w:tc>
        <w:tc>
          <w:tcPr>
            <w:tcW w:w="67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34,488,608.15</w:t>
            </w: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3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78"/>
              <w:jc w:val="left"/>
              <w:rPr>
                <w:rFonts w:ascii="宋体" w:hAnsi="宋体" w:cs="宋体" w:eastAsia="宋体" w:hint="default"/>
                <w:sz w:val="18"/>
                <w:szCs w:val="18"/>
              </w:rPr>
            </w:pPr>
            <w:r>
              <w:rPr>
                <w:rFonts w:ascii="宋体" w:hAnsi="宋体" w:cs="宋体" w:eastAsia="宋体" w:hint="default"/>
                <w:sz w:val="18"/>
                <w:szCs w:val="18"/>
              </w:rPr>
              <w:t>江苏时代盛元数字图 文影像有限公司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2,862,227.00</w:t>
            </w:r>
          </w:p>
        </w:tc>
        <w:tc>
          <w:tcPr>
            <w:tcW w:w="11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-892,312.43</w:t>
            </w:r>
          </w:p>
        </w:tc>
        <w:tc>
          <w:tcPr>
            <w:tcW w:w="857"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1,969,914.57</w:t>
            </w: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3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78"/>
              <w:jc w:val="left"/>
              <w:rPr>
                <w:rFonts w:ascii="宋体" w:hAnsi="宋体" w:cs="宋体" w:eastAsia="宋体" w:hint="default"/>
                <w:sz w:val="18"/>
                <w:szCs w:val="18"/>
              </w:rPr>
            </w:pPr>
            <w:r>
              <w:rPr>
                <w:rFonts w:ascii="宋体" w:hAnsi="宋体" w:cs="宋体" w:eastAsia="宋体" w:hint="default"/>
                <w:sz w:val="18"/>
                <w:szCs w:val="18"/>
              </w:rPr>
              <w:t>北京中环盛元数字图 文有限公司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5,035,077.32</w:t>
            </w:r>
          </w:p>
        </w:tc>
        <w:tc>
          <w:tcPr>
            <w:tcW w:w="11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-1,720,727.26</w:t>
            </w:r>
          </w:p>
        </w:tc>
        <w:tc>
          <w:tcPr>
            <w:tcW w:w="857"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3,314,350.06</w:t>
            </w: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3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3"/>
                <w:sz w:val="18"/>
                <w:szCs w:val="18"/>
              </w:rPr>
              <w:t>拓普金榜（北京）休闲</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文化传媒有限公司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130,798.06</w:t>
            </w:r>
          </w:p>
        </w:tc>
        <w:tc>
          <w:tcPr>
            <w:tcW w:w="11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130,798.06</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32" w:right="0"/>
              <w:jc w:val="left"/>
              <w:rPr>
                <w:rFonts w:ascii="Times New Roman" w:hAnsi="Times New Roman" w:cs="Times New Roman" w:eastAsia="Times New Roman" w:hint="default"/>
                <w:sz w:val="18"/>
                <w:szCs w:val="18"/>
              </w:rPr>
            </w:pPr>
            <w:r>
              <w:rPr>
                <w:rFonts w:ascii="Times New Roman"/>
                <w:sz w:val="18"/>
              </w:rPr>
              <w:t>130,798.06</w:t>
            </w:r>
          </w:p>
        </w:tc>
      </w:tr>
      <w:tr>
        <w:trPr>
          <w:trHeight w:val="714" w:hRule="exact"/>
        </w:trPr>
        <w:tc>
          <w:tcPr>
            <w:tcW w:w="183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78"/>
              <w:jc w:val="left"/>
              <w:rPr>
                <w:rFonts w:ascii="宋体" w:hAnsi="宋体" w:cs="宋体" w:eastAsia="宋体" w:hint="default"/>
                <w:sz w:val="18"/>
                <w:szCs w:val="18"/>
              </w:rPr>
            </w:pPr>
            <w:r>
              <w:rPr>
                <w:rFonts w:ascii="宋体" w:hAnsi="宋体" w:cs="宋体" w:eastAsia="宋体" w:hint="default"/>
                <w:sz w:val="18"/>
                <w:szCs w:val="18"/>
              </w:rPr>
              <w:t>十九楼网络股份有限 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67,907,185.62</w:t>
            </w:r>
          </w:p>
        </w:tc>
        <w:tc>
          <w:tcPr>
            <w:tcW w:w="11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36,182,788.96</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5,786,730.27</w:t>
            </w:r>
          </w:p>
        </w:tc>
        <w:tc>
          <w:tcPr>
            <w:tcW w:w="857"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37,511,126.93</w:t>
            </w: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3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78"/>
              <w:jc w:val="left"/>
              <w:rPr>
                <w:rFonts w:ascii="宋体" w:hAnsi="宋体" w:cs="宋体" w:eastAsia="宋体" w:hint="default"/>
                <w:sz w:val="18"/>
                <w:szCs w:val="18"/>
              </w:rPr>
            </w:pPr>
            <w:r>
              <w:rPr>
                <w:rFonts w:ascii="宋体" w:hAnsi="宋体" w:cs="宋体" w:eastAsia="宋体" w:hint="default"/>
                <w:sz w:val="18"/>
                <w:szCs w:val="18"/>
              </w:rPr>
              <w:t>浙江衢州盛元文创印 业有限公司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19,476,322.61</w:t>
            </w:r>
          </w:p>
        </w:tc>
        <w:tc>
          <w:tcPr>
            <w:tcW w:w="1182"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923,613.63</w:t>
            </w:r>
          </w:p>
        </w:tc>
        <w:tc>
          <w:tcPr>
            <w:tcW w:w="857"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-592,513.95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19,807,422.29</w:t>
            </w:r>
          </w:p>
        </w:tc>
        <w:tc>
          <w:tcPr>
            <w:tcW w:w="1176"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5"/>
          <w:footerReference w:type="default" r:id="rId36"/>
          <w:pgSz w:w="16840" w:h="11910" w:orient="landscape"/>
          <w:pgMar w:header="867" w:footer="978" w:top="1060" w:bottom="1160" w:left="1300" w:right="1300"/>
          <w:pgNumType w:start="127"/>
        </w:sectPr>
      </w:pPr>
    </w:p>
    <w:p>
      <w:pPr>
        <w:spacing w:line="240" w:lineRule="auto" w:before="4"/>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tbl>
      <w:tblPr>
        <w:tblW w:w="0" w:type="auto"/>
        <w:jc w:val="left"/>
        <w:tblInd w:w="107" w:type="dxa"/>
        <w:tblLayout w:type="fixed"/>
        <w:tblCellMar>
          <w:top w:w="0" w:type="dxa"/>
          <w:left w:w="0" w:type="dxa"/>
          <w:bottom w:w="0" w:type="dxa"/>
          <w:right w:w="0" w:type="dxa"/>
        </w:tblCellMar>
        <w:tblLook w:val="01E0"/>
      </w:tblPr>
      <w:tblGrid>
        <w:gridCol w:w="1832"/>
        <w:gridCol w:w="1181"/>
        <w:gridCol w:w="1182"/>
        <w:gridCol w:w="1091"/>
        <w:gridCol w:w="1555"/>
        <w:gridCol w:w="857"/>
        <w:gridCol w:w="679"/>
        <w:gridCol w:w="1510"/>
        <w:gridCol w:w="679"/>
        <w:gridCol w:w="1091"/>
        <w:gridCol w:w="1181"/>
        <w:gridCol w:w="1176"/>
      </w:tblGrid>
      <w:tr>
        <w:trPr>
          <w:trHeight w:val="709" w:hRule="exact"/>
        </w:trPr>
        <w:tc>
          <w:tcPr>
            <w:tcW w:w="1832"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78"/>
              <w:jc w:val="left"/>
              <w:rPr>
                <w:rFonts w:ascii="宋体" w:hAnsi="宋体" w:cs="宋体" w:eastAsia="宋体" w:hint="default"/>
                <w:sz w:val="18"/>
                <w:szCs w:val="18"/>
              </w:rPr>
            </w:pPr>
            <w:r>
              <w:rPr>
                <w:rFonts w:ascii="宋体" w:hAnsi="宋体" w:cs="宋体" w:eastAsia="宋体" w:hint="default"/>
                <w:sz w:val="18"/>
                <w:szCs w:val="18"/>
              </w:rPr>
              <w:t>杭州壁咚科技有限公 司</w:t>
            </w:r>
          </w:p>
        </w:tc>
        <w:tc>
          <w:tcPr>
            <w:tcW w:w="1181" w:type="dxa"/>
            <w:tcBorders>
              <w:top w:val="nil" w:sz="6" w:space="0" w:color="auto"/>
              <w:left w:val="single" w:sz="4" w:space="0" w:color="000000"/>
              <w:bottom w:val="single" w:sz="4" w:space="0" w:color="000000"/>
              <w:right w:val="single" w:sz="4" w:space="0" w:color="000000"/>
            </w:tcBorders>
          </w:tcPr>
          <w:p>
            <w:pPr/>
          </w:p>
        </w:tc>
        <w:tc>
          <w:tcPr>
            <w:tcW w:w="11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153,000.00</w:t>
            </w:r>
          </w:p>
        </w:tc>
        <w:tc>
          <w:tcPr>
            <w:tcW w:w="1091" w:type="dxa"/>
            <w:tcBorders>
              <w:top w:val="nil" w:sz="6" w:space="0" w:color="auto"/>
              <w:left w:val="single" w:sz="4" w:space="0" w:color="000000"/>
              <w:bottom w:val="single" w:sz="4" w:space="0" w:color="000000"/>
              <w:right w:val="single" w:sz="4" w:space="0" w:color="000000"/>
            </w:tcBorders>
          </w:tcPr>
          <w:p>
            <w:pPr/>
          </w:p>
        </w:tc>
        <w:tc>
          <w:tcPr>
            <w:tcW w:w="15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-8,235.94</w:t>
            </w:r>
          </w:p>
        </w:tc>
        <w:tc>
          <w:tcPr>
            <w:tcW w:w="857" w:type="dxa"/>
            <w:tcBorders>
              <w:top w:val="nil" w:sz="6" w:space="0" w:color="auto"/>
              <w:left w:val="single" w:sz="4" w:space="0" w:color="000000"/>
              <w:bottom w:val="single" w:sz="4" w:space="0" w:color="000000"/>
              <w:right w:val="single" w:sz="4" w:space="0" w:color="000000"/>
            </w:tcBorders>
          </w:tcPr>
          <w:p>
            <w:pPr/>
          </w:p>
        </w:tc>
        <w:tc>
          <w:tcPr>
            <w:tcW w:w="679" w:type="dxa"/>
            <w:tcBorders>
              <w:top w:val="nil" w:sz="6" w:space="0" w:color="auto"/>
              <w:left w:val="single" w:sz="4" w:space="0" w:color="000000"/>
              <w:bottom w:val="single" w:sz="4" w:space="0" w:color="000000"/>
              <w:right w:val="single" w:sz="4" w:space="0" w:color="000000"/>
            </w:tcBorders>
          </w:tcPr>
          <w:p>
            <w:pPr/>
          </w:p>
        </w:tc>
        <w:tc>
          <w:tcPr>
            <w:tcW w:w="1510" w:type="dxa"/>
            <w:tcBorders>
              <w:top w:val="nil" w:sz="6" w:space="0" w:color="auto"/>
              <w:left w:val="single" w:sz="4" w:space="0" w:color="000000"/>
              <w:bottom w:val="single" w:sz="4" w:space="0" w:color="000000"/>
              <w:right w:val="single" w:sz="4" w:space="0" w:color="000000"/>
            </w:tcBorders>
          </w:tcPr>
          <w:p>
            <w:pPr/>
          </w:p>
        </w:tc>
        <w:tc>
          <w:tcPr>
            <w:tcW w:w="679" w:type="dxa"/>
            <w:tcBorders>
              <w:top w:val="nil" w:sz="6" w:space="0" w:color="auto"/>
              <w:left w:val="single" w:sz="4" w:space="0" w:color="000000"/>
              <w:bottom w:val="single" w:sz="4" w:space="0" w:color="000000"/>
              <w:right w:val="single" w:sz="4" w:space="0" w:color="000000"/>
            </w:tcBorders>
          </w:tcPr>
          <w:p>
            <w:pPr/>
          </w:p>
        </w:tc>
        <w:tc>
          <w:tcPr>
            <w:tcW w:w="1091"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144,764.06</w:t>
            </w:r>
          </w:p>
        </w:tc>
        <w:tc>
          <w:tcPr>
            <w:tcW w:w="1176"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83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杭州千岱有限公司</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3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78"/>
              <w:jc w:val="left"/>
              <w:rPr>
                <w:rFonts w:ascii="宋体" w:hAnsi="宋体" w:cs="宋体" w:eastAsia="宋体" w:hint="default"/>
                <w:sz w:val="18"/>
                <w:szCs w:val="18"/>
              </w:rPr>
            </w:pPr>
            <w:r>
              <w:rPr>
                <w:rFonts w:ascii="宋体" w:hAnsi="宋体" w:cs="宋体" w:eastAsia="宋体" w:hint="default"/>
                <w:sz w:val="18"/>
                <w:szCs w:val="18"/>
              </w:rPr>
              <w:t>北京精典博维文化传 媒有限公司</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107,520,000.00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9,592,716.78</w:t>
            </w:r>
          </w:p>
        </w:tc>
        <w:tc>
          <w:tcPr>
            <w:tcW w:w="857"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117,112,716.78</w:t>
            </w: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3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78"/>
              <w:jc w:val="left"/>
              <w:rPr>
                <w:rFonts w:ascii="宋体" w:hAnsi="宋体" w:cs="宋体" w:eastAsia="宋体" w:hint="default"/>
                <w:sz w:val="18"/>
                <w:szCs w:val="18"/>
              </w:rPr>
            </w:pPr>
            <w:r>
              <w:rPr>
                <w:rFonts w:ascii="宋体" w:hAnsi="宋体" w:cs="宋体" w:eastAsia="宋体" w:hint="default"/>
                <w:sz w:val="18"/>
                <w:szCs w:val="18"/>
              </w:rPr>
              <w:t>杭州华创全媒科创园 区管理有限公司</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400,000.00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-106,406.57</w:t>
            </w:r>
          </w:p>
        </w:tc>
        <w:tc>
          <w:tcPr>
            <w:tcW w:w="857"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293,593.43</w:t>
            </w: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3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78"/>
              <w:jc w:val="left"/>
              <w:rPr>
                <w:rFonts w:ascii="宋体" w:hAnsi="宋体" w:cs="宋体" w:eastAsia="宋体" w:hint="default"/>
                <w:sz w:val="18"/>
                <w:szCs w:val="18"/>
              </w:rPr>
            </w:pPr>
            <w:r>
              <w:rPr>
                <w:rFonts w:ascii="宋体" w:hAnsi="宋体" w:cs="宋体" w:eastAsia="宋体" w:hint="default"/>
                <w:sz w:val="18"/>
                <w:szCs w:val="18"/>
              </w:rPr>
              <w:t>杭州华媒泽商创业投 资合伙企业</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-243,009.22</w:t>
            </w:r>
          </w:p>
        </w:tc>
        <w:tc>
          <w:tcPr>
            <w:tcW w:w="857"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29,756,990.78</w:t>
            </w: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3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78"/>
              <w:jc w:val="left"/>
              <w:rPr>
                <w:rFonts w:ascii="宋体" w:hAnsi="宋体" w:cs="宋体" w:eastAsia="宋体" w:hint="default"/>
                <w:sz w:val="18"/>
                <w:szCs w:val="18"/>
              </w:rPr>
            </w:pPr>
            <w:r>
              <w:rPr>
                <w:rFonts w:ascii="宋体" w:hAnsi="宋体" w:cs="宋体" w:eastAsia="宋体" w:hint="default"/>
                <w:sz w:val="18"/>
                <w:szCs w:val="18"/>
              </w:rPr>
              <w:t>杭州看看十度网络科 技有限公司</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1,020,000.00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-150,580.19</w:t>
            </w:r>
          </w:p>
        </w:tc>
        <w:tc>
          <w:tcPr>
            <w:tcW w:w="857"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869,419.81</w:t>
            </w: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3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78"/>
              <w:jc w:val="left"/>
              <w:rPr>
                <w:rFonts w:ascii="宋体" w:hAnsi="宋体" w:cs="宋体" w:eastAsia="宋体" w:hint="default"/>
                <w:sz w:val="18"/>
                <w:szCs w:val="18"/>
              </w:rPr>
            </w:pPr>
            <w:r>
              <w:rPr>
                <w:rFonts w:ascii="宋体" w:hAnsi="宋体" w:cs="宋体" w:eastAsia="宋体" w:hint="default"/>
                <w:sz w:val="18"/>
                <w:szCs w:val="18"/>
              </w:rPr>
              <w:t>上海合印包装服务有 限公司</w:t>
            </w:r>
          </w:p>
        </w:tc>
        <w:tc>
          <w:tcPr>
            <w:tcW w:w="1181"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55,380,000.00</w:t>
            </w:r>
          </w:p>
        </w:tc>
        <w:tc>
          <w:tcPr>
            <w:tcW w:w="1091" w:type="dxa"/>
            <w:tcBorders>
              <w:top w:val="single" w:sz="4" w:space="0" w:color="000000"/>
              <w:left w:val="single" w:sz="4" w:space="0" w:color="000000"/>
              <w:bottom w:val="single" w:sz="4" w:space="0" w:color="000000"/>
              <w:right w:val="single" w:sz="4" w:space="0" w:color="000000"/>
            </w:tcBorders>
          </w:tcPr>
          <w:p>
            <w:pP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8,469,310.11</w:t>
            </w:r>
          </w:p>
        </w:tc>
        <w:tc>
          <w:tcPr>
            <w:tcW w:w="857"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15,783,300.00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79,632,610.11</w:t>
            </w:r>
          </w:p>
        </w:tc>
        <w:tc>
          <w:tcPr>
            <w:tcW w:w="11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8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125,562,201.02</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195,473,000.00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36,182,788.96</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34,179,116.92</w:t>
            </w:r>
          </w:p>
        </w:tc>
        <w:tc>
          <w:tcPr>
            <w:tcW w:w="857"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8,190,000.00</w:t>
            </w:r>
          </w:p>
        </w:tc>
        <w:tc>
          <w:tcPr>
            <w:tcW w:w="67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15,190,786.05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326,032,315.03</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130,798.06</w:t>
            </w:r>
          </w:p>
        </w:tc>
      </w:tr>
      <w:tr>
        <w:trPr>
          <w:trHeight w:val="402" w:hRule="exact"/>
        </w:trPr>
        <w:tc>
          <w:tcPr>
            <w:tcW w:w="18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127,520,922.11</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198,923,000.00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36,182,788.96</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34,502,721.17</w:t>
            </w:r>
          </w:p>
        </w:tc>
        <w:tc>
          <w:tcPr>
            <w:tcW w:w="857"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8,190,000.00</w:t>
            </w:r>
          </w:p>
        </w:tc>
        <w:tc>
          <w:tcPr>
            <w:tcW w:w="67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15,190,786.05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331,764,640.37</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130,798.06</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8" w:top="1060" w:bottom="1160" w:left="1300" w:right="1300"/>
        </w:sectPr>
      </w:pPr>
    </w:p>
    <w:p>
      <w:pPr>
        <w:spacing w:line="240" w:lineRule="auto" w:before="7"/>
        <w:rPr>
          <w:rFonts w:ascii="Times New Roman" w:hAnsi="Times New Roman" w:cs="Times New Roman" w:eastAsia="Times New Roman" w:hint="default"/>
          <w:sz w:val="23"/>
          <w:szCs w:val="23"/>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）采用公允价值计量模式的投资性房地产</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）未办妥产权证书的投资性房地产情况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65,178,984.46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341,355,129.29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13,994,577.94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38,001,279.01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458,529,970.70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46,204,219.00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1,862,307.69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908,140.08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4,809,653.82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53,784,320.59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46,204,219.00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1,862,307.69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908,140.08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4,540,852.49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53,515,519.26</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268,801.33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268,801.33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11,004,108.42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1,260,522.00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1,099,208.51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13,363,838.93</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4,273.50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1,260,522.00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1,099,208.51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2,364,004.01</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6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设备出</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10,999,834.92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10,999,834.92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111,383,203.46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332,213,328.56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13,642,196.02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41,711,724.32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498,950,452.36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3,731,108.40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169,040,002.96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8,591,644.94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25,321,592.59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206,684,348.89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4,072,613.13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27,152,341.51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1,274,167.36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5,123,312.33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37,622,434.33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4,072,613.13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27,152,341.51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1,274,167.36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4,914,320.20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37,413,442.20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138,631.54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138,631.54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70,360.59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70,360.59</w:t>
            </w:r>
          </w:p>
        </w:tc>
      </w:tr>
    </w:tbl>
    <w:p>
      <w:pPr>
        <w:spacing w:after="0" w:line="240" w:lineRule="auto"/>
        <w:jc w:val="right"/>
        <w:rPr>
          <w:rFonts w:ascii="Times New Roman" w:hAnsi="Times New Roman" w:cs="Times New Roman" w:eastAsia="Times New Roman" w:hint="default"/>
          <w:sz w:val="18"/>
          <w:szCs w:val="18"/>
        </w:rPr>
        <w:sectPr>
          <w:headerReference w:type="default" r:id="rId37"/>
          <w:footerReference w:type="default" r:id="rId38"/>
          <w:pgSz w:w="11910" w:h="16840"/>
          <w:pgMar w:header="877" w:footer="982" w:top="1100" w:bottom="1180" w:left="980" w:right="980"/>
          <w:pgNumType w:start="129"/>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3,955,328.13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1,254,148.90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1,014,606.65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6,224,083.68</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778.33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1,254,148.90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1,014,606.65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2,269,533.88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）设备出资</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3,954,549.80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3,954,549.80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7,803,721.53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192,237,016.34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8,611,663.40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29,430,298.27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238,082,699.54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103,579,481.93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139,976,312.22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5,030,532.62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12,281,426.05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260,867,752.82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61,447,876.06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172,315,126.33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5,402,933.00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12,679,686.42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251,845,621.81</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）暂时闲置的固定资产情况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）通过融资租赁租入的固定资产情况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203"/>
              <w:jc w:val="right"/>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30,321,524.48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30,115.07</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2225"/>
              <w:jc w:val="right"/>
              <w:rPr>
                <w:rFonts w:ascii="宋体" w:hAnsi="宋体" w:cs="宋体" w:eastAsia="宋体" w:hint="default"/>
                <w:sz w:val="18"/>
                <w:szCs w:val="18"/>
              </w:rPr>
            </w:pPr>
            <w:r>
              <w:rPr>
                <w:rFonts w:ascii="宋体" w:hAnsi="宋体" w:cs="宋体" w:eastAsia="宋体" w:hint="default"/>
                <w:sz w:val="18"/>
                <w:szCs w:val="18"/>
              </w:rPr>
              <w:t>合计</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30,351,639.55</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）未办妥产权证书的固定资产情况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48,895,177.57</w:t>
            </w:r>
          </w:p>
        </w:tc>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尚在办理中</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）重要在建工程项目本期变动情况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）本期计提在建工程减值准备情况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、工程物资</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、固定资产清理</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、油气资产</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1046"/>
        <w:gridCol w:w="1104"/>
        <w:gridCol w:w="1069"/>
        <w:gridCol w:w="1070"/>
        <w:gridCol w:w="1070"/>
        <w:gridCol w:w="1069"/>
        <w:gridCol w:w="1092"/>
        <w:gridCol w:w="1070"/>
        <w:gridCol w:w="1091"/>
      </w:tblGrid>
      <w:tr>
        <w:trPr>
          <w:trHeight w:val="402" w:hRule="exact"/>
        </w:trPr>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1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070" w:type="dxa"/>
            <w:tcBorders>
              <w:top w:val="single" w:sz="4" w:space="0" w:color="000000"/>
              <w:left w:val="single" w:sz="13" w:space="0" w:color="D3D3D3"/>
              <w:bottom w:val="single" w:sz="4" w:space="0" w:color="000000"/>
              <w:right w:val="single" w:sz="4" w:space="0" w:color="000000"/>
            </w:tcBorders>
            <w:shd w:val="clear" w:color="auto" w:fill="E1FFFF"/>
          </w:tcPr>
          <w:p>
            <w:pPr>
              <w:pStyle w:val="TableParagraph"/>
              <w:spacing w:line="240" w:lineRule="auto" w:before="51"/>
              <w:ind w:left="337"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069"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商标权</w:t>
            </w:r>
          </w:p>
        </w:tc>
        <w:tc>
          <w:tcPr>
            <w:tcW w:w="109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著作权</w:t>
            </w:r>
          </w:p>
        </w:tc>
        <w:tc>
          <w:tcPr>
            <w:tcW w:w="107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34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pacing w:val="-12"/>
                <w:sz w:val="18"/>
                <w:szCs w:val="18"/>
              </w:rPr>
              <w:t>一、账面原值</w:t>
            </w:r>
          </w:p>
        </w:tc>
        <w:tc>
          <w:tcPr>
            <w:tcW w:w="1104" w:type="dxa"/>
            <w:tcBorders>
              <w:top w:val="single" w:sz="4" w:space="0" w:color="000000"/>
              <w:left w:val="single" w:sz="13" w:space="0" w:color="D3D3D3"/>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16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11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14,251,283.39</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4,225,067.39</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3,383,679.26</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285,000.00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22,145,030.04</w:t>
            </w:r>
          </w:p>
        </w:tc>
      </w:tr>
      <w:tr>
        <w:trPr>
          <w:trHeight w:val="714" w:hRule="exact"/>
        </w:trPr>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16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104" w:type="dxa"/>
            <w:tcBorders>
              <w:top w:val="single" w:sz="4" w:space="0" w:color="000000"/>
              <w:left w:val="single" w:sz="13" w:space="0" w:color="D3D3D3"/>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460,219.44</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17,982,800.00</w:t>
            </w:r>
          </w:p>
        </w:tc>
        <w:tc>
          <w:tcPr>
            <w:tcW w:w="107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18,443,019.44</w:t>
            </w:r>
          </w:p>
        </w:tc>
      </w:tr>
      <w:tr>
        <w:trPr>
          <w:trHeight w:val="714" w:hRule="exact"/>
        </w:trPr>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104" w:type="dxa"/>
            <w:tcBorders>
              <w:top w:val="single" w:sz="4" w:space="0" w:color="000000"/>
              <w:left w:val="single" w:sz="13" w:space="0" w:color="D3D3D3"/>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460,219.44</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460,219.44</w:t>
            </w:r>
          </w:p>
        </w:tc>
      </w:tr>
      <w:tr>
        <w:trPr>
          <w:trHeight w:val="714" w:hRule="exact"/>
        </w:trPr>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32"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内部研发</w:t>
            </w:r>
          </w:p>
        </w:tc>
        <w:tc>
          <w:tcPr>
            <w:tcW w:w="1104" w:type="dxa"/>
            <w:tcBorders>
              <w:top w:val="single" w:sz="4" w:space="0" w:color="000000"/>
              <w:left w:val="single" w:sz="13" w:space="0" w:color="D3D3D3"/>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11" w:right="32"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 企业合并增 加</w:t>
            </w:r>
          </w:p>
        </w:tc>
        <w:tc>
          <w:tcPr>
            <w:tcW w:w="1104" w:type="dxa"/>
            <w:tcBorders>
              <w:top w:val="single" w:sz="4" w:space="0" w:color="000000"/>
              <w:left w:val="single" w:sz="13" w:space="0" w:color="D3D3D3"/>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17,982,800.00</w:t>
            </w:r>
          </w:p>
        </w:tc>
        <w:tc>
          <w:tcPr>
            <w:tcW w:w="107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17,982,800.00</w:t>
            </w:r>
          </w:p>
        </w:tc>
      </w:tr>
      <w:tr>
        <w:trPr>
          <w:trHeight w:val="402" w:hRule="exact"/>
        </w:trPr>
        <w:tc>
          <w:tcPr>
            <w:tcW w:w="1046"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167"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04"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279,753.00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279,753.00</w:t>
            </w:r>
          </w:p>
        </w:tc>
      </w:tr>
      <w:tr>
        <w:trPr>
          <w:trHeight w:val="714" w:hRule="exact"/>
        </w:trPr>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104"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46" w:type="dxa"/>
            <w:tcBorders>
              <w:top w:val="single" w:sz="4" w:space="0" w:color="000000"/>
              <w:left w:val="single" w:sz="4" w:space="0" w:color="000000"/>
              <w:bottom w:val="single" w:sz="12" w:space="0" w:color="D3D3D3"/>
              <w:right w:val="single" w:sz="4" w:space="0" w:color="000000"/>
            </w:tcBorders>
            <w:shd w:val="clear" w:color="auto" w:fill="E1FFFF"/>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）其他</w:t>
            </w:r>
          </w:p>
        </w:tc>
        <w:tc>
          <w:tcPr>
            <w:tcW w:w="1104"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279,753.00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279,753.00</w:t>
            </w:r>
          </w:p>
        </w:tc>
      </w:tr>
      <w:tr>
        <w:trPr>
          <w:trHeight w:val="402" w:hRule="exact"/>
        </w:trPr>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14,251,283.39</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4,405,533.83</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3,383,679.26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17,982,800.00</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40,308,296.48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1069"/>
        <w:gridCol w:w="1092"/>
        <w:gridCol w:w="1069"/>
        <w:gridCol w:w="1070"/>
        <w:gridCol w:w="1070"/>
        <w:gridCol w:w="1069"/>
        <w:gridCol w:w="1092"/>
        <w:gridCol w:w="1070"/>
        <w:gridCol w:w="1091"/>
      </w:tblGrid>
      <w:tr>
        <w:trPr>
          <w:trHeight w:val="362" w:hRule="exact"/>
        </w:trPr>
        <w:tc>
          <w:tcPr>
            <w:tcW w:w="1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12"/>
                <w:sz w:val="18"/>
                <w:szCs w:val="18"/>
              </w:rPr>
              <w:t>二、累计摊销</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7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261,273.54</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2,974,323.41</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3,235,596.95</w:t>
            </w:r>
          </w:p>
        </w:tc>
      </w:tr>
      <w:tr>
        <w:trPr>
          <w:trHeight w:val="714" w:hRule="exact"/>
        </w:trPr>
        <w:tc>
          <w:tcPr>
            <w:tcW w:w="1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7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285,025.68</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256,766.43</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2,397,706.64</w:t>
            </w:r>
          </w:p>
        </w:tc>
        <w:tc>
          <w:tcPr>
            <w:tcW w:w="107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2,939,498.75</w:t>
            </w:r>
          </w:p>
        </w:tc>
      </w:tr>
      <w:tr>
        <w:trPr>
          <w:trHeight w:val="714" w:hRule="exact"/>
        </w:trPr>
        <w:tc>
          <w:tcPr>
            <w:tcW w:w="1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285,025.68</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256,766.43</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2,397,706.64</w:t>
            </w:r>
          </w:p>
        </w:tc>
        <w:tc>
          <w:tcPr>
            <w:tcW w:w="107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2,939,498.75</w:t>
            </w:r>
          </w:p>
        </w:tc>
      </w:tr>
      <w:tr>
        <w:trPr>
          <w:trHeight w:val="714" w:hRule="exact"/>
        </w:trPr>
        <w:tc>
          <w:tcPr>
            <w:tcW w:w="1069"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00"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 并增加</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7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177,490.53</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177,490.53</w:t>
            </w:r>
          </w:p>
        </w:tc>
      </w:tr>
      <w:tr>
        <w:trPr>
          <w:trHeight w:val="714" w:hRule="exact"/>
        </w:trPr>
        <w:tc>
          <w:tcPr>
            <w:tcW w:w="1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9"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177,490.53</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177,490.53</w:t>
            </w:r>
          </w:p>
        </w:tc>
      </w:tr>
      <w:tr>
        <w:trPr>
          <w:trHeight w:val="714" w:hRule="exact"/>
        </w:trPr>
        <w:tc>
          <w:tcPr>
            <w:tcW w:w="1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7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546,299.22</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3,053,599.31</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2,397,706.64</w:t>
            </w:r>
          </w:p>
        </w:tc>
        <w:tc>
          <w:tcPr>
            <w:tcW w:w="107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5,997,605.17</w:t>
            </w:r>
          </w:p>
        </w:tc>
      </w:tr>
      <w:tr>
        <w:trPr>
          <w:trHeight w:val="402" w:hRule="exact"/>
        </w:trPr>
        <w:tc>
          <w:tcPr>
            <w:tcW w:w="1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12"/>
                <w:sz w:val="18"/>
                <w:szCs w:val="18"/>
              </w:rPr>
              <w:t>三、减值准备</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7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7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9"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7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9"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7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12"/>
                <w:sz w:val="18"/>
                <w:szCs w:val="18"/>
              </w:rPr>
              <w:t>四、账面价值</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69"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7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 账面价值</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13,704,984.17</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1,351,934.52</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3,383,679.26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15,585,093.36</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285,000.00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34,310,691.31</w:t>
            </w:r>
          </w:p>
        </w:tc>
      </w:tr>
      <w:tr>
        <w:trPr>
          <w:trHeight w:val="714" w:hRule="exact"/>
        </w:trPr>
        <w:tc>
          <w:tcPr>
            <w:tcW w:w="1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7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 账面价值</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13,990,009.85</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1,250,743.98</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3,383,679.26</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285,000.00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18,909,433.09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7"/>
        <w:rPr>
          <w:rFonts w:ascii="Times New Roman" w:hAnsi="Times New Roman" w:cs="Times New Roman" w:eastAsia="Times New Roman" w:hint="default"/>
          <w:sz w:val="23"/>
          <w:szCs w:val="23"/>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）未办妥产权证书的土地使用权情况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、开发支出</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、商誉</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7" w:hRule="exact"/>
        </w:trPr>
        <w:tc>
          <w:tcPr>
            <w:tcW w:w="1367" w:type="dxa"/>
            <w:tcBorders>
              <w:top w:val="single" w:sz="4" w:space="0" w:color="000000"/>
              <w:left w:val="single" w:sz="4" w:space="0" w:color="000000"/>
              <w:bottom w:val="nil" w:sz="6" w:space="0" w:color="auto"/>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快点文化传播</w:t>
            </w:r>
          </w:p>
        </w:tc>
        <w:tc>
          <w:tcPr>
            <w:tcW w:w="1367" w:type="dxa"/>
            <w:vMerge w:val="restart"/>
            <w:tcBorders>
              <w:top w:val="single" w:sz="4" w:space="0" w:color="000000"/>
              <w:left w:val="single" w:sz="4" w:space="0" w:color="000000"/>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367" w:type="dxa"/>
            <w:tcBorders>
              <w:top w:val="nil" w:sz="6" w:space="0" w:color="auto"/>
              <w:left w:val="single" w:sz="4" w:space="0" w:color="000000"/>
              <w:bottom w:val="nil" w:sz="6" w:space="0" w:color="auto"/>
              <w:right w:val="single" w:sz="4" w:space="0" w:color="000000"/>
            </w:tcBorders>
            <w:shd w:val="clear" w:color="auto" w:fill="E1FFFF"/>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（上海）有限公</w:t>
            </w:r>
          </w:p>
        </w:tc>
        <w:tc>
          <w:tcPr>
            <w:tcW w:w="1367" w:type="dxa"/>
            <w:vMerge/>
            <w:tcBorders>
              <w:left w:val="single" w:sz="4" w:space="0" w:color="000000"/>
              <w:right w:val="single" w:sz="4" w:space="0" w:color="000000"/>
            </w:tcBorders>
          </w:tcPr>
          <w:p>
            <w:pP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181,787,928.75</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181,787,928.75</w:t>
            </w:r>
          </w:p>
        </w:tc>
      </w:tr>
      <w:tr>
        <w:trPr>
          <w:trHeight w:val="353" w:hRule="exact"/>
        </w:trPr>
        <w:tc>
          <w:tcPr>
            <w:tcW w:w="1367" w:type="dxa"/>
            <w:tcBorders>
              <w:top w:val="nil" w:sz="6" w:space="0" w:color="auto"/>
              <w:left w:val="single" w:sz="4" w:space="0" w:color="000000"/>
              <w:bottom w:val="single" w:sz="4" w:space="0" w:color="000000"/>
              <w:right w:val="single" w:sz="4" w:space="0" w:color="000000"/>
            </w:tcBorders>
            <w:shd w:val="clear" w:color="auto" w:fill="E1FFFF"/>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7" w:type="dxa"/>
            <w:vMerge/>
            <w:tcBorders>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181,787,928.75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181,787,928.75</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）商誉减值准备</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2,909,059.96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944,912.66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1,714,348.25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2,139,624.37</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租入固定资产改良 支出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1,149,173.41</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423,108.96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726,064.45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阅报栏维护支出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394,703.81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75,213.68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413,500.07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56,417.42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广告牌使用权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2,003,000.03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1,826,465.00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1,596,141.22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2,233,323.81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670,684.32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222,845.91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611,878.22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47,169.81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234,482.20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7,126,621.53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3,069,437.25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4,758,976.72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47,169.81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5,389,912.25</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03"/>
      </w:tblGrid>
      <w:tr>
        <w:trPr>
          <w:trHeight w:val="207" w:hRule="exact"/>
        </w:trPr>
        <w:tc>
          <w:tcPr>
            <w:tcW w:w="1901" w:type="dxa"/>
            <w:tcBorders>
              <w:top w:val="single" w:sz="4" w:space="0" w:color="000000"/>
              <w:left w:val="single" w:sz="4" w:space="0" w:color="000000"/>
              <w:bottom w:val="nil" w:sz="6" w:space="0" w:color="auto"/>
              <w:right w:val="single" w:sz="4" w:space="0" w:color="000000"/>
            </w:tcBorders>
            <w:shd w:val="clear" w:color="auto" w:fill="D3D3D3"/>
          </w:tcPr>
          <w:p>
            <w:pPr/>
          </w:p>
        </w:tc>
        <w:tc>
          <w:tcPr>
            <w:tcW w:w="383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5" w:hRule="exact"/>
        </w:trPr>
        <w:tc>
          <w:tcPr>
            <w:tcW w:w="190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3D3D3"/>
          </w:tcPr>
          <w:p>
            <w:pPr/>
          </w:p>
        </w:tc>
        <w:tc>
          <w:tcPr>
            <w:tcW w:w="3817"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901" w:type="dxa"/>
            <w:vMerge/>
            <w:tcBorders>
              <w:left w:val="single" w:sz="4" w:space="0" w:color="000000"/>
              <w:bottom w:val="nil" w:sz="6" w:space="0" w:color="auto"/>
              <w:right w:val="single" w:sz="4" w:space="0" w:color="000000"/>
            </w:tcBorders>
            <w:shd w:val="clear" w:color="auto" w:fill="D3D3D3"/>
          </w:tcPr>
          <w:p>
            <w:pPr/>
          </w:p>
        </w:tc>
        <w:tc>
          <w:tcPr>
            <w:tcW w:w="19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0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6"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0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575,712.76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99,418.77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221,368.99</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55,342.25</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2,159,666.66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539,916.66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3,305,712.85</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826,428.21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00"/>
        <w:gridCol w:w="1928"/>
        <w:gridCol w:w="1914"/>
        <w:gridCol w:w="1914"/>
        <w:gridCol w:w="1914"/>
      </w:tblGrid>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left="944" w:right="0"/>
              <w:jc w:val="left"/>
              <w:rPr>
                <w:rFonts w:ascii="Times New Roman" w:hAnsi="Times New Roman" w:cs="Times New Roman" w:eastAsia="Times New Roman" w:hint="default"/>
                <w:sz w:val="18"/>
                <w:szCs w:val="18"/>
              </w:rPr>
            </w:pPr>
            <w:r>
              <w:rPr>
                <w:rFonts w:ascii="Times New Roman"/>
                <w:sz w:val="18"/>
              </w:rPr>
              <w:t>2,735,379.42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639,335.43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3,527,081.84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881,770.46</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）未经抵销的递延所得税负债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0"/>
        <w:gridCol w:w="1916"/>
        <w:gridCol w:w="1914"/>
        <w:gridCol w:w="1914"/>
        <w:gridCol w:w="1914"/>
      </w:tblGrid>
      <w:tr>
        <w:trPr>
          <w:trHeight w:val="206" w:hRule="exact"/>
        </w:trPr>
        <w:tc>
          <w:tcPr>
            <w:tcW w:w="1900" w:type="dxa"/>
            <w:tcBorders>
              <w:top w:val="single" w:sz="4" w:space="0" w:color="000000"/>
              <w:left w:val="single" w:sz="4" w:space="0" w:color="000000"/>
              <w:bottom w:val="nil" w:sz="6" w:space="0" w:color="auto"/>
              <w:right w:val="single" w:sz="4" w:space="0" w:color="000000"/>
            </w:tcBorders>
            <w:shd w:val="clear" w:color="auto" w:fill="D3D3D3"/>
          </w:tcPr>
          <w:p>
            <w:pPr/>
          </w:p>
        </w:tc>
        <w:tc>
          <w:tcPr>
            <w:tcW w:w="383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3D3D3"/>
          </w:tcPr>
          <w:p>
            <w:pPr/>
          </w:p>
        </w:tc>
        <w:tc>
          <w:tcPr>
            <w:tcW w:w="3828"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1900" w:type="dxa"/>
            <w:vMerge/>
            <w:tcBorders>
              <w:left w:val="single" w:sz="4" w:space="0" w:color="000000"/>
              <w:bottom w:val="nil" w:sz="6" w:space="0" w:color="auto"/>
              <w:right w:val="single" w:sz="4" w:space="0" w:color="000000"/>
            </w:tcBorders>
            <w:shd w:val="clear" w:color="auto" w:fill="D3D3D3"/>
          </w:tcPr>
          <w:p>
            <w:pPr/>
          </w:p>
        </w:tc>
        <w:tc>
          <w:tcPr>
            <w:tcW w:w="19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00"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6"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15,656,478.50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1,957,059.81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15,656,478.50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1,957,059.81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）以抵销后净额列示的递延所得税资产或负债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12"/>
        <w:gridCol w:w="1904"/>
        <w:gridCol w:w="1925"/>
        <w:gridCol w:w="1914"/>
        <w:gridCol w:w="1891"/>
      </w:tblGrid>
      <w:tr>
        <w:trPr>
          <w:trHeight w:val="162" w:hRule="exact"/>
        </w:trPr>
        <w:tc>
          <w:tcPr>
            <w:tcW w:w="1912" w:type="dxa"/>
            <w:tcBorders>
              <w:top w:val="single" w:sz="4" w:space="0" w:color="000000"/>
              <w:left w:val="single" w:sz="4" w:space="0" w:color="000000"/>
              <w:bottom w:val="nil" w:sz="6" w:space="0" w:color="auto"/>
              <w:right w:val="single" w:sz="4" w:space="0" w:color="000000"/>
            </w:tcBorders>
            <w:shd w:val="clear" w:color="auto" w:fill="D3D3D3"/>
          </w:tcPr>
          <w:p>
            <w:pPr/>
          </w:p>
        </w:tc>
        <w:tc>
          <w:tcPr>
            <w:tcW w:w="190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401"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2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321" w:right="62"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400" w:right="6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89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310"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1904" w:type="dxa"/>
            <w:vMerge/>
            <w:tcBorders>
              <w:left w:val="single" w:sz="4" w:space="0" w:color="000000"/>
              <w:right w:val="single" w:sz="4" w:space="0" w:color="000000"/>
            </w:tcBorders>
            <w:shd w:val="clear" w:color="auto" w:fill="D3D3D3"/>
          </w:tcPr>
          <w:p>
            <w:pPr/>
          </w:p>
        </w:tc>
        <w:tc>
          <w:tcPr>
            <w:tcW w:w="1925" w:type="dxa"/>
            <w:vMerge/>
            <w:tcBorders>
              <w:left w:val="single" w:sz="4" w:space="0" w:color="000000"/>
              <w:right w:val="single" w:sz="4" w:space="0" w:color="000000"/>
            </w:tcBorders>
            <w:shd w:val="clear" w:color="auto" w:fill="D3D3D3"/>
          </w:tcPr>
          <w:p>
            <w:pPr/>
          </w:p>
        </w:tc>
        <w:tc>
          <w:tcPr>
            <w:tcW w:w="1914" w:type="dxa"/>
            <w:vMerge/>
            <w:tcBorders>
              <w:left w:val="single" w:sz="4" w:space="0" w:color="000000"/>
              <w:right w:val="single" w:sz="4" w:space="0" w:color="000000"/>
            </w:tcBorders>
            <w:shd w:val="clear" w:color="auto" w:fill="D3D3D3"/>
          </w:tcPr>
          <w:p>
            <w:pPr/>
          </w:p>
        </w:tc>
        <w:tc>
          <w:tcPr>
            <w:tcW w:w="1891" w:type="dxa"/>
            <w:vMerge/>
            <w:tcBorders>
              <w:left w:val="single" w:sz="4" w:space="0" w:color="000000"/>
              <w:right w:val="single" w:sz="4" w:space="0" w:color="000000"/>
            </w:tcBorders>
            <w:shd w:val="clear" w:color="auto" w:fill="D3D3D3"/>
          </w:tcPr>
          <w:p>
            <w:pPr/>
          </w:p>
        </w:tc>
      </w:tr>
      <w:tr>
        <w:trPr>
          <w:trHeight w:val="161" w:hRule="exact"/>
        </w:trPr>
        <w:tc>
          <w:tcPr>
            <w:tcW w:w="1912" w:type="dxa"/>
            <w:tcBorders>
              <w:top w:val="nil" w:sz="6" w:space="0" w:color="auto"/>
              <w:left w:val="single" w:sz="4" w:space="0" w:color="000000"/>
              <w:bottom w:val="single" w:sz="4" w:space="0" w:color="000000"/>
              <w:right w:val="single" w:sz="4" w:space="0" w:color="000000"/>
            </w:tcBorders>
            <w:shd w:val="clear" w:color="auto" w:fill="D3D3D3"/>
          </w:tcPr>
          <w:p>
            <w:pPr/>
          </w:p>
        </w:tc>
        <w:tc>
          <w:tcPr>
            <w:tcW w:w="1904" w:type="dxa"/>
            <w:vMerge/>
            <w:tcBorders>
              <w:left w:val="single" w:sz="4" w:space="0" w:color="000000"/>
              <w:bottom w:val="single" w:sz="4" w:space="0" w:color="000000"/>
              <w:right w:val="single" w:sz="4" w:space="0" w:color="000000"/>
            </w:tcBorders>
            <w:shd w:val="clear" w:color="auto" w:fill="D3D3D3"/>
          </w:tcPr>
          <w:p>
            <w:pPr/>
          </w:p>
        </w:tc>
        <w:tc>
          <w:tcPr>
            <w:tcW w:w="1925"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891"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4" w:type="dxa"/>
            <w:tcBorders>
              <w:top w:val="single" w:sz="4" w:space="0" w:color="000000"/>
              <w:left w:val="single" w:sz="9" w:space="0" w:color="D3D3D3"/>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2"/>
              <w:jc w:val="right"/>
              <w:rPr>
                <w:rFonts w:ascii="Times New Roman" w:hAnsi="Times New Roman" w:cs="Times New Roman" w:eastAsia="Times New Roman" w:hint="default"/>
                <w:sz w:val="18"/>
                <w:szCs w:val="18"/>
              </w:rPr>
            </w:pPr>
            <w:r>
              <w:rPr>
                <w:rFonts w:ascii="Times New Roman"/>
                <w:sz w:val="18"/>
              </w:rPr>
              <w:t>639,335.43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8" w:right="0"/>
              <w:jc w:val="left"/>
              <w:rPr>
                <w:rFonts w:ascii="Times New Roman" w:hAnsi="Times New Roman" w:cs="Times New Roman" w:eastAsia="Times New Roman" w:hint="default"/>
                <w:sz w:val="18"/>
                <w:szCs w:val="18"/>
              </w:rPr>
            </w:pPr>
            <w:r>
              <w:rPr>
                <w:rFonts w:ascii="Times New Roman"/>
                <w:sz w:val="18"/>
              </w:rPr>
              <w:t>881,770.46</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04" w:type="dxa"/>
            <w:tcBorders>
              <w:top w:val="single" w:sz="4" w:space="0" w:color="000000"/>
              <w:left w:val="single" w:sz="9" w:space="0" w:color="D3D3D3"/>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2"/>
              <w:jc w:val="right"/>
              <w:rPr>
                <w:rFonts w:ascii="Times New Roman" w:hAnsi="Times New Roman" w:cs="Times New Roman" w:eastAsia="Times New Roman" w:hint="default"/>
                <w:sz w:val="18"/>
                <w:szCs w:val="18"/>
              </w:rPr>
            </w:pPr>
            <w:r>
              <w:rPr>
                <w:rFonts w:ascii="Times New Roman"/>
                <w:spacing w:val="-1"/>
                <w:sz w:val="18"/>
              </w:rPr>
              <w:t>1,957,059.81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8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29,420.00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4,753,275.89</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4,782,695.89</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）未确认递延所得税资产的可抵扣亏损将于以下年度到期</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、其他非流动资产</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固定资产预付采购款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13,072,715.44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608,210.00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进项税留抵税额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54,002,630.88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59,603,439.98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无形资产预付采购款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299,029.13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67,075,346.32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60,510,679.11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66"/>
        <w:ind w:left="634" w:right="0"/>
        <w:jc w:val="left"/>
      </w:pPr>
      <w:r>
        <w:rPr/>
        <w:t>注：根据文件《增值税一般纳税人资产重组进项留抵税额转移单》，经杭州市下城区国</w:t>
      </w:r>
    </w:p>
    <w:p>
      <w:pPr>
        <w:spacing w:after="0" w:line="240" w:lineRule="auto"/>
        <w:jc w:val="left"/>
        <w:sectPr>
          <w:pgSz w:w="11910" w:h="16840"/>
          <w:pgMar w:header="877" w:footer="982" w:top="1100" w:bottom="1180" w:left="980" w:right="980"/>
        </w:sectPr>
      </w:pPr>
    </w:p>
    <w:p>
      <w:pPr>
        <w:spacing w:line="240" w:lineRule="auto" w:before="7"/>
        <w:rPr>
          <w:rFonts w:ascii="宋体" w:hAnsi="宋体" w:cs="宋体" w:eastAsia="宋体" w:hint="default"/>
          <w:sz w:val="19"/>
          <w:szCs w:val="19"/>
        </w:rPr>
      </w:pPr>
    </w:p>
    <w:p>
      <w:pPr>
        <w:pStyle w:val="BodyText"/>
        <w:spacing w:line="312" w:lineRule="exact" w:before="56"/>
        <w:ind w:right="148"/>
        <w:jc w:val="both"/>
      </w:pPr>
      <w:r>
        <w:rPr>
          <w:spacing w:val="-6"/>
        </w:rPr>
        <w:t>家税务局同意，将原属于杭州日报社已认证尚未抵扣，与《杭州日报》、《每日商报》和《都</w:t>
      </w:r>
      <w:r>
        <w:rPr>
          <w:spacing w:val="-81"/>
        </w:rPr>
        <w:t> </w:t>
      </w:r>
      <w:r>
        <w:rPr>
          <w:spacing w:val="-81"/>
        </w:rPr>
      </w:r>
      <w:r>
        <w:rPr/>
        <w:t>市快报》发行有关的留抵进项税额分别转移到杭州日报传媒有限公司、杭州每日传媒有限公</w:t>
      </w:r>
      <w:r>
        <w:rPr>
          <w:spacing w:val="-83"/>
        </w:rPr>
        <w:t> </w:t>
      </w:r>
      <w:r>
        <w:rPr>
          <w:spacing w:val="-83"/>
        </w:rPr>
      </w:r>
      <w:r>
        <w:rPr/>
        <w:t>司和浙江都市快报控股有限公司名下。</w:t>
      </w:r>
    </w:p>
    <w:p>
      <w:pPr>
        <w:spacing w:line="240" w:lineRule="auto" w:before="7"/>
        <w:rPr>
          <w:rFonts w:ascii="宋体" w:hAnsi="宋体" w:cs="宋体" w:eastAsia="宋体" w:hint="default"/>
          <w:sz w:val="22"/>
          <w:szCs w:val="22"/>
        </w:rPr>
      </w:pPr>
    </w:p>
    <w:p>
      <w:pPr>
        <w:spacing w:before="0"/>
        <w:ind w:left="15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7,745,000.00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7,745,000.00</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）已逾期未偿还的短期借款情况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、以公允价值计量且其变动计入当期损益的金融负债</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、衍生金融负债</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、应付票据</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55,177,043.00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55,336,000.00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55,177,043.00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55,336,000.00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、应付账款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采编、广告寄活动策划成本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53,554,676.41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21,543,751.50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54,642,615.10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77,493,124.50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14,190,424.73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5,270,503.02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122,387,716.24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104,307,379.02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年的重要应付账款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、预收款项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）预收款项列示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报刊发行款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137,614,378.65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150,222,585.73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广告寄策划款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96,614,979.05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96,252,923.76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3,677,323.70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5,906,048.17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5,310,004.59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1,506,009.20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243,216,685.99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253,887,566.86</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年的重要预收款项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）期末建造合同形成的已结算未完工项目情况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52,424,195.93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258,438,677.94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265,804,926.44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45,057,947.43</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1,110,170.04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14,473,182.41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14,617,890.24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965,462.21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193,122.00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193,122.00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53,534,365.97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273,104,982.35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280,615,938.68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46,023,409.64</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）短期薪酬列示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50,497,773.95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221,599,289.43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228,806,731.79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43,290,331.59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15,201,150.71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15,201,150.71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883,396.00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11,126,728.99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11,226,761.35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783,363.64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774,590.15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9,728,500.34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9,820,363.09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682,727.40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884"/>
        <w:gridCol w:w="1944"/>
        <w:gridCol w:w="1914"/>
        <w:gridCol w:w="1914"/>
        <w:gridCol w:w="1914"/>
      </w:tblGrid>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9"/>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4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30,117.93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403,252.52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404,347.95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29,022.50</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9"/>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4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78,687.92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994,976.13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1,002,050.31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71,613.74</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4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106,692.00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8,459,695.66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8,475,353.66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91,034.00</w:t>
            </w:r>
          </w:p>
        </w:tc>
      </w:tr>
      <w:tr>
        <w:trPr>
          <w:trHeight w:val="714" w:hRule="exact"/>
        </w:trPr>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4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936,333.98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2,051,813.15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2,094,928.93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893,218.20</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4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52,424,195.93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258,438,677.94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265,804,926.44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45,057,947.43</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）设定提存计划列示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974,380.78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13,129,179.60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13,236,375.17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867,185.21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135,789.26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1,344,002.81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1,381,515.07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98,277.00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1,110,170.04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14,473,182.41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14,617,890.24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965,462.21</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6"/>
        <w:gridCol w:w="3193"/>
        <w:gridCol w:w="3188"/>
      </w:tblGrid>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16,369,065.02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10,572,496.45</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869,463.81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900,056.95</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2,108,062.51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49,401,795.06</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43,204,731.93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1,089,556.86</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498,152.71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619,687.39</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232,621.42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258,042.09</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139,349.72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175,483.04</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260,216.68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350,821.98</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4,974,594.95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3,271,423.27</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71,843.82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1,193,728.38</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146,973.27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51,235.67</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17,257.38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29,815.92</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68,892,333.22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67,914,143.06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、应付利息</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10,612.77</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10,612.77</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重要的已逾期未支付的利息情况：无</w:t>
      </w:r>
    </w:p>
    <w:p>
      <w:pPr>
        <w:spacing w:line="240" w:lineRule="auto" w:before="10"/>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、应付股利</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4,042,171.22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4,042,171.22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4,042,171.22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4,042,171.22</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）按款项性质列示其他应付款</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应付投资款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113,932,806.00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19,500,000.00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937,853.21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27,907,933.58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应付经营费用</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18,682,266.22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8,069,851.06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8,743,221.64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9,215,026.73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9,637,099.29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132,155,537.00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84,470,520.73</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年的重要其他应付款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、划分为持有待售的负债</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、一年内到期的非流动负债</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、其他流动负债</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77" w:footer="982" w:top="1100" w:bottom="1180" w:left="980" w:right="980"/>
        </w:sectPr>
      </w:pPr>
    </w:p>
    <w:p>
      <w:pPr>
        <w:spacing w:line="240" w:lineRule="auto" w:before="9"/>
        <w:rPr>
          <w:rFonts w:ascii="宋体" w:hAnsi="宋体" w:cs="宋体" w:eastAsia="宋体" w:hint="default"/>
          <w:b/>
          <w:bCs/>
          <w:sz w:val="20"/>
          <w:szCs w:val="20"/>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、长期借款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、应付债券</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）应付债券</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）应付债券的增减变动（不包括划分为金融负债的优先股、永续债等其他金融工具）</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）可转换公司债券的转股条件、转股时间说明</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、长期应付款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）按款项性质列示长期应付款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、长期应付职工薪酬</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）长期应付职工薪酬表</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）设定受益计划变动情况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、专项应付款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50</w:t>
      </w:r>
      <w:r>
        <w:rPr>
          <w:rFonts w:ascii="宋体" w:hAnsi="宋体" w:cs="宋体" w:eastAsia="宋体" w:hint="default"/>
          <w:b/>
          <w:bCs/>
          <w:sz w:val="21"/>
          <w:szCs w:val="21"/>
        </w:rPr>
        <w:t>、递延收益</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5"/>
        <w:gridCol w:w="1594"/>
        <w:gridCol w:w="1594"/>
        <w:gridCol w:w="1594"/>
      </w:tblGrid>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4,562,000.02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961,999.98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3,600,000.04</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财政扶持</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4,562,000.02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961,999.98</w:t>
            </w:r>
          </w:p>
        </w:tc>
        <w:tc>
          <w:tcPr>
            <w:tcW w:w="159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3,600,000.04</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城市</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联播网 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595,333.34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595,333.34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4"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年度中央补 助文化产业发展</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3,866,666.68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266,666.64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3,600,000.04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专项资金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城市图片搜索库 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4,562,000.02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961,999.98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9" w:right="0"/>
              <w:jc w:val="left"/>
              <w:rPr>
                <w:rFonts w:ascii="Times New Roman" w:hAnsi="Times New Roman" w:cs="Times New Roman" w:eastAsia="Times New Roman" w:hint="default"/>
                <w:sz w:val="18"/>
                <w:szCs w:val="18"/>
              </w:rPr>
            </w:pPr>
            <w:r>
              <w:rPr>
                <w:rFonts w:ascii="Times New Roman"/>
                <w:sz w:val="18"/>
              </w:rPr>
              <w:t>3,600,000.04</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、其他非流动负债</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175"/>
        <w:gridCol w:w="1316"/>
        <w:gridCol w:w="1177"/>
        <w:gridCol w:w="1177"/>
        <w:gridCol w:w="1177"/>
        <w:gridCol w:w="1178"/>
        <w:gridCol w:w="1166"/>
        <w:gridCol w:w="1328"/>
      </w:tblGrid>
      <w:tr>
        <w:trPr>
          <w:trHeight w:val="206" w:hRule="exact"/>
        </w:trPr>
        <w:tc>
          <w:tcPr>
            <w:tcW w:w="1175" w:type="dxa"/>
            <w:tcBorders>
              <w:top w:val="single" w:sz="4" w:space="0" w:color="000000"/>
              <w:left w:val="single" w:sz="4" w:space="0" w:color="000000"/>
              <w:bottom w:val="nil" w:sz="6" w:space="0" w:color="auto"/>
              <w:right w:val="single" w:sz="4" w:space="0" w:color="000000"/>
            </w:tcBorders>
            <w:shd w:val="clear" w:color="auto" w:fill="D3D3D3"/>
          </w:tcPr>
          <w:p>
            <w:pPr/>
          </w:p>
        </w:tc>
        <w:tc>
          <w:tcPr>
            <w:tcW w:w="1316" w:type="dxa"/>
            <w:tcBorders>
              <w:top w:val="single" w:sz="4" w:space="0" w:color="000000"/>
              <w:left w:val="single" w:sz="4" w:space="0" w:color="000000"/>
              <w:bottom w:val="nil" w:sz="6" w:space="0" w:color="auto"/>
              <w:right w:val="single" w:sz="4" w:space="0" w:color="000000"/>
            </w:tcBorders>
            <w:shd w:val="clear" w:color="auto" w:fill="D3D3D3"/>
          </w:tcPr>
          <w:p>
            <w:pPr/>
          </w:p>
        </w:tc>
        <w:tc>
          <w:tcPr>
            <w:tcW w:w="5875"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2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5" w:hRule="exact"/>
        </w:trPr>
        <w:tc>
          <w:tcPr>
            <w:tcW w:w="1175" w:type="dxa"/>
            <w:vMerge w:val="restart"/>
            <w:tcBorders>
              <w:top w:val="nil" w:sz="6" w:space="0" w:color="auto"/>
              <w:left w:val="single" w:sz="4" w:space="0" w:color="000000"/>
              <w:right w:val="single" w:sz="4" w:space="0" w:color="000000"/>
            </w:tcBorders>
            <w:shd w:val="clear" w:color="auto" w:fill="D3D3D3"/>
          </w:tcPr>
          <w:p>
            <w:pPr/>
          </w:p>
        </w:tc>
        <w:tc>
          <w:tcPr>
            <w:tcW w:w="131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2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875" w:type="dxa"/>
            <w:gridSpan w:val="5"/>
            <w:vMerge/>
            <w:tcBorders>
              <w:left w:val="single" w:sz="4" w:space="0" w:color="000000"/>
              <w:bottom w:val="single" w:sz="4" w:space="0" w:color="000000"/>
              <w:right w:val="single" w:sz="4" w:space="0" w:color="000000"/>
            </w:tcBorders>
            <w:shd w:val="clear" w:color="auto" w:fill="D3D3D3"/>
          </w:tcPr>
          <w:p>
            <w:pPr/>
          </w:p>
        </w:tc>
        <w:tc>
          <w:tcPr>
            <w:tcW w:w="132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30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1175" w:type="dxa"/>
            <w:vMerge/>
            <w:tcBorders>
              <w:left w:val="single" w:sz="4" w:space="0" w:color="000000"/>
              <w:bottom w:val="nil" w:sz="6" w:space="0" w:color="auto"/>
              <w:right w:val="single" w:sz="4" w:space="0" w:color="000000"/>
            </w:tcBorders>
            <w:shd w:val="clear" w:color="auto" w:fill="D3D3D3"/>
          </w:tcPr>
          <w:p>
            <w:pPr/>
          </w:p>
        </w:tc>
        <w:tc>
          <w:tcPr>
            <w:tcW w:w="1316" w:type="dxa"/>
            <w:vMerge/>
            <w:tcBorders>
              <w:left w:val="single" w:sz="4" w:space="0" w:color="000000"/>
              <w:bottom w:val="nil" w:sz="6" w:space="0" w:color="auto"/>
              <w:right w:val="single" w:sz="4" w:space="0" w:color="000000"/>
            </w:tcBorders>
            <w:shd w:val="clear" w:color="auto" w:fill="D3D3D3"/>
          </w:tcPr>
          <w:p>
            <w:pPr/>
          </w:p>
        </w:tc>
        <w:tc>
          <w:tcPr>
            <w:tcW w:w="11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2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3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328" w:type="dxa"/>
            <w:vMerge/>
            <w:tcBorders>
              <w:left w:val="single" w:sz="4" w:space="0" w:color="000000"/>
              <w:bottom w:val="nil" w:sz="6" w:space="0" w:color="auto"/>
              <w:right w:val="single" w:sz="4" w:space="0" w:color="000000"/>
            </w:tcBorders>
            <w:shd w:val="clear" w:color="auto" w:fill="D3D3D3"/>
          </w:tcPr>
          <w:p>
            <w:pPr/>
          </w:p>
        </w:tc>
      </w:tr>
      <w:tr>
        <w:trPr>
          <w:trHeight w:val="205" w:hRule="exact"/>
        </w:trPr>
        <w:tc>
          <w:tcPr>
            <w:tcW w:w="1175" w:type="dxa"/>
            <w:tcBorders>
              <w:top w:val="nil" w:sz="6" w:space="0" w:color="auto"/>
              <w:left w:val="single" w:sz="4" w:space="0" w:color="000000"/>
              <w:bottom w:val="single" w:sz="4" w:space="0" w:color="000000"/>
              <w:right w:val="single" w:sz="4" w:space="0" w:color="000000"/>
            </w:tcBorders>
            <w:shd w:val="clear" w:color="auto" w:fill="D3D3D3"/>
          </w:tcPr>
          <w:p>
            <w:pPr/>
          </w:p>
        </w:tc>
        <w:tc>
          <w:tcPr>
            <w:tcW w:w="131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77" w:type="dxa"/>
            <w:vMerge/>
            <w:tcBorders>
              <w:left w:val="single" w:sz="4" w:space="0" w:color="000000"/>
              <w:bottom w:val="single" w:sz="4" w:space="0" w:color="000000"/>
              <w:right w:val="single" w:sz="4" w:space="0" w:color="000000"/>
            </w:tcBorders>
            <w:shd w:val="clear" w:color="auto" w:fill="D3D3D3"/>
          </w:tcPr>
          <w:p>
            <w:pPr/>
          </w:p>
        </w:tc>
        <w:tc>
          <w:tcPr>
            <w:tcW w:w="1177" w:type="dxa"/>
            <w:vMerge/>
            <w:tcBorders>
              <w:left w:val="single" w:sz="4" w:space="0" w:color="000000"/>
              <w:bottom w:val="single" w:sz="4" w:space="0" w:color="000000"/>
              <w:right w:val="single" w:sz="4" w:space="0" w:color="000000"/>
            </w:tcBorders>
            <w:shd w:val="clear" w:color="auto" w:fill="D3D3D3"/>
          </w:tcPr>
          <w:p>
            <w:pPr/>
          </w:p>
        </w:tc>
        <w:tc>
          <w:tcPr>
            <w:tcW w:w="1177" w:type="dxa"/>
            <w:vMerge/>
            <w:tcBorders>
              <w:left w:val="single" w:sz="4" w:space="0" w:color="000000"/>
              <w:bottom w:val="single" w:sz="4" w:space="0" w:color="000000"/>
              <w:right w:val="single" w:sz="4" w:space="0" w:color="000000"/>
            </w:tcBorders>
            <w:shd w:val="clear" w:color="auto" w:fill="D3D3D3"/>
          </w:tcPr>
          <w:p>
            <w:pPr/>
          </w:p>
        </w:tc>
        <w:tc>
          <w:tcPr>
            <w:tcW w:w="1178" w:type="dxa"/>
            <w:vMerge/>
            <w:tcBorders>
              <w:left w:val="single" w:sz="4" w:space="0" w:color="000000"/>
              <w:bottom w:val="single" w:sz="4" w:space="0" w:color="000000"/>
              <w:right w:val="single" w:sz="4" w:space="0" w:color="000000"/>
            </w:tcBorders>
            <w:shd w:val="clear" w:color="auto" w:fill="D3D3D3"/>
          </w:tcPr>
          <w:p>
            <w:pPr/>
          </w:p>
        </w:tc>
        <w:tc>
          <w:tcPr>
            <w:tcW w:w="1166" w:type="dxa"/>
            <w:vMerge/>
            <w:tcBorders>
              <w:left w:val="single" w:sz="4" w:space="0" w:color="000000"/>
              <w:bottom w:val="single" w:sz="4" w:space="0" w:color="000000"/>
              <w:right w:val="single" w:sz="4" w:space="0" w:color="000000"/>
            </w:tcBorders>
            <w:shd w:val="clear" w:color="auto" w:fill="D3D3D3"/>
          </w:tcPr>
          <w:p>
            <w:pPr/>
          </w:p>
        </w:tc>
        <w:tc>
          <w:tcPr>
            <w:tcW w:w="132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3" w:hRule="exact"/>
        </w:trPr>
        <w:tc>
          <w:tcPr>
            <w:tcW w:w="1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31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10" w:right="0"/>
              <w:jc w:val="left"/>
              <w:rPr>
                <w:rFonts w:ascii="Times New Roman" w:hAnsi="Times New Roman" w:cs="Times New Roman" w:eastAsia="Times New Roman" w:hint="default"/>
                <w:sz w:val="18"/>
                <w:szCs w:val="18"/>
              </w:rPr>
            </w:pPr>
            <w:r>
              <w:rPr>
                <w:rFonts w:ascii="Times New Roman"/>
                <w:sz w:val="18"/>
              </w:rPr>
              <w:t>1,017,698,410.00</w:t>
            </w:r>
          </w:p>
        </w:tc>
        <w:tc>
          <w:tcPr>
            <w:tcW w:w="117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1,017,698,410.00</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53</w:t>
      </w:r>
      <w:r>
        <w:rPr>
          <w:rFonts w:ascii="宋体" w:hAnsi="宋体" w:cs="宋体" w:eastAsia="宋体" w:hint="default"/>
          <w:b/>
          <w:bCs/>
          <w:sz w:val="21"/>
          <w:szCs w:val="21"/>
        </w:rPr>
        <w:t>、其他权益工具</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）期末发行在外的优先股、永续债等其他金融工具基本情况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）期末发行在外的优先股、永续债等金融工具变动情况表</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54</w:t>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-234,762,836.82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-234,762,836.82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-234,762,836.82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-234,762,836.82</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55</w:t>
      </w:r>
      <w:r>
        <w:rPr>
          <w:rFonts w:ascii="宋体" w:hAnsi="宋体" w:cs="宋体" w:eastAsia="宋体" w:hint="default"/>
          <w:b/>
          <w:bCs/>
          <w:sz w:val="21"/>
          <w:szCs w:val="21"/>
        </w:rPr>
        <w:t>、库存股</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56</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57</w:t>
      </w:r>
      <w:r>
        <w:rPr>
          <w:rFonts w:ascii="宋体" w:hAnsi="宋体" w:cs="宋体" w:eastAsia="宋体" w:hint="default"/>
          <w:b/>
          <w:bCs/>
          <w:sz w:val="21"/>
          <w:szCs w:val="21"/>
        </w:rPr>
        <w:t>、专项储备</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58</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50,425,366.04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5,599,675.44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44,825,690.60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50,425,366.04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5,599,675.44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44,825,690.60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pStyle w:val="BodyText"/>
        <w:spacing w:line="240" w:lineRule="auto" w:before="65"/>
        <w:ind w:left="634" w:right="0"/>
        <w:jc w:val="left"/>
      </w:pPr>
      <w:r>
        <w:rPr/>
        <w:t>本期减少系子公司浙江风盛传媒有限公司购买孙公司杭州朗盛传媒有限公司少数股东持</w:t>
      </w:r>
    </w:p>
    <w:p>
      <w:pPr>
        <w:spacing w:after="0" w:line="240" w:lineRule="auto"/>
        <w:jc w:val="left"/>
        <w:sectPr>
          <w:pgSz w:w="11910" w:h="16840"/>
          <w:pgMar w:header="877" w:footer="982" w:top="1100" w:bottom="1180" w:left="980" w:right="980"/>
        </w:sectPr>
      </w:pPr>
    </w:p>
    <w:p>
      <w:pPr>
        <w:spacing w:line="240" w:lineRule="auto" w:before="7"/>
        <w:rPr>
          <w:rFonts w:ascii="宋体" w:hAnsi="宋体" w:cs="宋体" w:eastAsia="宋体" w:hint="default"/>
          <w:sz w:val="19"/>
          <w:szCs w:val="19"/>
        </w:rPr>
      </w:pPr>
    </w:p>
    <w:p>
      <w:pPr>
        <w:pStyle w:val="BodyText"/>
        <w:spacing w:line="312" w:lineRule="exact" w:before="56"/>
        <w:ind w:right="108"/>
        <w:jc w:val="both"/>
      </w:pPr>
      <w:r>
        <w:rPr/>
        <w:t>有的</w:t>
      </w:r>
      <w:r>
        <w:rPr>
          <w:rFonts w:ascii="Times New Roman" w:hAnsi="Times New Roman" w:cs="Times New Roman" w:eastAsia="Times New Roman" w:hint="default"/>
        </w:rPr>
        <w:t>49%</w:t>
      </w:r>
      <w:r>
        <w:rPr/>
        <w:t>的股权，新取得的长期股权投资成本与按照新增持股比例计算应享有杭州朗盛传媒</w:t>
      </w:r>
      <w:r>
        <w:rPr>
          <w:spacing w:val="-45"/>
        </w:rPr>
        <w:t> </w:t>
      </w:r>
      <w:r>
        <w:rPr>
          <w:spacing w:val="-45"/>
        </w:rPr>
      </w:r>
      <w:r>
        <w:rPr/>
        <w:t>有限公司自购买日开始持续计算的可辨认净资产份额之间的差额为</w:t>
      </w:r>
      <w:r>
        <w:rPr>
          <w:rFonts w:ascii="Times New Roman" w:hAnsi="Times New Roman" w:cs="Times New Roman" w:eastAsia="Times New Roman" w:hint="default"/>
        </w:rPr>
        <w:t>5,599,675.44</w:t>
      </w:r>
      <w:r>
        <w:rPr/>
        <w:t>元，由于合并 </w:t>
      </w:r>
      <w:r>
        <w:rPr>
          <w:spacing w:val="-3"/>
        </w:rPr>
        <w:t>财务报表中的资本公积（资本溢价或股本溢价）不足冲减，相应调减盈余公积</w:t>
      </w:r>
      <w:r>
        <w:rPr>
          <w:rFonts w:ascii="Times New Roman" w:hAnsi="Times New Roman" w:cs="Times New Roman" w:eastAsia="Times New Roman" w:hint="default"/>
          <w:spacing w:val="-3"/>
        </w:rPr>
        <w:t>5,599,675.44</w:t>
      </w:r>
      <w:r>
        <w:rPr>
          <w:spacing w:val="-3"/>
        </w:rPr>
        <w:t>元。</w:t>
      </w:r>
    </w:p>
    <w:p>
      <w:pPr>
        <w:spacing w:line="240" w:lineRule="auto" w:before="7"/>
        <w:rPr>
          <w:rFonts w:ascii="宋体" w:hAnsi="宋体" w:cs="宋体" w:eastAsia="宋体" w:hint="default"/>
          <w:sz w:val="22"/>
          <w:szCs w:val="22"/>
        </w:rPr>
      </w:pPr>
    </w:p>
    <w:p>
      <w:pPr>
        <w:spacing w:before="0"/>
        <w:ind w:left="15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59</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2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02"/>
        <w:gridCol w:w="2936"/>
        <w:gridCol w:w="2918"/>
      </w:tblGrid>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428,402,403.86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258,247,245.29</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428,402,403.86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258,247,245.29</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283,509,623.51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188,665,289.66</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13" w:space="0" w:color="D3D3D3"/>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18,510,131.09</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711,912,027.37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428,402,403.86</w:t>
            </w:r>
          </w:p>
        </w:tc>
      </w:tr>
    </w:tbl>
    <w:p>
      <w:pPr>
        <w:spacing w:line="240" w:lineRule="auto" w:before="2"/>
        <w:rPr>
          <w:rFonts w:ascii="宋体" w:hAnsi="宋体" w:cs="宋体" w:eastAsia="宋体" w:hint="default"/>
          <w:sz w:val="19"/>
          <w:szCs w:val="19"/>
        </w:rPr>
      </w:pPr>
    </w:p>
    <w:p>
      <w:pPr>
        <w:spacing w:before="35"/>
        <w:ind w:left="154"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60</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2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14"/>
      </w:tblGrid>
      <w:tr>
        <w:trPr>
          <w:trHeight w:val="207" w:hRule="exact"/>
        </w:trPr>
        <w:tc>
          <w:tcPr>
            <w:tcW w:w="1901" w:type="dxa"/>
            <w:tcBorders>
              <w:top w:val="single" w:sz="4" w:space="0" w:color="000000"/>
              <w:left w:val="single" w:sz="4" w:space="0" w:color="000000"/>
              <w:bottom w:val="nil" w:sz="6" w:space="0" w:color="auto"/>
              <w:right w:val="single" w:sz="4" w:space="0" w:color="000000"/>
            </w:tcBorders>
            <w:shd w:val="clear" w:color="auto" w:fill="D3D3D3"/>
          </w:tcPr>
          <w:p>
            <w:pPr/>
          </w:p>
        </w:tc>
        <w:tc>
          <w:tcPr>
            <w:tcW w:w="383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5" w:hRule="exact"/>
        </w:trPr>
        <w:tc>
          <w:tcPr>
            <w:tcW w:w="190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3D3D3"/>
          </w:tcPr>
          <w:p>
            <w:pPr/>
          </w:p>
        </w:tc>
        <w:tc>
          <w:tcPr>
            <w:tcW w:w="3828"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901" w:type="dxa"/>
            <w:vMerge/>
            <w:tcBorders>
              <w:left w:val="single" w:sz="4" w:space="0" w:color="000000"/>
              <w:bottom w:val="nil" w:sz="6" w:space="0" w:color="auto"/>
              <w:right w:val="single" w:sz="4" w:space="0" w:color="000000"/>
            </w:tcBorders>
            <w:shd w:val="clear" w:color="auto" w:fill="D3D3D3"/>
          </w:tcPr>
          <w:p>
            <w:pPr/>
          </w:p>
        </w:tc>
        <w:tc>
          <w:tcPr>
            <w:tcW w:w="19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6"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1,455,056,564.39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1,027,331,557.19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1,385,937,579.94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985,687,469.88</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98,974,156.96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95,164,970.47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99,302,637.37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91,808,463.02</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1,554,030,721.35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1,122,496,527.66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1,485,240,217.31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1,077,495,932.90</w:t>
            </w:r>
          </w:p>
        </w:tc>
      </w:tr>
    </w:tbl>
    <w:p>
      <w:pPr>
        <w:spacing w:line="240" w:lineRule="auto" w:before="2"/>
        <w:rPr>
          <w:rFonts w:ascii="宋体" w:hAnsi="宋体" w:cs="宋体" w:eastAsia="宋体" w:hint="default"/>
          <w:sz w:val="19"/>
          <w:szCs w:val="19"/>
        </w:rPr>
      </w:pPr>
    </w:p>
    <w:p>
      <w:pPr>
        <w:spacing w:before="35"/>
        <w:ind w:left="154"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61</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2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6"/>
        <w:gridCol w:w="3193"/>
        <w:gridCol w:w="3188"/>
      </w:tblGrid>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1,634,695.12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2,705,184.38</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2,662,157.15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2,038,273.11</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1,159,185.46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885,957.96</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773,245.43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590,879.77</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13,550,528.05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13,703,212.26</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31,865.13</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19,811,676.34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19,923,507.48</w:t>
            </w:r>
          </w:p>
        </w:tc>
      </w:tr>
    </w:tbl>
    <w:p>
      <w:pPr>
        <w:spacing w:before="51"/>
        <w:ind w:left="154" w:right="99"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before="116"/>
        <w:ind w:left="444" w:right="99" w:firstLine="0"/>
        <w:jc w:val="left"/>
        <w:rPr>
          <w:rFonts w:ascii="宋体" w:hAnsi="宋体" w:cs="宋体" w:eastAsia="宋体" w:hint="default"/>
          <w:sz w:val="18"/>
          <w:szCs w:val="18"/>
        </w:rPr>
      </w:pPr>
      <w:r>
        <w:rPr>
          <w:rFonts w:ascii="宋体" w:hAnsi="宋体" w:cs="宋体" w:eastAsia="宋体" w:hint="default"/>
          <w:sz w:val="18"/>
          <w:szCs w:val="18"/>
        </w:rPr>
        <w:t>注：各项营业税金及附加的计缴标准详见附五、税项。</w:t>
      </w:r>
    </w:p>
    <w:p>
      <w:pPr>
        <w:spacing w:after="0"/>
        <w:jc w:val="left"/>
        <w:rPr>
          <w:rFonts w:ascii="宋体" w:hAnsi="宋体" w:cs="宋体" w:eastAsia="宋体" w:hint="default"/>
          <w:sz w:val="18"/>
          <w:szCs w:val="18"/>
        </w:rPr>
        <w:sectPr>
          <w:pgSz w:w="11910" w:h="16840"/>
          <w:pgMar w:header="877" w:footer="982" w:top="1100" w:bottom="1180" w:left="980" w:right="900"/>
        </w:sectPr>
      </w:pPr>
    </w:p>
    <w:p>
      <w:pPr>
        <w:spacing w:line="240" w:lineRule="auto" w:before="10"/>
        <w:rPr>
          <w:rFonts w:ascii="宋体" w:hAnsi="宋体" w:cs="宋体" w:eastAsia="宋体" w:hint="default"/>
          <w:sz w:val="20"/>
          <w:szCs w:val="20"/>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62</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发行服务费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38,960,422.46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51,048,603.19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39,165,246.06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41,719,403.50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房租物业及水电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8,653,465.45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8,822,221.89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运输及汽车保险费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5,774,636.14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5,602,918.76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4,597,350.27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6,644,160.95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活动与宣传费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1,916,226.37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2,304,223.78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1,856,297.07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2,155,299.60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675,412.20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660,451.07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邮电费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331,470.38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409,146.62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4,411,756.86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10,318,356.99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106,342,283.26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129,684,786.35</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63</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57,636,947.44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56,970,488.36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房租物业及水电</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9,537,641.30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7,856,123.44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8,978,843.81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6,402,837.48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6,129,347.31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4,325,822.11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4,761,438.90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2,366,571.86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1,520,982.74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2,013,493.78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2,158,519.27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1,977,968.94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1,116,569.64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邮电费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1,847,475.52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1,531,286.87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1,333,281.13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1,384,198.40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6,512,701.26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676,005.00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103,095,711.25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83,942,833.31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64</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791,746.68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6,759,884.83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3,176,225.75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1,901.37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-124,306.74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383,504.08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273,232.29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-5,582,732.70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-3,027,300.20</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65</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8,154,451.21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10,736,146.82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41,388.84</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5" w:type="dxa"/>
            <w:tcBorders>
              <w:top w:val="single" w:sz="4" w:space="0" w:color="000000"/>
              <w:left w:val="single" w:sz="13" w:space="0" w:color="D3D3D3"/>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130,798.06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8,195,840.05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10,866,944.88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12" w:lineRule="exact" w:before="97"/>
        <w:ind w:right="0" w:firstLine="480"/>
        <w:jc w:val="left"/>
      </w:pPr>
      <w:r>
        <w:rPr>
          <w:spacing w:val="-1"/>
        </w:rPr>
        <w:t>注：坏账损失主要系应收账款、其他应收款计提坏账准备</w:t>
      </w:r>
      <w:r>
        <w:rPr>
          <w:rFonts w:ascii="Times New Roman" w:hAnsi="Times New Roman" w:cs="Times New Roman" w:eastAsia="Times New Roman" w:hint="default"/>
          <w:spacing w:val="-1"/>
        </w:rPr>
        <w:t>8,067,916.54</w:t>
      </w:r>
      <w:r>
        <w:rPr>
          <w:spacing w:val="-1"/>
        </w:rPr>
        <w:t>元，应收账款、其</w:t>
      </w:r>
      <w:r>
        <w:rPr/>
        <w:t> 他应收款核销</w:t>
      </w:r>
      <w:r>
        <w:rPr>
          <w:rFonts w:ascii="Times New Roman" w:hAnsi="Times New Roman" w:cs="Times New Roman" w:eastAsia="Times New Roman" w:hint="default"/>
        </w:rPr>
        <w:t>151,120.75</w:t>
      </w:r>
      <w:r>
        <w:rPr/>
        <w:t>元，合并减少</w:t>
      </w:r>
      <w:r>
        <w:rPr>
          <w:rFonts w:ascii="Times New Roman" w:hAnsi="Times New Roman" w:cs="Times New Roman" w:eastAsia="Times New Roman" w:hint="default"/>
        </w:rPr>
        <w:t>64,586.08</w:t>
      </w:r>
      <w:r>
        <w:rPr/>
        <w:t>元。</w:t>
      </w:r>
    </w:p>
    <w:p>
      <w:pPr>
        <w:spacing w:line="240" w:lineRule="auto" w:before="7"/>
        <w:rPr>
          <w:rFonts w:ascii="宋体" w:hAnsi="宋体" w:cs="宋体" w:eastAsia="宋体" w:hint="default"/>
          <w:sz w:val="22"/>
          <w:szCs w:val="22"/>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66</w:t>
      </w:r>
      <w:r>
        <w:rPr>
          <w:rFonts w:ascii="宋体" w:hAnsi="宋体" w:cs="宋体" w:eastAsia="宋体" w:hint="default"/>
          <w:b/>
          <w:bCs/>
          <w:sz w:val="21"/>
          <w:szCs w:val="21"/>
        </w:rPr>
        <w:t>、公允价值变动收益</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80"/>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5" w:type="dxa"/>
            <w:tcBorders>
              <w:top w:val="single" w:sz="4" w:space="0" w:color="000000"/>
              <w:left w:val="single" w:sz="13" w:space="0" w:color="D3D3D3"/>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593,538.04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593,538.04</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67</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2"/>
        <w:gridCol w:w="2917"/>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34,502,721.17</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22,853,972.11</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57,519,336.44</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268,903.12</w:t>
            </w:r>
          </w:p>
        </w:tc>
      </w:tr>
      <w:tr>
        <w:trPr>
          <w:trHeight w:val="715" w:hRule="exact"/>
        </w:trPr>
        <w:tc>
          <w:tcPr>
            <w:tcW w:w="3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173"/>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202" w:type="dxa"/>
            <w:tcBorders>
              <w:top w:val="single" w:sz="4" w:space="0" w:color="000000"/>
              <w:left w:val="single" w:sz="13" w:space="0" w:color="D3D3D3"/>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1,221,704.56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7"/>
      </w:tblGrid>
      <w:tr>
        <w:trPr>
          <w:trHeight w:val="714"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927,342.14</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96,689.39</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1,569,322.14</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14,883,300.00</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4,215,652.08</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6,671,172.85</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112,048,351.83</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32,681,764.17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312" w:lineRule="exact" w:before="97"/>
        <w:ind w:left="154" w:right="142" w:firstLine="480"/>
        <w:jc w:val="both"/>
      </w:pPr>
      <w:r>
        <w:rPr>
          <w:spacing w:val="3"/>
        </w:rPr>
        <w:t>注：（</w:t>
      </w:r>
      <w:r>
        <w:rPr>
          <w:rFonts w:ascii="Times New Roman" w:hAnsi="Times New Roman" w:cs="Times New Roman" w:eastAsia="Times New Roman" w:hint="default"/>
          <w:spacing w:val="3"/>
        </w:rPr>
        <w:t>1</w:t>
      </w:r>
      <w:r>
        <w:rPr>
          <w:spacing w:val="3"/>
        </w:rPr>
        <w:t>）处置长期股权投资产生的投资收益系本公司原持有十九楼网络股份有限公司</w:t>
      </w:r>
      <w:r>
        <w:rPr>
          <w:spacing w:val="4"/>
        </w:rPr>
        <w:t> </w:t>
      </w:r>
      <w:r>
        <w:rPr>
          <w:rFonts w:ascii="Times New Roman" w:hAnsi="Times New Roman" w:cs="Times New Roman" w:eastAsia="Times New Roman" w:hint="default"/>
          <w:spacing w:val="-1"/>
        </w:rPr>
        <w:t>38.8315%</w:t>
      </w:r>
      <w:r>
        <w:rPr>
          <w:spacing w:val="-1"/>
        </w:rPr>
        <w:t>的股权，本期将</w:t>
      </w:r>
      <w:r>
        <w:rPr>
          <w:rFonts w:ascii="Times New Roman" w:hAnsi="Times New Roman" w:cs="Times New Roman" w:eastAsia="Times New Roman" w:hint="default"/>
          <w:spacing w:val="-1"/>
        </w:rPr>
        <w:t>18.8815%</w:t>
      </w:r>
      <w:r>
        <w:rPr>
          <w:spacing w:val="-1"/>
        </w:rPr>
        <w:t>的股权对外转让，取得的转让价款与</w:t>
      </w:r>
      <w:r>
        <w:rPr>
          <w:rFonts w:ascii="Times New Roman" w:hAnsi="Times New Roman" w:cs="Times New Roman" w:eastAsia="Times New Roman" w:hint="default"/>
          <w:spacing w:val="-1"/>
        </w:rPr>
        <w:t>18.8815%</w:t>
      </w:r>
      <w:r>
        <w:rPr>
          <w:spacing w:val="-1"/>
        </w:rPr>
        <w:t>的股权的账</w:t>
      </w:r>
      <w:r>
        <w:rPr>
          <w:spacing w:val="-90"/>
        </w:rPr>
        <w:t> </w:t>
      </w:r>
      <w:r>
        <w:rPr/>
        <w:t>面价值的差额</w:t>
      </w:r>
      <w:r>
        <w:rPr>
          <w:rFonts w:ascii="Times New Roman" w:hAnsi="Times New Roman" w:cs="Times New Roman" w:eastAsia="Times New Roman" w:hint="default"/>
        </w:rPr>
        <w:t>57,519,336.44</w:t>
      </w:r>
      <w:r>
        <w:rPr/>
        <w:t>元，该差额计入投资收益。</w:t>
      </w:r>
    </w:p>
    <w:p>
      <w:pPr>
        <w:pStyle w:val="BodyText"/>
        <w:spacing w:line="312" w:lineRule="exact"/>
        <w:ind w:right="148" w:firstLine="480"/>
        <w:jc w:val="both"/>
      </w:pPr>
      <w:r>
        <w:rPr>
          <w:spacing w:val="-3"/>
        </w:rPr>
        <w:t>（</w:t>
      </w:r>
      <w:r>
        <w:rPr>
          <w:rFonts w:ascii="Times New Roman" w:hAnsi="Times New Roman" w:cs="Times New Roman" w:eastAsia="Times New Roman" w:hint="default"/>
          <w:spacing w:val="-3"/>
        </w:rPr>
        <w:t>2</w:t>
      </w:r>
      <w:r>
        <w:rPr>
          <w:spacing w:val="-3"/>
        </w:rPr>
        <w:t>）处置可供出售金融资产取得的投资收益系本公司的子公司杭州日报报业集团盛元印</w:t>
      </w:r>
      <w:r>
        <w:rPr/>
        <w:t> 务有限公司原持有上海合印包装服务有限公司</w:t>
      </w:r>
      <w:r>
        <w:rPr>
          <w:rFonts w:ascii="Times New Roman" w:hAnsi="Times New Roman" w:cs="Times New Roman" w:eastAsia="Times New Roman" w:hint="default"/>
        </w:rPr>
        <w:t>9%</w:t>
      </w:r>
      <w:r>
        <w:rPr/>
        <w:t>的股权，账面价值为</w:t>
      </w:r>
      <w:r>
        <w:rPr>
          <w:rFonts w:ascii="Times New Roman" w:hAnsi="Times New Roman" w:cs="Times New Roman" w:eastAsia="Times New Roman" w:hint="default"/>
        </w:rPr>
        <w:t>900,000.00</w:t>
      </w:r>
      <w:r>
        <w:rPr/>
        <w:t>元。本期增</w:t>
      </w:r>
      <w:r>
        <w:rPr>
          <w:spacing w:val="-51"/>
        </w:rPr>
        <w:t> </w:t>
      </w:r>
      <w:r>
        <w:rPr>
          <w:spacing w:val="-2"/>
        </w:rPr>
        <w:t>资后持股比例提高到</w:t>
      </w:r>
      <w:r>
        <w:rPr>
          <w:rFonts w:ascii="Times New Roman" w:hAnsi="Times New Roman" w:cs="Times New Roman" w:eastAsia="Times New Roman" w:hint="default"/>
          <w:spacing w:val="-2"/>
        </w:rPr>
        <w:t>30.84%</w:t>
      </w:r>
      <w:r>
        <w:rPr>
          <w:spacing w:val="-2"/>
        </w:rPr>
        <w:t>，原持有的</w:t>
      </w:r>
      <w:r>
        <w:rPr>
          <w:rFonts w:ascii="Times New Roman" w:hAnsi="Times New Roman" w:cs="Times New Roman" w:eastAsia="Times New Roman" w:hint="default"/>
          <w:spacing w:val="-2"/>
        </w:rPr>
        <w:t>9%</w:t>
      </w:r>
      <w:r>
        <w:rPr>
          <w:spacing w:val="-2"/>
        </w:rPr>
        <w:t>的股权根据评估值确认的长期股权投资的公允价值</w:t>
      </w:r>
      <w:r>
        <w:rPr>
          <w:spacing w:val="-95"/>
        </w:rPr>
        <w:t> </w:t>
      </w:r>
      <w:r>
        <w:rPr/>
        <w:t>为</w:t>
      </w:r>
      <w:r>
        <w:rPr>
          <w:rFonts w:ascii="Times New Roman" w:hAnsi="Times New Roman" w:cs="Times New Roman" w:eastAsia="Times New Roman" w:hint="default"/>
        </w:rPr>
        <w:t>15,783,300.00</w:t>
      </w:r>
      <w:r>
        <w:rPr/>
        <w:t>元，与</w:t>
      </w:r>
      <w:r>
        <w:rPr>
          <w:rFonts w:ascii="Times New Roman" w:hAnsi="Times New Roman" w:cs="Times New Roman" w:eastAsia="Times New Roman" w:hint="default"/>
        </w:rPr>
        <w:t>9%</w:t>
      </w:r>
      <w:r>
        <w:rPr/>
        <w:t>股权的账面价值的差额为</w:t>
      </w:r>
      <w:r>
        <w:rPr>
          <w:rFonts w:ascii="Times New Roman" w:hAnsi="Times New Roman" w:cs="Times New Roman" w:eastAsia="Times New Roman" w:hint="default"/>
        </w:rPr>
        <w:t>14,883,300.00</w:t>
      </w:r>
      <w:r>
        <w:rPr/>
        <w:t>元，该差额记入投资收益。</w:t>
      </w:r>
    </w:p>
    <w:p>
      <w:pPr>
        <w:pStyle w:val="BodyText"/>
        <w:spacing w:line="302" w:lineRule="exact"/>
        <w:ind w:left="634" w:right="0"/>
        <w:jc w:val="left"/>
      </w:pPr>
      <w:r>
        <w:rPr/>
        <w:t>（</w:t>
      </w:r>
      <w:r>
        <w:rPr>
          <w:rFonts w:ascii="Times New Roman" w:hAnsi="Times New Roman" w:cs="Times New Roman" w:eastAsia="Times New Roman" w:hint="default"/>
        </w:rPr>
        <w:t>3</w:t>
      </w:r>
      <w:r>
        <w:rPr/>
        <w:t>）其他投资收益系购买理财产品及信托产品产生的投资收益。</w:t>
      </w:r>
    </w:p>
    <w:p>
      <w:pPr>
        <w:spacing w:line="240" w:lineRule="auto" w:before="4"/>
        <w:rPr>
          <w:rFonts w:ascii="宋体" w:hAnsi="宋体" w:cs="宋体" w:eastAsia="宋体" w:hint="default"/>
          <w:sz w:val="23"/>
          <w:szCs w:val="23"/>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68</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6"/>
        <w:gridCol w:w="2407"/>
        <w:gridCol w:w="2392"/>
        <w:gridCol w:w="2392"/>
      </w:tblGrid>
      <w:tr>
        <w:trPr>
          <w:trHeight w:val="162" w:hRule="exact"/>
        </w:trPr>
        <w:tc>
          <w:tcPr>
            <w:tcW w:w="2366" w:type="dxa"/>
            <w:tcBorders>
              <w:top w:val="single" w:sz="4" w:space="0" w:color="000000"/>
              <w:left w:val="single" w:sz="4" w:space="0" w:color="000000"/>
              <w:bottom w:val="nil" w:sz="6" w:space="0" w:color="auto"/>
              <w:right w:val="single" w:sz="4" w:space="0" w:color="000000"/>
            </w:tcBorders>
            <w:shd w:val="clear" w:color="auto" w:fill="D3D3D3"/>
          </w:tcPr>
          <w:p>
            <w:pPr/>
          </w:p>
        </w:tc>
        <w:tc>
          <w:tcPr>
            <w:tcW w:w="2407"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0" w:hRule="exact"/>
        </w:trPr>
        <w:tc>
          <w:tcPr>
            <w:tcW w:w="23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66" w:type="dxa"/>
            <w:tcBorders>
              <w:top w:val="nil" w:sz="6" w:space="0" w:color="auto"/>
              <w:left w:val="single" w:sz="4" w:space="0" w:color="000000"/>
              <w:bottom w:val="single" w:sz="4" w:space="0" w:color="000000"/>
              <w:right w:val="single" w:sz="4" w:space="0" w:color="000000"/>
            </w:tcBorders>
            <w:shd w:val="clear" w:color="auto" w:fill="D3D3D3"/>
          </w:tcPr>
          <w:p>
            <w:pPr/>
          </w:p>
        </w:tc>
        <w:tc>
          <w:tcPr>
            <w:tcW w:w="2407"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4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98,238.85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41,845.77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98,238.85</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4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98,238.85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41,845.77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98,238.85</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非货币性资产交换利得</w:t>
            </w:r>
          </w:p>
        </w:tc>
        <w:tc>
          <w:tcPr>
            <w:tcW w:w="24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926,752.59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926,752.59</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4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7,257,524.43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4,181,570.81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7,257,524.43</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1,536,303.81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2,133,090.00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1,536,303.81</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9,818,819.68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6,356,506.58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9,818,819.68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079"/>
        <w:gridCol w:w="1076"/>
        <w:gridCol w:w="1078"/>
        <w:gridCol w:w="1076"/>
        <w:gridCol w:w="1078"/>
        <w:gridCol w:w="1076"/>
        <w:gridCol w:w="1078"/>
        <w:gridCol w:w="1076"/>
        <w:gridCol w:w="1076"/>
      </w:tblGrid>
      <w:tr>
        <w:trPr>
          <w:trHeight w:val="710" w:hRule="exact"/>
        </w:trPr>
        <w:tc>
          <w:tcPr>
            <w:tcW w:w="1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4"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3" w:right="83"/>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42" w:right="83"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44" w:right="83"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42" w:right="83"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84" w:right="57"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8" w:hRule="exact"/>
        </w:trPr>
        <w:tc>
          <w:tcPr>
            <w:tcW w:w="10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5"/>
              <w:ind w:left="22" w:right="144"/>
              <w:jc w:val="left"/>
              <w:rPr>
                <w:rFonts w:ascii="宋体" w:hAnsi="宋体" w:cs="宋体" w:eastAsia="宋体" w:hint="default"/>
                <w:sz w:val="18"/>
                <w:szCs w:val="18"/>
              </w:rPr>
            </w:pPr>
            <w:r>
              <w:rPr>
                <w:rFonts w:ascii="宋体" w:hAnsi="宋体" w:cs="宋体" w:eastAsia="宋体" w:hint="default"/>
                <w:sz w:val="18"/>
                <w:szCs w:val="18"/>
              </w:rPr>
              <w:t>经济发展骨 干企业奖励</w:t>
            </w:r>
          </w:p>
        </w:tc>
        <w:tc>
          <w:tcPr>
            <w:tcW w:w="107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1,994,500.00</w:t>
            </w:r>
          </w:p>
        </w:tc>
        <w:tc>
          <w:tcPr>
            <w:tcW w:w="107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水利基金退 税</w:t>
            </w:r>
          </w:p>
        </w:tc>
        <w:tc>
          <w:tcPr>
            <w:tcW w:w="107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1,362,434.81</w:t>
            </w:r>
          </w:p>
        </w:tc>
        <w:tc>
          <w:tcPr>
            <w:tcW w:w="107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34"/>
              <w:jc w:val="left"/>
              <w:rPr>
                <w:rFonts w:ascii="宋体" w:hAnsi="宋体" w:cs="宋体" w:eastAsia="宋体" w:hint="default"/>
                <w:sz w:val="18"/>
                <w:szCs w:val="18"/>
              </w:rPr>
            </w:pPr>
            <w:r>
              <w:rPr>
                <w:rFonts w:ascii="宋体" w:hAnsi="宋体" w:cs="宋体" w:eastAsia="宋体" w:hint="default"/>
                <w:sz w:val="18"/>
                <w:szCs w:val="18"/>
              </w:rPr>
              <w:t>杭州市财政 局（宣传部）</w:t>
            </w:r>
          </w:p>
        </w:tc>
        <w:tc>
          <w:tcPr>
            <w:tcW w:w="107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600,000.00</w:t>
            </w:r>
          </w:p>
        </w:tc>
        <w:tc>
          <w:tcPr>
            <w:tcW w:w="107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1079"/>
        <w:gridCol w:w="1076"/>
        <w:gridCol w:w="1078"/>
        <w:gridCol w:w="1076"/>
        <w:gridCol w:w="1078"/>
        <w:gridCol w:w="1076"/>
        <w:gridCol w:w="1078"/>
        <w:gridCol w:w="1076"/>
        <w:gridCol w:w="1076"/>
      </w:tblGrid>
      <w:tr>
        <w:trPr>
          <w:trHeight w:val="1026" w:hRule="exact"/>
        </w:trPr>
        <w:tc>
          <w:tcPr>
            <w:tcW w:w="10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杭报集团城 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联播 网项目</w:t>
            </w:r>
          </w:p>
        </w:tc>
        <w:tc>
          <w:tcPr>
            <w:tcW w:w="107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595,333.34</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404,666.66</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44"/>
              <w:jc w:val="both"/>
              <w:rPr>
                <w:rFonts w:ascii="宋体" w:hAnsi="宋体" w:cs="宋体" w:eastAsia="宋体" w:hint="default"/>
                <w:sz w:val="18"/>
                <w:szCs w:val="18"/>
              </w:rPr>
            </w:pPr>
            <w:r>
              <w:rPr>
                <w:rFonts w:ascii="宋体" w:hAnsi="宋体" w:cs="宋体" w:eastAsia="宋体" w:hint="default"/>
                <w:sz w:val="18"/>
                <w:szCs w:val="18"/>
              </w:rPr>
              <w:t>上海金桥经 济技术开发 区管理委员 会财政补贴</w:t>
            </w:r>
          </w:p>
        </w:tc>
        <w:tc>
          <w:tcPr>
            <w:tcW w:w="107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382,000.00</w:t>
            </w:r>
          </w:p>
        </w:tc>
        <w:tc>
          <w:tcPr>
            <w:tcW w:w="107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台湾文创项 目补贴款</w:t>
            </w:r>
          </w:p>
        </w:tc>
        <w:tc>
          <w:tcPr>
            <w:tcW w:w="107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300,000.00</w:t>
            </w:r>
          </w:p>
        </w:tc>
        <w:tc>
          <w:tcPr>
            <w:tcW w:w="107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210" w:hRule="exact"/>
        </w:trPr>
        <w:tc>
          <w:tcPr>
            <w:tcW w:w="10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34"/>
              <w:jc w:val="left"/>
              <w:rPr>
                <w:rFonts w:ascii="宋体" w:hAnsi="宋体" w:cs="宋体" w:eastAsia="宋体" w:hint="default"/>
                <w:sz w:val="18"/>
                <w:szCs w:val="18"/>
              </w:rPr>
            </w:pPr>
            <w:r>
              <w:rPr>
                <w:rFonts w:ascii="宋体" w:hAnsi="宋体" w:cs="宋体" w:eastAsia="宋体" w:hint="default"/>
                <w:sz w:val="18"/>
                <w:szCs w:val="18"/>
              </w:rPr>
              <w:t>杭州市财政 局（</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度中央补助 文化产业发 展专项资金： 环保型绿色 印刷设备阔 能改造及其 应用示范项 目）</w:t>
            </w:r>
          </w:p>
        </w:tc>
        <w:tc>
          <w:tcPr>
            <w:tcW w:w="107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266,666.64</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133,333.32</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2" w:lineRule="auto" w:before="51"/>
              <w:ind w:left="22" w:right="55"/>
              <w:jc w:val="left"/>
              <w:rPr>
                <w:rFonts w:ascii="宋体" w:hAnsi="宋体" w:cs="宋体" w:eastAsia="宋体" w:hint="default"/>
                <w:sz w:val="18"/>
                <w:szCs w:val="18"/>
              </w:rPr>
            </w:pPr>
            <w:r>
              <w:rPr>
                <w:rFonts w:ascii="宋体" w:hAnsi="宋体" w:cs="宋体" w:eastAsia="宋体" w:hint="default"/>
                <w:sz w:val="18"/>
                <w:szCs w:val="18"/>
              </w:rPr>
              <w:t>纪念抗战胜 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周年文 化活动宣传 补助</w:t>
            </w:r>
          </w:p>
        </w:tc>
        <w:tc>
          <w:tcPr>
            <w:tcW w:w="107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233,000.00</w:t>
            </w:r>
          </w:p>
        </w:tc>
        <w:tc>
          <w:tcPr>
            <w:tcW w:w="107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创意天堂网 </w:t>
            </w:r>
            <w:r>
              <w:rPr>
                <w:rFonts w:ascii="宋体" w:hAnsi="宋体" w:cs="宋体" w:eastAsia="宋体" w:hint="default"/>
                <w:spacing w:val="-10"/>
                <w:sz w:val="18"/>
                <w:szCs w:val="18"/>
              </w:rPr>
              <w:t>站、微博运维</w:t>
            </w:r>
          </w:p>
        </w:tc>
        <w:tc>
          <w:tcPr>
            <w:tcW w:w="107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107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9" w:lineRule="auto" w:before="51"/>
              <w:ind w:left="22" w:right="144"/>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十二五</w:t>
            </w:r>
            <w:r>
              <w:rPr>
                <w:rFonts w:ascii="Times New Roman" w:hAnsi="Times New Roman" w:cs="Times New Roman" w:eastAsia="Times New Roman" w:hint="default"/>
                <w:sz w:val="18"/>
                <w:szCs w:val="18"/>
              </w:rPr>
              <w:t>”</w:t>
            </w:r>
            <w:r>
              <w:rPr>
                <w:rFonts w:ascii="宋体" w:hAnsi="宋体" w:cs="宋体" w:eastAsia="宋体" w:hint="default"/>
                <w:sz w:val="18"/>
                <w:szCs w:val="18"/>
              </w:rPr>
              <w:t>高 新技术企业 财政扶持</w:t>
            </w:r>
          </w:p>
        </w:tc>
        <w:tc>
          <w:tcPr>
            <w:tcW w:w="107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107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街道房租补 助</w:t>
            </w:r>
          </w:p>
        </w:tc>
        <w:tc>
          <w:tcPr>
            <w:tcW w:w="107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164,250.00</w:t>
            </w:r>
          </w:p>
        </w:tc>
        <w:tc>
          <w:tcPr>
            <w:tcW w:w="107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农村大礼堂 专项补助</w:t>
            </w:r>
          </w:p>
        </w:tc>
        <w:tc>
          <w:tcPr>
            <w:tcW w:w="107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150,000.00</w:t>
            </w:r>
          </w:p>
        </w:tc>
        <w:tc>
          <w:tcPr>
            <w:tcW w:w="107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65"/>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城市图片搜 索库</w:t>
            </w:r>
            <w:r>
              <w:rPr>
                <w:rFonts w:ascii="Times New Roman" w:hAnsi="Times New Roman" w:cs="Times New Roman" w:eastAsia="Times New Roman" w:hint="default"/>
                <w:sz w:val="18"/>
                <w:szCs w:val="18"/>
              </w:rPr>
              <w:t>”</w:t>
            </w:r>
            <w:r>
              <w:rPr>
                <w:rFonts w:ascii="宋体" w:hAnsi="宋体" w:cs="宋体" w:eastAsia="宋体" w:hint="default"/>
                <w:sz w:val="18"/>
                <w:szCs w:val="18"/>
              </w:rPr>
              <w:t>专项资 金</w:t>
            </w:r>
          </w:p>
        </w:tc>
        <w:tc>
          <w:tcPr>
            <w:tcW w:w="107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107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杭州地铁公 益广告项目</w:t>
            </w:r>
          </w:p>
        </w:tc>
        <w:tc>
          <w:tcPr>
            <w:tcW w:w="107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107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44"/>
              <w:jc w:val="both"/>
              <w:rPr>
                <w:rFonts w:ascii="宋体" w:hAnsi="宋体" w:cs="宋体" w:eastAsia="宋体" w:hint="default"/>
                <w:sz w:val="18"/>
                <w:szCs w:val="18"/>
              </w:rPr>
            </w:pPr>
            <w:r>
              <w:rPr>
                <w:rFonts w:ascii="宋体" w:hAnsi="宋体" w:cs="宋体" w:eastAsia="宋体" w:hint="default"/>
                <w:sz w:val="18"/>
                <w:szCs w:val="18"/>
              </w:rPr>
              <w:t>文化创意产 业专项补助 资金</w:t>
            </w:r>
          </w:p>
        </w:tc>
        <w:tc>
          <w:tcPr>
            <w:tcW w:w="107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107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1079"/>
        <w:gridCol w:w="1076"/>
        <w:gridCol w:w="1078"/>
        <w:gridCol w:w="1076"/>
        <w:gridCol w:w="1078"/>
        <w:gridCol w:w="1076"/>
        <w:gridCol w:w="1078"/>
        <w:gridCol w:w="1076"/>
        <w:gridCol w:w="1076"/>
      </w:tblGrid>
      <w:tr>
        <w:trPr>
          <w:trHeight w:val="714" w:hRule="exact"/>
        </w:trPr>
        <w:tc>
          <w:tcPr>
            <w:tcW w:w="10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清风视野网 站项目</w:t>
            </w:r>
          </w:p>
        </w:tc>
        <w:tc>
          <w:tcPr>
            <w:tcW w:w="107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9" w:lineRule="auto" w:before="51"/>
              <w:ind w:left="22" w:right="144"/>
              <w:jc w:val="both"/>
              <w:rPr>
                <w:rFonts w:ascii="宋体" w:hAnsi="宋体" w:cs="宋体" w:eastAsia="宋体" w:hint="default"/>
                <w:sz w:val="18"/>
                <w:szCs w:val="18"/>
              </w:rPr>
            </w:pPr>
            <w:r>
              <w:rPr>
                <w:rFonts w:ascii="宋体" w:hAnsi="宋体" w:cs="宋体" w:eastAsia="宋体" w:hint="default"/>
                <w:sz w:val="18"/>
                <w:szCs w:val="18"/>
              </w:rPr>
              <w:t>农村文化礼 堂</w:t>
            </w:r>
            <w:r>
              <w:rPr>
                <w:rFonts w:ascii="Times New Roman" w:hAnsi="Times New Roman" w:cs="Times New Roman" w:eastAsia="Times New Roman" w:hint="default"/>
                <w:sz w:val="18"/>
                <w:szCs w:val="18"/>
              </w:rPr>
              <w:t>“</w:t>
            </w:r>
            <w:r>
              <w:rPr>
                <w:rFonts w:ascii="宋体" w:hAnsi="宋体" w:cs="宋体" w:eastAsia="宋体" w:hint="default"/>
                <w:sz w:val="18"/>
                <w:szCs w:val="18"/>
              </w:rPr>
              <w:t>双十佳</w:t>
            </w:r>
            <w:r>
              <w:rPr>
                <w:rFonts w:ascii="Times New Roman" w:hAnsi="Times New Roman" w:cs="Times New Roman" w:eastAsia="Times New Roman" w:hint="default"/>
                <w:sz w:val="18"/>
                <w:szCs w:val="18"/>
              </w:rPr>
              <w:t>” </w:t>
            </w:r>
            <w:r>
              <w:rPr>
                <w:rFonts w:ascii="宋体" w:hAnsi="宋体" w:cs="宋体" w:eastAsia="宋体" w:hint="default"/>
                <w:sz w:val="18"/>
                <w:szCs w:val="18"/>
              </w:rPr>
              <w:t>活动补助</w:t>
            </w:r>
          </w:p>
        </w:tc>
        <w:tc>
          <w:tcPr>
            <w:tcW w:w="107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107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44"/>
              <w:jc w:val="both"/>
              <w:rPr>
                <w:rFonts w:ascii="宋体" w:hAnsi="宋体" w:cs="宋体" w:eastAsia="宋体" w:hint="default"/>
                <w:sz w:val="18"/>
                <w:szCs w:val="18"/>
              </w:rPr>
            </w:pPr>
            <w:r>
              <w:rPr>
                <w:rFonts w:ascii="宋体" w:hAnsi="宋体" w:cs="宋体" w:eastAsia="宋体" w:hint="default"/>
                <w:sz w:val="18"/>
                <w:szCs w:val="18"/>
              </w:rPr>
              <w:t>杭州市就业 管理服务局</w:t>
            </w:r>
          </w:p>
          <w:p>
            <w:pPr>
              <w:pStyle w:val="TableParagraph"/>
              <w:spacing w:line="319" w:lineRule="auto" w:before="19"/>
              <w:ind w:left="22" w:right="144"/>
              <w:jc w:val="both"/>
              <w:rPr>
                <w:rFonts w:ascii="宋体" w:hAnsi="宋体" w:cs="宋体" w:eastAsia="宋体" w:hint="default"/>
                <w:sz w:val="18"/>
                <w:szCs w:val="18"/>
              </w:rPr>
            </w:pPr>
            <w:r>
              <w:rPr>
                <w:rFonts w:ascii="宋体" w:hAnsi="宋体" w:cs="宋体" w:eastAsia="宋体" w:hint="default"/>
                <w:sz w:val="18"/>
                <w:szCs w:val="18"/>
              </w:rPr>
              <w:t>（稳定就业 社会保险补 助）</w:t>
            </w:r>
          </w:p>
        </w:tc>
        <w:tc>
          <w:tcPr>
            <w:tcW w:w="107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93,519.80</w:t>
            </w:r>
          </w:p>
        </w:tc>
        <w:tc>
          <w:tcPr>
            <w:tcW w:w="107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用工补助</w:t>
            </w:r>
          </w:p>
        </w:tc>
        <w:tc>
          <w:tcPr>
            <w:tcW w:w="107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52,800.00</w:t>
            </w:r>
          </w:p>
        </w:tc>
        <w:tc>
          <w:tcPr>
            <w:tcW w:w="107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老博会补助</w:t>
            </w:r>
          </w:p>
        </w:tc>
        <w:tc>
          <w:tcPr>
            <w:tcW w:w="107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80,000.00</w:t>
            </w:r>
          </w:p>
        </w:tc>
        <w:tc>
          <w:tcPr>
            <w:tcW w:w="107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44"/>
              <w:jc w:val="both"/>
              <w:rPr>
                <w:rFonts w:ascii="宋体" w:hAnsi="宋体" w:cs="宋体" w:eastAsia="宋体" w:hint="default"/>
                <w:sz w:val="18"/>
                <w:szCs w:val="18"/>
              </w:rPr>
            </w:pPr>
            <w:r>
              <w:rPr>
                <w:rFonts w:ascii="宋体" w:hAnsi="宋体" w:cs="宋体" w:eastAsia="宋体" w:hint="default"/>
                <w:sz w:val="18"/>
                <w:szCs w:val="18"/>
              </w:rPr>
              <w:t>文化创意产 业专项补助 资金</w:t>
            </w:r>
          </w:p>
        </w:tc>
        <w:tc>
          <w:tcPr>
            <w:tcW w:w="107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w:t>
            </w:r>
          </w:p>
        </w:tc>
        <w:tc>
          <w:tcPr>
            <w:tcW w:w="107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9" w:lineRule="auto" w:before="51"/>
              <w:ind w:left="2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年度安 全生产标准 化补助资金</w:t>
            </w:r>
          </w:p>
        </w:tc>
        <w:tc>
          <w:tcPr>
            <w:tcW w:w="107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15,000.00</w:t>
            </w:r>
          </w:p>
        </w:tc>
        <w:tc>
          <w:tcPr>
            <w:tcW w:w="107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减免税款</w:t>
            </w:r>
          </w:p>
        </w:tc>
        <w:tc>
          <w:tcPr>
            <w:tcW w:w="107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10,204.66</w:t>
            </w:r>
          </w:p>
        </w:tc>
        <w:tc>
          <w:tcPr>
            <w:tcW w:w="107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待报解预算 收入</w:t>
            </w:r>
          </w:p>
        </w:tc>
        <w:tc>
          <w:tcPr>
            <w:tcW w:w="107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7,815.18</w:t>
            </w:r>
          </w:p>
        </w:tc>
        <w:tc>
          <w:tcPr>
            <w:tcW w:w="1076"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美丽杭州</w:t>
            </w:r>
            <w:r>
              <w:rPr>
                <w:rFonts w:ascii="Times New Roman" w:hAnsi="Times New Roman" w:cs="Times New Roman" w:eastAsia="Times New Roman"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宣传项目</w:t>
            </w:r>
          </w:p>
        </w:tc>
        <w:tc>
          <w:tcPr>
            <w:tcW w:w="107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营改增政府 补助</w:t>
            </w:r>
          </w:p>
        </w:tc>
        <w:tc>
          <w:tcPr>
            <w:tcW w:w="107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516,579.26</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2" w:lineRule="auto" w:before="51"/>
              <w:ind w:left="2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年度培 育发展十大 特色潜力项 目资金</w:t>
            </w:r>
          </w:p>
        </w:tc>
        <w:tc>
          <w:tcPr>
            <w:tcW w:w="107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300,000.00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44"/>
              <w:jc w:val="both"/>
              <w:rPr>
                <w:rFonts w:ascii="宋体" w:hAnsi="宋体" w:cs="宋体" w:eastAsia="宋体" w:hint="default"/>
                <w:sz w:val="18"/>
                <w:szCs w:val="18"/>
              </w:rPr>
            </w:pPr>
            <w:r>
              <w:rPr>
                <w:rFonts w:ascii="宋体" w:hAnsi="宋体" w:cs="宋体" w:eastAsia="宋体" w:hint="default"/>
                <w:sz w:val="18"/>
                <w:szCs w:val="18"/>
              </w:rPr>
              <w:t>影像数字印 刷网络服务 平台及其示 范应用补贴</w:t>
            </w:r>
          </w:p>
        </w:tc>
        <w:tc>
          <w:tcPr>
            <w:tcW w:w="107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250,000.00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44"/>
              <w:jc w:val="both"/>
              <w:rPr>
                <w:rFonts w:ascii="宋体" w:hAnsi="宋体" w:cs="宋体" w:eastAsia="宋体" w:hint="default"/>
                <w:sz w:val="18"/>
                <w:szCs w:val="18"/>
              </w:rPr>
            </w:pPr>
            <w:r>
              <w:rPr>
                <w:rFonts w:ascii="宋体" w:hAnsi="宋体" w:cs="宋体" w:eastAsia="宋体" w:hint="default"/>
                <w:sz w:val="18"/>
                <w:szCs w:val="18"/>
              </w:rPr>
              <w:t>江干区人民 政府四季青 街道税金返 还款</w:t>
            </w:r>
          </w:p>
        </w:tc>
        <w:tc>
          <w:tcPr>
            <w:tcW w:w="107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242,400.00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稳定就业社 会保险补贴</w:t>
            </w:r>
          </w:p>
        </w:tc>
        <w:tc>
          <w:tcPr>
            <w:tcW w:w="107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207,591.57</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1079"/>
        <w:gridCol w:w="1076"/>
        <w:gridCol w:w="1078"/>
        <w:gridCol w:w="1076"/>
        <w:gridCol w:w="1078"/>
        <w:gridCol w:w="1076"/>
        <w:gridCol w:w="1078"/>
        <w:gridCol w:w="1076"/>
        <w:gridCol w:w="1076"/>
      </w:tblGrid>
      <w:tr>
        <w:trPr>
          <w:trHeight w:val="714" w:hRule="exact"/>
        </w:trPr>
        <w:tc>
          <w:tcPr>
            <w:tcW w:w="10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高效绿色印 刷生产补贴</w:t>
            </w:r>
          </w:p>
        </w:tc>
        <w:tc>
          <w:tcPr>
            <w:tcW w:w="107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16"/>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44"/>
              <w:jc w:val="both"/>
              <w:rPr>
                <w:rFonts w:ascii="宋体" w:hAnsi="宋体" w:cs="宋体" w:eastAsia="宋体" w:hint="default"/>
                <w:sz w:val="18"/>
                <w:szCs w:val="18"/>
              </w:rPr>
            </w:pPr>
            <w:r>
              <w:rPr>
                <w:rFonts w:ascii="宋体" w:hAnsi="宋体" w:cs="宋体" w:eastAsia="宋体" w:hint="default"/>
                <w:sz w:val="18"/>
                <w:szCs w:val="18"/>
              </w:rPr>
              <w:t>书报刊数字 印企及一站 式平台集成 应用示范补 贴收入</w:t>
            </w:r>
          </w:p>
        </w:tc>
        <w:tc>
          <w:tcPr>
            <w:tcW w:w="107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16"/>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西湖音 乐节项目</w:t>
            </w:r>
          </w:p>
        </w:tc>
        <w:tc>
          <w:tcPr>
            <w:tcW w:w="107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16"/>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44"/>
              <w:jc w:val="both"/>
              <w:rPr>
                <w:rFonts w:ascii="宋体" w:hAnsi="宋体" w:cs="宋体" w:eastAsia="宋体" w:hint="default"/>
                <w:sz w:val="18"/>
                <w:szCs w:val="18"/>
              </w:rPr>
            </w:pPr>
            <w:r>
              <w:rPr>
                <w:rFonts w:ascii="宋体" w:hAnsi="宋体" w:cs="宋体" w:eastAsia="宋体" w:hint="default"/>
                <w:sz w:val="18"/>
                <w:szCs w:val="18"/>
              </w:rPr>
              <w:t>杭州小记者 新闻培训学 校项目</w:t>
            </w:r>
          </w:p>
        </w:tc>
        <w:tc>
          <w:tcPr>
            <w:tcW w:w="107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16"/>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10"/>
                <w:sz w:val="18"/>
                <w:szCs w:val="18"/>
              </w:rPr>
              <w:t>杭网电台（蔚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蓝</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FM</w:t>
            </w:r>
            <w:r>
              <w:rPr>
                <w:rFonts w:ascii="宋体" w:hAnsi="宋体" w:cs="宋体" w:eastAsia="宋体" w:hint="default"/>
                <w:sz w:val="18"/>
                <w:szCs w:val="18"/>
              </w:rPr>
              <w:t>）项目</w:t>
            </w:r>
          </w:p>
        </w:tc>
        <w:tc>
          <w:tcPr>
            <w:tcW w:w="107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125,000.00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16"/>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动漫产业专 项资金</w:t>
            </w:r>
          </w:p>
        </w:tc>
        <w:tc>
          <w:tcPr>
            <w:tcW w:w="107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120,000.00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16"/>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0" w:lineRule="auto" w:before="51"/>
              <w:ind w:left="22" w:right="65"/>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杭州城 市休闲日</w:t>
            </w:r>
            <w:r>
              <w:rPr>
                <w:rFonts w:ascii="Times New Roman" w:hAnsi="Times New Roman" w:cs="Times New Roman" w:eastAsia="Times New Roman" w:hint="default"/>
                <w:sz w:val="18"/>
                <w:szCs w:val="18"/>
              </w:rPr>
              <w:t>”</w:t>
            </w:r>
            <w:r>
              <w:rPr>
                <w:rFonts w:ascii="宋体" w:hAnsi="宋体" w:cs="宋体" w:eastAsia="宋体" w:hint="default"/>
                <w:sz w:val="18"/>
                <w:szCs w:val="18"/>
              </w:rPr>
              <w:t>项 目</w:t>
            </w:r>
          </w:p>
        </w:tc>
        <w:tc>
          <w:tcPr>
            <w:tcW w:w="107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16"/>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自游网</w:t>
            </w:r>
            <w:r>
              <w:rPr>
                <w:rFonts w:ascii="Times New Roman" w:hAnsi="Times New Roman" w:cs="Times New Roman" w:eastAsia="Times New Roman" w:hint="default"/>
                <w:sz w:val="18"/>
                <w:szCs w:val="18"/>
              </w:rPr>
              <w:t>-</w:t>
            </w:r>
            <w:r>
              <w:rPr>
                <w:rFonts w:ascii="宋体" w:hAnsi="宋体" w:cs="宋体" w:eastAsia="宋体" w:hint="default"/>
                <w:sz w:val="18"/>
                <w:szCs w:val="18"/>
              </w:rPr>
              <w:t>智游 宝项目</w:t>
            </w:r>
          </w:p>
        </w:tc>
        <w:tc>
          <w:tcPr>
            <w:tcW w:w="107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16"/>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杭州网在线 艺术平台</w:t>
            </w:r>
          </w:p>
        </w:tc>
        <w:tc>
          <w:tcPr>
            <w:tcW w:w="107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16"/>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9"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欢乐暖冬健 康季</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杭 州休闲养生 文化大汇活 动项目</w:t>
            </w:r>
          </w:p>
        </w:tc>
        <w:tc>
          <w:tcPr>
            <w:tcW w:w="107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16"/>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杭州运河旧 影新景项目</w:t>
            </w:r>
          </w:p>
        </w:tc>
        <w:tc>
          <w:tcPr>
            <w:tcW w:w="107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16"/>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省文化传播 新十佳网站</w:t>
            </w:r>
          </w:p>
        </w:tc>
        <w:tc>
          <w:tcPr>
            <w:tcW w:w="107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16"/>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小微企业奖 励</w:t>
            </w:r>
          </w:p>
        </w:tc>
        <w:tc>
          <w:tcPr>
            <w:tcW w:w="107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16"/>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02" w:lineRule="auto" w:before="51"/>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年音乐 节项目</w:t>
            </w:r>
          </w:p>
        </w:tc>
        <w:tc>
          <w:tcPr>
            <w:tcW w:w="107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16"/>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7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初创期科技 型企业奖励</w:t>
            </w:r>
          </w:p>
        </w:tc>
        <w:tc>
          <w:tcPr>
            <w:tcW w:w="1076"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16"/>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89" w:right="0"/>
              <w:jc w:val="left"/>
              <w:rPr>
                <w:rFonts w:ascii="Times New Roman" w:hAnsi="Times New Roman" w:cs="Times New Roman" w:eastAsia="Times New Roman" w:hint="default"/>
                <w:sz w:val="18"/>
                <w:szCs w:val="18"/>
              </w:rPr>
            </w:pPr>
            <w:r>
              <w:rPr>
                <w:rFonts w:ascii="Times New Roman"/>
                <w:sz w:val="18"/>
              </w:rPr>
              <w:t>7,257,524.43</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4,181,570.81</w:t>
            </w:r>
          </w:p>
        </w:tc>
        <w:tc>
          <w:tcPr>
            <w:tcW w:w="1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7"/>
        <w:rPr>
          <w:rFonts w:ascii="Times New Roman" w:hAnsi="Times New Roman" w:cs="Times New Roman" w:eastAsia="Times New Roman" w:hint="default"/>
          <w:sz w:val="23"/>
          <w:szCs w:val="23"/>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162" w:hRule="exact"/>
        </w:trPr>
        <w:tc>
          <w:tcPr>
            <w:tcW w:w="2389"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5"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0" w:hRule="exact"/>
        </w:trPr>
        <w:tc>
          <w:tcPr>
            <w:tcW w:w="238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89"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64,210.37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155,078.86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64,210.37</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64,210.37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155,078.86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64,210.37</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26,000.00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285,589.57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134,192.64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285,589.57</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赔偿支出</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110,028.32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135,048.40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110,028.32</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1,765,149.62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1,909,735.30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165,862.90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213,662.03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165,862.90</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2,416,840.78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2,633,717.23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651,691.16</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3,724,360.27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32,615.75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96,547.56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26,505.91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3,820,907.83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59,121.66</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）会计利润与所得税费用调整过程</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8"/>
        <w:gridCol w:w="4789"/>
      </w:tblGrid>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319,121,746.22</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79,780,436.56</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-71,325,526.52</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102,736.50</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-3,757,507.82</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807,398.41</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-9,813.15</w:t>
            </w:r>
          </w:p>
        </w:tc>
      </w:tr>
      <w:tr>
        <w:trPr>
          <w:trHeight w:val="714" w:hRule="exact"/>
        </w:trPr>
        <w:tc>
          <w:tcPr>
            <w:tcW w:w="47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6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-1,504,963.72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税法规定的额外扣除项目</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-271,852.43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3,820,907.83</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71</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详见附注。</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72</w:t>
      </w:r>
      <w:r>
        <w:rPr>
          <w:rFonts w:ascii="宋体" w:hAnsi="宋体" w:cs="宋体" w:eastAsia="宋体" w:hint="default"/>
          <w:b/>
          <w:bCs/>
          <w:sz w:val="21"/>
          <w:szCs w:val="21"/>
        </w:rPr>
        <w:t>、现金流量表项目</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7,227,471.63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2,781,867.57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4,922,884.98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3,602,619.08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32,241,744.27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35,743,186.74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44,392,100.88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42,127,673.39</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费用支出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77,727,737.05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95,649,090.28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76,099,663.41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77,739,502.19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153,827,400.46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173,388,592.47</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）收到的其他与投资活动有关的现金</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原上市公司资产处置款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368,504,060.08</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278,938.94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368,504,060.08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278,938.94</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）支付的其他与投资活动有关的现金</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77" w:footer="982" w:top="1100" w:bottom="1180" w:left="980" w:right="980"/>
        </w:sectPr>
      </w:pPr>
    </w:p>
    <w:p>
      <w:pPr>
        <w:spacing w:line="240" w:lineRule="auto" w:before="10"/>
        <w:rPr>
          <w:rFonts w:ascii="宋体" w:hAnsi="宋体" w:cs="宋体" w:eastAsia="宋体" w:hint="default"/>
          <w:b/>
          <w:bCs/>
          <w:sz w:val="20"/>
          <w:szCs w:val="20"/>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）收到的其他与筹资活动有关的现金</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已划拨股权单位分红款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9,460,000.00</w:t>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92"/>
              <w:jc w:val="left"/>
              <w:rPr>
                <w:rFonts w:ascii="宋体" w:hAnsi="宋体" w:cs="宋体" w:eastAsia="宋体" w:hint="default"/>
                <w:sz w:val="18"/>
                <w:szCs w:val="18"/>
              </w:rPr>
            </w:pPr>
            <w:r>
              <w:rPr>
                <w:rFonts w:ascii="宋体" w:hAnsi="宋体" w:cs="宋体" w:eastAsia="宋体" w:hint="default"/>
                <w:sz w:val="18"/>
                <w:szCs w:val="18"/>
              </w:rPr>
              <w:t>采编与经营两分开资产负债分割交易差 额结算款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213,551,947.25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非金融机构借款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223,011,947.25</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已采编与经营两分开资产负债分割交易 差额结算款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37,417,037.25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归还非金融机构的借款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37,417,037.25</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73</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84"/>
      </w:tblGrid>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315,300,838.39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203,292,482.49</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8,195,840.05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10,866,944.88</w:t>
            </w:r>
          </w:p>
        </w:tc>
      </w:tr>
      <w:tr>
        <w:trPr>
          <w:trHeight w:val="714"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37,413,442.20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41,094,692.62</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2,939,498.75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552,294.59</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4,758,976.72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3,152,678.51</w:t>
            </w:r>
          </w:p>
        </w:tc>
      </w:tr>
      <w:tr>
        <w:trPr>
          <w:trHeight w:val="714"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-964,276.24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113,233.09</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3,495.17</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tcBorders>
              <w:top w:val="single" w:sz="4" w:space="0" w:color="000000"/>
              <w:left w:val="single" w:sz="13" w:space="0" w:color="D3D3D3"/>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-593,538.04</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793,648.05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-464,665.71</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-112,048,351.83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-32,681,764.17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r>
        <w:rPr/>
        <w:pict>
          <v:group style="position:absolute;margin-left:223.320007pt;margin-top:71.910004pt;width:151.2pt;height:40.9pt;mso-position-horizontal-relative:page;mso-position-vertical-relative:page;z-index:-1259584" coordorigin="4466,1438" coordsize="3024,818">
            <v:group style="position:absolute;left:4478;top:1450;width:2;height:393" coordorigin="4478,1450" coordsize="2,393">
              <v:shape style="position:absolute;left:4478;top:1450;width:2;height:393" coordorigin="4478,1450" coordsize="0,393" path="m4478,1450l4478,1842e" filled="false" stroked="true" strokeweight="1.140pt" strokecolor="#ffffff">
                <v:path arrowok="t"/>
              </v:shape>
            </v:group>
            <v:group style="position:absolute;left:4489;top:1450;width:3002;height:393" coordorigin="4489,1450" coordsize="3002,393">
              <v:shape style="position:absolute;left:4489;top:1450;width:3002;height:393" coordorigin="4489,1450" coordsize="3002,393" path="m4489,1842l7490,1842,7490,1450,4489,1450,4489,1842xe" filled="true" fillcolor="#ffffff" stroked="false">
                <v:path arrowok="t"/>
                <v:fill type="solid"/>
              </v:shape>
            </v:group>
            <v:group style="position:absolute;left:4478;top:1852;width:2;height:393" coordorigin="4478,1852" coordsize="2,393">
              <v:shape style="position:absolute;left:4478;top:1852;width:2;height:393" coordorigin="4478,1852" coordsize="0,393" path="m4478,1852l4478,2244e" filled="false" stroked="true" strokeweight="1.140pt" strokecolor="#ffffff">
                <v:path arrowok="t"/>
              </v:shape>
            </v:group>
            <v:group style="position:absolute;left:4489;top:1852;width:3002;height:393" coordorigin="4489,1852" coordsize="3002,393">
              <v:shape style="position:absolute;left:4489;top:1852;width:3002;height:393" coordorigin="4489,1852" coordsize="3002,393" path="m4489,2244l7490,2244,7490,1852,4489,1852,4489,2244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4"/>
        <w:gridCol w:w="3068"/>
        <w:gridCol w:w="3184"/>
      </w:tblGrid>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tabs>
                <w:tab w:pos="2213" w:val="left" w:leader="none"/>
              </w:tabs>
              <w:spacing w:line="240" w:lineRule="auto" w:before="51"/>
              <w:ind w:left="-124"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w w:val="95"/>
                <w:sz w:val="18"/>
                <w:szCs w:val="18"/>
              </w:rPr>
              <w:t>250,508.29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26,505.91</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tabs>
                <w:tab w:pos="2153" w:val="left" w:leader="none"/>
              </w:tabs>
              <w:spacing w:line="240" w:lineRule="auto" w:before="51"/>
              <w:ind w:left="-124"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w w:val="95"/>
                <w:sz w:val="18"/>
                <w:szCs w:val="18"/>
              </w:rPr>
              <w:t>-153,960.73</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-6,877,982.19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-2,437,950.11</w:t>
            </w:r>
          </w:p>
        </w:tc>
      </w:tr>
      <w:tr>
        <w:trPr>
          <w:trHeight w:val="714"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-125,685,501.76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-118,912,016.89</w:t>
            </w:r>
          </w:p>
        </w:tc>
      </w:tr>
      <w:tr>
        <w:trPr>
          <w:trHeight w:val="714"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-31,955,681.37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-40,256,101.11</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91,970,493.50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63,752,796.06</w:t>
            </w:r>
          </w:p>
        </w:tc>
      </w:tr>
      <w:tr>
        <w:trPr>
          <w:trHeight w:val="161" w:hRule="exact"/>
        </w:trPr>
        <w:tc>
          <w:tcPr>
            <w:tcW w:w="3304" w:type="dxa"/>
            <w:vMerge w:val="restart"/>
            <w:tcBorders>
              <w:top w:val="single" w:sz="4" w:space="0" w:color="000000"/>
              <w:left w:val="single" w:sz="4" w:space="0" w:color="000000"/>
              <w:right w:val="single" w:sz="4" w:space="0" w:color="000000"/>
            </w:tcBorders>
            <w:shd w:val="clear" w:color="auto" w:fill="D3D3D3"/>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8" w:type="dxa"/>
            <w:tcBorders>
              <w:top w:val="single" w:sz="4" w:space="0" w:color="000000"/>
              <w:left w:val="single" w:sz="4" w:space="0" w:color="000000"/>
              <w:bottom w:val="nil" w:sz="6" w:space="0" w:color="auto"/>
              <w:right w:val="single" w:sz="4" w:space="0" w:color="000000"/>
            </w:tcBorders>
            <w:shd w:val="clear" w:color="auto" w:fill="D3D3D3"/>
          </w:tcPr>
          <w:p>
            <w:pPr/>
          </w:p>
        </w:tc>
        <w:tc>
          <w:tcPr>
            <w:tcW w:w="318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3304" w:type="dxa"/>
            <w:vMerge/>
            <w:tcBorders>
              <w:left w:val="single" w:sz="4" w:space="0" w:color="000000"/>
              <w:right w:val="single" w:sz="4" w:space="0" w:color="000000"/>
            </w:tcBorders>
            <w:shd w:val="clear" w:color="auto" w:fill="D3D3D3"/>
          </w:tcPr>
          <w:p>
            <w:pPr/>
          </w:p>
        </w:tc>
        <w:tc>
          <w:tcPr>
            <w:tcW w:w="30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0"/>
              <w:ind w:left="10"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0"/>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4" w:type="dxa"/>
            <w:vMerge/>
            <w:tcBorders>
              <w:left w:val="single" w:sz="4" w:space="0" w:color="000000"/>
              <w:bottom w:val="single" w:sz="4" w:space="0" w:color="000000"/>
              <w:right w:val="single" w:sz="4" w:space="0" w:color="000000"/>
            </w:tcBorders>
            <w:shd w:val="clear" w:color="auto" w:fill="D3D3D3"/>
          </w:tcPr>
          <w:p>
            <w:pPr/>
          </w:p>
        </w:tc>
        <w:tc>
          <w:tcPr>
            <w:tcW w:w="3068" w:type="dxa"/>
            <w:tcBorders>
              <w:top w:val="nil" w:sz="6" w:space="0" w:color="auto"/>
              <w:left w:val="single" w:sz="4" w:space="0" w:color="000000"/>
              <w:bottom w:val="single" w:sz="4" w:space="0" w:color="000000"/>
              <w:right w:val="single" w:sz="4" w:space="0" w:color="000000"/>
            </w:tcBorders>
            <w:shd w:val="clear" w:color="auto" w:fill="D3D3D3"/>
          </w:tcPr>
          <w:p>
            <w:pPr/>
          </w:p>
        </w:tc>
        <w:tc>
          <w:tcPr>
            <w:tcW w:w="318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886,953,184.12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432,673,799.93</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432,673,799.93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189,025,731.45</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454,279,384.19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243,648,068.48</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）本期支付的取得子公司的现金净额</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76"/>
        <w:gridCol w:w="4568"/>
      </w:tblGrid>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83,995,634.21</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快点文化传播（上海）有限公司</w:t>
            </w:r>
          </w:p>
        </w:tc>
        <w:tc>
          <w:tcPr>
            <w:tcW w:w="4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81,778,806.00</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杭州云瞰科技有限公司</w:t>
            </w:r>
          </w:p>
        </w:tc>
        <w:tc>
          <w:tcPr>
            <w:tcW w:w="4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2,216,828.21</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1,609,349.16</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快点文化传播（上海）有限公司</w:t>
            </w:r>
          </w:p>
        </w:tc>
        <w:tc>
          <w:tcPr>
            <w:tcW w:w="4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1,163,528.79</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杭州云瞰科技有限公司</w:t>
            </w:r>
          </w:p>
        </w:tc>
        <w:tc>
          <w:tcPr>
            <w:tcW w:w="4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445,820.37</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82,386,285.05</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）本期收到的处置子公司的现金净额</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5" w:type="dxa"/>
        <w:tblLayout w:type="fixed"/>
        <w:tblCellMar>
          <w:top w:w="0" w:type="dxa"/>
          <w:left w:w="0" w:type="dxa"/>
          <w:bottom w:w="0" w:type="dxa"/>
          <w:right w:w="0" w:type="dxa"/>
        </w:tblCellMar>
        <w:tblLook w:val="01E0"/>
      </w:tblPr>
      <w:tblGrid>
        <w:gridCol w:w="3311"/>
        <w:gridCol w:w="3068"/>
        <w:gridCol w:w="3161"/>
      </w:tblGrid>
      <w:tr>
        <w:trPr>
          <w:trHeight w:val="402" w:hRule="exact"/>
        </w:trPr>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888" w:right="0"/>
              <w:jc w:val="left"/>
              <w:rPr>
                <w:rFonts w:ascii="Times New Roman" w:hAnsi="Times New Roman" w:cs="Times New Roman" w:eastAsia="Times New Roman" w:hint="default"/>
                <w:sz w:val="18"/>
                <w:szCs w:val="18"/>
              </w:rPr>
            </w:pPr>
            <w:r>
              <w:rPr>
                <w:rFonts w:ascii="Times New Roman"/>
                <w:sz w:val="18"/>
              </w:rPr>
              <w:t>886,953,184.12</w:t>
            </w:r>
          </w:p>
        </w:tc>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5" w:right="0"/>
              <w:jc w:val="left"/>
              <w:rPr>
                <w:rFonts w:ascii="Times New Roman" w:hAnsi="Times New Roman" w:cs="Times New Roman" w:eastAsia="Times New Roman" w:hint="default"/>
                <w:sz w:val="18"/>
                <w:szCs w:val="18"/>
              </w:rPr>
            </w:pPr>
            <w:r>
              <w:rPr>
                <w:rFonts w:ascii="Times New Roman"/>
                <w:sz w:val="18"/>
              </w:rPr>
              <w:t>432,673,799.93</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299"/>
        <w:gridCol w:w="3085"/>
        <w:gridCol w:w="3184"/>
      </w:tblGrid>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8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865,612.68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859,828.43</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8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883,394,617.49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430,303,977.02</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8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2,692,953.95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1,509,994.48</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8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886,953,184.12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432,673,799.93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before="116"/>
        <w:ind w:left="444" w:right="0" w:firstLine="0"/>
        <w:jc w:val="left"/>
        <w:rPr>
          <w:rFonts w:ascii="宋体" w:hAnsi="宋体" w:cs="宋体" w:eastAsia="宋体" w:hint="default"/>
          <w:sz w:val="18"/>
          <w:szCs w:val="18"/>
        </w:rPr>
      </w:pPr>
      <w:r>
        <w:rPr>
          <w:rFonts w:ascii="宋体" w:hAnsi="宋体" w:cs="宋体" w:eastAsia="宋体" w:hint="default"/>
          <w:sz w:val="18"/>
          <w:szCs w:val="18"/>
        </w:rPr>
        <w:t>注：现金和现金等价物不含母公司或集团内子公司使用受限制的现金和现金等价物</w:t>
      </w:r>
    </w:p>
    <w:p>
      <w:pPr>
        <w:spacing w:line="240" w:lineRule="auto" w:before="12"/>
        <w:rPr>
          <w:rFonts w:ascii="宋体" w:hAnsi="宋体" w:cs="宋体" w:eastAsia="宋体" w:hint="default"/>
          <w:sz w:val="26"/>
          <w:szCs w:val="26"/>
        </w:rPr>
      </w:pPr>
    </w:p>
    <w:p>
      <w:pPr>
        <w:spacing w:line="544" w:lineRule="auto" w:before="0"/>
        <w:ind w:left="154" w:right="421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、所有者权益变动表项目注释</w:t>
      </w:r>
      <w:r>
        <w:rPr>
          <w:rFonts w:ascii="宋体" w:hAnsi="宋体" w:cs="宋体" w:eastAsia="宋体" w:hint="default"/>
          <w:b/>
          <w:bCs/>
          <w:spacing w:val="1"/>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项目名称及调整金额等事项：无 </w:t>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before="53"/>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72"/>
      </w:tblGrid>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31,925,712.10</w:t>
            </w:r>
          </w:p>
        </w:tc>
        <w:tc>
          <w:tcPr>
            <w:tcW w:w="31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8"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189,600.00</w:t>
            </w:r>
          </w:p>
        </w:tc>
        <w:tc>
          <w:tcPr>
            <w:tcW w:w="31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信用证保证金</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32,115,312.10</w:t>
            </w:r>
          </w:p>
        </w:tc>
        <w:tc>
          <w:tcPr>
            <w:tcW w:w="31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76</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）外币货币性项目</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line="259" w:lineRule="auto"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）境外经营实体说明，包括对于重要的境外经营实体，应披露其境外主要经营地、记账本位币及选择</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依据，记账本位币发生变化的还应披露原因。</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、套期</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、其他</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77" w:footer="982" w:top="1100" w:bottom="1180" w:left="980" w:right="980"/>
        </w:sectPr>
      </w:pPr>
    </w:p>
    <w:p>
      <w:pPr>
        <w:spacing w:line="240" w:lineRule="auto" w:before="9"/>
        <w:rPr>
          <w:rFonts w:ascii="宋体" w:hAnsi="宋体" w:cs="宋体" w:eastAsia="宋体" w:hint="default"/>
          <w:b/>
          <w:bCs/>
          <w:sz w:val="19"/>
          <w:szCs w:val="19"/>
        </w:rPr>
      </w:pPr>
    </w:p>
    <w:p>
      <w:pPr>
        <w:pStyle w:val="Heading3"/>
        <w:spacing w:line="240" w:lineRule="auto" w:before="26"/>
        <w:ind w:right="0"/>
        <w:jc w:val="left"/>
        <w:rPr>
          <w:b w:val="0"/>
          <w:bCs w:val="0"/>
        </w:rPr>
      </w:pPr>
      <w:r>
        <w:rPr/>
        <w:t>八、合并范围的变更</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）本期发生的非同一控制下企业合并</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038"/>
        <w:gridCol w:w="1040"/>
        <w:gridCol w:w="1181"/>
        <w:gridCol w:w="1042"/>
        <w:gridCol w:w="1040"/>
        <w:gridCol w:w="1042"/>
        <w:gridCol w:w="1039"/>
        <w:gridCol w:w="1181"/>
        <w:gridCol w:w="1091"/>
      </w:tblGrid>
      <w:tr>
        <w:trPr>
          <w:trHeight w:val="1021" w:hRule="exact"/>
        </w:trPr>
        <w:tc>
          <w:tcPr>
            <w:tcW w:w="10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23" w:right="62"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24" w:right="65"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3"/>
              <w:jc w:val="right"/>
              <w:rPr>
                <w:rFonts w:ascii="宋体" w:hAnsi="宋体" w:cs="宋体" w:eastAsia="宋体" w:hint="default"/>
                <w:sz w:val="18"/>
                <w:szCs w:val="18"/>
              </w:rPr>
            </w:pPr>
            <w:r>
              <w:rPr>
                <w:rFonts w:ascii="宋体" w:hAnsi="宋体" w:cs="宋体" w:eastAsia="宋体" w:hint="default"/>
                <w:sz w:val="18"/>
                <w:szCs w:val="18"/>
              </w:rPr>
              <w:t>股权取得成本</w:t>
            </w:r>
          </w:p>
        </w:tc>
        <w:tc>
          <w:tcPr>
            <w:tcW w:w="10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25" w:right="65"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24" w:right="65"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3" w:right="6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5" w:right="43"/>
              <w:jc w:val="center"/>
              <w:rPr>
                <w:rFonts w:ascii="宋体" w:hAnsi="宋体" w:cs="宋体" w:eastAsia="宋体" w:hint="default"/>
                <w:sz w:val="18"/>
                <w:szCs w:val="18"/>
              </w:rPr>
            </w:pPr>
            <w:r>
              <w:rPr>
                <w:rFonts w:ascii="宋体" w:hAnsi="宋体" w:cs="宋体" w:eastAsia="宋体" w:hint="default"/>
                <w:sz w:val="18"/>
                <w:szCs w:val="18"/>
              </w:rPr>
              <w:t>购买日至期末 被购买方的收 入</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9" w:right="89"/>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9" w:hRule="exact"/>
        </w:trPr>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6"/>
              <w:ind w:left="22" w:right="103"/>
              <w:jc w:val="left"/>
              <w:rPr>
                <w:rFonts w:ascii="宋体" w:hAnsi="宋体" w:cs="宋体" w:eastAsia="宋体" w:hint="default"/>
                <w:sz w:val="18"/>
                <w:szCs w:val="18"/>
              </w:rPr>
            </w:pPr>
            <w:r>
              <w:rPr>
                <w:rFonts w:ascii="宋体" w:hAnsi="宋体" w:cs="宋体" w:eastAsia="宋体" w:hint="default"/>
                <w:sz w:val="18"/>
                <w:szCs w:val="18"/>
              </w:rPr>
              <w:t>杭州云瞰科 技有限公司</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2,216,828.21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0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2,705,168.83</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254,480.55</w:t>
            </w:r>
          </w:p>
        </w:tc>
      </w:tr>
      <w:tr>
        <w:trPr>
          <w:trHeight w:val="1026" w:hRule="exact"/>
        </w:trPr>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3"/>
              <w:jc w:val="both"/>
              <w:rPr>
                <w:rFonts w:ascii="宋体" w:hAnsi="宋体" w:cs="宋体" w:eastAsia="宋体" w:hint="default"/>
                <w:sz w:val="18"/>
                <w:szCs w:val="18"/>
              </w:rPr>
            </w:pPr>
            <w:r>
              <w:rPr>
                <w:rFonts w:ascii="宋体" w:hAnsi="宋体" w:cs="宋体" w:eastAsia="宋体" w:hint="default"/>
                <w:sz w:val="18"/>
                <w:szCs w:val="18"/>
              </w:rPr>
              <w:t>快点文化传 播（上海） 有限公司</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204,192,015.00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0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120,855,489.55</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25,868,761.91</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）合并成本及商誉</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19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691" w:right="0"/>
              <w:jc w:val="left"/>
              <w:rPr>
                <w:rFonts w:ascii="宋体" w:hAnsi="宋体" w:cs="宋体" w:eastAsia="宋体" w:hint="default"/>
                <w:sz w:val="18"/>
                <w:szCs w:val="18"/>
              </w:rPr>
            </w:pPr>
            <w:r>
              <w:rPr>
                <w:rFonts w:ascii="宋体" w:hAnsi="宋体" w:cs="宋体" w:eastAsia="宋体" w:hint="default"/>
                <w:sz w:val="18"/>
                <w:szCs w:val="18"/>
              </w:rPr>
              <w:t>杭州云瞰科技有限公司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快点文化传播（上海）有限公司</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2,216,828.21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204,192,015.00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2,216,828.21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204,192,015.00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2,267,261.51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22,404,086.25</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44"/>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 公允价值份额的金额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-50,433.30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181,787,928.75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w:t>
      </w:r>
    </w:p>
    <w:p>
      <w:pPr>
        <w:pStyle w:val="BodyText"/>
        <w:spacing w:line="313" w:lineRule="exact" w:before="65"/>
        <w:ind w:left="634" w:right="0"/>
        <w:jc w:val="left"/>
      </w:pPr>
      <w:r>
        <w:rPr/>
        <w:t>1. 合并成本公允价值的确定</w:t>
      </w:r>
    </w:p>
    <w:p>
      <w:pPr>
        <w:pStyle w:val="BodyText"/>
        <w:spacing w:line="312" w:lineRule="exact" w:before="29"/>
        <w:ind w:right="148" w:firstLine="480"/>
        <w:jc w:val="both"/>
      </w:pPr>
      <w:r>
        <w:rPr/>
        <w:t>本公司以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6</w:t>
      </w:r>
      <w:r>
        <w:rPr/>
        <w:t>月 </w:t>
      </w:r>
      <w:r>
        <w:rPr>
          <w:rFonts w:ascii="Times New Roman" w:hAnsi="Times New Roman" w:cs="Times New Roman" w:eastAsia="Times New Roman" w:hint="default"/>
        </w:rPr>
        <w:t>30</w:t>
      </w:r>
      <w:r>
        <w:rPr/>
        <w:t>日为购买日，支付现金人民币</w:t>
      </w:r>
      <w:r>
        <w:rPr>
          <w:spacing w:val="-42"/>
        </w:rPr>
        <w:t> </w:t>
      </w:r>
      <w:r>
        <w:rPr>
          <w:rFonts w:ascii="Times New Roman" w:hAnsi="Times New Roman" w:cs="Times New Roman" w:eastAsia="Times New Roman" w:hint="default"/>
        </w:rPr>
        <w:t>2,216,828.21</w:t>
      </w:r>
      <w:r>
        <w:rPr/>
        <w:t>元作为合并成本购</w:t>
      </w:r>
      <w:r>
        <w:rPr>
          <w:spacing w:val="2"/>
        </w:rPr>
        <w:t> </w:t>
      </w:r>
      <w:r>
        <w:rPr/>
        <w:t>买云瞰科技</w:t>
      </w:r>
      <w:r>
        <w:rPr>
          <w:rFonts w:ascii="Times New Roman" w:hAnsi="Times New Roman" w:cs="Times New Roman" w:eastAsia="Times New Roman" w:hint="default"/>
        </w:rPr>
        <w:t>50%</w:t>
      </w:r>
      <w:r>
        <w:rPr/>
        <w:t>的股权；以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4</w:t>
      </w:r>
      <w:r>
        <w:rPr/>
        <w:t>月 </w:t>
      </w:r>
      <w:r>
        <w:rPr>
          <w:rFonts w:ascii="Times New Roman" w:hAnsi="Times New Roman" w:cs="Times New Roman" w:eastAsia="Times New Roman" w:hint="default"/>
        </w:rPr>
        <w:t>30</w:t>
      </w:r>
      <w:r>
        <w:rPr/>
        <w:t>日为购买日，支付现金人民币</w:t>
      </w:r>
      <w:r>
        <w:rPr>
          <w:spacing w:val="6"/>
        </w:rPr>
        <w:t> </w:t>
      </w:r>
      <w:r>
        <w:rPr>
          <w:rFonts w:ascii="Times New Roman" w:hAnsi="Times New Roman" w:cs="Times New Roman" w:eastAsia="Times New Roman" w:hint="default"/>
        </w:rPr>
        <w:t>204,192,015.00</w:t>
      </w:r>
      <w:r>
        <w:rPr/>
        <w:t>元 作为合并成本购买快点文化</w:t>
      </w:r>
      <w:r>
        <w:rPr>
          <w:rFonts w:ascii="Times New Roman" w:hAnsi="Times New Roman" w:cs="Times New Roman" w:eastAsia="Times New Roman" w:hint="default"/>
        </w:rPr>
        <w:t>51%</w:t>
      </w:r>
      <w:r>
        <w:rPr/>
        <w:t>的股权。</w:t>
      </w:r>
    </w:p>
    <w:p>
      <w:pPr>
        <w:pStyle w:val="BodyText"/>
        <w:spacing w:line="312" w:lineRule="exact"/>
        <w:ind w:left="633" w:right="6411"/>
        <w:jc w:val="left"/>
      </w:pPr>
      <w:r>
        <w:rPr/>
        <w:t>②或有对价及其变动的说明 无。</w:t>
      </w:r>
    </w:p>
    <w:p>
      <w:pPr>
        <w:spacing w:before="59"/>
        <w:ind w:left="154" w:right="0" w:firstLine="0"/>
        <w:jc w:val="left"/>
        <w:rPr>
          <w:rFonts w:ascii="宋体" w:hAnsi="宋体" w:cs="宋体" w:eastAsia="宋体" w:hint="default"/>
          <w:sz w:val="18"/>
          <w:szCs w:val="18"/>
        </w:rPr>
      </w:pPr>
      <w:r>
        <w:rPr>
          <w:rFonts w:ascii="宋体" w:hAnsi="宋体" w:cs="宋体" w:eastAsia="宋体" w:hint="default"/>
          <w:sz w:val="18"/>
          <w:szCs w:val="18"/>
        </w:rPr>
        <w:t>大额商誉形成的主要原因：</w:t>
      </w:r>
    </w:p>
    <w:p>
      <w:pPr>
        <w:pStyle w:val="BodyText"/>
        <w:spacing w:line="312" w:lineRule="exact" w:before="97"/>
        <w:ind w:right="142" w:firstLine="480"/>
        <w:jc w:val="both"/>
      </w:pPr>
      <w:r>
        <w:rPr/>
        <w:t>本次合并成本</w:t>
      </w:r>
      <w:r>
        <w:rPr>
          <w:rFonts w:ascii="Times New Roman" w:hAnsi="Times New Roman" w:cs="Times New Roman" w:eastAsia="Times New Roman" w:hint="default"/>
        </w:rPr>
        <w:t>204,192,015.00</w:t>
      </w:r>
      <w:r>
        <w:rPr>
          <w:rFonts w:ascii="Times New Roman" w:hAnsi="Times New Roman" w:cs="Times New Roman" w:eastAsia="Times New Roman" w:hint="default"/>
          <w:spacing w:val="46"/>
        </w:rPr>
        <w:t> </w:t>
      </w:r>
      <w:r>
        <w:rPr>
          <w:spacing w:val="-5"/>
        </w:rPr>
        <w:t>元，被购买方快点文化于购买日可辨认净资产的公允价值为</w:t>
      </w:r>
      <w:r>
        <w:rPr/>
        <w:t> </w:t>
      </w:r>
      <w:r>
        <w:rPr>
          <w:rFonts w:ascii="Times New Roman" w:hAnsi="Times New Roman" w:cs="Times New Roman" w:eastAsia="Times New Roman" w:hint="default"/>
        </w:rPr>
        <w:t>22,404,086.25</w:t>
      </w:r>
      <w:r>
        <w:rPr/>
        <w:t>元，差额</w:t>
      </w:r>
      <w:r>
        <w:rPr>
          <w:rFonts w:ascii="Times New Roman" w:hAnsi="Times New Roman" w:cs="Times New Roman" w:eastAsia="Times New Roman" w:hint="default"/>
        </w:rPr>
        <w:t>181,787,928.75</w:t>
      </w:r>
      <w:r>
        <w:rPr/>
        <w:t>元形成商誉，原因主要系快点文化为轻资产类企业，现</w:t>
      </w:r>
      <w:r>
        <w:rPr>
          <w:spacing w:val="-91"/>
        </w:rPr>
        <w:t> </w:t>
      </w:r>
      <w:r>
        <w:rPr>
          <w:spacing w:val="7"/>
        </w:rPr>
        <w:t>有净资产价值无法反映企业价值和未来获利能力。根据北京中企华资产评估有限责任公司</w:t>
      </w:r>
      <w:r>
        <w:rPr>
          <w:spacing w:val="7"/>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日出具的中企华评报字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3230</w:t>
      </w:r>
      <w:r>
        <w:rPr/>
        <w:t>号评估报告，快点文化按收益法评估的价值 与本次合并成本基本一致。</w:t>
      </w:r>
    </w:p>
    <w:p>
      <w:pPr>
        <w:spacing w:after="0" w:line="312" w:lineRule="exact"/>
        <w:jc w:val="both"/>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）被购买方于购买日可辨认资产、负债</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3"/>
        <w:gridCol w:w="1925"/>
        <w:gridCol w:w="1914"/>
        <w:gridCol w:w="1914"/>
        <w:gridCol w:w="1914"/>
      </w:tblGrid>
      <w:tr>
        <w:trPr>
          <w:trHeight w:val="401"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839" w:type="dxa"/>
            <w:gridSpan w:val="2"/>
            <w:tcBorders>
              <w:top w:val="single" w:sz="4" w:space="0" w:color="000000"/>
              <w:left w:val="single" w:sz="9" w:space="0" w:color="D3D3D3"/>
              <w:bottom w:val="single" w:sz="4" w:space="0" w:color="000000"/>
              <w:right w:val="single" w:sz="4" w:space="0" w:color="000000"/>
            </w:tcBorders>
            <w:shd w:val="clear" w:color="auto" w:fill="E1FFFF"/>
          </w:tcPr>
          <w:p>
            <w:pPr>
              <w:pStyle w:val="TableParagraph"/>
              <w:spacing w:line="240" w:lineRule="auto" w:before="52"/>
              <w:ind w:left="1012" w:right="0"/>
              <w:jc w:val="left"/>
              <w:rPr>
                <w:rFonts w:ascii="宋体" w:hAnsi="宋体" w:cs="宋体" w:eastAsia="宋体" w:hint="default"/>
                <w:sz w:val="18"/>
                <w:szCs w:val="18"/>
              </w:rPr>
            </w:pPr>
            <w:r>
              <w:rPr>
                <w:rFonts w:ascii="宋体" w:hAnsi="宋体" w:cs="宋体" w:eastAsia="宋体" w:hint="default"/>
                <w:sz w:val="18"/>
                <w:szCs w:val="18"/>
              </w:rPr>
              <w:t>杭州云瞰科技有限公司</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647" w:right="0"/>
              <w:jc w:val="left"/>
              <w:rPr>
                <w:rFonts w:ascii="宋体" w:hAnsi="宋体" w:cs="宋体" w:eastAsia="宋体" w:hint="default"/>
                <w:sz w:val="18"/>
                <w:szCs w:val="18"/>
              </w:rPr>
            </w:pPr>
            <w:r>
              <w:rPr>
                <w:rFonts w:ascii="宋体" w:hAnsi="宋体" w:cs="宋体" w:eastAsia="宋体" w:hint="default"/>
                <w:sz w:val="18"/>
                <w:szCs w:val="18"/>
              </w:rPr>
              <w:t>快点文化传播（上海）有限公司</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33"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2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445,820.37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445,820.37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1,163,528.79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1,163,528.79</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92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329,970.20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329,970.20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45,496,266.22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45,496,266.22</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2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154,480.56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154,480.56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25"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130,169.79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41,421.05</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25"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17,982,800.00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5" w:type="dxa"/>
            <w:tcBorders>
              <w:top w:val="single" w:sz="4" w:space="0" w:color="000000"/>
              <w:left w:val="single" w:sz="9" w:space="0" w:color="E1FFFF"/>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8,073.26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8,073.26</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925" w:type="dxa"/>
            <w:tcBorders>
              <w:top w:val="single" w:sz="4" w:space="0" w:color="000000"/>
              <w:left w:val="single" w:sz="9" w:space="0" w:color="E1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1,684,191.00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1,684,191.00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1,011,028.04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1,011,028.04</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25" w:type="dxa"/>
            <w:tcBorders>
              <w:top w:val="single" w:sz="4" w:space="0" w:color="000000"/>
              <w:left w:val="single" w:sz="9" w:space="0" w:color="E1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388,179.00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388,179.00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783,316.50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783,316.50</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925" w:type="dxa"/>
            <w:tcBorders>
              <w:top w:val="single" w:sz="4" w:space="0" w:color="000000"/>
              <w:left w:val="single" w:sz="9" w:space="0" w:color="E1FFFF"/>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7,499,550.90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7,499,550.90</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925"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1,300,000.00</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92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1,742.00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1,742.00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14,259,126.48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14,259,126.48</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25"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2,258,943.59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925" w:type="dxa"/>
            <w:tcBorders>
              <w:top w:val="single" w:sz="4" w:space="0" w:color="000000"/>
              <w:left w:val="single" w:sz="9" w:space="0" w:color="E1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420,629.73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420,629.73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25" w:type="dxa"/>
            <w:tcBorders>
              <w:top w:val="single" w:sz="4" w:space="0" w:color="000000"/>
              <w:left w:val="single" w:sz="9" w:space="0" w:color="E1FFFF"/>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501,750.61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501,750.61</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925" w:type="dxa"/>
            <w:tcBorders>
              <w:top w:val="single" w:sz="4" w:space="0" w:color="000000"/>
              <w:left w:val="single" w:sz="9" w:space="0" w:color="E1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39,737.57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39,737.57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6,230,314.88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6,230,314.88</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25" w:type="dxa"/>
            <w:tcBorders>
              <w:top w:val="single" w:sz="4" w:space="0" w:color="000000"/>
              <w:left w:val="single" w:sz="9" w:space="0" w:color="E1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222,837.00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222,837.00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5,207,136.15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5,207,136.15</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2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2,317,694.83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2,317,694.83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44,317,461.79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28,504,856.64</w:t>
            </w: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925"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387,880.91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387,880.91</w:t>
            </w:r>
          </w:p>
        </w:tc>
      </w:tr>
      <w:tr>
        <w:trPr>
          <w:trHeight w:val="403"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92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2,317,694.83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2,317,694.83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43,929,580.88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28,116,975.73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可辨认资产、负债公允价值的确定方法：</w:t>
      </w:r>
    </w:p>
    <w:p>
      <w:pPr>
        <w:pStyle w:val="BodyText"/>
        <w:spacing w:line="312" w:lineRule="exact" w:before="96"/>
        <w:ind w:right="135" w:firstLine="480"/>
        <w:jc w:val="left"/>
      </w:pPr>
      <w:r>
        <w:rPr>
          <w:spacing w:val="-2"/>
        </w:rPr>
        <w:t>云瞰科技可辨认资产、负债公允价值参照浙中企华评报字（</w:t>
      </w:r>
      <w:r>
        <w:rPr>
          <w:rFonts w:ascii="Times New Roman" w:hAnsi="Times New Roman" w:cs="Times New Roman" w:eastAsia="Times New Roman" w:hint="default"/>
          <w:spacing w:val="-2"/>
        </w:rPr>
        <w:t>2015</w:t>
      </w:r>
      <w:r>
        <w:rPr>
          <w:spacing w:val="-2"/>
        </w:rPr>
        <w:t>）第</w:t>
      </w:r>
      <w:r>
        <w:rPr>
          <w:rFonts w:ascii="Times New Roman" w:hAnsi="Times New Roman" w:cs="Times New Roman" w:eastAsia="Times New Roman" w:hint="default"/>
          <w:spacing w:val="-2"/>
        </w:rPr>
        <w:t>165</w:t>
      </w:r>
      <w:r>
        <w:rPr>
          <w:spacing w:val="-2"/>
        </w:rPr>
        <w:t>号评估报告评估</w:t>
      </w:r>
      <w:r>
        <w:rPr/>
        <w:t> 确定。</w:t>
      </w:r>
    </w:p>
    <w:p>
      <w:pPr>
        <w:pStyle w:val="BodyText"/>
        <w:spacing w:line="312" w:lineRule="exact"/>
        <w:ind w:left="154" w:right="0" w:firstLine="480"/>
        <w:jc w:val="left"/>
      </w:pPr>
      <w:r>
        <w:rPr/>
        <w:t>快点文化可辨认资产、负债公允价值经中企华评报字（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3230</w:t>
      </w:r>
      <w:r>
        <w:rPr/>
        <w:t>号评估报告评估确</w:t>
      </w:r>
      <w:r>
        <w:rPr>
          <w:spacing w:val="1"/>
        </w:rPr>
        <w:t> </w:t>
      </w:r>
      <w:r>
        <w:rPr/>
        <w:t>定。</w:t>
      </w:r>
    </w:p>
    <w:p>
      <w:pPr>
        <w:spacing w:before="59"/>
        <w:ind w:left="153" w:right="0" w:firstLine="0"/>
        <w:jc w:val="left"/>
        <w:rPr>
          <w:rFonts w:ascii="宋体" w:hAnsi="宋体" w:cs="宋体" w:eastAsia="宋体" w:hint="default"/>
          <w:sz w:val="18"/>
          <w:szCs w:val="18"/>
        </w:rPr>
      </w:pPr>
      <w:r>
        <w:rPr>
          <w:rFonts w:ascii="宋体" w:hAnsi="宋体" w:cs="宋体" w:eastAsia="宋体" w:hint="default"/>
          <w:sz w:val="18"/>
          <w:szCs w:val="18"/>
        </w:rPr>
        <w:t>企业合并中承担的被购买方的或有负债：无</w:t>
      </w:r>
    </w:p>
    <w:p>
      <w:pPr>
        <w:spacing w:line="240" w:lineRule="auto" w:before="11"/>
        <w:rPr>
          <w:rFonts w:ascii="宋体" w:hAnsi="宋体" w:cs="宋体" w:eastAsia="宋体" w:hint="default"/>
          <w:sz w:val="26"/>
          <w:szCs w:val="26"/>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）购买日或合并当期期末无法合理确定合并对价或被购买方可辨认资产、负债公允价值的相关说明</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、同一控制下企业合并</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）本期发生的同一控制下企业合并</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）合并成本</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）合并日被合并方资产、负债的账面价值</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、反向购买</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、处置子公司</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38" w:lineRule="auto" w:before="116"/>
        <w:ind w:left="154" w:right="40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是否存在通过多次交易分步处置对子公司投资且在本期丧失控制权的情形</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、其他原因的合并范围变动</w:t>
      </w:r>
      <w:r>
        <w:rPr>
          <w:rFonts w:ascii="宋体" w:hAnsi="宋体" w:cs="宋体" w:eastAsia="宋体" w:hint="default"/>
          <w:sz w:val="21"/>
          <w:szCs w:val="21"/>
        </w:rPr>
      </w:r>
    </w:p>
    <w:p>
      <w:pPr>
        <w:spacing w:before="87"/>
        <w:ind w:left="154"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13"/>
        <w:rPr>
          <w:rFonts w:ascii="宋体" w:hAnsi="宋体" w:cs="宋体" w:eastAsia="宋体" w:hint="default"/>
          <w:sz w:val="7"/>
          <w:szCs w:val="7"/>
        </w:rPr>
      </w:pPr>
    </w:p>
    <w:tbl>
      <w:tblPr>
        <w:tblW w:w="0" w:type="auto"/>
        <w:jc w:val="left"/>
        <w:tblInd w:w="139" w:type="dxa"/>
        <w:tblLayout w:type="fixed"/>
        <w:tblCellMar>
          <w:top w:w="0" w:type="dxa"/>
          <w:left w:w="0" w:type="dxa"/>
          <w:bottom w:w="0" w:type="dxa"/>
          <w:right w:w="0" w:type="dxa"/>
        </w:tblCellMar>
        <w:tblLook w:val="01E0"/>
      </w:tblPr>
      <w:tblGrid>
        <w:gridCol w:w="2428"/>
        <w:gridCol w:w="817"/>
        <w:gridCol w:w="523"/>
        <w:gridCol w:w="668"/>
        <w:gridCol w:w="766"/>
        <w:gridCol w:w="499"/>
        <w:gridCol w:w="1842"/>
        <w:gridCol w:w="1446"/>
        <w:gridCol w:w="668"/>
      </w:tblGrid>
      <w:tr>
        <w:trPr>
          <w:trHeight w:val="342" w:hRule="exact"/>
        </w:trPr>
        <w:tc>
          <w:tcPr>
            <w:tcW w:w="2428" w:type="dxa"/>
            <w:vMerge w:val="restart"/>
            <w:tcBorders>
              <w:top w:val="single" w:sz="4" w:space="0" w:color="000000"/>
              <w:left w:val="single" w:sz="4" w:space="0" w:color="000000"/>
              <w:right w:val="single" w:sz="4" w:space="0" w:color="000000"/>
            </w:tcBorders>
            <w:shd w:val="clear" w:color="auto" w:fill="DDDDDD"/>
          </w:tcPr>
          <w:p>
            <w:pPr>
              <w:pStyle w:val="TableParagraph"/>
              <w:spacing w:line="240" w:lineRule="auto" w:before="166"/>
              <w:ind w:left="788"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817" w:type="dxa"/>
            <w:vMerge w:val="restart"/>
            <w:tcBorders>
              <w:top w:val="single" w:sz="4" w:space="0" w:color="000000"/>
              <w:left w:val="single" w:sz="4" w:space="0" w:color="000000"/>
              <w:right w:val="single" w:sz="4" w:space="0" w:color="000000"/>
            </w:tcBorders>
            <w:shd w:val="clear" w:color="auto" w:fill="DDDDDD"/>
          </w:tcPr>
          <w:p>
            <w:pPr>
              <w:pStyle w:val="TableParagraph"/>
              <w:spacing w:line="273" w:lineRule="auto" w:before="10"/>
              <w:ind w:left="193" w:right="89" w:hanging="106"/>
              <w:jc w:val="left"/>
              <w:rPr>
                <w:rFonts w:ascii="宋体" w:hAnsi="宋体" w:cs="宋体" w:eastAsia="宋体" w:hint="default"/>
                <w:sz w:val="21"/>
                <w:szCs w:val="21"/>
              </w:rPr>
            </w:pPr>
            <w:r>
              <w:rPr>
                <w:rFonts w:ascii="宋体" w:hAnsi="宋体" w:cs="宋体" w:eastAsia="宋体" w:hint="default"/>
                <w:sz w:val="21"/>
                <w:szCs w:val="21"/>
              </w:rPr>
              <w:t>主要经 营地</w:t>
            </w:r>
          </w:p>
        </w:tc>
        <w:tc>
          <w:tcPr>
            <w:tcW w:w="523" w:type="dxa"/>
            <w:vMerge w:val="restart"/>
            <w:tcBorders>
              <w:top w:val="single" w:sz="4" w:space="0" w:color="000000"/>
              <w:left w:val="single" w:sz="4" w:space="0" w:color="000000"/>
              <w:right w:val="single" w:sz="4" w:space="0" w:color="000000"/>
            </w:tcBorders>
            <w:shd w:val="clear" w:color="auto" w:fill="DDDDDD"/>
          </w:tcPr>
          <w:p>
            <w:pPr>
              <w:pStyle w:val="TableParagraph"/>
              <w:spacing w:line="273" w:lineRule="auto" w:before="10"/>
              <w:ind w:left="151" w:right="47" w:hanging="106"/>
              <w:jc w:val="left"/>
              <w:rPr>
                <w:rFonts w:ascii="宋体" w:hAnsi="宋体" w:cs="宋体" w:eastAsia="宋体" w:hint="default"/>
                <w:sz w:val="21"/>
                <w:szCs w:val="21"/>
              </w:rPr>
            </w:pPr>
            <w:r>
              <w:rPr>
                <w:rFonts w:ascii="宋体" w:hAnsi="宋体" w:cs="宋体" w:eastAsia="宋体" w:hint="default"/>
                <w:sz w:val="21"/>
                <w:szCs w:val="21"/>
              </w:rPr>
              <w:t>注册 地</w:t>
            </w:r>
          </w:p>
        </w:tc>
        <w:tc>
          <w:tcPr>
            <w:tcW w:w="668" w:type="dxa"/>
            <w:vMerge w:val="restart"/>
            <w:tcBorders>
              <w:top w:val="single" w:sz="4" w:space="0" w:color="000000"/>
              <w:left w:val="single" w:sz="4" w:space="0" w:color="000000"/>
              <w:right w:val="single" w:sz="4" w:space="0" w:color="000000"/>
            </w:tcBorders>
            <w:shd w:val="clear" w:color="auto" w:fill="DDDDDD"/>
          </w:tcPr>
          <w:p>
            <w:pPr>
              <w:pStyle w:val="TableParagraph"/>
              <w:spacing w:line="273" w:lineRule="auto" w:before="10"/>
              <w:ind w:left="224" w:right="12" w:hanging="210"/>
              <w:jc w:val="left"/>
              <w:rPr>
                <w:rFonts w:ascii="宋体" w:hAnsi="宋体" w:cs="宋体" w:eastAsia="宋体" w:hint="default"/>
                <w:sz w:val="21"/>
                <w:szCs w:val="21"/>
              </w:rPr>
            </w:pPr>
            <w:r>
              <w:rPr>
                <w:rFonts w:ascii="宋体" w:hAnsi="宋体" w:cs="宋体" w:eastAsia="宋体" w:hint="default"/>
                <w:sz w:val="21"/>
                <w:szCs w:val="21"/>
              </w:rPr>
              <w:t>业务性 质</w:t>
            </w:r>
          </w:p>
        </w:tc>
        <w:tc>
          <w:tcPr>
            <w:tcW w:w="1265" w:type="dxa"/>
            <w:gridSpan w:val="2"/>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87" w:lineRule="exact"/>
              <w:ind w:left="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持股比</w:t>
            </w:r>
            <w:r>
              <w:rPr>
                <w:rFonts w:ascii="宋体" w:hAnsi="宋体" w:cs="宋体" w:eastAsia="宋体" w:hint="default"/>
                <w:spacing w:val="-86"/>
                <w:sz w:val="21"/>
                <w:szCs w:val="21"/>
              </w:rPr>
              <w:t>例</w:t>
            </w:r>
            <w:r>
              <w:rPr>
                <w:rFonts w:ascii="宋体" w:hAnsi="宋体" w:cs="宋体" w:eastAsia="宋体" w:hint="default"/>
                <w:sz w:val="21"/>
                <w:szCs w:val="21"/>
              </w:rPr>
              <w:t>（</w:t>
            </w:r>
            <w:r>
              <w:rPr>
                <w:rFonts w:ascii="Times New Roman" w:hAnsi="Times New Roman" w:cs="Times New Roman" w:eastAsia="Times New Roman" w:hint="default"/>
                <w:sz w:val="21"/>
                <w:szCs w:val="21"/>
              </w:rPr>
              <w:t>%</w:t>
            </w:r>
          </w:p>
        </w:tc>
        <w:tc>
          <w:tcPr>
            <w:tcW w:w="1842" w:type="dxa"/>
            <w:vMerge w:val="restart"/>
            <w:tcBorders>
              <w:top w:val="single" w:sz="4" w:space="0" w:color="000000"/>
              <w:left w:val="single" w:sz="4" w:space="0" w:color="000000"/>
              <w:right w:val="single" w:sz="4" w:space="0" w:color="000000"/>
            </w:tcBorders>
            <w:shd w:val="clear" w:color="auto" w:fill="DDDDDD"/>
          </w:tcPr>
          <w:p>
            <w:pPr>
              <w:pStyle w:val="TableParagraph"/>
              <w:spacing w:line="219" w:lineRule="exact"/>
              <w:ind w:left="-119"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23" w:lineRule="exact"/>
              <w:ind w:left="601" w:right="0"/>
              <w:jc w:val="left"/>
              <w:rPr>
                <w:rFonts w:ascii="宋体" w:hAnsi="宋体" w:cs="宋体" w:eastAsia="宋体" w:hint="default"/>
                <w:sz w:val="21"/>
                <w:szCs w:val="21"/>
              </w:rPr>
            </w:pPr>
            <w:r>
              <w:rPr>
                <w:rFonts w:ascii="宋体" w:hAnsi="宋体" w:cs="宋体" w:eastAsia="宋体" w:hint="default"/>
                <w:sz w:val="21"/>
                <w:szCs w:val="21"/>
              </w:rPr>
              <w:t>投资方</w:t>
            </w:r>
          </w:p>
        </w:tc>
        <w:tc>
          <w:tcPr>
            <w:tcW w:w="1446" w:type="dxa"/>
            <w:vMerge w:val="restart"/>
            <w:tcBorders>
              <w:top w:val="single" w:sz="4" w:space="0" w:color="000000"/>
              <w:left w:val="single" w:sz="4" w:space="0" w:color="000000"/>
              <w:right w:val="single" w:sz="4" w:space="0" w:color="000000"/>
            </w:tcBorders>
            <w:shd w:val="clear" w:color="auto" w:fill="DDDDDD"/>
          </w:tcPr>
          <w:p>
            <w:pPr>
              <w:pStyle w:val="TableParagraph"/>
              <w:spacing w:line="273" w:lineRule="auto" w:before="10"/>
              <w:ind w:left="507" w:right="86" w:hanging="420"/>
              <w:jc w:val="left"/>
              <w:rPr>
                <w:rFonts w:ascii="宋体" w:hAnsi="宋体" w:cs="宋体" w:eastAsia="宋体" w:hint="default"/>
                <w:sz w:val="21"/>
                <w:szCs w:val="21"/>
              </w:rPr>
            </w:pPr>
            <w:r>
              <w:rPr>
                <w:rFonts w:ascii="宋体" w:hAnsi="宋体" w:cs="宋体" w:eastAsia="宋体" w:hint="default"/>
                <w:sz w:val="21"/>
                <w:szCs w:val="21"/>
              </w:rPr>
              <w:t>注册资本（万 元）</w:t>
            </w:r>
          </w:p>
        </w:tc>
        <w:tc>
          <w:tcPr>
            <w:tcW w:w="668" w:type="dxa"/>
            <w:vMerge w:val="restart"/>
            <w:tcBorders>
              <w:top w:val="single" w:sz="4" w:space="0" w:color="000000"/>
              <w:left w:val="single" w:sz="4" w:space="0" w:color="000000"/>
              <w:right w:val="single" w:sz="4" w:space="0" w:color="000000"/>
            </w:tcBorders>
            <w:shd w:val="clear" w:color="auto" w:fill="DDDDDD"/>
          </w:tcPr>
          <w:p>
            <w:pPr>
              <w:pStyle w:val="TableParagraph"/>
              <w:spacing w:line="273" w:lineRule="auto" w:before="10"/>
              <w:ind w:left="224" w:right="12" w:hanging="210"/>
              <w:jc w:val="left"/>
              <w:rPr>
                <w:rFonts w:ascii="宋体" w:hAnsi="宋体" w:cs="宋体" w:eastAsia="宋体" w:hint="default"/>
                <w:sz w:val="21"/>
                <w:szCs w:val="21"/>
              </w:rPr>
            </w:pPr>
            <w:r>
              <w:rPr>
                <w:rFonts w:ascii="宋体" w:hAnsi="宋体" w:cs="宋体" w:eastAsia="宋体" w:hint="default"/>
                <w:sz w:val="21"/>
                <w:szCs w:val="21"/>
              </w:rPr>
              <w:t>取得方 式</w:t>
            </w:r>
          </w:p>
        </w:tc>
      </w:tr>
      <w:tr>
        <w:trPr>
          <w:trHeight w:val="342" w:hRule="exact"/>
        </w:trPr>
        <w:tc>
          <w:tcPr>
            <w:tcW w:w="2428" w:type="dxa"/>
            <w:vMerge/>
            <w:tcBorders>
              <w:left w:val="single" w:sz="4" w:space="0" w:color="000000"/>
              <w:bottom w:val="single" w:sz="4" w:space="0" w:color="000000"/>
              <w:right w:val="single" w:sz="4" w:space="0" w:color="000000"/>
            </w:tcBorders>
            <w:shd w:val="clear" w:color="auto" w:fill="DDDDDD"/>
          </w:tcPr>
          <w:p>
            <w:pPr/>
          </w:p>
        </w:tc>
        <w:tc>
          <w:tcPr>
            <w:tcW w:w="817" w:type="dxa"/>
            <w:vMerge/>
            <w:tcBorders>
              <w:left w:val="single" w:sz="4" w:space="0" w:color="000000"/>
              <w:bottom w:val="single" w:sz="4" w:space="0" w:color="000000"/>
              <w:right w:val="single" w:sz="4" w:space="0" w:color="000000"/>
            </w:tcBorders>
            <w:shd w:val="clear" w:color="auto" w:fill="DDDDDD"/>
          </w:tcPr>
          <w:p>
            <w:pPr/>
          </w:p>
        </w:tc>
        <w:tc>
          <w:tcPr>
            <w:tcW w:w="523" w:type="dxa"/>
            <w:vMerge/>
            <w:tcBorders>
              <w:left w:val="single" w:sz="4" w:space="0" w:color="000000"/>
              <w:bottom w:val="single" w:sz="4" w:space="0" w:color="000000"/>
              <w:right w:val="single" w:sz="4" w:space="0" w:color="000000"/>
            </w:tcBorders>
            <w:shd w:val="clear" w:color="auto" w:fill="DDDDDD"/>
          </w:tcPr>
          <w:p>
            <w:pPr/>
          </w:p>
        </w:tc>
        <w:tc>
          <w:tcPr>
            <w:tcW w:w="668" w:type="dxa"/>
            <w:vMerge/>
            <w:tcBorders>
              <w:left w:val="single" w:sz="4" w:space="0" w:color="000000"/>
              <w:bottom w:val="single" w:sz="4" w:space="0" w:color="000000"/>
              <w:right w:val="single" w:sz="4" w:space="0" w:color="000000"/>
            </w:tcBorders>
            <w:shd w:val="clear" w:color="auto" w:fill="DDDDDD"/>
          </w:tcPr>
          <w:p>
            <w:pPr/>
          </w:p>
        </w:tc>
        <w:tc>
          <w:tcPr>
            <w:tcW w:w="76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1" w:lineRule="exact"/>
              <w:ind w:left="168" w:right="0"/>
              <w:jc w:val="left"/>
              <w:rPr>
                <w:rFonts w:ascii="宋体" w:hAnsi="宋体" w:cs="宋体" w:eastAsia="宋体" w:hint="default"/>
                <w:sz w:val="21"/>
                <w:szCs w:val="21"/>
              </w:rPr>
            </w:pPr>
            <w:r>
              <w:rPr>
                <w:rFonts w:ascii="宋体" w:hAnsi="宋体" w:cs="宋体" w:eastAsia="宋体" w:hint="default"/>
                <w:sz w:val="21"/>
                <w:szCs w:val="21"/>
              </w:rPr>
              <w:t>直接</w:t>
            </w:r>
          </w:p>
        </w:tc>
        <w:tc>
          <w:tcPr>
            <w:tcW w:w="499"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1" w:lineRule="exact"/>
              <w:ind w:left="34" w:right="0"/>
              <w:jc w:val="left"/>
              <w:rPr>
                <w:rFonts w:ascii="宋体" w:hAnsi="宋体" w:cs="宋体" w:eastAsia="宋体" w:hint="default"/>
                <w:sz w:val="21"/>
                <w:szCs w:val="21"/>
              </w:rPr>
            </w:pPr>
            <w:r>
              <w:rPr>
                <w:rFonts w:ascii="宋体" w:hAnsi="宋体" w:cs="宋体" w:eastAsia="宋体" w:hint="default"/>
                <w:sz w:val="21"/>
                <w:szCs w:val="21"/>
              </w:rPr>
              <w:t>间接</w:t>
            </w:r>
          </w:p>
        </w:tc>
        <w:tc>
          <w:tcPr>
            <w:tcW w:w="1842" w:type="dxa"/>
            <w:vMerge/>
            <w:tcBorders>
              <w:left w:val="single" w:sz="4" w:space="0" w:color="000000"/>
              <w:bottom w:val="single" w:sz="4" w:space="0" w:color="000000"/>
              <w:right w:val="single" w:sz="4" w:space="0" w:color="000000"/>
            </w:tcBorders>
            <w:shd w:val="clear" w:color="auto" w:fill="DDDDDD"/>
          </w:tcPr>
          <w:p>
            <w:pPr/>
          </w:p>
        </w:tc>
        <w:tc>
          <w:tcPr>
            <w:tcW w:w="1446" w:type="dxa"/>
            <w:vMerge/>
            <w:tcBorders>
              <w:left w:val="single" w:sz="4" w:space="0" w:color="000000"/>
              <w:bottom w:val="single" w:sz="4" w:space="0" w:color="000000"/>
              <w:right w:val="single" w:sz="4" w:space="0" w:color="000000"/>
            </w:tcBorders>
            <w:shd w:val="clear" w:color="auto" w:fill="DDDDDD"/>
          </w:tcPr>
          <w:p>
            <w:pPr/>
          </w:p>
        </w:tc>
        <w:tc>
          <w:tcPr>
            <w:tcW w:w="668" w:type="dxa"/>
            <w:vMerge/>
            <w:tcBorders>
              <w:left w:val="single" w:sz="4" w:space="0" w:color="000000"/>
              <w:bottom w:val="single" w:sz="4" w:space="0" w:color="000000"/>
              <w:right w:val="single" w:sz="4" w:space="0" w:color="000000"/>
            </w:tcBorders>
            <w:shd w:val="clear" w:color="auto" w:fill="DDDDDD"/>
          </w:tcPr>
          <w:p>
            <w:pPr/>
          </w:p>
        </w:tc>
      </w:tr>
      <w:tr>
        <w:trPr>
          <w:trHeight w:val="654" w:hRule="exact"/>
        </w:trPr>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01"/>
              <w:jc w:val="left"/>
              <w:rPr>
                <w:rFonts w:ascii="宋体" w:hAnsi="宋体" w:cs="宋体" w:eastAsia="宋体" w:hint="default"/>
                <w:sz w:val="21"/>
                <w:szCs w:val="21"/>
              </w:rPr>
            </w:pPr>
            <w:r>
              <w:rPr>
                <w:rFonts w:ascii="宋体" w:hAnsi="宋体" w:cs="宋体" w:eastAsia="宋体" w:hint="default"/>
                <w:sz w:val="21"/>
                <w:szCs w:val="21"/>
              </w:rPr>
              <w:t>杭州华泰一媒文化传媒有 限公司</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51.00</w:t>
            </w:r>
          </w:p>
        </w:tc>
        <w:tc>
          <w:tcPr>
            <w:tcW w:w="49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 w:right="144"/>
              <w:jc w:val="left"/>
              <w:rPr>
                <w:rFonts w:ascii="宋体" w:hAnsi="宋体" w:cs="宋体" w:eastAsia="宋体" w:hint="default"/>
                <w:sz w:val="21"/>
                <w:szCs w:val="21"/>
              </w:rPr>
            </w:pPr>
            <w:r>
              <w:rPr>
                <w:rFonts w:ascii="宋体" w:hAnsi="宋体" w:cs="宋体" w:eastAsia="宋体" w:hint="default"/>
                <w:sz w:val="21"/>
                <w:szCs w:val="21"/>
              </w:rPr>
              <w:t>浙江华媒控股股份 有限公司</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4"/>
              <w:jc w:val="right"/>
              <w:rPr>
                <w:rFonts w:ascii="Times New Roman" w:hAnsi="Times New Roman" w:cs="Times New Roman" w:eastAsia="Times New Roman" w:hint="default"/>
                <w:sz w:val="21"/>
                <w:szCs w:val="21"/>
              </w:rPr>
            </w:pPr>
            <w:r>
              <w:rPr>
                <w:rFonts w:ascii="Times New Roman"/>
                <w:spacing w:val="-1"/>
                <w:sz w:val="21"/>
              </w:rPr>
              <w:t>1,000.00</w:t>
            </w:r>
            <w:r>
              <w:rPr>
                <w:rFonts w:ascii="Times New Roman"/>
                <w:sz w:val="21"/>
              </w:rPr>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22"/>
              <w:jc w:val="left"/>
              <w:rPr>
                <w:rFonts w:ascii="宋体" w:hAnsi="宋体" w:cs="宋体" w:eastAsia="宋体" w:hint="default"/>
                <w:sz w:val="21"/>
                <w:szCs w:val="21"/>
              </w:rPr>
            </w:pPr>
            <w:r>
              <w:rPr>
                <w:rFonts w:ascii="宋体" w:hAnsi="宋体" w:cs="宋体" w:eastAsia="宋体" w:hint="default"/>
                <w:sz w:val="21"/>
                <w:szCs w:val="21"/>
              </w:rPr>
              <w:t>投资设 立</w:t>
            </w:r>
          </w:p>
        </w:tc>
      </w:tr>
      <w:tr>
        <w:trPr>
          <w:trHeight w:val="654" w:hRule="exact"/>
        </w:trPr>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 w:right="0"/>
              <w:jc w:val="left"/>
              <w:rPr>
                <w:rFonts w:ascii="宋体" w:hAnsi="宋体" w:cs="宋体" w:eastAsia="宋体" w:hint="default"/>
                <w:sz w:val="21"/>
                <w:szCs w:val="21"/>
              </w:rPr>
            </w:pPr>
            <w:r>
              <w:rPr>
                <w:rFonts w:ascii="宋体" w:hAnsi="宋体" w:cs="宋体" w:eastAsia="宋体" w:hint="default"/>
                <w:sz w:val="21"/>
                <w:szCs w:val="21"/>
              </w:rPr>
              <w:t>浙江华媒投资有限公司</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spacing w:val="-1"/>
                <w:sz w:val="21"/>
              </w:rPr>
              <w:t>100.00</w:t>
            </w:r>
          </w:p>
        </w:tc>
        <w:tc>
          <w:tcPr>
            <w:tcW w:w="49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 w:right="144"/>
              <w:jc w:val="left"/>
              <w:rPr>
                <w:rFonts w:ascii="宋体" w:hAnsi="宋体" w:cs="宋体" w:eastAsia="宋体" w:hint="default"/>
                <w:sz w:val="21"/>
                <w:szCs w:val="21"/>
              </w:rPr>
            </w:pPr>
            <w:r>
              <w:rPr>
                <w:rFonts w:ascii="宋体" w:hAnsi="宋体" w:cs="宋体" w:eastAsia="宋体" w:hint="default"/>
                <w:sz w:val="21"/>
                <w:szCs w:val="21"/>
              </w:rPr>
              <w:t>浙江华媒控股股份 有限公司</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spacing w:val="-1"/>
                <w:sz w:val="21"/>
              </w:rPr>
              <w:t>10,000.00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22"/>
              <w:jc w:val="left"/>
              <w:rPr>
                <w:rFonts w:ascii="宋体" w:hAnsi="宋体" w:cs="宋体" w:eastAsia="宋体" w:hint="default"/>
                <w:sz w:val="21"/>
                <w:szCs w:val="21"/>
              </w:rPr>
            </w:pPr>
            <w:r>
              <w:rPr>
                <w:rFonts w:ascii="宋体" w:hAnsi="宋体" w:cs="宋体" w:eastAsia="宋体" w:hint="default"/>
                <w:sz w:val="21"/>
                <w:szCs w:val="21"/>
              </w:rPr>
              <w:t>投资设 立</w:t>
            </w:r>
          </w:p>
        </w:tc>
      </w:tr>
      <w:tr>
        <w:trPr>
          <w:trHeight w:val="654" w:hRule="exact"/>
        </w:trPr>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01"/>
              <w:jc w:val="left"/>
              <w:rPr>
                <w:rFonts w:ascii="宋体" w:hAnsi="宋体" w:cs="宋体" w:eastAsia="宋体" w:hint="default"/>
                <w:sz w:val="21"/>
                <w:szCs w:val="21"/>
              </w:rPr>
            </w:pPr>
            <w:r>
              <w:rPr>
                <w:rFonts w:ascii="宋体" w:hAnsi="宋体" w:cs="宋体" w:eastAsia="宋体" w:hint="default"/>
                <w:sz w:val="21"/>
                <w:szCs w:val="21"/>
              </w:rPr>
              <w:t>浙江华媒信息传播有限公 司</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51.00</w:t>
            </w:r>
          </w:p>
        </w:tc>
        <w:tc>
          <w:tcPr>
            <w:tcW w:w="49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 w:right="144"/>
              <w:jc w:val="left"/>
              <w:rPr>
                <w:rFonts w:ascii="宋体" w:hAnsi="宋体" w:cs="宋体" w:eastAsia="宋体" w:hint="default"/>
                <w:sz w:val="21"/>
                <w:szCs w:val="21"/>
              </w:rPr>
            </w:pPr>
            <w:r>
              <w:rPr>
                <w:rFonts w:ascii="宋体" w:hAnsi="宋体" w:cs="宋体" w:eastAsia="宋体" w:hint="default"/>
                <w:sz w:val="21"/>
                <w:szCs w:val="21"/>
              </w:rPr>
              <w:t>浙江华媒控股股份 有限公司</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spacing w:val="-1"/>
                <w:sz w:val="21"/>
              </w:rPr>
              <w:t>10,000.00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22"/>
              <w:jc w:val="left"/>
              <w:rPr>
                <w:rFonts w:ascii="宋体" w:hAnsi="宋体" w:cs="宋体" w:eastAsia="宋体" w:hint="default"/>
                <w:sz w:val="21"/>
                <w:szCs w:val="21"/>
              </w:rPr>
            </w:pPr>
            <w:r>
              <w:rPr>
                <w:rFonts w:ascii="宋体" w:hAnsi="宋体" w:cs="宋体" w:eastAsia="宋体" w:hint="default"/>
                <w:sz w:val="21"/>
                <w:szCs w:val="21"/>
              </w:rPr>
              <w:t>投资设 立</w:t>
            </w:r>
          </w:p>
        </w:tc>
      </w:tr>
      <w:tr>
        <w:trPr>
          <w:trHeight w:val="654" w:hRule="exact"/>
        </w:trPr>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01"/>
              <w:jc w:val="left"/>
              <w:rPr>
                <w:rFonts w:ascii="宋体" w:hAnsi="宋体" w:cs="宋体" w:eastAsia="宋体" w:hint="default"/>
                <w:sz w:val="21"/>
                <w:szCs w:val="21"/>
              </w:rPr>
            </w:pPr>
            <w:r>
              <w:rPr>
                <w:rFonts w:ascii="宋体" w:hAnsi="宋体" w:cs="宋体" w:eastAsia="宋体" w:hint="default"/>
                <w:sz w:val="21"/>
                <w:szCs w:val="21"/>
              </w:rPr>
              <w:t>杭州都市快报教育文化创 意有限公司</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60.00</w:t>
            </w:r>
          </w:p>
        </w:tc>
        <w:tc>
          <w:tcPr>
            <w:tcW w:w="49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 w:right="144"/>
              <w:jc w:val="left"/>
              <w:rPr>
                <w:rFonts w:ascii="宋体" w:hAnsi="宋体" w:cs="宋体" w:eastAsia="宋体" w:hint="default"/>
                <w:sz w:val="21"/>
                <w:szCs w:val="21"/>
              </w:rPr>
            </w:pPr>
            <w:r>
              <w:rPr>
                <w:rFonts w:ascii="宋体" w:hAnsi="宋体" w:cs="宋体" w:eastAsia="宋体" w:hint="default"/>
                <w:sz w:val="21"/>
                <w:szCs w:val="21"/>
              </w:rPr>
              <w:t>浙江都市快报控股 有限公司</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100.00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22"/>
              <w:jc w:val="left"/>
              <w:rPr>
                <w:rFonts w:ascii="宋体" w:hAnsi="宋体" w:cs="宋体" w:eastAsia="宋体" w:hint="default"/>
                <w:sz w:val="21"/>
                <w:szCs w:val="21"/>
              </w:rPr>
            </w:pPr>
            <w:r>
              <w:rPr>
                <w:rFonts w:ascii="宋体" w:hAnsi="宋体" w:cs="宋体" w:eastAsia="宋体" w:hint="default"/>
                <w:sz w:val="21"/>
                <w:szCs w:val="21"/>
              </w:rPr>
              <w:t>投资设 立</w:t>
            </w:r>
          </w:p>
        </w:tc>
      </w:tr>
      <w:tr>
        <w:trPr>
          <w:trHeight w:val="654" w:hRule="exact"/>
        </w:trPr>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01"/>
              <w:jc w:val="left"/>
              <w:rPr>
                <w:rFonts w:ascii="宋体" w:hAnsi="宋体" w:cs="宋体" w:eastAsia="宋体" w:hint="default"/>
                <w:sz w:val="21"/>
                <w:szCs w:val="21"/>
              </w:rPr>
            </w:pPr>
            <w:r>
              <w:rPr>
                <w:rFonts w:ascii="宋体" w:hAnsi="宋体" w:cs="宋体" w:eastAsia="宋体" w:hint="default"/>
                <w:sz w:val="21"/>
                <w:szCs w:val="21"/>
              </w:rPr>
              <w:t>杭州日报华知投资有限公 司</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 w:right="0"/>
              <w:jc w:val="left"/>
              <w:rPr>
                <w:rFonts w:ascii="宋体" w:hAnsi="宋体" w:cs="宋体" w:eastAsia="宋体" w:hint="default"/>
                <w:sz w:val="21"/>
                <w:szCs w:val="21"/>
              </w:rPr>
            </w:pPr>
            <w:r>
              <w:rPr>
                <w:rFonts w:ascii="宋体" w:hAnsi="宋体" w:cs="宋体" w:eastAsia="宋体" w:hint="default"/>
                <w:sz w:val="21"/>
                <w:szCs w:val="21"/>
              </w:rPr>
              <w:t>余杭</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 w:right="0"/>
              <w:jc w:val="left"/>
              <w:rPr>
                <w:rFonts w:ascii="宋体" w:hAnsi="宋体" w:cs="宋体" w:eastAsia="宋体" w:hint="default"/>
                <w:sz w:val="21"/>
                <w:szCs w:val="21"/>
              </w:rPr>
            </w:pPr>
            <w:r>
              <w:rPr>
                <w:rFonts w:ascii="宋体" w:hAnsi="宋体" w:cs="宋体" w:eastAsia="宋体" w:hint="default"/>
                <w:sz w:val="21"/>
                <w:szCs w:val="21"/>
              </w:rPr>
              <w:t>余杭</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51.00</w:t>
            </w:r>
          </w:p>
        </w:tc>
        <w:tc>
          <w:tcPr>
            <w:tcW w:w="49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 w:right="144"/>
              <w:jc w:val="left"/>
              <w:rPr>
                <w:rFonts w:ascii="宋体" w:hAnsi="宋体" w:cs="宋体" w:eastAsia="宋体" w:hint="default"/>
                <w:sz w:val="21"/>
                <w:szCs w:val="21"/>
              </w:rPr>
            </w:pPr>
            <w:r>
              <w:rPr>
                <w:rFonts w:ascii="宋体" w:hAnsi="宋体" w:cs="宋体" w:eastAsia="宋体" w:hint="default"/>
                <w:sz w:val="21"/>
                <w:szCs w:val="21"/>
              </w:rPr>
              <w:t>杭州日报传媒有限 公司</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500.00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22"/>
              <w:jc w:val="left"/>
              <w:rPr>
                <w:rFonts w:ascii="宋体" w:hAnsi="宋体" w:cs="宋体" w:eastAsia="宋体" w:hint="default"/>
                <w:sz w:val="21"/>
                <w:szCs w:val="21"/>
              </w:rPr>
            </w:pPr>
            <w:r>
              <w:rPr>
                <w:rFonts w:ascii="宋体" w:hAnsi="宋体" w:cs="宋体" w:eastAsia="宋体" w:hint="default"/>
                <w:sz w:val="21"/>
                <w:szCs w:val="21"/>
              </w:rPr>
              <w:t>投资设 立</w:t>
            </w:r>
          </w:p>
        </w:tc>
      </w:tr>
      <w:tr>
        <w:trPr>
          <w:trHeight w:val="654" w:hRule="exact"/>
        </w:trPr>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01"/>
              <w:jc w:val="left"/>
              <w:rPr>
                <w:rFonts w:ascii="宋体" w:hAnsi="宋体" w:cs="宋体" w:eastAsia="宋体" w:hint="default"/>
                <w:sz w:val="21"/>
                <w:szCs w:val="21"/>
              </w:rPr>
            </w:pPr>
            <w:r>
              <w:rPr>
                <w:rFonts w:ascii="宋体" w:hAnsi="宋体" w:cs="宋体" w:eastAsia="宋体" w:hint="default"/>
                <w:sz w:val="21"/>
                <w:szCs w:val="21"/>
              </w:rPr>
              <w:t>杭州中韩德蔓特科技有限 公司</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 w:right="0"/>
              <w:jc w:val="left"/>
              <w:rPr>
                <w:rFonts w:ascii="宋体" w:hAnsi="宋体" w:cs="宋体" w:eastAsia="宋体" w:hint="default"/>
                <w:sz w:val="21"/>
                <w:szCs w:val="21"/>
              </w:rPr>
            </w:pPr>
            <w:r>
              <w:rPr>
                <w:rFonts w:ascii="宋体" w:hAnsi="宋体" w:cs="宋体" w:eastAsia="宋体" w:hint="default"/>
                <w:sz w:val="21"/>
                <w:szCs w:val="21"/>
              </w:rPr>
              <w:t>余杭</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 w:right="0"/>
              <w:jc w:val="left"/>
              <w:rPr>
                <w:rFonts w:ascii="宋体" w:hAnsi="宋体" w:cs="宋体" w:eastAsia="宋体" w:hint="default"/>
                <w:sz w:val="21"/>
                <w:szCs w:val="21"/>
              </w:rPr>
            </w:pPr>
            <w:r>
              <w:rPr>
                <w:rFonts w:ascii="宋体" w:hAnsi="宋体" w:cs="宋体" w:eastAsia="宋体" w:hint="default"/>
                <w:sz w:val="21"/>
                <w:szCs w:val="21"/>
              </w:rPr>
              <w:t>余杭</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70.00</w:t>
            </w:r>
          </w:p>
        </w:tc>
        <w:tc>
          <w:tcPr>
            <w:tcW w:w="49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 w:right="144"/>
              <w:jc w:val="left"/>
              <w:rPr>
                <w:rFonts w:ascii="宋体" w:hAnsi="宋体" w:cs="宋体" w:eastAsia="宋体" w:hint="default"/>
                <w:sz w:val="21"/>
                <w:szCs w:val="21"/>
              </w:rPr>
            </w:pPr>
            <w:r>
              <w:rPr>
                <w:rFonts w:ascii="宋体" w:hAnsi="宋体" w:cs="宋体" w:eastAsia="宋体" w:hint="default"/>
                <w:sz w:val="21"/>
                <w:szCs w:val="21"/>
              </w:rPr>
              <w:t>杭州日报传媒有限 公司</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100.00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22"/>
              <w:jc w:val="left"/>
              <w:rPr>
                <w:rFonts w:ascii="宋体" w:hAnsi="宋体" w:cs="宋体" w:eastAsia="宋体" w:hint="default"/>
                <w:sz w:val="21"/>
                <w:szCs w:val="21"/>
              </w:rPr>
            </w:pPr>
            <w:r>
              <w:rPr>
                <w:rFonts w:ascii="宋体" w:hAnsi="宋体" w:cs="宋体" w:eastAsia="宋体" w:hint="default"/>
                <w:sz w:val="21"/>
                <w:szCs w:val="21"/>
              </w:rPr>
              <w:t>投资设 立</w:t>
            </w:r>
          </w:p>
        </w:tc>
      </w:tr>
      <w:tr>
        <w:trPr>
          <w:trHeight w:val="654" w:hRule="exact"/>
        </w:trPr>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01"/>
              <w:jc w:val="left"/>
              <w:rPr>
                <w:rFonts w:ascii="宋体" w:hAnsi="宋体" w:cs="宋体" w:eastAsia="宋体" w:hint="default"/>
                <w:sz w:val="21"/>
                <w:szCs w:val="21"/>
              </w:rPr>
            </w:pPr>
            <w:r>
              <w:rPr>
                <w:rFonts w:ascii="宋体" w:hAnsi="宋体" w:cs="宋体" w:eastAsia="宋体" w:hint="default"/>
                <w:sz w:val="21"/>
                <w:szCs w:val="21"/>
              </w:rPr>
              <w:t>杭州都快投资管理有限公 司</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49.00</w:t>
            </w:r>
          </w:p>
        </w:tc>
        <w:tc>
          <w:tcPr>
            <w:tcW w:w="49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 w:right="144"/>
              <w:jc w:val="left"/>
              <w:rPr>
                <w:rFonts w:ascii="宋体" w:hAnsi="宋体" w:cs="宋体" w:eastAsia="宋体" w:hint="default"/>
                <w:sz w:val="21"/>
                <w:szCs w:val="21"/>
              </w:rPr>
            </w:pPr>
            <w:r>
              <w:rPr>
                <w:rFonts w:ascii="宋体" w:hAnsi="宋体" w:cs="宋体" w:eastAsia="宋体" w:hint="default"/>
                <w:sz w:val="21"/>
                <w:szCs w:val="21"/>
              </w:rPr>
              <w:t>浙江都市快报控股 有限公司</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spacing w:val="-1"/>
                <w:sz w:val="21"/>
              </w:rPr>
              <w:t>10.00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22"/>
              <w:jc w:val="left"/>
              <w:rPr>
                <w:rFonts w:ascii="宋体" w:hAnsi="宋体" w:cs="宋体" w:eastAsia="宋体" w:hint="default"/>
                <w:sz w:val="21"/>
                <w:szCs w:val="21"/>
              </w:rPr>
            </w:pPr>
            <w:r>
              <w:rPr>
                <w:rFonts w:ascii="宋体" w:hAnsi="宋体" w:cs="宋体" w:eastAsia="宋体" w:hint="default"/>
                <w:sz w:val="21"/>
                <w:szCs w:val="21"/>
              </w:rPr>
              <w:t>投资设 立</w:t>
            </w:r>
          </w:p>
        </w:tc>
      </w:tr>
      <w:tr>
        <w:trPr>
          <w:trHeight w:val="654" w:hRule="exact"/>
        </w:trPr>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101"/>
              <w:jc w:val="left"/>
              <w:rPr>
                <w:rFonts w:ascii="宋体" w:hAnsi="宋体" w:cs="宋体" w:eastAsia="宋体" w:hint="default"/>
                <w:sz w:val="21"/>
                <w:szCs w:val="21"/>
              </w:rPr>
            </w:pPr>
            <w:r>
              <w:rPr>
                <w:rFonts w:ascii="宋体" w:hAnsi="宋体" w:cs="宋体" w:eastAsia="宋体" w:hint="default"/>
                <w:sz w:val="21"/>
                <w:szCs w:val="21"/>
              </w:rPr>
              <w:t>杭州观盛文化传播有限公 司</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51.00</w:t>
            </w:r>
          </w:p>
        </w:tc>
        <w:tc>
          <w:tcPr>
            <w:tcW w:w="49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 w:right="144"/>
              <w:jc w:val="left"/>
              <w:rPr>
                <w:rFonts w:ascii="宋体" w:hAnsi="宋体" w:cs="宋体" w:eastAsia="宋体" w:hint="default"/>
                <w:sz w:val="21"/>
                <w:szCs w:val="21"/>
              </w:rPr>
            </w:pPr>
            <w:r>
              <w:rPr>
                <w:rFonts w:ascii="宋体" w:hAnsi="宋体" w:cs="宋体" w:eastAsia="宋体" w:hint="default"/>
                <w:sz w:val="21"/>
                <w:szCs w:val="21"/>
              </w:rPr>
              <w:t>杭州朗盛传媒有限 公司</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100.00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22"/>
              <w:jc w:val="left"/>
              <w:rPr>
                <w:rFonts w:ascii="宋体" w:hAnsi="宋体" w:cs="宋体" w:eastAsia="宋体" w:hint="default"/>
                <w:sz w:val="21"/>
                <w:szCs w:val="21"/>
              </w:rPr>
            </w:pPr>
            <w:r>
              <w:rPr>
                <w:rFonts w:ascii="宋体" w:hAnsi="宋体" w:cs="宋体" w:eastAsia="宋体" w:hint="default"/>
                <w:sz w:val="21"/>
                <w:szCs w:val="21"/>
              </w:rPr>
              <w:t>投资设 立</w:t>
            </w:r>
          </w:p>
        </w:tc>
      </w:tr>
      <w:tr>
        <w:trPr>
          <w:trHeight w:val="655" w:hRule="exact"/>
        </w:trPr>
        <w:tc>
          <w:tcPr>
            <w:tcW w:w="2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 w:right="0"/>
              <w:jc w:val="left"/>
              <w:rPr>
                <w:rFonts w:ascii="宋体" w:hAnsi="宋体" w:cs="宋体" w:eastAsia="宋体" w:hint="default"/>
                <w:sz w:val="21"/>
                <w:szCs w:val="21"/>
              </w:rPr>
            </w:pPr>
            <w:r>
              <w:rPr>
                <w:rFonts w:ascii="宋体" w:hAnsi="宋体" w:cs="宋体" w:eastAsia="宋体" w:hint="default"/>
                <w:sz w:val="21"/>
                <w:szCs w:val="21"/>
              </w:rPr>
              <w:t>杭州悦报传媒有限公司</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 w:right="0"/>
              <w:jc w:val="left"/>
              <w:rPr>
                <w:rFonts w:ascii="宋体" w:hAnsi="宋体" w:cs="宋体" w:eastAsia="宋体" w:hint="default"/>
                <w:sz w:val="21"/>
                <w:szCs w:val="21"/>
              </w:rPr>
            </w:pPr>
            <w:r>
              <w:rPr>
                <w:rFonts w:ascii="宋体" w:hAnsi="宋体" w:cs="宋体" w:eastAsia="宋体" w:hint="default"/>
                <w:sz w:val="21"/>
                <w:szCs w:val="21"/>
              </w:rPr>
              <w:t>杭州</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4"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90.00</w:t>
            </w:r>
          </w:p>
        </w:tc>
        <w:tc>
          <w:tcPr>
            <w:tcW w:w="499"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 w:right="144"/>
              <w:jc w:val="left"/>
              <w:rPr>
                <w:rFonts w:ascii="宋体" w:hAnsi="宋体" w:cs="宋体" w:eastAsia="宋体" w:hint="default"/>
                <w:sz w:val="21"/>
                <w:szCs w:val="21"/>
              </w:rPr>
            </w:pPr>
            <w:r>
              <w:rPr>
                <w:rFonts w:ascii="宋体" w:hAnsi="宋体" w:cs="宋体" w:eastAsia="宋体" w:hint="default"/>
                <w:sz w:val="21"/>
                <w:szCs w:val="21"/>
              </w:rPr>
              <w:t>杭州朗盛传媒有限 公司</w:t>
            </w:r>
          </w:p>
        </w:tc>
        <w:tc>
          <w:tcPr>
            <w:tcW w:w="1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spacing w:val="-1"/>
                <w:sz w:val="21"/>
              </w:rPr>
              <w:t>300.00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 w:right="22"/>
              <w:jc w:val="left"/>
              <w:rPr>
                <w:rFonts w:ascii="宋体" w:hAnsi="宋体" w:cs="宋体" w:eastAsia="宋体" w:hint="default"/>
                <w:sz w:val="21"/>
                <w:szCs w:val="21"/>
              </w:rPr>
            </w:pPr>
            <w:r>
              <w:rPr>
                <w:rFonts w:ascii="宋体" w:hAnsi="宋体" w:cs="宋体" w:eastAsia="宋体" w:hint="default"/>
                <w:sz w:val="21"/>
                <w:szCs w:val="21"/>
              </w:rPr>
              <w:t>投资设 立</w:t>
            </w:r>
          </w:p>
        </w:tc>
      </w:tr>
    </w:tbl>
    <w:p>
      <w:pPr>
        <w:spacing w:after="0" w:line="273" w:lineRule="auto"/>
        <w:jc w:val="left"/>
        <w:rPr>
          <w:rFonts w:ascii="宋体" w:hAnsi="宋体" w:cs="宋体" w:eastAsia="宋体" w:hint="default"/>
          <w:sz w:val="21"/>
          <w:szCs w:val="21"/>
        </w:rPr>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spacing w:line="487" w:lineRule="auto" w:before="35"/>
        <w:ind w:left="154" w:right="71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spacing w:before="83"/>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）企业集团的构成</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浙江都市快报控 股有限公司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杭州网络传媒有 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杭州日报传媒有 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杭州富阳日报传 媒有限公司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杭州萧山日报传 媒有限公司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杭州每日传媒有 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杭州日报报业集 团每日送电子商 务有限公司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杭州日报报业集 团盛元印务有限 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杭州余杭晨报传 媒有限公司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余杭</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余杭</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杭州都市周报传 媒有限公司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杭州华泰一媒文 化传媒有限公司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浙江华媒投资有 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浙江华媒信息传 播有限公司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杭州都健网络科 技有限公司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杭州快房传媒有 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杭州大快文化创 意有限公司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富阳</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富阳</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杭州都市快报教 育文化创意有限 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杭州云瞰科技有 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杭州休闲文化传 媒有限公司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杭州风景名胜传 媒有限公司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杭州房产传媒有 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杭州日报品牌策 划有限公司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余杭</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余杭</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杭州日报华知投 资有限公司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余杭</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余杭</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杭州中韩德蔓特 科技有限公司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余杭</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余杭</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杭州富阳网络传 媒有限公司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富阳</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富阳</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杭州萧山网络传 媒有限公司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萧山</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萧山</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浙江风盛传媒有 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杭州朗盛传媒有 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杭州观盛文化传 播有限公司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杭州悦报传媒有 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杭州萧滨每日送 发行有限公司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萧山</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萧山</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after="0" w:line="319" w:lineRule="auto"/>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杭州盛景科技有 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杭州盛友广告设 计有限公司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宁波盛发印务有 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上海盛元第高数 码图文影像有限 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杭州余杭晨报文 化创意有限公司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快点文化传播</w:t>
            </w:r>
          </w:p>
          <w:p>
            <w:pPr>
              <w:pStyle w:val="TableParagraph"/>
              <w:spacing w:line="319" w:lineRule="auto" w:before="76"/>
              <w:ind w:left="22" w:right="77"/>
              <w:jc w:val="left"/>
              <w:rPr>
                <w:rFonts w:ascii="宋体" w:hAnsi="宋体" w:cs="宋体" w:eastAsia="宋体" w:hint="default"/>
                <w:sz w:val="18"/>
                <w:szCs w:val="18"/>
              </w:rPr>
            </w:pPr>
            <w:r>
              <w:rPr>
                <w:rFonts w:ascii="宋体" w:hAnsi="宋体" w:cs="宋体" w:eastAsia="宋体" w:hint="default"/>
                <w:sz w:val="18"/>
                <w:szCs w:val="18"/>
              </w:rPr>
              <w:t>（上海）有限公 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深圳广和互联信 息有限公司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杭州都快投资管 理有限公司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line="360" w:lineRule="auto" w:before="51"/>
        <w:ind w:left="153" w:right="1931"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在子公司的持股比例不同于表决权比例的说明：无 持有半数或以下表决权但仍控制被投资单位、以及持有半数以上表决权但不控制被投资单位的依据：</w:t>
      </w:r>
    </w:p>
    <w:p>
      <w:pPr>
        <w:pStyle w:val="BodyText"/>
        <w:spacing w:line="312" w:lineRule="exact" w:before="6"/>
        <w:ind w:right="228" w:firstLine="480"/>
        <w:jc w:val="both"/>
      </w:pPr>
      <w:r>
        <w:rPr/>
        <w:t>注：</w:t>
      </w:r>
      <w:r>
        <w:rPr>
          <w:rFonts w:ascii="Times New Roman" w:hAnsi="Times New Roman" w:cs="Times New Roman" w:eastAsia="Times New Roman" w:hint="default"/>
        </w:rPr>
        <w:t>A.</w:t>
      </w:r>
      <w:r>
        <w:rPr/>
        <w:t>本公司对杭州都快投资管理有限公司持股比例为</w:t>
      </w:r>
      <w:r>
        <w:rPr>
          <w:rFonts w:ascii="Times New Roman" w:hAnsi="Times New Roman" w:cs="Times New Roman" w:eastAsia="Times New Roman" w:hint="default"/>
        </w:rPr>
        <w:t>49.00%</w:t>
      </w:r>
      <w:r>
        <w:rPr/>
        <w:t>，且执行董事及总经理由 本公司派遣，所以对其相关活动实际持有半数以上的表决权，因此对杭州都快投资管理有限</w:t>
      </w:r>
      <w:r>
        <w:rPr>
          <w:spacing w:val="-83"/>
        </w:rPr>
        <w:t> </w:t>
      </w:r>
      <w:r>
        <w:rPr>
          <w:spacing w:val="-83"/>
        </w:rPr>
      </w:r>
      <w:r>
        <w:rPr/>
        <w:t>公司构成控制。</w:t>
      </w:r>
    </w:p>
    <w:p>
      <w:pPr>
        <w:pStyle w:val="BodyText"/>
        <w:spacing w:line="312" w:lineRule="exact"/>
        <w:ind w:left="154" w:right="231" w:firstLine="480"/>
        <w:jc w:val="both"/>
      </w:pPr>
      <w:r>
        <w:rPr>
          <w:rFonts w:ascii="Times New Roman" w:hAnsi="Times New Roman" w:cs="Times New Roman" w:eastAsia="Times New Roman" w:hint="default"/>
          <w:spacing w:val="-2"/>
        </w:rPr>
        <w:t>B.</w:t>
      </w:r>
      <w:r>
        <w:rPr>
          <w:spacing w:val="-2"/>
        </w:rPr>
        <w:t>本公司对上海盛元第高数码图文影像有限公司的持股比例为</w:t>
      </w:r>
      <w:r>
        <w:rPr>
          <w:rFonts w:ascii="Times New Roman" w:hAnsi="Times New Roman" w:cs="Times New Roman" w:eastAsia="Times New Roman" w:hint="default"/>
          <w:spacing w:val="-2"/>
        </w:rPr>
        <w:t>48.00%</w:t>
      </w:r>
      <w:r>
        <w:rPr>
          <w:spacing w:val="-2"/>
        </w:rPr>
        <w:t>，且董事会成员中</w:t>
      </w:r>
      <w:r>
        <w:rPr>
          <w:rFonts w:ascii="Times New Roman" w:hAnsi="Times New Roman" w:cs="Times New Roman" w:eastAsia="Times New Roman" w:hint="default"/>
          <w:spacing w:val="-2"/>
        </w:rPr>
        <w:t>5</w:t>
      </w:r>
      <w:r>
        <w:rPr>
          <w:rFonts w:ascii="Times New Roman" w:hAnsi="Times New Roman" w:cs="Times New Roman" w:eastAsia="Times New Roman" w:hint="default"/>
        </w:rPr>
        <w:t> </w:t>
      </w:r>
      <w:r>
        <w:rPr>
          <w:spacing w:val="-3"/>
        </w:rPr>
        <w:t>人，其中本公司派遣</w:t>
      </w:r>
      <w:r>
        <w:rPr>
          <w:rFonts w:ascii="Times New Roman" w:hAnsi="Times New Roman" w:cs="Times New Roman" w:eastAsia="Times New Roman" w:hint="default"/>
          <w:spacing w:val="-3"/>
        </w:rPr>
        <w:t>3</w:t>
      </w:r>
      <w:r>
        <w:rPr>
          <w:spacing w:val="-3"/>
        </w:rPr>
        <w:t>人，董事长和总经理均由本公司派遣，所以对其相关活动实际持有半数</w:t>
      </w:r>
      <w:r>
        <w:rPr>
          <w:spacing w:val="-81"/>
        </w:rPr>
        <w:t> </w:t>
      </w:r>
      <w:r>
        <w:rPr>
          <w:spacing w:val="-81"/>
        </w:rPr>
      </w:r>
      <w:r>
        <w:rPr/>
        <w:t>以上的表决权，因此对上海盛元第高数码图像有限公司构成控制。</w:t>
      </w:r>
    </w:p>
    <w:p>
      <w:pPr>
        <w:pStyle w:val="BodyText"/>
        <w:spacing w:line="312" w:lineRule="exact"/>
        <w:ind w:right="231" w:firstLine="480"/>
        <w:jc w:val="both"/>
      </w:pPr>
      <w:r>
        <w:rPr>
          <w:rFonts w:ascii="Times New Roman" w:hAnsi="Times New Roman" w:cs="Times New Roman" w:eastAsia="Times New Roman" w:hint="default"/>
          <w:spacing w:val="-2"/>
        </w:rPr>
        <w:t>C.</w:t>
      </w:r>
      <w:r>
        <w:rPr>
          <w:spacing w:val="-2"/>
        </w:rPr>
        <w:t>本公司对杭州云瞰科技有限公司持股比例为</w:t>
      </w:r>
      <w:r>
        <w:rPr>
          <w:rFonts w:ascii="Times New Roman" w:hAnsi="Times New Roman" w:cs="Times New Roman" w:eastAsia="Times New Roman" w:hint="default"/>
          <w:spacing w:val="-2"/>
        </w:rPr>
        <w:t>50.00%</w:t>
      </w:r>
      <w:r>
        <w:rPr>
          <w:spacing w:val="-2"/>
        </w:rPr>
        <w:t>，且董事会成员中</w:t>
      </w:r>
      <w:r>
        <w:rPr>
          <w:rFonts w:ascii="Times New Roman" w:hAnsi="Times New Roman" w:cs="Times New Roman" w:eastAsia="Times New Roman" w:hint="default"/>
          <w:spacing w:val="-2"/>
        </w:rPr>
        <w:t>5</w:t>
      </w:r>
      <w:r>
        <w:rPr>
          <w:spacing w:val="-2"/>
        </w:rPr>
        <w:t>人，其中本公司</w:t>
      </w:r>
      <w:r>
        <w:rPr/>
        <w:t> </w:t>
      </w:r>
      <w:r>
        <w:rPr>
          <w:spacing w:val="-3"/>
        </w:rPr>
        <w:t>派遣</w:t>
      </w:r>
      <w:r>
        <w:rPr>
          <w:rFonts w:ascii="Times New Roman" w:hAnsi="Times New Roman" w:cs="Times New Roman" w:eastAsia="Times New Roman" w:hint="default"/>
          <w:spacing w:val="-3"/>
        </w:rPr>
        <w:t>3</w:t>
      </w:r>
      <w:r>
        <w:rPr>
          <w:spacing w:val="-3"/>
        </w:rPr>
        <w:t>人，董事长由本公司派遣，所以对其相关活动实际持有半数以上的表决权，因此对杭州</w:t>
      </w:r>
      <w:r>
        <w:rPr>
          <w:spacing w:val="-81"/>
        </w:rPr>
        <w:t> </w:t>
      </w:r>
      <w:r>
        <w:rPr>
          <w:spacing w:val="-81"/>
        </w:rPr>
      </w:r>
      <w:r>
        <w:rPr/>
        <w:t>云瞰科技有限公司构成控制。</w:t>
      </w:r>
    </w:p>
    <w:p>
      <w:pPr>
        <w:pStyle w:val="BodyText"/>
        <w:spacing w:line="312" w:lineRule="exact"/>
        <w:ind w:right="231" w:firstLine="480"/>
        <w:jc w:val="both"/>
      </w:pPr>
      <w:r>
        <w:rPr>
          <w:rFonts w:ascii="Times New Roman" w:hAnsi="Times New Roman" w:cs="Times New Roman" w:eastAsia="Times New Roman" w:hint="default"/>
          <w:spacing w:val="-3"/>
        </w:rPr>
        <w:t>D.</w:t>
      </w:r>
      <w:r>
        <w:rPr>
          <w:spacing w:val="-3"/>
        </w:rPr>
        <w:t>本公司对德清今日传媒有限公司持股比例为</w:t>
      </w:r>
      <w:r>
        <w:rPr>
          <w:rFonts w:ascii="Times New Roman" w:hAnsi="Times New Roman" w:cs="Times New Roman" w:eastAsia="Times New Roman" w:hint="default"/>
          <w:spacing w:val="-3"/>
        </w:rPr>
        <w:t>50.00%</w:t>
      </w:r>
      <w:r>
        <w:rPr>
          <w:spacing w:val="-3"/>
        </w:rPr>
        <w:t>，且董事会成员中</w:t>
      </w:r>
      <w:r>
        <w:rPr>
          <w:rFonts w:ascii="Times New Roman" w:hAnsi="Times New Roman" w:cs="Times New Roman" w:eastAsia="Times New Roman" w:hint="default"/>
          <w:spacing w:val="-3"/>
        </w:rPr>
        <w:t>3</w:t>
      </w:r>
      <w:r>
        <w:rPr>
          <w:spacing w:val="-3"/>
        </w:rPr>
        <w:t>人，其中本公司</w:t>
      </w:r>
      <w:r>
        <w:rPr/>
        <w:t> </w:t>
      </w:r>
      <w:r>
        <w:rPr>
          <w:spacing w:val="-3"/>
        </w:rPr>
        <w:t>派遣</w:t>
      </w:r>
      <w:r>
        <w:rPr>
          <w:rFonts w:ascii="Times New Roman" w:hAnsi="Times New Roman" w:cs="Times New Roman" w:eastAsia="Times New Roman" w:hint="default"/>
          <w:spacing w:val="-3"/>
        </w:rPr>
        <w:t>2</w:t>
      </w:r>
      <w:r>
        <w:rPr>
          <w:spacing w:val="-3"/>
        </w:rPr>
        <w:t>人，总经理由对方公司派遣，由于该公司重大经营决策需要股东双方共同同意，因此对</w:t>
      </w:r>
      <w:r>
        <w:rPr>
          <w:spacing w:val="-81"/>
        </w:rPr>
        <w:t> </w:t>
      </w:r>
      <w:r>
        <w:rPr>
          <w:spacing w:val="-81"/>
        </w:rPr>
      </w:r>
      <w:r>
        <w:rPr/>
        <w:t>德清今日传媒有限公司不构成控制。</w:t>
      </w:r>
    </w:p>
    <w:p>
      <w:pPr>
        <w:pStyle w:val="BodyText"/>
        <w:spacing w:line="312" w:lineRule="exact"/>
        <w:ind w:right="93" w:firstLine="480"/>
        <w:jc w:val="left"/>
      </w:pPr>
      <w:r>
        <w:rPr>
          <w:rFonts w:ascii="Times New Roman" w:hAnsi="Times New Roman" w:cs="Times New Roman" w:eastAsia="Times New Roman" w:hint="default"/>
        </w:rPr>
        <w:t>E.</w:t>
      </w:r>
      <w:r>
        <w:rPr/>
        <w:t>本公司对浙江华媒金晟文化产业投资管理有限公司持股比例为</w:t>
      </w:r>
      <w:r>
        <w:rPr>
          <w:rFonts w:ascii="Times New Roman" w:hAnsi="Times New Roman" w:cs="Times New Roman" w:eastAsia="Times New Roman" w:hint="default"/>
        </w:rPr>
        <w:t>50.00%</w:t>
      </w:r>
      <w:r>
        <w:rPr/>
        <w:t>，由于该公司重</w:t>
      </w:r>
      <w:r>
        <w:rPr>
          <w:spacing w:val="1"/>
        </w:rPr>
        <w:t> </w:t>
      </w:r>
      <w:r>
        <w:rPr>
          <w:spacing w:val="-2"/>
        </w:rPr>
        <w:t>大事项须由全体股东一致通过，因此对浙江华媒金晟文化产业投资管理有限公司不构成控制。</w:t>
      </w:r>
    </w:p>
    <w:p>
      <w:pPr>
        <w:spacing w:after="0" w:line="312" w:lineRule="exact"/>
        <w:jc w:val="left"/>
        <w:sectPr>
          <w:pgSz w:w="11910" w:h="16840"/>
          <w:pgMar w:header="877" w:footer="982" w:top="1100" w:bottom="1180" w:left="980" w:right="90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）重要的非全资子公司</w:t>
      </w:r>
      <w:r>
        <w:rPr>
          <w:rFonts w:ascii="宋体" w:hAnsi="宋体" w:cs="宋体" w:eastAsia="宋体" w:hint="default"/>
          <w:sz w:val="21"/>
          <w:szCs w:val="21"/>
        </w:rPr>
      </w:r>
    </w:p>
    <w:p>
      <w:pPr>
        <w:spacing w:line="240" w:lineRule="auto" w:before="1"/>
        <w:rPr>
          <w:rFonts w:ascii="宋体" w:hAnsi="宋体" w:cs="宋体" w:eastAsia="宋体" w:hint="default"/>
          <w:b/>
          <w:bCs/>
          <w:sz w:val="12"/>
          <w:szCs w:val="12"/>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04"/>
        <w:gridCol w:w="1926"/>
        <w:gridCol w:w="1914"/>
        <w:gridCol w:w="1913"/>
        <w:gridCol w:w="1913"/>
      </w:tblGrid>
      <w:tr>
        <w:trPr>
          <w:trHeight w:val="764" w:hRule="exact"/>
        </w:trPr>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6"/>
              <w:ind w:left="591" w:right="49"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杭州余杭晨报传媒有限 公司</w:t>
            </w:r>
          </w:p>
        </w:tc>
        <w:tc>
          <w:tcPr>
            <w:tcW w:w="192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7,513,090.58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43,358,358.90</w:t>
            </w:r>
          </w:p>
        </w:tc>
      </w:tr>
      <w:tr>
        <w:trPr>
          <w:trHeight w:val="714" w:hRule="exact"/>
        </w:trPr>
        <w:tc>
          <w:tcPr>
            <w:tcW w:w="19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杭州都市周报传媒有限 公司</w:t>
            </w:r>
          </w:p>
        </w:tc>
        <w:tc>
          <w:tcPr>
            <w:tcW w:w="192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-215,533.16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252,305.54</w:t>
            </w:r>
          </w:p>
        </w:tc>
      </w:tr>
      <w:tr>
        <w:trPr>
          <w:trHeight w:val="714" w:hRule="exact"/>
        </w:trPr>
        <w:tc>
          <w:tcPr>
            <w:tcW w:w="19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杭州华泰一媒文化传媒 有限公司</w:t>
            </w:r>
          </w:p>
        </w:tc>
        <w:tc>
          <w:tcPr>
            <w:tcW w:w="192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-174,553.25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4,725,446.75</w:t>
            </w:r>
          </w:p>
        </w:tc>
      </w:tr>
      <w:tr>
        <w:trPr>
          <w:trHeight w:val="714" w:hRule="exact"/>
        </w:trPr>
        <w:tc>
          <w:tcPr>
            <w:tcW w:w="19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浙江华媒信息传播有限 公司</w:t>
            </w:r>
          </w:p>
        </w:tc>
        <w:tc>
          <w:tcPr>
            <w:tcW w:w="192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24,991.33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34,324,991.33</w:t>
            </w:r>
          </w:p>
        </w:tc>
      </w:tr>
      <w:tr>
        <w:trPr>
          <w:trHeight w:val="714" w:hRule="exact"/>
        </w:trPr>
        <w:tc>
          <w:tcPr>
            <w:tcW w:w="19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快点文化传播（上海） 有限公司</w:t>
            </w:r>
          </w:p>
        </w:tc>
        <w:tc>
          <w:tcPr>
            <w:tcW w:w="192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12,913,040.38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44,284,338.97</w:t>
            </w: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47"/>
              <w:jc w:val="center"/>
              <w:rPr>
                <w:rFonts w:ascii="宋体" w:hAnsi="宋体" w:cs="宋体" w:eastAsia="宋体" w:hint="default"/>
                <w:sz w:val="18"/>
                <w:szCs w:val="18"/>
              </w:rPr>
            </w:pPr>
            <w:r>
              <w:rPr>
                <w:rFonts w:ascii="宋体" w:hAnsi="宋体" w:cs="宋体" w:eastAsia="宋体" w:hint="default"/>
                <w:sz w:val="18"/>
                <w:szCs w:val="18"/>
              </w:rPr>
              <w:t>杭州快房传媒有限公司</w:t>
            </w:r>
          </w:p>
        </w:tc>
        <w:tc>
          <w:tcPr>
            <w:tcW w:w="1926" w:type="dxa"/>
            <w:tcBorders>
              <w:top w:val="single" w:sz="4" w:space="0" w:color="000000"/>
              <w:left w:val="single" w:sz="10"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6,993,159.15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12,631,041.28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子公司少数股东的持股比例不同于表决权比例的说明：无</w:t>
      </w:r>
    </w:p>
    <w:p>
      <w:pPr>
        <w:spacing w:after="0"/>
        <w:jc w:val="left"/>
        <w:rPr>
          <w:rFonts w:ascii="宋体" w:hAnsi="宋体" w:cs="宋体" w:eastAsia="宋体" w:hint="default"/>
          <w:sz w:val="18"/>
          <w:szCs w:val="18"/>
        </w:rPr>
        <w:sectPr>
          <w:pgSz w:w="11910" w:h="16840"/>
          <w:pgMar w:header="877" w:footer="982" w:top="1100" w:bottom="1180" w:left="980" w:right="980"/>
        </w:sectPr>
      </w:pPr>
    </w:p>
    <w:p>
      <w:pPr>
        <w:spacing w:line="240" w:lineRule="auto" w:before="2"/>
        <w:rPr>
          <w:rFonts w:ascii="宋体" w:hAnsi="宋体" w:cs="宋体" w:eastAsia="宋体" w:hint="default"/>
          <w:sz w:val="24"/>
          <w:szCs w:val="24"/>
        </w:rPr>
      </w:pPr>
    </w:p>
    <w:p>
      <w:pPr>
        <w:spacing w:before="0"/>
        <w:ind w:left="139" w:right="0" w:firstLine="0"/>
        <w:jc w:val="left"/>
        <w:rPr>
          <w:rFonts w:ascii="宋体" w:hAnsi="宋体" w:cs="宋体" w:eastAsia="宋体" w:hint="default"/>
          <w:sz w:val="21"/>
          <w:szCs w:val="21"/>
        </w:rPr>
      </w:pPr>
      <w:r>
        <w:rPr/>
        <w:pict>
          <v:group style="position:absolute;margin-left:70.490997pt;margin-top:-.396357pt;width:700.95pt;height:.1pt;mso-position-horizontal-relative:page;mso-position-vertical-relative:paragraph;z-index:2224" coordorigin="1410,-8" coordsize="14019,2">
            <v:shape style="position:absolute;left:1410;top:-8;width:14019;height:2" coordorigin="1410,-8" coordsize="14019,0" path="m1410,-8l15428,-8e" filled="false" stroked="true" strokeweight=".72pt" strokecolor="#000000">
              <v:path arrowok="t"/>
            </v:shape>
            <w10:wrap type="none"/>
          </v:group>
        </w:pict>
      </w:r>
      <w:r>
        <w:rPr>
          <w:rFonts w:ascii="宋体" w:hAnsi="宋体" w:cs="宋体" w:eastAsia="宋体" w:hint="default"/>
          <w:b/>
          <w:bCs/>
          <w:w w:val="95"/>
          <w:sz w:val="21"/>
          <w:szCs w:val="21"/>
        </w:rPr>
        <w:t>（</w:t>
      </w:r>
      <w:r>
        <w:rPr>
          <w:rFonts w:ascii="Times New Roman" w:hAnsi="Times New Roman" w:cs="Times New Roman" w:eastAsia="Times New Roman" w:hint="default"/>
          <w:b/>
          <w:bCs/>
          <w:w w:val="95"/>
          <w:sz w:val="21"/>
          <w:szCs w:val="21"/>
        </w:rPr>
        <w:t>3</w:t>
      </w:r>
      <w:r>
        <w:rPr>
          <w:rFonts w:ascii="宋体" w:hAnsi="宋体" w:cs="宋体" w:eastAsia="宋体" w:hint="default"/>
          <w:b/>
          <w:bCs/>
          <w:w w:val="95"/>
          <w:sz w:val="21"/>
          <w:szCs w:val="21"/>
        </w:rPr>
        <w:t>）重要非全资子公司的主要财务信息</w:t>
      </w:r>
      <w:r>
        <w:rPr>
          <w:rFonts w:ascii="宋体" w:hAnsi="宋体" w:cs="宋体" w:eastAsia="宋体" w:hint="default"/>
          <w:sz w:val="21"/>
          <w:szCs w:val="21"/>
        </w:rPr>
      </w:r>
    </w:p>
    <w:p>
      <w:pPr>
        <w:spacing w:before="17"/>
        <w:ind w:left="13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浙江华媒控股股份有限公司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after="0"/>
        <w:jc w:val="left"/>
        <w:rPr>
          <w:rFonts w:ascii="宋体" w:hAnsi="宋体" w:cs="宋体" w:eastAsia="宋体" w:hint="default"/>
          <w:sz w:val="18"/>
          <w:szCs w:val="18"/>
        </w:rPr>
        <w:sectPr>
          <w:headerReference w:type="default" r:id="rId39"/>
          <w:footerReference w:type="default" r:id="rId40"/>
          <w:pgSz w:w="16840" w:h="11910" w:orient="landscape"/>
          <w:pgMar w:header="0" w:footer="0" w:top="800" w:bottom="280" w:left="1300" w:right="1300"/>
          <w:cols w:num="2" w:equalWidth="0">
            <w:col w:w="3828" w:space="6262"/>
            <w:col w:w="4150"/>
          </w:cols>
        </w:sectPr>
      </w:pPr>
    </w:p>
    <w:p>
      <w:pPr>
        <w:spacing w:line="240" w:lineRule="auto" w:before="3"/>
        <w:rPr>
          <w:rFonts w:ascii="宋体" w:hAnsi="宋体" w:cs="宋体" w:eastAsia="宋体" w:hint="default"/>
          <w:sz w:val="23"/>
          <w:szCs w:val="23"/>
        </w:rPr>
      </w:pPr>
    </w:p>
    <w:p>
      <w:pPr>
        <w:spacing w:before="44"/>
        <w:ind w:left="0" w:right="139" w:firstLine="0"/>
        <w:jc w:val="right"/>
        <w:rPr>
          <w:rFonts w:ascii="宋体" w:hAnsi="宋体" w:cs="宋体" w:eastAsia="宋体" w:hint="default"/>
          <w:sz w:val="18"/>
          <w:szCs w:val="18"/>
        </w:rPr>
      </w:pPr>
      <w:r>
        <w:rPr/>
        <w:pict>
          <v:group style="position:absolute;margin-left:414.770996pt;margin-top:32.211727pt;width:54.1pt;height:18pt;mso-position-horizontal-relative:page;mso-position-vertical-relative:paragraph;z-index:-1259536" coordorigin="8295,644" coordsize="1082,360">
            <v:shape style="position:absolute;left:8295;top:644;width:1082;height:360" coordorigin="8295,644" coordsize="1082,360" path="m9377,764l9377,644,8295,644,8656,764,9377,764xe" filled="true" fillcolor="#d3d3d3" stroked="false">
              <v:path arrowok="t"/>
              <v:fill type="solid"/>
            </v:shape>
            <v:shape style="position:absolute;left:8295;top:644;width:1082;height:360" coordorigin="8295,644" coordsize="1082,360" path="m9354,1004l9354,997,8656,764,8318,764,8318,1004,9354,1004xe" filled="true" fillcolor="#d3d3d3" stroked="false">
              <v:path arrowok="t"/>
              <v:fill type="solid"/>
            </v:shape>
            <v:shape style="position:absolute;left:8295;top:644;width:1082;height:360" coordorigin="8295,644" coordsize="1082,360" path="m9377,1004l9377,764,9354,764,9354,997,9377,1004xe" filled="true" fillcolor="#d3d3d3" stroked="false">
              <v:path arrowok="t"/>
              <v:fill type="solid"/>
            </v:shape>
            <w10:wrap type="none"/>
          </v:group>
        </w:pict>
      </w: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07" w:type="dxa"/>
        <w:tblLayout w:type="fixed"/>
        <w:tblCellMar>
          <w:top w:w="0" w:type="dxa"/>
          <w:left w:w="0" w:type="dxa"/>
          <w:bottom w:w="0" w:type="dxa"/>
          <w:right w:w="0" w:type="dxa"/>
        </w:tblCellMar>
        <w:tblLook w:val="01E0"/>
      </w:tblPr>
      <w:tblGrid>
        <w:gridCol w:w="1746"/>
        <w:gridCol w:w="1181"/>
        <w:gridCol w:w="1001"/>
        <w:gridCol w:w="1181"/>
        <w:gridCol w:w="1091"/>
        <w:gridCol w:w="679"/>
        <w:gridCol w:w="1091"/>
        <w:gridCol w:w="1092"/>
        <w:gridCol w:w="1001"/>
        <w:gridCol w:w="1091"/>
        <w:gridCol w:w="1091"/>
        <w:gridCol w:w="679"/>
        <w:gridCol w:w="1091"/>
      </w:tblGrid>
      <w:tr>
        <w:trPr>
          <w:trHeight w:val="250" w:hRule="exact"/>
        </w:trPr>
        <w:tc>
          <w:tcPr>
            <w:tcW w:w="174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223"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04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18" w:lineRule="exact"/>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85" w:hRule="exact"/>
        </w:trPr>
        <w:tc>
          <w:tcPr>
            <w:tcW w:w="1746" w:type="dxa"/>
            <w:vMerge/>
            <w:tcBorders>
              <w:left w:val="single" w:sz="4" w:space="0" w:color="000000"/>
              <w:bottom w:val="single" w:sz="4" w:space="0" w:color="000000"/>
              <w:right w:val="single" w:sz="4" w:space="0" w:color="000000"/>
            </w:tcBorders>
            <w:shd w:val="clear" w:color="auto" w:fill="D3D3D3"/>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1"/>
              <w:ind w:left="22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0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1"/>
              <w:ind w:right="43"/>
              <w:jc w:val="right"/>
              <w:rPr>
                <w:rFonts w:ascii="宋体" w:hAnsi="宋体" w:cs="宋体" w:eastAsia="宋体" w:hint="default"/>
                <w:sz w:val="18"/>
                <w:szCs w:val="18"/>
              </w:rPr>
            </w:pPr>
            <w:r>
              <w:rPr>
                <w:rFonts w:ascii="宋体" w:hAnsi="宋体" w:cs="宋体" w:eastAsia="宋体" w:hint="default"/>
                <w:sz w:val="18"/>
                <w:szCs w:val="18"/>
              </w:rPr>
              <w:t>非流动资产</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1"/>
              <w:ind w:left="225"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1"/>
              <w:ind w:left="179"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6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54" w:right="62"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1"/>
              <w:ind w:left="179"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1"/>
              <w:ind w:left="18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0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1"/>
              <w:ind w:right="43"/>
              <w:jc w:val="right"/>
              <w:rPr>
                <w:rFonts w:ascii="宋体" w:hAnsi="宋体" w:cs="宋体" w:eastAsia="宋体" w:hint="default"/>
                <w:sz w:val="18"/>
                <w:szCs w:val="18"/>
              </w:rPr>
            </w:pPr>
            <w:r>
              <w:rPr>
                <w:rFonts w:ascii="宋体" w:hAnsi="宋体" w:cs="宋体" w:eastAsia="宋体" w:hint="default"/>
                <w:sz w:val="18"/>
                <w:szCs w:val="18"/>
              </w:rPr>
              <w:t>非流动资产</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1"/>
              <w:ind w:left="179"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1"/>
              <w:ind w:left="180"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6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exact"/>
              <w:ind w:left="153" w:right="65"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10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1"/>
              <w:ind w:right="1"/>
              <w:jc w:val="center"/>
              <w:rPr>
                <w:rFonts w:ascii="宋体" w:hAnsi="宋体" w:cs="宋体" w:eastAsia="宋体" w:hint="default"/>
                <w:sz w:val="18"/>
                <w:szCs w:val="18"/>
              </w:rPr>
            </w:pPr>
            <w:r>
              <w:rPr>
                <w:rFonts w:ascii="宋体" w:hAnsi="宋体" w:cs="宋体" w:eastAsia="宋体" w:hint="default"/>
                <w:sz w:val="18"/>
                <w:szCs w:val="18"/>
              </w:rPr>
              <w:t>负债合计</w:t>
            </w:r>
          </w:p>
        </w:tc>
      </w:tr>
      <w:tr>
        <w:trPr>
          <w:trHeight w:val="494" w:hRule="exact"/>
        </w:trPr>
        <w:tc>
          <w:tcPr>
            <w:tcW w:w="174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before="5"/>
              <w:ind w:left="22" w:right="91"/>
              <w:jc w:val="left"/>
              <w:rPr>
                <w:rFonts w:ascii="宋体" w:hAnsi="宋体" w:cs="宋体" w:eastAsia="宋体" w:hint="default"/>
                <w:sz w:val="18"/>
                <w:szCs w:val="18"/>
              </w:rPr>
            </w:pPr>
            <w:r>
              <w:rPr>
                <w:rFonts w:ascii="宋体" w:hAnsi="宋体" w:cs="宋体" w:eastAsia="宋体" w:hint="default"/>
                <w:sz w:val="18"/>
                <w:szCs w:val="18"/>
              </w:rPr>
              <w:t>杭州余杭晨报传媒有 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101,159,326.33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1,382,627.93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102,541,954.26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13,470,982.95</w:t>
            </w:r>
          </w:p>
        </w:tc>
        <w:tc>
          <w:tcPr>
            <w:tcW w:w="67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13,470,982.95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82,878,986.19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2,243,007.91</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85,121,994.10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11,403,094.47</w:t>
            </w:r>
          </w:p>
        </w:tc>
        <w:tc>
          <w:tcPr>
            <w:tcW w:w="67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8" w:right="0"/>
              <w:jc w:val="center"/>
              <w:rPr>
                <w:rFonts w:ascii="Times New Roman" w:hAnsi="Times New Roman" w:cs="Times New Roman" w:eastAsia="Times New Roman" w:hint="default"/>
                <w:sz w:val="18"/>
                <w:szCs w:val="18"/>
              </w:rPr>
            </w:pPr>
            <w:r>
              <w:rPr>
                <w:rFonts w:ascii="Times New Roman"/>
                <w:sz w:val="18"/>
              </w:rPr>
              <w:t>11,403,094.47</w:t>
            </w:r>
          </w:p>
        </w:tc>
      </w:tr>
      <w:tr>
        <w:trPr>
          <w:trHeight w:val="491" w:hRule="exact"/>
        </w:trPr>
        <w:tc>
          <w:tcPr>
            <w:tcW w:w="174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before="1"/>
              <w:ind w:left="22" w:right="91"/>
              <w:jc w:val="left"/>
              <w:rPr>
                <w:rFonts w:ascii="宋体" w:hAnsi="宋体" w:cs="宋体" w:eastAsia="宋体" w:hint="default"/>
                <w:sz w:val="18"/>
                <w:szCs w:val="18"/>
              </w:rPr>
            </w:pPr>
            <w:r>
              <w:rPr>
                <w:rFonts w:ascii="宋体" w:hAnsi="宋体" w:cs="宋体" w:eastAsia="宋体" w:hint="default"/>
                <w:sz w:val="18"/>
                <w:szCs w:val="18"/>
              </w:rPr>
              <w:t>杭州都市周报传媒有 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4,536,167.15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141,105.32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4,677,272.47</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3,415,744.76</w:t>
            </w:r>
          </w:p>
        </w:tc>
        <w:tc>
          <w:tcPr>
            <w:tcW w:w="67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3,415,744.76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7,897,867.23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179,486.33</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8,077,353.56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5,738,160.06</w:t>
            </w:r>
          </w:p>
        </w:tc>
        <w:tc>
          <w:tcPr>
            <w:tcW w:w="67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left="92" w:right="0"/>
              <w:jc w:val="center"/>
              <w:rPr>
                <w:rFonts w:ascii="Times New Roman" w:hAnsi="Times New Roman" w:cs="Times New Roman" w:eastAsia="Times New Roman" w:hint="default"/>
                <w:sz w:val="18"/>
                <w:szCs w:val="18"/>
              </w:rPr>
            </w:pPr>
            <w:r>
              <w:rPr>
                <w:rFonts w:ascii="Times New Roman"/>
                <w:sz w:val="18"/>
              </w:rPr>
              <w:t>5,738,160.06</w:t>
            </w:r>
          </w:p>
        </w:tc>
      </w:tr>
      <w:tr>
        <w:trPr>
          <w:trHeight w:val="490" w:hRule="exact"/>
        </w:trPr>
        <w:tc>
          <w:tcPr>
            <w:tcW w:w="174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2" w:right="91"/>
              <w:jc w:val="left"/>
              <w:rPr>
                <w:rFonts w:ascii="宋体" w:hAnsi="宋体" w:cs="宋体" w:eastAsia="宋体" w:hint="default"/>
                <w:sz w:val="18"/>
                <w:szCs w:val="18"/>
              </w:rPr>
            </w:pPr>
            <w:r>
              <w:rPr>
                <w:rFonts w:ascii="宋体" w:hAnsi="宋体" w:cs="宋体" w:eastAsia="宋体" w:hint="default"/>
                <w:sz w:val="18"/>
                <w:szCs w:val="18"/>
              </w:rPr>
              <w:t>杭州华泰一媒文化传 媒有限公司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9,372,938.73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342,058.57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9,714,997.30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71,228.43</w:t>
            </w:r>
          </w:p>
        </w:tc>
        <w:tc>
          <w:tcPr>
            <w:tcW w:w="67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71,228.43</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74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2" w:right="91"/>
              <w:jc w:val="left"/>
              <w:rPr>
                <w:rFonts w:ascii="宋体" w:hAnsi="宋体" w:cs="宋体" w:eastAsia="宋体" w:hint="default"/>
                <w:sz w:val="18"/>
                <w:szCs w:val="18"/>
              </w:rPr>
            </w:pPr>
            <w:r>
              <w:rPr>
                <w:rFonts w:ascii="宋体" w:hAnsi="宋体" w:cs="宋体" w:eastAsia="宋体" w:hint="default"/>
                <w:sz w:val="18"/>
                <w:szCs w:val="18"/>
              </w:rPr>
              <w:t>浙江华媒信息传播有 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69,595,262.46</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500,000.00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70,095,262.46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44,259.74</w:t>
            </w:r>
          </w:p>
        </w:tc>
        <w:tc>
          <w:tcPr>
            <w:tcW w:w="67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z w:val="18"/>
              </w:rPr>
              <w:t>44,259.74</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1746" w:type="dxa"/>
            <w:tcBorders>
              <w:top w:val="single" w:sz="4" w:space="0" w:color="000000"/>
              <w:left w:val="single" w:sz="4" w:space="0" w:color="000000"/>
              <w:bottom w:val="single" w:sz="4" w:space="0" w:color="000000"/>
              <w:right w:val="single" w:sz="13" w:space="0" w:color="FFFFFF"/>
            </w:tcBorders>
            <w:shd w:val="clear" w:color="auto" w:fill="C7EDCC"/>
          </w:tcPr>
          <w:p>
            <w:pPr>
              <w:pStyle w:val="TableParagraph"/>
              <w:spacing w:line="240" w:lineRule="exact" w:before="1"/>
              <w:ind w:left="22" w:right="100"/>
              <w:jc w:val="left"/>
              <w:rPr>
                <w:rFonts w:ascii="宋体" w:hAnsi="宋体" w:cs="宋体" w:eastAsia="宋体" w:hint="default"/>
                <w:sz w:val="18"/>
                <w:szCs w:val="18"/>
              </w:rPr>
            </w:pPr>
            <w:r>
              <w:rPr>
                <w:rFonts w:ascii="宋体" w:hAnsi="宋体" w:cs="宋体" w:eastAsia="宋体" w:hint="default"/>
                <w:spacing w:val="-3"/>
                <w:sz w:val="18"/>
                <w:szCs w:val="18"/>
              </w:rPr>
              <w:t>快点文化传播（上海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p>
        </w:tc>
        <w:tc>
          <w:tcPr>
            <w:tcW w:w="1181" w:type="dxa"/>
            <w:tcBorders>
              <w:top w:val="single" w:sz="4" w:space="0" w:color="000000"/>
              <w:left w:val="single" w:sz="13" w:space="0" w:color="FFFFFF"/>
              <w:bottom w:val="single" w:sz="4" w:space="0" w:color="000000"/>
              <w:right w:val="single" w:sz="4" w:space="0" w:color="000000"/>
            </w:tcBorders>
          </w:tcPr>
          <w:p>
            <w:pPr>
              <w:pStyle w:val="TableParagraph"/>
              <w:spacing w:line="182" w:lineRule="exact"/>
              <w:ind w:left="-13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70" w:lineRule="exact"/>
              <w:ind w:left="25" w:right="0"/>
              <w:jc w:val="left"/>
              <w:rPr>
                <w:rFonts w:ascii="Times New Roman" w:hAnsi="Times New Roman" w:cs="Times New Roman" w:eastAsia="Times New Roman" w:hint="default"/>
                <w:sz w:val="18"/>
                <w:szCs w:val="18"/>
              </w:rPr>
            </w:pPr>
            <w:r>
              <w:rPr>
                <w:rFonts w:ascii="Times New Roman"/>
                <w:sz w:val="18"/>
              </w:rPr>
              <w:t>111,927,714.88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58,186.98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2"/>
                <w:sz w:val="18"/>
              </w:rPr>
              <w:t>111,985,901.86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3,862,283.31</w:t>
            </w:r>
          </w:p>
        </w:tc>
        <w:tc>
          <w:tcPr>
            <w:tcW w:w="67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38,612,283.31</w:t>
            </w:r>
          </w:p>
        </w:tc>
        <w:tc>
          <w:tcPr>
            <w:tcW w:w="1092" w:type="dxa"/>
            <w:tcBorders>
              <w:top w:val="single" w:sz="4" w:space="0" w:color="000000"/>
              <w:left w:val="single" w:sz="4" w:space="0" w:color="000000"/>
              <w:bottom w:val="single" w:sz="4" w:space="0" w:color="000000"/>
              <w:right w:val="single" w:sz="4" w:space="0" w:color="000000"/>
            </w:tcBorders>
          </w:tcPr>
          <w:p>
            <w:pPr/>
          </w:p>
        </w:tc>
        <w:tc>
          <w:tcPr>
            <w:tcW w:w="100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174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exact"/>
              <w:ind w:left="22" w:right="91"/>
              <w:jc w:val="left"/>
              <w:rPr>
                <w:rFonts w:ascii="宋体" w:hAnsi="宋体" w:cs="宋体" w:eastAsia="宋体" w:hint="default"/>
                <w:sz w:val="18"/>
                <w:szCs w:val="18"/>
              </w:rPr>
            </w:pPr>
            <w:r>
              <w:rPr>
                <w:rFonts w:ascii="宋体" w:hAnsi="宋体" w:cs="宋体" w:eastAsia="宋体" w:hint="default"/>
                <w:sz w:val="18"/>
                <w:szCs w:val="18"/>
              </w:rPr>
              <w:t>杭州快房传媒有限公 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68,233,173.85</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3,661,251.71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71,894,425.56</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34,744,304.17</w:t>
            </w:r>
          </w:p>
        </w:tc>
        <w:tc>
          <w:tcPr>
            <w:tcW w:w="67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34,744,304.17</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63,992,285.48</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3,777,213.80</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67,769,499.28</w:t>
            </w: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9"/>
              <w:jc w:val="right"/>
              <w:rPr>
                <w:rFonts w:ascii="Times New Roman" w:hAnsi="Times New Roman" w:cs="Times New Roman" w:eastAsia="Times New Roman" w:hint="default"/>
                <w:sz w:val="18"/>
                <w:szCs w:val="18"/>
              </w:rPr>
            </w:pPr>
            <w:r>
              <w:rPr>
                <w:rFonts w:ascii="Times New Roman"/>
                <w:spacing w:val="-1"/>
                <w:sz w:val="18"/>
              </w:rPr>
              <w:t>44,687,493.00</w:t>
            </w:r>
          </w:p>
        </w:tc>
        <w:tc>
          <w:tcPr>
            <w:tcW w:w="679"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18"/>
                <w:szCs w:val="18"/>
              </w:rPr>
            </w:pPr>
            <w:r>
              <w:rPr>
                <w:rFonts w:ascii="Times New Roman"/>
                <w:sz w:val="18"/>
              </w:rPr>
              <w:t>44,687,493.00</w:t>
            </w:r>
          </w:p>
        </w:tc>
      </w:tr>
    </w:tbl>
    <w:p>
      <w:pPr>
        <w:spacing w:before="51"/>
        <w:ind w:left="0" w:right="139" w:firstLine="0"/>
        <w:jc w:val="right"/>
        <w:rPr>
          <w:rFonts w:ascii="宋体" w:hAnsi="宋体" w:cs="宋体" w:eastAsia="宋体" w:hint="default"/>
          <w:sz w:val="18"/>
          <w:szCs w:val="18"/>
        </w:rPr>
      </w:pPr>
      <w:r>
        <w:rPr/>
        <w:pict>
          <v:group style="position:absolute;margin-left:159.291pt;margin-top:-48.978271pt;width:57.45pt;height:18pt;mso-position-horizontal-relative:page;mso-position-vertical-relative:paragraph;z-index:-1259512" coordorigin="3186,-980" coordsize="1149,360">
            <v:group style="position:absolute;left:3186;top:-980;width:1148;height:120" coordorigin="3186,-980" coordsize="1148,120">
              <v:shape style="position:absolute;left:3186;top:-980;width:1148;height:120" coordorigin="3186,-980" coordsize="1148,120" path="m3186,-980l3186,-860,4334,-860,4334,-980,3186,-980xe" filled="true" fillcolor="#ffffff" stroked="false">
                <v:path arrowok="t"/>
                <v:fill type="solid"/>
              </v:shape>
            </v:group>
            <v:group style="position:absolute;left:3186;top:-860;width:1125;height:240" coordorigin="3186,-860" coordsize="1125,240">
              <v:shape style="position:absolute;left:3186;top:-860;width:1125;height:240" coordorigin="3186,-860" coordsize="1125,240" path="m3186,-860l3186,-620,4310,-620,4310,-860,3186,-860xe" filled="true" fillcolor="#ffffff" stroked="false">
                <v:path arrowok="t"/>
                <v:fill type="solid"/>
              </v:shape>
            </v:group>
            <w10:wrap type="none"/>
          </v:group>
        </w:pict>
      </w: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2910"/>
        <w:gridCol w:w="1346"/>
        <w:gridCol w:w="1243"/>
        <w:gridCol w:w="1296"/>
        <w:gridCol w:w="1704"/>
        <w:gridCol w:w="1243"/>
        <w:gridCol w:w="1244"/>
        <w:gridCol w:w="1295"/>
        <w:gridCol w:w="1704"/>
      </w:tblGrid>
      <w:tr>
        <w:trPr>
          <w:trHeight w:val="402" w:hRule="exact"/>
        </w:trPr>
        <w:tc>
          <w:tcPr>
            <w:tcW w:w="29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5"/>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559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548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10" w:type="dxa"/>
            <w:vMerge/>
            <w:tcBorders>
              <w:left w:val="single" w:sz="4" w:space="0" w:color="000000"/>
              <w:bottom w:val="single" w:sz="4" w:space="0" w:color="000000"/>
              <w:right w:val="single" w:sz="4" w:space="0" w:color="000000"/>
            </w:tcBorders>
            <w:shd w:val="clear" w:color="auto" w:fill="D3D3D3"/>
          </w:tcPr>
          <w:p>
            <w:pPr/>
          </w:p>
        </w:tc>
        <w:tc>
          <w:tcPr>
            <w:tcW w:w="13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7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12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2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7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6"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402" w:hRule="exact"/>
        </w:trPr>
        <w:tc>
          <w:tcPr>
            <w:tcW w:w="29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杭州余杭晨报传媒有限公司</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41,429,909.55</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15,352,071.68</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15,352,071.68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17,079,552.21</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 w:right="0"/>
              <w:jc w:val="center"/>
              <w:rPr>
                <w:rFonts w:ascii="Times New Roman" w:hAnsi="Times New Roman" w:cs="Times New Roman" w:eastAsia="Times New Roman" w:hint="default"/>
                <w:sz w:val="18"/>
                <w:szCs w:val="18"/>
              </w:rPr>
            </w:pPr>
            <w:r>
              <w:rPr>
                <w:rFonts w:ascii="Times New Roman"/>
                <w:sz w:val="18"/>
              </w:rPr>
              <w:t>40,853,728.68</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14,689,648.58</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14,689,648.58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16,132,201.63</w:t>
            </w:r>
          </w:p>
        </w:tc>
      </w:tr>
      <w:tr>
        <w:trPr>
          <w:trHeight w:val="402" w:hRule="exact"/>
        </w:trPr>
        <w:tc>
          <w:tcPr>
            <w:tcW w:w="29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杭州都市周报传媒有限公司</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9,597,275.72</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-1,077,665.79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-1,077,665.79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-2,102,812.39</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 w:right="0"/>
              <w:jc w:val="center"/>
              <w:rPr>
                <w:rFonts w:ascii="Times New Roman" w:hAnsi="Times New Roman" w:cs="Times New Roman" w:eastAsia="Times New Roman" w:hint="default"/>
                <w:sz w:val="18"/>
                <w:szCs w:val="18"/>
              </w:rPr>
            </w:pPr>
            <w:r>
              <w:rPr>
                <w:rFonts w:ascii="Times New Roman"/>
                <w:sz w:val="18"/>
              </w:rPr>
              <w:t>12,076,772.26</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-548,520.72</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-548,520.72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-13,984,312.16</w:t>
            </w:r>
          </w:p>
        </w:tc>
      </w:tr>
      <w:tr>
        <w:trPr>
          <w:trHeight w:val="402" w:hRule="exact"/>
        </w:trPr>
        <w:tc>
          <w:tcPr>
            <w:tcW w:w="29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杭州华泰一媒文化传媒有限公司</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1,391,509.43</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-356,231.13</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-356,231.23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-1,756,677.41</w:t>
            </w:r>
          </w:p>
        </w:tc>
        <w:tc>
          <w:tcPr>
            <w:tcW w:w="1243"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浙江华媒信息传播有限公司</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157,083.33</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51,002.72</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51,002.72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-240,158.42</w:t>
            </w:r>
          </w:p>
        </w:tc>
        <w:tc>
          <w:tcPr>
            <w:tcW w:w="1243"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快点文化传播（上海）有限公司</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120,855,489.55</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25,868,761.91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25,868,761.91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-10,032,780.31</w:t>
            </w:r>
          </w:p>
        </w:tc>
        <w:tc>
          <w:tcPr>
            <w:tcW w:w="1243" w:type="dxa"/>
            <w:tcBorders>
              <w:top w:val="single" w:sz="4" w:space="0" w:color="000000"/>
              <w:left w:val="single" w:sz="4" w:space="0" w:color="000000"/>
              <w:bottom w:val="single" w:sz="4" w:space="0" w:color="000000"/>
              <w:right w:val="single" w:sz="4" w:space="0" w:color="000000"/>
            </w:tcBorders>
          </w:tcPr>
          <w:p>
            <w:pPr/>
          </w:p>
        </w:tc>
        <w:tc>
          <w:tcPr>
            <w:tcW w:w="1244" w:type="dxa"/>
            <w:tcBorders>
              <w:top w:val="single" w:sz="4" w:space="0" w:color="000000"/>
              <w:left w:val="single" w:sz="4" w:space="0" w:color="000000"/>
              <w:bottom w:val="single" w:sz="4" w:space="0" w:color="000000"/>
              <w:right w:val="single" w:sz="4" w:space="0" w:color="000000"/>
            </w:tcBorders>
          </w:tcPr>
          <w:p>
            <w:pPr/>
          </w:p>
        </w:tc>
        <w:tc>
          <w:tcPr>
            <w:tcW w:w="129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1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5" w:right="0"/>
              <w:jc w:val="left"/>
              <w:rPr>
                <w:rFonts w:ascii="宋体" w:hAnsi="宋体" w:cs="宋体" w:eastAsia="宋体" w:hint="default"/>
                <w:sz w:val="18"/>
                <w:szCs w:val="18"/>
              </w:rPr>
            </w:pPr>
            <w:r>
              <w:rPr>
                <w:rFonts w:ascii="宋体" w:hAnsi="宋体" w:cs="宋体" w:eastAsia="宋体" w:hint="default"/>
                <w:sz w:val="18"/>
                <w:szCs w:val="18"/>
              </w:rPr>
              <w:t>杭州快房传媒有限公司</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109,572,215.22</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20,568,115.11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20,568,115.11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15,999,379.52</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 w:right="0"/>
              <w:jc w:val="center"/>
              <w:rPr>
                <w:rFonts w:ascii="Times New Roman" w:hAnsi="Times New Roman" w:cs="Times New Roman" w:eastAsia="Times New Roman" w:hint="default"/>
                <w:sz w:val="18"/>
                <w:szCs w:val="18"/>
              </w:rPr>
            </w:pPr>
            <w:r>
              <w:rPr>
                <w:rFonts w:ascii="Times New Roman"/>
                <w:sz w:val="18"/>
              </w:rPr>
              <w:t>76,836,548.44</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11,514,832.27</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11,514,832.27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35,365,108.84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spacing w:before="0"/>
        <w:ind w:left="0" w:right="139" w:firstLine="0"/>
        <w:jc w:val="right"/>
        <w:rPr>
          <w:rFonts w:ascii="Times New Roman" w:hAnsi="Times New Roman" w:cs="Times New Roman" w:eastAsia="Times New Roman" w:hint="default"/>
          <w:sz w:val="18"/>
          <w:szCs w:val="18"/>
        </w:rPr>
      </w:pPr>
      <w:r>
        <w:rPr>
          <w:rFonts w:ascii="Times New Roman"/>
          <w:sz w:val="18"/>
        </w:rPr>
        <w:t>160</w:t>
      </w:r>
    </w:p>
    <w:p>
      <w:pPr>
        <w:spacing w:after="0"/>
        <w:jc w:val="right"/>
        <w:rPr>
          <w:rFonts w:ascii="Times New Roman" w:hAnsi="Times New Roman" w:cs="Times New Roman" w:eastAsia="Times New Roman" w:hint="default"/>
          <w:sz w:val="18"/>
          <w:szCs w:val="18"/>
        </w:rPr>
        <w:sectPr>
          <w:type w:val="continuous"/>
          <w:pgSz w:w="16840" w:h="11910" w:orient="landscape"/>
          <w:pgMar w:top="1060" w:bottom="1180" w:left="1300" w:right="1300"/>
        </w:sectPr>
      </w:pPr>
    </w:p>
    <w:p>
      <w:pPr>
        <w:spacing w:line="240" w:lineRule="auto" w:before="7"/>
        <w:rPr>
          <w:rFonts w:ascii="Times New Roman" w:hAnsi="Times New Roman" w:cs="Times New Roman" w:eastAsia="Times New Roman" w:hint="default"/>
          <w:sz w:val="23"/>
          <w:szCs w:val="23"/>
        </w:rPr>
      </w:pPr>
    </w:p>
    <w:p>
      <w:pPr>
        <w:spacing w:before="35"/>
        <w:ind w:left="15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）使用企业集团资产和清偿企业集团债务的重大限制</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before="0"/>
        <w:ind w:left="15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）向纳入合并财务报表范围的结构化主体提供的财务支持或其他支持</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before="0"/>
        <w:ind w:left="15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、在子公司的所有者权益份额发生变化且仍控制子公司的交易</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）在子公司所有者权益份额发生变化的情况说明</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91" w:firstLine="480"/>
        <w:jc w:val="left"/>
      </w:pPr>
      <w:r>
        <w:rPr>
          <w:spacing w:val="7"/>
        </w:rPr>
        <w:t>浙江风盛传媒有限公司重组前股权结构为：杭州萧山日报传媒有限公司出资为人民币 </w:t>
      </w:r>
      <w:r>
        <w:rPr>
          <w:rFonts w:ascii="Times New Roman" w:hAnsi="Times New Roman" w:cs="Times New Roman" w:eastAsia="Times New Roman" w:hint="default"/>
        </w:rPr>
        <w:t>3,403,400.00</w:t>
      </w:r>
      <w:r>
        <w:rPr/>
        <w:t>元，占注册资本的</w:t>
      </w:r>
      <w:r>
        <w:rPr>
          <w:rFonts w:ascii="Times New Roman" w:hAnsi="Times New Roman" w:cs="Times New Roman" w:eastAsia="Times New Roman" w:hint="default"/>
        </w:rPr>
        <w:t>34.00%</w:t>
      </w:r>
      <w:r>
        <w:rPr/>
        <w:t>；杭州日报传媒有限公司出资为人民币</w:t>
      </w:r>
      <w:r>
        <w:rPr>
          <w:rFonts w:ascii="Times New Roman" w:hAnsi="Times New Roman" w:cs="Times New Roman" w:eastAsia="Times New Roman" w:hint="default"/>
        </w:rPr>
        <w:t>3,303,300.00</w:t>
      </w:r>
      <w:r>
        <w:rPr/>
        <w:t>元， 占注册资本的</w:t>
      </w:r>
      <w:r>
        <w:rPr>
          <w:rFonts w:ascii="Times New Roman" w:hAnsi="Times New Roman" w:cs="Times New Roman" w:eastAsia="Times New Roman" w:hint="default"/>
        </w:rPr>
        <w:t>33.00%</w:t>
      </w:r>
      <w:r>
        <w:rPr/>
        <w:t>；浙江都市快报传媒有限公司出资为人民币</w:t>
      </w:r>
      <w:r>
        <w:rPr>
          <w:rFonts w:ascii="Times New Roman" w:hAnsi="Times New Roman" w:cs="Times New Roman" w:eastAsia="Times New Roman" w:hint="default"/>
        </w:rPr>
        <w:t>3,303,300.00</w:t>
      </w:r>
      <w:r>
        <w:rPr/>
        <w:t>元，占注册资本</w:t>
      </w:r>
      <w:r>
        <w:rPr>
          <w:spacing w:val="-1"/>
        </w:rPr>
        <w:t> </w:t>
      </w:r>
      <w:r>
        <w:rPr>
          <w:rFonts w:ascii="Times New Roman" w:hAnsi="Times New Roman" w:cs="Times New Roman" w:eastAsia="Times New Roman" w:hint="default"/>
        </w:rPr>
        <w:t>33.00%</w:t>
      </w:r>
      <w:r>
        <w:rPr/>
        <w:t>。根据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日股东会决议</w:t>
      </w:r>
      <w:r>
        <w:rPr>
          <w:rFonts w:ascii="Times New Roman" w:hAnsi="Times New Roman" w:cs="Times New Roman" w:eastAsia="Times New Roman" w:hint="default"/>
        </w:rPr>
        <w:t>-</w:t>
      </w:r>
      <w:r>
        <w:rPr/>
        <w:t>关于同意增加注册资本的决定和修改后的章程规</w:t>
      </w:r>
      <w:r>
        <w:rPr>
          <w:spacing w:val="-72"/>
        </w:rPr>
        <w:t> </w:t>
      </w:r>
      <w:r>
        <w:rPr/>
        <w:t>定，浙江风盛传媒有限公司申请增加注册资本人民币</w:t>
      </w:r>
      <w:r>
        <w:rPr>
          <w:rFonts w:ascii="Times New Roman" w:hAnsi="Times New Roman" w:cs="Times New Roman" w:eastAsia="Times New Roman" w:hint="default"/>
        </w:rPr>
        <w:t>5,533,478.00</w:t>
      </w:r>
      <w:r>
        <w:rPr/>
        <w:t>元，由浙江国大集团有限责 </w:t>
      </w:r>
      <w:r>
        <w:rPr>
          <w:spacing w:val="-6"/>
        </w:rPr>
        <w:t>任公司和德清己任创汇投资合伙企业（有限合伙）分别增资；新增注册资本人民币</w:t>
      </w:r>
      <w:r>
        <w:rPr>
          <w:rFonts w:ascii="Times New Roman" w:hAnsi="Times New Roman" w:cs="Times New Roman" w:eastAsia="Times New Roman" w:hint="default"/>
          <w:spacing w:val="-6"/>
        </w:rPr>
        <w:t>5,533,478.00</w:t>
      </w:r>
      <w:r>
        <w:rPr>
          <w:rFonts w:ascii="Times New Roman" w:hAnsi="Times New Roman" w:cs="Times New Roman" w:eastAsia="Times New Roman" w:hint="default"/>
          <w:spacing w:val="-36"/>
        </w:rPr>
        <w:t> </w:t>
      </w:r>
      <w:r>
        <w:rPr>
          <w:spacing w:val="7"/>
        </w:rPr>
        <w:t>元由浙江国大集团有限责任公司所持有的杭州朗盛传媒有限公司</w:t>
      </w:r>
      <w:r>
        <w:rPr>
          <w:rFonts w:ascii="Times New Roman" w:hAnsi="Times New Roman" w:cs="Times New Roman" w:eastAsia="Times New Roman" w:hint="default"/>
          <w:spacing w:val="7"/>
        </w:rPr>
        <w:t>30%</w:t>
      </w:r>
      <w:r>
        <w:rPr>
          <w:spacing w:val="7"/>
        </w:rPr>
        <w:t>的股权，作价人民币</w:t>
      </w:r>
      <w:r>
        <w:rPr>
          <w:spacing w:val="-96"/>
        </w:rPr>
        <w:t> </w:t>
      </w:r>
      <w:r>
        <w:rPr>
          <w:rFonts w:ascii="Times New Roman" w:hAnsi="Times New Roman" w:cs="Times New Roman" w:eastAsia="Times New Roman" w:hint="default"/>
        </w:rPr>
        <w:t>16,206,840.00</w:t>
      </w:r>
      <w:r>
        <w:rPr/>
        <w:t>元；德清己任创汇投资合伙企业（有限合伙）所持有的杭州朗盛传媒有限公司</w:t>
      </w:r>
    </w:p>
    <w:p>
      <w:pPr>
        <w:pStyle w:val="BodyText"/>
        <w:spacing w:line="312" w:lineRule="exact"/>
        <w:ind w:left="154" w:right="172"/>
        <w:jc w:val="both"/>
      </w:pPr>
      <w:r>
        <w:rPr>
          <w:rFonts w:ascii="Times New Roman" w:hAnsi="Times New Roman" w:cs="Times New Roman" w:eastAsia="Times New Roman" w:hint="default"/>
          <w:spacing w:val="-2"/>
        </w:rPr>
        <w:t>19%</w:t>
      </w:r>
      <w:r>
        <w:rPr>
          <w:spacing w:val="-2"/>
        </w:rPr>
        <w:t>的股权，作价人民币</w:t>
      </w:r>
      <w:r>
        <w:rPr>
          <w:rFonts w:ascii="Times New Roman" w:hAnsi="Times New Roman" w:cs="Times New Roman" w:eastAsia="Times New Roman" w:hint="default"/>
          <w:spacing w:val="-2"/>
        </w:rPr>
        <w:t>10,264,332.00</w:t>
      </w:r>
      <w:r>
        <w:rPr>
          <w:spacing w:val="-2"/>
        </w:rPr>
        <w:t>元作价认购，溢价部分合计</w:t>
      </w:r>
      <w:r>
        <w:rPr>
          <w:rFonts w:ascii="Times New Roman" w:hAnsi="Times New Roman" w:cs="Times New Roman" w:eastAsia="Times New Roman" w:hint="default"/>
          <w:spacing w:val="-2"/>
        </w:rPr>
        <w:t>20,937,694.00</w:t>
      </w:r>
      <w:r>
        <w:rPr>
          <w:spacing w:val="-2"/>
        </w:rPr>
        <w:t>元计入资本公</w:t>
      </w:r>
      <w:r>
        <w:rPr>
          <w:spacing w:val="-69"/>
        </w:rPr>
        <w:t> </w:t>
      </w:r>
      <w:r>
        <w:rPr/>
        <w:t>积；相关股权转让手续已经完成，此次验资业经瑞华会计师事务所（特殊普通合伙）浙江分</w:t>
      </w:r>
      <w:r>
        <w:rPr>
          <w:spacing w:val="-83"/>
        </w:rPr>
        <w:t> </w:t>
      </w:r>
      <w:r>
        <w:rPr>
          <w:spacing w:val="-83"/>
        </w:rPr>
      </w:r>
      <w:r>
        <w:rPr>
          <w:spacing w:val="30"/>
        </w:rPr>
        <w:t>所瑞华浙验字</w:t>
      </w:r>
      <w:r>
        <w:rPr>
          <w:spacing w:val="-83"/>
        </w:rPr>
        <w:t> </w:t>
      </w:r>
      <w:r>
        <w:rPr>
          <w:rFonts w:ascii="Times New Roman" w:hAnsi="Times New Roman" w:cs="Times New Roman" w:eastAsia="Times New Roman" w:hint="default"/>
        </w:rPr>
        <w:t>[2016]33090007</w:t>
      </w:r>
      <w:r>
        <w:rPr>
          <w:rFonts w:ascii="Times New Roman" w:hAnsi="Times New Roman" w:cs="Times New Roman" w:eastAsia="Times New Roman" w:hint="default"/>
          <w:spacing w:val="-23"/>
        </w:rPr>
        <w:t> </w:t>
      </w:r>
      <w:r>
        <w:rPr>
          <w:spacing w:val="35"/>
        </w:rPr>
        <w:t>号验资报告验证。变更后实收资本累计金额为人民币</w:t>
      </w:r>
      <w:r>
        <w:rPr>
          <w:spacing w:val="-83"/>
        </w:rPr>
        <w:t> </w:t>
      </w:r>
      <w:r>
        <w:rPr>
          <w:rFonts w:ascii="Times New Roman" w:hAnsi="Times New Roman" w:cs="Times New Roman" w:eastAsia="Times New Roman" w:hint="default"/>
          <w:spacing w:val="-4"/>
        </w:rPr>
        <w:t>15,543,478.00</w:t>
      </w:r>
      <w:r>
        <w:rPr>
          <w:spacing w:val="-4"/>
        </w:rPr>
        <w:t>元，增资后的股权结构为：杭州萧山日报传媒有限公司出资为人民币</w:t>
      </w:r>
      <w:r>
        <w:rPr>
          <w:rFonts w:ascii="Times New Roman" w:hAnsi="Times New Roman" w:cs="Times New Roman" w:eastAsia="Times New Roman" w:hint="default"/>
          <w:spacing w:val="-4"/>
        </w:rPr>
        <w:t>3,403,400.00</w:t>
      </w:r>
      <w:r>
        <w:rPr>
          <w:rFonts w:ascii="Times New Roman" w:hAnsi="Times New Roman" w:cs="Times New Roman" w:eastAsia="Times New Roman" w:hint="default"/>
          <w:spacing w:val="-42"/>
        </w:rPr>
        <w:t> </w:t>
      </w:r>
      <w:r>
        <w:rPr>
          <w:spacing w:val="11"/>
        </w:rPr>
        <w:t>元，出资比例</w:t>
      </w:r>
      <w:r>
        <w:rPr>
          <w:rFonts w:ascii="Times New Roman" w:hAnsi="Times New Roman" w:cs="Times New Roman" w:eastAsia="Times New Roman" w:hint="default"/>
          <w:spacing w:val="11"/>
        </w:rPr>
        <w:t>21.896%</w:t>
      </w:r>
      <w:r>
        <w:rPr>
          <w:spacing w:val="11"/>
        </w:rPr>
        <w:t>；杭州日报传媒有限公司出资为人民币</w:t>
      </w:r>
      <w:r>
        <w:rPr>
          <w:rFonts w:ascii="Times New Roman" w:hAnsi="Times New Roman" w:cs="Times New Roman" w:eastAsia="Times New Roman" w:hint="default"/>
          <w:spacing w:val="11"/>
        </w:rPr>
        <w:t>3,303,300.00</w:t>
      </w:r>
      <w:r>
        <w:rPr>
          <w:spacing w:val="11"/>
        </w:rPr>
        <w:t>元，出资比例</w:t>
      </w:r>
      <w:r>
        <w:rPr>
          <w:spacing w:val="-107"/>
        </w:rPr>
        <w:t> </w:t>
      </w:r>
      <w:r>
        <w:rPr>
          <w:rFonts w:ascii="Times New Roman" w:hAnsi="Times New Roman" w:cs="Times New Roman" w:eastAsia="Times New Roman" w:hint="default"/>
          <w:spacing w:val="-2"/>
        </w:rPr>
        <w:t>21.252%</w:t>
      </w:r>
      <w:r>
        <w:rPr>
          <w:spacing w:val="-2"/>
        </w:rPr>
        <w:t>；浙江都市快报传媒有限公司出资为人民币</w:t>
      </w:r>
      <w:r>
        <w:rPr>
          <w:rFonts w:ascii="Times New Roman" w:hAnsi="Times New Roman" w:cs="Times New Roman" w:eastAsia="Times New Roman" w:hint="default"/>
          <w:spacing w:val="-2"/>
        </w:rPr>
        <w:t>3,303,300.00</w:t>
      </w:r>
      <w:r>
        <w:rPr>
          <w:spacing w:val="-2"/>
        </w:rPr>
        <w:t>元，出资比例</w:t>
      </w:r>
      <w:r>
        <w:rPr>
          <w:rFonts w:ascii="Times New Roman" w:hAnsi="Times New Roman" w:cs="Times New Roman" w:eastAsia="Times New Roman" w:hint="default"/>
          <w:spacing w:val="-2"/>
        </w:rPr>
        <w:t>21.252%</w:t>
      </w:r>
      <w:r>
        <w:rPr>
          <w:spacing w:val="-2"/>
        </w:rPr>
        <w:t>；浙江</w:t>
      </w:r>
      <w:r>
        <w:rPr>
          <w:spacing w:val="-77"/>
        </w:rPr>
        <w:t> </w:t>
      </w:r>
      <w:r>
        <w:rPr>
          <w:spacing w:val="-77"/>
        </w:rPr>
      </w:r>
      <w:r>
        <w:rPr/>
        <w:t>国大集团有限责任公司出资为人民币</w:t>
      </w:r>
      <w:r>
        <w:rPr>
          <w:rFonts w:ascii="Times New Roman" w:hAnsi="Times New Roman" w:cs="Times New Roman" w:eastAsia="Times New Roman" w:hint="default"/>
        </w:rPr>
        <w:t>3,388,478.00</w:t>
      </w:r>
      <w:r>
        <w:rPr/>
        <w:t>元，出资比例</w:t>
      </w:r>
      <w:r>
        <w:rPr>
          <w:rFonts w:ascii="Times New Roman" w:hAnsi="Times New Roman" w:cs="Times New Roman" w:eastAsia="Times New Roman" w:hint="default"/>
        </w:rPr>
        <w:t>21.800%</w:t>
      </w:r>
      <w:r>
        <w:rPr/>
        <w:t>；德清己任创汇投资</w:t>
      </w:r>
      <w:r>
        <w:rPr>
          <w:spacing w:val="-55"/>
        </w:rPr>
        <w:t> </w:t>
      </w:r>
      <w:r>
        <w:rPr/>
        <w:t>合伙企业（有限合伙）为人民币</w:t>
      </w:r>
      <w:r>
        <w:rPr>
          <w:rFonts w:ascii="Times New Roman" w:hAnsi="Times New Roman" w:cs="Times New Roman" w:eastAsia="Times New Roman" w:hint="default"/>
        </w:rPr>
        <w:t>2,145,000.00</w:t>
      </w:r>
      <w:r>
        <w:rPr/>
        <w:t>元，出资比例</w:t>
      </w:r>
      <w:r>
        <w:rPr>
          <w:rFonts w:ascii="Times New Roman" w:hAnsi="Times New Roman" w:cs="Times New Roman" w:eastAsia="Times New Roman" w:hint="default"/>
        </w:rPr>
        <w:t>13.800%</w:t>
      </w:r>
      <w:r>
        <w:rPr/>
        <w:t>。</w:t>
      </w:r>
    </w:p>
    <w:p>
      <w:pPr>
        <w:spacing w:line="240" w:lineRule="auto" w:before="7"/>
        <w:rPr>
          <w:rFonts w:ascii="宋体" w:hAnsi="宋体" w:cs="宋体" w:eastAsia="宋体" w:hint="default"/>
          <w:sz w:val="22"/>
          <w:szCs w:val="22"/>
        </w:rPr>
      </w:pPr>
    </w:p>
    <w:p>
      <w:pPr>
        <w:spacing w:before="0"/>
        <w:ind w:left="15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）交易对于少数股东权益及归属于母公司所有者权益的影响</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78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1487" w:right="0"/>
              <w:jc w:val="left"/>
              <w:rPr>
                <w:rFonts w:ascii="宋体" w:hAnsi="宋体" w:cs="宋体" w:eastAsia="宋体" w:hint="default"/>
                <w:sz w:val="18"/>
                <w:szCs w:val="18"/>
              </w:rPr>
            </w:pPr>
            <w:r>
              <w:rPr>
                <w:rFonts w:ascii="宋体" w:hAnsi="宋体" w:cs="宋体" w:eastAsia="宋体" w:hint="default"/>
                <w:sz w:val="18"/>
                <w:szCs w:val="18"/>
              </w:rPr>
              <w:t>杭州朗盛传媒有限公司</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8,814,934.97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8,814,934.97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8,814,934.97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3,215,259.53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5,599,675.44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5,599,675.44</w:t>
            </w:r>
          </w:p>
        </w:tc>
      </w:tr>
    </w:tbl>
    <w:p>
      <w:pPr>
        <w:spacing w:after="0" w:line="240" w:lineRule="auto"/>
        <w:jc w:val="right"/>
        <w:rPr>
          <w:rFonts w:ascii="Times New Roman" w:hAnsi="Times New Roman" w:cs="Times New Roman" w:eastAsia="Times New Roman" w:hint="default"/>
          <w:sz w:val="18"/>
          <w:szCs w:val="18"/>
        </w:rPr>
        <w:sectPr>
          <w:footerReference w:type="default" r:id="rId41"/>
          <w:pgSz w:w="11910" w:h="16840"/>
          <w:pgMar w:footer="982" w:header="0" w:top="1100" w:bottom="1180" w:left="980" w:right="920"/>
          <w:pgNumType w:start="161"/>
        </w:sectPr>
      </w:pPr>
    </w:p>
    <w:p>
      <w:pPr>
        <w:spacing w:line="240" w:lineRule="auto" w:before="10"/>
        <w:rPr>
          <w:rFonts w:ascii="宋体" w:hAnsi="宋体" w:cs="宋体" w:eastAsia="宋体" w:hint="default"/>
          <w:sz w:val="20"/>
          <w:szCs w:val="20"/>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、在合营安排或联营企业中的权益</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49"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十九楼网络股份 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德清今日传媒有 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德清</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德清</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杭州都快交通久 一点吧传媒有限 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北京精典博维文 化传媒有限公司</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文化传媒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在合营企业或联营企业的持股比例不同于表决权比例的说明：无</w:t>
      </w:r>
    </w:p>
    <w:p>
      <w:pPr>
        <w:spacing w:before="117"/>
        <w:ind w:left="153" w:right="0"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pStyle w:val="BodyText"/>
        <w:spacing w:line="312" w:lineRule="exact" w:before="82"/>
        <w:ind w:right="0" w:firstLine="480"/>
        <w:jc w:val="left"/>
      </w:pPr>
      <w:r>
        <w:rPr>
          <w:spacing w:val="-3"/>
        </w:rPr>
        <w:t>注：本公司对十九楼网络股份有限公司的持股比例为</w:t>
      </w:r>
      <w:r>
        <w:rPr>
          <w:rFonts w:ascii="Times New Roman" w:hAnsi="Times New Roman" w:cs="Times New Roman" w:eastAsia="Times New Roman" w:hint="default"/>
          <w:spacing w:val="-3"/>
        </w:rPr>
        <w:t>19.95%</w:t>
      </w:r>
      <w:r>
        <w:rPr>
          <w:spacing w:val="-3"/>
        </w:rPr>
        <w:t>，且董事会成员中</w:t>
      </w:r>
      <w:r>
        <w:rPr>
          <w:rFonts w:ascii="Times New Roman" w:hAnsi="Times New Roman" w:cs="Times New Roman" w:eastAsia="Times New Roman" w:hint="default"/>
          <w:spacing w:val="-3"/>
        </w:rPr>
        <w:t>9</w:t>
      </w:r>
      <w:r>
        <w:rPr>
          <w:spacing w:val="-3"/>
        </w:rPr>
        <w:t>人，其中</w:t>
      </w:r>
      <w:r>
        <w:rPr/>
        <w:t> 本公司派遣</w:t>
      </w:r>
      <w:r>
        <w:rPr>
          <w:rFonts w:ascii="Times New Roman" w:hAnsi="Times New Roman" w:cs="Times New Roman" w:eastAsia="Times New Roman" w:hint="default"/>
        </w:rPr>
        <w:t>2</w:t>
      </w:r>
      <w:r>
        <w:rPr/>
        <w:t>人，董事长由本公司派遣，所以对其相关活动能够施加重大影响。</w:t>
      </w:r>
    </w:p>
    <w:p>
      <w:pPr>
        <w:spacing w:line="240" w:lineRule="auto" w:before="7"/>
        <w:rPr>
          <w:rFonts w:ascii="宋体" w:hAnsi="宋体" w:cs="宋体" w:eastAsia="宋体" w:hint="default"/>
          <w:sz w:val="22"/>
          <w:szCs w:val="22"/>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）重要合营企业的主要财务信息</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02" w:type="dxa"/>
            <w:tcBorders>
              <w:top w:val="single" w:sz="4" w:space="0" w:color="000000"/>
              <w:left w:val="single" w:sz="13" w:space="0" w:color="D3D3D3"/>
              <w:bottom w:val="single" w:sz="4" w:space="0" w:color="000000"/>
              <w:right w:val="single" w:sz="4" w:space="0" w:color="000000"/>
            </w:tcBorders>
            <w:shd w:val="clear" w:color="auto" w:fill="E1FFFF"/>
          </w:tcPr>
          <w:p>
            <w:pPr>
              <w:pStyle w:val="TableParagraph"/>
              <w:spacing w:line="240" w:lineRule="auto" w:before="51"/>
              <w:ind w:left="691" w:right="0"/>
              <w:jc w:val="left"/>
              <w:rPr>
                <w:rFonts w:ascii="宋体" w:hAnsi="宋体" w:cs="宋体" w:eastAsia="宋体" w:hint="default"/>
                <w:sz w:val="18"/>
                <w:szCs w:val="18"/>
              </w:rPr>
            </w:pPr>
            <w:r>
              <w:rPr>
                <w:rFonts w:ascii="宋体" w:hAnsi="宋体" w:cs="宋体" w:eastAsia="宋体" w:hint="default"/>
                <w:sz w:val="18"/>
                <w:szCs w:val="18"/>
              </w:rPr>
              <w:t>德清今日传媒有限公司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德清今日传媒有限公司</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5,486,764.17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5,015,746.96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其中：现金和现金等价物</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1,989,763.48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3,053,763.47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821,739.92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882,671.59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6,308,504.09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5,898,418.55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1,887,023.75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1,980,976.38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1,887,023.75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1,980,976.38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4,421,480.34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3,917,442.17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2,210,740.17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1,958,721.09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对合营企业权益投资的账面价值</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2,306,602.29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1,958,721.09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10,969,477.60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7,016,598.35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-34,338.17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-12,294.13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226,705.80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210,497.95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695,762.40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825,747.52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695,762.40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825,747.52</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）重要联营企业的主要财务信息</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7"/>
        <w:gridCol w:w="1367"/>
        <w:gridCol w:w="1367"/>
        <w:gridCol w:w="1367"/>
      </w:tblGrid>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11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2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410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09"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17" w:hRule="exact"/>
        </w:trPr>
        <w:tc>
          <w:tcPr>
            <w:tcW w:w="1344" w:type="dxa"/>
            <w:tcBorders>
              <w:top w:val="single" w:sz="4" w:space="0" w:color="000000"/>
              <w:left w:val="single" w:sz="4" w:space="0" w:color="000000"/>
              <w:bottom w:val="nil" w:sz="6" w:space="0" w:color="auto"/>
              <w:right w:val="single" w:sz="4" w:space="0" w:color="000000"/>
            </w:tcBorders>
            <w:shd w:val="clear" w:color="auto" w:fill="D3D3D3"/>
          </w:tcPr>
          <w:p>
            <w:pPr/>
          </w:p>
        </w:tc>
        <w:tc>
          <w:tcPr>
            <w:tcW w:w="1378" w:type="dxa"/>
            <w:vMerge w:val="restart"/>
            <w:tcBorders>
              <w:top w:val="single" w:sz="4" w:space="0" w:color="000000"/>
              <w:left w:val="single" w:sz="9" w:space="0" w:color="D3D3D3"/>
              <w:right w:val="single" w:sz="4" w:space="0" w:color="000000"/>
            </w:tcBorders>
            <w:shd w:val="clear" w:color="auto" w:fill="E1FFF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22" w:right="47" w:hanging="270"/>
              <w:jc w:val="left"/>
              <w:rPr>
                <w:rFonts w:ascii="宋体" w:hAnsi="宋体" w:cs="宋体" w:eastAsia="宋体" w:hint="default"/>
                <w:sz w:val="18"/>
                <w:szCs w:val="18"/>
              </w:rPr>
            </w:pPr>
            <w:r>
              <w:rPr>
                <w:rFonts w:ascii="宋体" w:hAnsi="宋体" w:cs="宋体" w:eastAsia="宋体" w:hint="default"/>
                <w:sz w:val="18"/>
                <w:szCs w:val="18"/>
              </w:rPr>
              <w:t>十九楼网络股份 有限公司</w:t>
            </w:r>
          </w:p>
        </w:tc>
        <w:tc>
          <w:tcPr>
            <w:tcW w:w="1368" w:type="dxa"/>
            <w:vMerge w:val="restart"/>
            <w:tcBorders>
              <w:top w:val="single" w:sz="4" w:space="0" w:color="000000"/>
              <w:left w:val="single" w:sz="4" w:space="0" w:color="000000"/>
              <w:right w:val="single" w:sz="4" w:space="0" w:color="000000"/>
            </w:tcBorders>
            <w:shd w:val="clear" w:color="auto" w:fill="E1FFFF"/>
          </w:tcPr>
          <w:p>
            <w:pPr>
              <w:pStyle w:val="TableParagraph"/>
              <w:spacing w:line="316" w:lineRule="auto" w:before="51"/>
              <w:ind w:left="49" w:right="47"/>
              <w:jc w:val="center"/>
              <w:rPr>
                <w:rFonts w:ascii="宋体" w:hAnsi="宋体" w:cs="宋体" w:eastAsia="宋体" w:hint="default"/>
                <w:sz w:val="18"/>
                <w:szCs w:val="18"/>
              </w:rPr>
            </w:pPr>
            <w:r>
              <w:rPr>
                <w:rFonts w:ascii="宋体" w:hAnsi="宋体" w:cs="宋体" w:eastAsia="宋体" w:hint="default"/>
                <w:sz w:val="18"/>
                <w:szCs w:val="18"/>
              </w:rPr>
              <w:t>杭州都快交通久 一点吧传媒有限 公司</w:t>
            </w:r>
          </w:p>
        </w:tc>
        <w:tc>
          <w:tcPr>
            <w:tcW w:w="1367" w:type="dxa"/>
            <w:vMerge w:val="restart"/>
            <w:tcBorders>
              <w:top w:val="single" w:sz="4" w:space="0" w:color="000000"/>
              <w:left w:val="single" w:sz="4" w:space="0" w:color="000000"/>
              <w:right w:val="single" w:sz="4" w:space="0" w:color="000000"/>
            </w:tcBorders>
            <w:shd w:val="clear" w:color="auto" w:fill="E1FFF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8" w:right="47"/>
              <w:jc w:val="left"/>
              <w:rPr>
                <w:rFonts w:ascii="宋体" w:hAnsi="宋体" w:cs="宋体" w:eastAsia="宋体" w:hint="default"/>
                <w:sz w:val="18"/>
                <w:szCs w:val="18"/>
              </w:rPr>
            </w:pPr>
            <w:r>
              <w:rPr>
                <w:rFonts w:ascii="宋体" w:hAnsi="宋体" w:cs="宋体" w:eastAsia="宋体" w:hint="default"/>
                <w:sz w:val="18"/>
                <w:szCs w:val="18"/>
              </w:rPr>
              <w:t>北京精典博维文 化传媒有限公司</w:t>
            </w:r>
          </w:p>
        </w:tc>
        <w:tc>
          <w:tcPr>
            <w:tcW w:w="1367" w:type="dxa"/>
            <w:vMerge w:val="restart"/>
            <w:tcBorders>
              <w:top w:val="single" w:sz="4" w:space="0" w:color="000000"/>
              <w:left w:val="single" w:sz="4" w:space="0" w:color="000000"/>
              <w:right w:val="single" w:sz="4" w:space="0" w:color="000000"/>
            </w:tcBorders>
            <w:shd w:val="clear" w:color="auto" w:fill="E1FFF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17" w:right="47" w:hanging="270"/>
              <w:jc w:val="left"/>
              <w:rPr>
                <w:rFonts w:ascii="宋体" w:hAnsi="宋体" w:cs="宋体" w:eastAsia="宋体" w:hint="default"/>
                <w:sz w:val="18"/>
                <w:szCs w:val="18"/>
              </w:rPr>
            </w:pPr>
            <w:r>
              <w:rPr>
                <w:rFonts w:ascii="宋体" w:hAnsi="宋体" w:cs="宋体" w:eastAsia="宋体" w:hint="default"/>
                <w:sz w:val="18"/>
                <w:szCs w:val="18"/>
              </w:rPr>
              <w:t>十九楼网络股份 有限公司</w:t>
            </w:r>
          </w:p>
        </w:tc>
        <w:tc>
          <w:tcPr>
            <w:tcW w:w="1367" w:type="dxa"/>
            <w:vMerge w:val="restart"/>
            <w:tcBorders>
              <w:top w:val="single" w:sz="4" w:space="0" w:color="000000"/>
              <w:left w:val="single" w:sz="4" w:space="0" w:color="000000"/>
              <w:right w:val="single" w:sz="4" w:space="0" w:color="000000"/>
            </w:tcBorders>
            <w:shd w:val="clear" w:color="auto" w:fill="E1FFFF"/>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杭州都快交通久 一点吧传媒有限 公司</w:t>
            </w:r>
          </w:p>
        </w:tc>
        <w:tc>
          <w:tcPr>
            <w:tcW w:w="1367" w:type="dxa"/>
            <w:vMerge w:val="restart"/>
            <w:tcBorders>
              <w:top w:val="single" w:sz="4" w:space="0" w:color="000000"/>
              <w:left w:val="single" w:sz="4" w:space="0" w:color="000000"/>
              <w:right w:val="single" w:sz="4" w:space="0" w:color="000000"/>
            </w:tcBorders>
            <w:shd w:val="clear" w:color="auto" w:fill="E1FFFF"/>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8" w:right="47"/>
              <w:jc w:val="left"/>
              <w:rPr>
                <w:rFonts w:ascii="宋体" w:hAnsi="宋体" w:cs="宋体" w:eastAsia="宋体" w:hint="default"/>
                <w:sz w:val="18"/>
                <w:szCs w:val="18"/>
              </w:rPr>
            </w:pPr>
            <w:r>
              <w:rPr>
                <w:rFonts w:ascii="宋体" w:hAnsi="宋体" w:cs="宋体" w:eastAsia="宋体" w:hint="default"/>
                <w:sz w:val="18"/>
                <w:szCs w:val="18"/>
              </w:rPr>
              <w:t>北京精典博维文 化传媒有限公司</w:t>
            </w:r>
          </w:p>
        </w:tc>
      </w:tr>
      <w:tr>
        <w:trPr>
          <w:trHeight w:val="392" w:hRule="exact"/>
        </w:trPr>
        <w:tc>
          <w:tcPr>
            <w:tcW w:w="1344" w:type="dxa"/>
            <w:tcBorders>
              <w:top w:val="nil" w:sz="6" w:space="0" w:color="auto"/>
              <w:left w:val="single" w:sz="4" w:space="0" w:color="000000"/>
              <w:bottom w:val="nil" w:sz="6" w:space="0" w:color="auto"/>
              <w:right w:val="single" w:sz="4" w:space="0" w:color="000000"/>
            </w:tcBorders>
            <w:shd w:val="clear" w:color="auto" w:fill="D3D3D3"/>
          </w:tcPr>
          <w:p>
            <w:pPr/>
          </w:p>
        </w:tc>
        <w:tc>
          <w:tcPr>
            <w:tcW w:w="1378" w:type="dxa"/>
            <w:vMerge/>
            <w:tcBorders>
              <w:left w:val="single" w:sz="9" w:space="0" w:color="D3D3D3"/>
              <w:right w:val="single" w:sz="4" w:space="0" w:color="000000"/>
            </w:tcBorders>
            <w:shd w:val="clear" w:color="auto" w:fill="E1FFFF"/>
          </w:tcPr>
          <w:p>
            <w:pPr/>
          </w:p>
        </w:tc>
        <w:tc>
          <w:tcPr>
            <w:tcW w:w="1368" w:type="dxa"/>
            <w:vMerge/>
            <w:tcBorders>
              <w:left w:val="single" w:sz="4" w:space="0" w:color="000000"/>
              <w:right w:val="single" w:sz="4" w:space="0" w:color="000000"/>
            </w:tcBorders>
            <w:shd w:val="clear" w:color="auto" w:fill="E1FFFF"/>
          </w:tcPr>
          <w:p>
            <w:pPr/>
          </w:p>
        </w:tc>
        <w:tc>
          <w:tcPr>
            <w:tcW w:w="1367" w:type="dxa"/>
            <w:vMerge/>
            <w:tcBorders>
              <w:left w:val="single" w:sz="4" w:space="0" w:color="000000"/>
              <w:right w:val="single" w:sz="4" w:space="0" w:color="000000"/>
            </w:tcBorders>
            <w:shd w:val="clear" w:color="auto" w:fill="E1FFFF"/>
          </w:tcPr>
          <w:p>
            <w:pPr/>
          </w:p>
        </w:tc>
        <w:tc>
          <w:tcPr>
            <w:tcW w:w="1367" w:type="dxa"/>
            <w:vMerge/>
            <w:tcBorders>
              <w:left w:val="single" w:sz="4" w:space="0" w:color="000000"/>
              <w:right w:val="single" w:sz="4" w:space="0" w:color="000000"/>
            </w:tcBorders>
            <w:shd w:val="clear" w:color="auto" w:fill="E1FFFF"/>
          </w:tcPr>
          <w:p>
            <w:pPr/>
          </w:p>
        </w:tc>
        <w:tc>
          <w:tcPr>
            <w:tcW w:w="1367" w:type="dxa"/>
            <w:vMerge/>
            <w:tcBorders>
              <w:left w:val="single" w:sz="4" w:space="0" w:color="000000"/>
              <w:right w:val="single" w:sz="4" w:space="0" w:color="000000"/>
            </w:tcBorders>
            <w:shd w:val="clear" w:color="auto" w:fill="E1FFFF"/>
          </w:tcPr>
          <w:p>
            <w:pPr/>
          </w:p>
        </w:tc>
        <w:tc>
          <w:tcPr>
            <w:tcW w:w="1367" w:type="dxa"/>
            <w:vMerge/>
            <w:tcBorders>
              <w:left w:val="single" w:sz="4" w:space="0" w:color="000000"/>
              <w:right w:val="single" w:sz="4" w:space="0" w:color="000000"/>
            </w:tcBorders>
            <w:shd w:val="clear" w:color="auto" w:fill="E1FFFF"/>
          </w:tcPr>
          <w:p>
            <w:pPr/>
          </w:p>
        </w:tc>
      </w:tr>
      <w:tr>
        <w:trPr>
          <w:trHeight w:val="317" w:hRule="exact"/>
        </w:trPr>
        <w:tc>
          <w:tcPr>
            <w:tcW w:w="1344" w:type="dxa"/>
            <w:tcBorders>
              <w:top w:val="nil" w:sz="6" w:space="0" w:color="auto"/>
              <w:left w:val="single" w:sz="4" w:space="0" w:color="000000"/>
              <w:bottom w:val="single" w:sz="4" w:space="0" w:color="000000"/>
              <w:right w:val="single" w:sz="4" w:space="0" w:color="000000"/>
            </w:tcBorders>
            <w:shd w:val="clear" w:color="auto" w:fill="D3D3D3"/>
          </w:tcPr>
          <w:p>
            <w:pPr/>
          </w:p>
        </w:tc>
        <w:tc>
          <w:tcPr>
            <w:tcW w:w="1378" w:type="dxa"/>
            <w:vMerge/>
            <w:tcBorders>
              <w:left w:val="single" w:sz="9" w:space="0" w:color="D3D3D3"/>
              <w:bottom w:val="single" w:sz="4" w:space="0" w:color="000000"/>
              <w:right w:val="single" w:sz="4" w:space="0" w:color="000000"/>
            </w:tcBorders>
            <w:shd w:val="clear" w:color="auto" w:fill="E1FFFF"/>
          </w:tcPr>
          <w:p>
            <w:pPr/>
          </w:p>
        </w:tc>
        <w:tc>
          <w:tcPr>
            <w:tcW w:w="1368" w:type="dxa"/>
            <w:vMerge/>
            <w:tcBorders>
              <w:left w:val="single" w:sz="4" w:space="0" w:color="000000"/>
              <w:bottom w:val="single" w:sz="4" w:space="0" w:color="000000"/>
              <w:right w:val="single" w:sz="4" w:space="0" w:color="000000"/>
            </w:tcBorders>
            <w:shd w:val="clear" w:color="auto" w:fill="E1FFFF"/>
          </w:tcPr>
          <w:p>
            <w:pPr/>
          </w:p>
        </w:tc>
        <w:tc>
          <w:tcPr>
            <w:tcW w:w="1367" w:type="dxa"/>
            <w:vMerge/>
            <w:tcBorders>
              <w:left w:val="single" w:sz="4" w:space="0" w:color="000000"/>
              <w:bottom w:val="single" w:sz="4" w:space="0" w:color="000000"/>
              <w:right w:val="single" w:sz="4" w:space="0" w:color="000000"/>
            </w:tcBorders>
            <w:shd w:val="clear" w:color="auto" w:fill="E1FFFF"/>
          </w:tcPr>
          <w:p>
            <w:pPr/>
          </w:p>
        </w:tc>
        <w:tc>
          <w:tcPr>
            <w:tcW w:w="1367" w:type="dxa"/>
            <w:vMerge/>
            <w:tcBorders>
              <w:left w:val="single" w:sz="4" w:space="0" w:color="000000"/>
              <w:bottom w:val="single" w:sz="4" w:space="0" w:color="000000"/>
              <w:right w:val="single" w:sz="4" w:space="0" w:color="000000"/>
            </w:tcBorders>
            <w:shd w:val="clear" w:color="auto" w:fill="E1FFFF"/>
          </w:tcPr>
          <w:p>
            <w:pPr/>
          </w:p>
        </w:tc>
        <w:tc>
          <w:tcPr>
            <w:tcW w:w="1367" w:type="dxa"/>
            <w:vMerge/>
            <w:tcBorders>
              <w:left w:val="single" w:sz="4" w:space="0" w:color="000000"/>
              <w:bottom w:val="single" w:sz="4" w:space="0" w:color="000000"/>
              <w:right w:val="single" w:sz="4" w:space="0" w:color="000000"/>
            </w:tcBorders>
            <w:shd w:val="clear" w:color="auto" w:fill="E1FFFF"/>
          </w:tcPr>
          <w:p>
            <w:pPr/>
          </w:p>
        </w:tc>
        <w:tc>
          <w:tcPr>
            <w:tcW w:w="1367" w:type="dxa"/>
            <w:vMerge/>
            <w:tcBorders>
              <w:left w:val="single" w:sz="4" w:space="0" w:color="000000"/>
              <w:bottom w:val="single" w:sz="4" w:space="0" w:color="000000"/>
              <w:right w:val="single" w:sz="4" w:space="0" w:color="000000"/>
            </w:tcBorders>
            <w:shd w:val="clear" w:color="auto" w:fill="E1FFFF"/>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3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212,721,827.18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93,250,742.93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79,909,618.61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199,222,573.85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79,555,069.40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3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13,014,500.42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33,397.83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17,080,944.43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10,228,945.11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42,319.08</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3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225,736,327.60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93,284,140.76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96,990,563.04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209,451,518.96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79,597,388.48</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3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34,426,172.99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9,765,501.74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47,895,112.66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31,622,999.11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5,718,788.89</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3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25,850.00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3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34,452,022.99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9,765,501.74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47,895,112.66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31,622,999.11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5,718,788.89</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3,258,605.73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2,945,610.98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归属于母公司股 东权益</w:t>
            </w:r>
          </w:p>
        </w:tc>
        <w:tc>
          <w:tcPr>
            <w:tcW w:w="13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188,025,698.88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83,518,639.02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49,095,450.38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174,882,908.87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73,878,599.59</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按持股比例计算 的净资产份额</w:t>
            </w:r>
          </w:p>
        </w:tc>
        <w:tc>
          <w:tcPr>
            <w:tcW w:w="13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37,511,126.93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37,583,387.56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17,183,407.63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67,907,033.51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33,246,369.82</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对联营企业权益 投资的账面价值</w:t>
            </w:r>
          </w:p>
        </w:tc>
        <w:tc>
          <w:tcPr>
            <w:tcW w:w="13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37,511,126.93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34,488,608.15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117,112,716.78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67,907,185.62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30,150,590.41</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114,899,759.84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80,622,153.35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51,745,409.99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129,755,720.28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98,401,189.77</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14,901,271.51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27,840,039.43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27,407,664.55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26,842,094.21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31,579,469.29</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3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14,901,271.51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27,840,039.43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27,407,664.55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26,842,094.21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31,579,469.29</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62"/>
              <w:jc w:val="both"/>
              <w:rPr>
                <w:rFonts w:ascii="宋体" w:hAnsi="宋体" w:cs="宋体" w:eastAsia="宋体" w:hint="default"/>
                <w:sz w:val="18"/>
                <w:szCs w:val="18"/>
              </w:rPr>
            </w:pPr>
            <w:r>
              <w:rPr>
                <w:rFonts w:ascii="宋体" w:hAnsi="宋体" w:cs="宋体" w:eastAsia="宋体" w:hint="default"/>
                <w:sz w:val="18"/>
                <w:szCs w:val="18"/>
              </w:rPr>
              <w:t>本年度收到的来 自联营企业的股 利</w:t>
            </w:r>
          </w:p>
        </w:tc>
        <w:tc>
          <w:tcPr>
            <w:tcW w:w="137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8,190,000.00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6,213,033.60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8,190,000.00</w:t>
            </w: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）不重要的合营企业和联营企业的汇总财务信息</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96"/>
        <w:gridCol w:w="3075"/>
        <w:gridCol w:w="3175"/>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31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4"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301"/>
        <w:gridCol w:w="3070"/>
        <w:gridCol w:w="3186"/>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140,780,968.19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27,373,626.93</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6,221,041.26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-2,074,233.23</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6,221,041.26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-2,074,233.23</w:t>
            </w:r>
          </w:p>
        </w:tc>
      </w:tr>
    </w:tbl>
    <w:p>
      <w:pPr>
        <w:spacing w:line="240" w:lineRule="auto" w:before="2"/>
        <w:rPr>
          <w:rFonts w:ascii="宋体" w:hAnsi="宋体" w:cs="宋体" w:eastAsia="宋体" w:hint="default"/>
          <w:sz w:val="19"/>
          <w:szCs w:val="19"/>
        </w:rPr>
      </w:pPr>
    </w:p>
    <w:p>
      <w:pPr>
        <w:spacing w:before="35"/>
        <w:ind w:left="15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）合营企业或联营企业向本公司转移资金的能力存在重大限制的说明</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before="0"/>
        <w:ind w:left="15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）合营企业或联营企业发生的超额亏损</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）与合营企业投资相关的未确认承诺</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before="0"/>
        <w:ind w:left="15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）与合营企业或联营企业投资相关的或有负债</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before="0"/>
        <w:ind w:left="15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、重要的共同经营</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sz w:val="21"/>
          <w:szCs w:val="21"/>
        </w:rPr>
      </w:r>
    </w:p>
    <w:p>
      <w:pPr>
        <w:spacing w:line="610" w:lineRule="atLeast" w:before="3"/>
        <w:ind w:left="634" w:right="0" w:hanging="480"/>
        <w:jc w:val="left"/>
        <w:rPr>
          <w:rFonts w:ascii="宋体" w:hAnsi="宋体" w:cs="宋体" w:eastAsia="宋体" w:hint="default"/>
          <w:sz w:val="24"/>
          <w:szCs w:val="24"/>
        </w:rPr>
      </w:pPr>
      <w:r>
        <w:rPr>
          <w:rFonts w:ascii="宋体" w:hAnsi="宋体" w:cs="宋体" w:eastAsia="宋体" w:hint="default"/>
          <w:b/>
          <w:bCs/>
          <w:sz w:val="24"/>
          <w:szCs w:val="24"/>
        </w:rPr>
        <w:t>十、与金融工具相关的风险</w:t>
      </w:r>
      <w:r>
        <w:rPr>
          <w:rFonts w:ascii="宋体" w:hAnsi="宋体" w:cs="宋体" w:eastAsia="宋体" w:hint="default"/>
          <w:b/>
          <w:bCs/>
          <w:spacing w:val="1"/>
          <w:w w:val="99"/>
          <w:sz w:val="24"/>
          <w:szCs w:val="24"/>
        </w:rPr>
        <w:t> </w:t>
      </w:r>
      <w:r>
        <w:rPr>
          <w:rFonts w:ascii="宋体" w:hAnsi="宋体" w:cs="宋体" w:eastAsia="宋体" w:hint="default"/>
          <w:sz w:val="24"/>
          <w:szCs w:val="24"/>
        </w:rPr>
        <w:t>本公司的主要金融工具包括股权投资、借款、应收账款、应付账款等，各项金融工具的</w:t>
      </w:r>
    </w:p>
    <w:p>
      <w:pPr>
        <w:pStyle w:val="BodyText"/>
        <w:spacing w:line="312" w:lineRule="exact" w:before="28"/>
        <w:ind w:right="148"/>
        <w:jc w:val="both"/>
      </w:pPr>
      <w:r>
        <w:rPr/>
        <w:t>详细情况说明见本附注六相关项目。与这些金融工具有关的风险，以及本公司为降低这些风</w:t>
      </w:r>
      <w:r>
        <w:rPr>
          <w:spacing w:val="-83"/>
        </w:rPr>
        <w:t> </w:t>
      </w:r>
      <w:r>
        <w:rPr>
          <w:spacing w:val="-83"/>
        </w:rPr>
      </w:r>
      <w:r>
        <w:rPr/>
        <w:t>险所采取的风险管理政策如下所述。本公司管理层对这些风险敞口进行管理和监控以确保将</w:t>
      </w:r>
      <w:r>
        <w:rPr>
          <w:spacing w:val="-83"/>
        </w:rPr>
        <w:t> </w:t>
      </w:r>
      <w:r>
        <w:rPr>
          <w:spacing w:val="-83"/>
        </w:rPr>
      </w:r>
      <w:r>
        <w:rPr/>
        <w:t>上述风险控制在限定的范围之内。</w:t>
      </w:r>
    </w:p>
    <w:p>
      <w:pPr>
        <w:pStyle w:val="BodyText"/>
        <w:spacing w:line="312" w:lineRule="exact"/>
        <w:ind w:right="148" w:firstLine="480"/>
        <w:jc w:val="both"/>
      </w:pPr>
      <w:r>
        <w:rPr/>
        <w:t>本公司采用敏感性分析技术分析风险变量的合理、可能变化对当期损益或股东权益可能</w:t>
      </w:r>
      <w:r>
        <w:rPr>
          <w:spacing w:val="1"/>
        </w:rPr>
        <w:t> </w:t>
      </w:r>
      <w:r>
        <w:rPr/>
        <w:t>产生的影响。由于任何风险变量很少孤立地发生变化，而变量之间存在的相关性对某一风险</w:t>
      </w:r>
      <w:r>
        <w:rPr>
          <w:spacing w:val="-83"/>
        </w:rPr>
        <w:t> </w:t>
      </w:r>
      <w:r>
        <w:rPr>
          <w:spacing w:val="-83"/>
        </w:rPr>
      </w:r>
      <w:r>
        <w:rPr/>
        <w:t>变量的变化的最终影响金额将产生重大作用，因此下述内容是在假设每一变量的变化是在独</w:t>
      </w:r>
      <w:r>
        <w:rPr>
          <w:spacing w:val="-83"/>
        </w:rPr>
        <w:t> </w:t>
      </w:r>
      <w:r>
        <w:rPr>
          <w:spacing w:val="-83"/>
        </w:rPr>
      </w:r>
      <w:r>
        <w:rPr/>
        <w:t>立的情况下进行的。</w:t>
      </w:r>
    </w:p>
    <w:p>
      <w:pPr>
        <w:spacing w:line="312" w:lineRule="exact" w:before="0"/>
        <w:ind w:left="634" w:right="0" w:firstLine="2"/>
        <w:jc w:val="left"/>
        <w:rPr>
          <w:rFonts w:ascii="宋体" w:hAnsi="宋体" w:cs="宋体" w:eastAsia="宋体" w:hint="default"/>
          <w:sz w:val="24"/>
          <w:szCs w:val="24"/>
        </w:rPr>
      </w:pPr>
      <w:r>
        <w:rPr>
          <w:rFonts w:ascii="宋体" w:hAnsi="宋体" w:cs="宋体" w:eastAsia="宋体" w:hint="default"/>
          <w:b/>
          <w:bCs/>
          <w:sz w:val="24"/>
          <w:szCs w:val="24"/>
        </w:rPr>
        <w:t>（一）风险管理目标和政策</w:t>
      </w:r>
      <w:r>
        <w:rPr>
          <w:rFonts w:ascii="宋体" w:hAnsi="宋体" w:cs="宋体" w:eastAsia="宋体" w:hint="default"/>
          <w:b/>
          <w:bCs/>
          <w:spacing w:val="1"/>
          <w:w w:val="99"/>
          <w:sz w:val="24"/>
          <w:szCs w:val="24"/>
        </w:rPr>
        <w:t> </w:t>
      </w:r>
      <w:r>
        <w:rPr>
          <w:rFonts w:ascii="宋体" w:hAnsi="宋体" w:cs="宋体" w:eastAsia="宋体" w:hint="default"/>
          <w:sz w:val="24"/>
          <w:szCs w:val="24"/>
        </w:rPr>
        <w:t>本公司从事风险管理的目标是在风险和收益之间取得适当的平衡，将风险对本公司经营</w:t>
      </w:r>
    </w:p>
    <w:p>
      <w:pPr>
        <w:pStyle w:val="BodyText"/>
        <w:spacing w:line="312" w:lineRule="exact"/>
        <w:ind w:left="154" w:right="148"/>
        <w:jc w:val="both"/>
      </w:pPr>
      <w:r>
        <w:rPr/>
        <w:t>业绩的负面影响降低到最低水平，使股东及其其他权益投资者的利益最大化。基于该风险管</w:t>
      </w:r>
      <w:r>
        <w:rPr>
          <w:spacing w:val="-83"/>
        </w:rPr>
        <w:t> </w:t>
      </w:r>
      <w:r>
        <w:rPr>
          <w:spacing w:val="-83"/>
        </w:rPr>
      </w:r>
      <w:r>
        <w:rPr/>
        <w:t>理目标，本公司风险管理的基本策略是确定和分析本公司所面临的各种风险，建立适当的风</w:t>
      </w:r>
      <w:r>
        <w:rPr>
          <w:spacing w:val="-83"/>
        </w:rPr>
        <w:t> </w:t>
      </w:r>
      <w:r>
        <w:rPr>
          <w:spacing w:val="-83"/>
        </w:rPr>
      </w:r>
      <w:r>
        <w:rPr/>
        <w:t>险承受底线和进行风险管理，并及时可靠地对各种风险进行监督，将风险控制在限定的范围</w:t>
      </w:r>
      <w:r>
        <w:rPr>
          <w:spacing w:val="-83"/>
        </w:rPr>
        <w:t> </w:t>
      </w:r>
      <w:r>
        <w:rPr>
          <w:spacing w:val="-83"/>
        </w:rPr>
      </w:r>
      <w:r>
        <w:rPr/>
        <w:t>之内。</w:t>
      </w:r>
    </w:p>
    <w:p>
      <w:pPr>
        <w:pStyle w:val="Heading3"/>
        <w:spacing w:line="302" w:lineRule="exact"/>
        <w:ind w:left="636" w:right="0"/>
        <w:jc w:val="left"/>
        <w:rPr>
          <w:b w:val="0"/>
          <w:bCs w:val="0"/>
        </w:rPr>
      </w:pPr>
      <w:r>
        <w:rPr>
          <w:rFonts w:ascii="Times New Roman" w:hAnsi="Times New Roman" w:cs="Times New Roman" w:eastAsia="Times New Roman" w:hint="default"/>
        </w:rPr>
        <w:t>1</w:t>
      </w:r>
      <w:r>
        <w:rPr/>
        <w:t>、市场风险</w:t>
      </w:r>
      <w:r>
        <w:rPr>
          <w:b w:val="0"/>
          <w:bCs w:val="0"/>
        </w:rPr>
      </w:r>
    </w:p>
    <w:p>
      <w:pPr>
        <w:spacing w:after="0" w:line="302" w:lineRule="exact"/>
        <w:jc w:val="left"/>
        <w:sectPr>
          <w:pgSz w:w="11910" w:h="16840"/>
          <w:pgMar w:header="0" w:footer="982" w:top="1100" w:bottom="1180" w:left="980" w:right="980"/>
        </w:sectPr>
      </w:pPr>
    </w:p>
    <w:p>
      <w:pPr>
        <w:spacing w:line="240" w:lineRule="auto" w:before="7"/>
        <w:rPr>
          <w:rFonts w:ascii="宋体" w:hAnsi="宋体" w:cs="宋体" w:eastAsia="宋体" w:hint="default"/>
          <w:b/>
          <w:bCs/>
          <w:sz w:val="19"/>
          <w:szCs w:val="19"/>
        </w:rPr>
      </w:pPr>
    </w:p>
    <w:p>
      <w:pPr>
        <w:pStyle w:val="BodyText"/>
        <w:spacing w:line="312" w:lineRule="exact" w:before="56"/>
        <w:ind w:left="633" w:right="99"/>
        <w:jc w:val="left"/>
      </w:pPr>
      <w:r>
        <w:rPr/>
        <w:t>（</w:t>
      </w:r>
      <w:r>
        <w:rPr>
          <w:rFonts w:ascii="Times New Roman" w:hAnsi="Times New Roman" w:cs="Times New Roman" w:eastAsia="Times New Roman" w:hint="default"/>
        </w:rPr>
        <w:t>1</w:t>
      </w:r>
      <w:r>
        <w:rPr/>
        <w:t>）外汇风险 外汇风险是因汇率变动产生的风险。本公司于中国内地经营，且活动以人民币计价。因</w:t>
      </w:r>
    </w:p>
    <w:p>
      <w:pPr>
        <w:pStyle w:val="BodyText"/>
        <w:spacing w:line="282" w:lineRule="exact"/>
        <w:ind w:right="99"/>
        <w:jc w:val="left"/>
      </w:pPr>
      <w:r>
        <w:rPr/>
        <w:t>此，本公司受到汇率变动风险的影响不大。</w:t>
      </w:r>
    </w:p>
    <w:p>
      <w:pPr>
        <w:pStyle w:val="BodyText"/>
        <w:spacing w:line="312" w:lineRule="exact" w:before="29"/>
        <w:ind w:left="633" w:right="99"/>
        <w:jc w:val="left"/>
      </w:pPr>
      <w:r>
        <w:rPr/>
        <w:t>（</w:t>
      </w:r>
      <w:r>
        <w:rPr>
          <w:rFonts w:ascii="Times New Roman" w:hAnsi="Times New Roman" w:cs="Times New Roman" w:eastAsia="Times New Roman" w:hint="default"/>
        </w:rPr>
        <w:t>2</w:t>
      </w:r>
      <w:r>
        <w:rPr/>
        <w:t>）利率风险－现金流量变动风险 </w:t>
      </w:r>
      <w:r>
        <w:rPr>
          <w:spacing w:val="-3"/>
        </w:rPr>
        <w:t>利率风险，是指金融工具的公允价值或未来现金流量因市场利率变动而发生波动的风险。</w:t>
      </w:r>
    </w:p>
    <w:p>
      <w:pPr>
        <w:pStyle w:val="BodyText"/>
        <w:spacing w:line="312" w:lineRule="exact"/>
        <w:ind w:right="99"/>
        <w:jc w:val="left"/>
      </w:pPr>
      <w:r>
        <w:rPr/>
        <w:t>本公司目前不存在浮动利率计息的借款情况。因此，本公司不受到利率风险－现金流量变动</w:t>
      </w:r>
      <w:r>
        <w:rPr>
          <w:spacing w:val="-83"/>
        </w:rPr>
        <w:t> </w:t>
      </w:r>
      <w:r>
        <w:rPr>
          <w:spacing w:val="-83"/>
        </w:rPr>
      </w:r>
      <w:r>
        <w:rPr/>
        <w:t>风险的影响。</w:t>
      </w:r>
    </w:p>
    <w:p>
      <w:pPr>
        <w:pStyle w:val="BodyText"/>
        <w:spacing w:line="312" w:lineRule="exact"/>
        <w:ind w:left="633" w:right="99"/>
        <w:jc w:val="left"/>
      </w:pPr>
      <w:r>
        <w:rPr/>
        <w:t>（</w:t>
      </w:r>
      <w:r>
        <w:rPr>
          <w:rFonts w:ascii="Times New Roman" w:hAnsi="Times New Roman" w:cs="Times New Roman" w:eastAsia="Times New Roman" w:hint="default"/>
        </w:rPr>
        <w:t>3</w:t>
      </w:r>
      <w:r>
        <w:rPr/>
        <w:t>）其他价格风险 本公司管理层认为金融资产、金融负债的摊余成本与公允价值无重大差异，市场价格风</w:t>
      </w:r>
    </w:p>
    <w:p>
      <w:pPr>
        <w:pStyle w:val="BodyText"/>
        <w:spacing w:line="282" w:lineRule="exact"/>
        <w:ind w:right="99"/>
        <w:jc w:val="left"/>
      </w:pPr>
      <w:r>
        <w:rPr/>
        <w:t>险是可以接受的。</w:t>
      </w:r>
    </w:p>
    <w:p>
      <w:pPr>
        <w:pStyle w:val="Heading3"/>
        <w:spacing w:line="321" w:lineRule="exact"/>
        <w:ind w:left="636" w:right="99"/>
        <w:jc w:val="left"/>
        <w:rPr>
          <w:b w:val="0"/>
          <w:bCs w:val="0"/>
        </w:rPr>
      </w:pPr>
      <w:r>
        <w:rPr>
          <w:rFonts w:ascii="Times New Roman" w:hAnsi="Times New Roman" w:cs="Times New Roman" w:eastAsia="Times New Roman" w:hint="default"/>
        </w:rPr>
        <w:t>2</w:t>
      </w:r>
      <w:r>
        <w:rPr/>
        <w:t>、信用风险</w:t>
      </w:r>
      <w:r>
        <w:rPr>
          <w:b w:val="0"/>
          <w:bCs w:val="0"/>
        </w:rPr>
      </w:r>
    </w:p>
    <w:p>
      <w:pPr>
        <w:pStyle w:val="BodyText"/>
        <w:spacing w:line="312" w:lineRule="exact" w:before="20"/>
        <w:ind w:right="228" w:firstLine="48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日，可能引起本公司财务损失的最大信用风险敞口主要来自于合同另一方</w:t>
      </w:r>
      <w:r>
        <w:rPr>
          <w:spacing w:val="1"/>
        </w:rPr>
        <w:t> </w:t>
      </w:r>
      <w:r>
        <w:rPr/>
        <w:t>未能履行义务而导致本公司金融资产产生的损失以及本公司承担的财务担保，具体包括：合</w:t>
      </w:r>
      <w:r>
        <w:rPr>
          <w:spacing w:val="-83"/>
        </w:rPr>
        <w:t> </w:t>
      </w:r>
      <w:r>
        <w:rPr>
          <w:spacing w:val="-83"/>
        </w:rPr>
      </w:r>
      <w:r>
        <w:rPr/>
        <w:t>并资产负债表中已确认的金融资产的账面金额。</w:t>
      </w:r>
    </w:p>
    <w:p>
      <w:pPr>
        <w:pStyle w:val="BodyText"/>
        <w:spacing w:line="312" w:lineRule="exact"/>
        <w:ind w:right="228" w:firstLine="480"/>
        <w:jc w:val="both"/>
      </w:pPr>
      <w:r>
        <w:rPr/>
        <w:t>为降低信用风险，本公司有相应部门负责确定信用额度、进行信用审批，并执行其他监</w:t>
      </w:r>
      <w:r>
        <w:rPr>
          <w:spacing w:val="1"/>
        </w:rPr>
        <w:t> </w:t>
      </w:r>
      <w:r>
        <w:rPr/>
        <w:t>控程序以确保采取必要的措施回收过期债权。此外，本公司于每个资产负债表日审核每一单</w:t>
      </w:r>
      <w:r>
        <w:rPr>
          <w:spacing w:val="-83"/>
        </w:rPr>
        <w:t> </w:t>
      </w:r>
      <w:r>
        <w:rPr>
          <w:spacing w:val="-83"/>
        </w:rPr>
      </w:r>
      <w:r>
        <w:rPr/>
        <w:t>项应收款的回收情况，以确保就无法回收的款项计提充分的坏账准备。因此，本公司管理层</w:t>
      </w:r>
      <w:r>
        <w:rPr>
          <w:spacing w:val="-83"/>
        </w:rPr>
        <w:t> </w:t>
      </w:r>
      <w:r>
        <w:rPr>
          <w:spacing w:val="-83"/>
        </w:rPr>
      </w:r>
      <w:r>
        <w:rPr/>
        <w:t>认为本公司所承担的信用风险已经大为降低。</w:t>
      </w:r>
    </w:p>
    <w:p>
      <w:pPr>
        <w:pStyle w:val="BodyText"/>
        <w:spacing w:line="312" w:lineRule="exact"/>
        <w:ind w:left="633" w:right="99"/>
        <w:jc w:val="left"/>
      </w:pPr>
      <w:r>
        <w:rPr/>
        <w:t>本公司的流动资金存放在信用评级较高的银行，故流动资金的信用风险较低。 已发生单项减值的金融资产的分析，包括判断该金融资产发生减值所考虑的因素。 </w:t>
      </w:r>
      <w:r>
        <w:rPr>
          <w:spacing w:val="-3"/>
        </w:rPr>
        <w:t>本公司采用了必要的政策确保所有销售客户均具有良好的信用记录。除下表所列项目外，</w:t>
      </w:r>
    </w:p>
    <w:p>
      <w:pPr>
        <w:pStyle w:val="BodyText"/>
        <w:spacing w:line="283" w:lineRule="exact"/>
        <w:ind w:left="154" w:right="99"/>
        <w:jc w:val="left"/>
      </w:pPr>
      <w:r>
        <w:rPr/>
        <w:t>本公司无其他重大信用集中风险。</w:t>
      </w:r>
    </w:p>
    <w:p>
      <w:pPr>
        <w:spacing w:line="240" w:lineRule="auto" w:before="1"/>
        <w:rPr>
          <w:rFonts w:ascii="宋体" w:hAnsi="宋体" w:cs="宋体" w:eastAsia="宋体" w:hint="default"/>
          <w:sz w:val="27"/>
          <w:szCs w:val="27"/>
        </w:rPr>
      </w:pPr>
    </w:p>
    <w:tbl>
      <w:tblPr>
        <w:tblW w:w="0" w:type="auto"/>
        <w:jc w:val="left"/>
        <w:tblInd w:w="139" w:type="dxa"/>
        <w:tblLayout w:type="fixed"/>
        <w:tblCellMar>
          <w:top w:w="0" w:type="dxa"/>
          <w:left w:w="0" w:type="dxa"/>
          <w:bottom w:w="0" w:type="dxa"/>
          <w:right w:w="0" w:type="dxa"/>
        </w:tblCellMar>
        <w:tblLook w:val="01E0"/>
      </w:tblPr>
      <w:tblGrid>
        <w:gridCol w:w="5292"/>
        <w:gridCol w:w="2183"/>
        <w:gridCol w:w="2183"/>
      </w:tblGrid>
      <w:tr>
        <w:trPr>
          <w:trHeight w:val="337" w:hRule="exact"/>
        </w:trPr>
        <w:tc>
          <w:tcPr>
            <w:tcW w:w="5292"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218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年末数</w:t>
            </w:r>
          </w:p>
        </w:tc>
        <w:tc>
          <w:tcPr>
            <w:tcW w:w="218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Times New Roman" w:hAnsi="Times New Roman" w:cs="Times New Roman" w:eastAsia="Times New Roman" w:hint="default"/>
                <w:sz w:val="21"/>
                <w:szCs w:val="21"/>
              </w:rPr>
              <w:t>—</w:t>
            </w:r>
            <w:r>
              <w:rPr>
                <w:rFonts w:ascii="宋体" w:hAnsi="宋体" w:cs="宋体" w:eastAsia="宋体" w:hint="default"/>
                <w:sz w:val="21"/>
                <w:szCs w:val="21"/>
              </w:rPr>
              <w:t>杭州诚耀速递有限公司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328,563.70</w:t>
            </w:r>
            <w:r>
              <w:rPr>
                <w:rFonts w:ascii="Times New Roman"/>
                <w:sz w:val="21"/>
              </w:rPr>
            </w:r>
          </w:p>
        </w:tc>
        <w:tc>
          <w:tcPr>
            <w:tcW w:w="218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Times New Roman" w:hAnsi="Times New Roman" w:cs="Times New Roman" w:eastAsia="Times New Roman" w:hint="default"/>
                <w:sz w:val="21"/>
                <w:szCs w:val="21"/>
              </w:rPr>
              <w:t>—</w:t>
            </w:r>
            <w:r>
              <w:rPr>
                <w:rFonts w:ascii="宋体" w:hAnsi="宋体" w:cs="宋体" w:eastAsia="宋体" w:hint="default"/>
                <w:sz w:val="21"/>
                <w:szCs w:val="21"/>
              </w:rPr>
              <w:t>杭州百安锦图广告有限公司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319,000.00</w:t>
            </w:r>
            <w:r>
              <w:rPr>
                <w:rFonts w:ascii="Times New Roman"/>
                <w:sz w:val="21"/>
              </w:rPr>
            </w:r>
          </w:p>
        </w:tc>
        <w:tc>
          <w:tcPr>
            <w:tcW w:w="2183"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Times New Roman" w:hAnsi="Times New Roman" w:cs="Times New Roman" w:eastAsia="Times New Roman" w:hint="default"/>
                <w:sz w:val="21"/>
                <w:szCs w:val="21"/>
              </w:rPr>
              <w:t>—</w:t>
            </w:r>
            <w:r>
              <w:rPr>
                <w:rFonts w:ascii="宋体" w:hAnsi="宋体" w:cs="宋体" w:eastAsia="宋体" w:hint="default"/>
                <w:sz w:val="21"/>
                <w:szCs w:val="21"/>
              </w:rPr>
              <w:t>天工艺苑股份有限公司</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40,000.00</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40,000.00</w:t>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Times New Roman" w:hAnsi="Times New Roman" w:cs="Times New Roman" w:eastAsia="Times New Roman" w:hint="default"/>
                <w:sz w:val="21"/>
                <w:szCs w:val="21"/>
              </w:rPr>
              <w:t>—</w:t>
            </w:r>
            <w:r>
              <w:rPr>
                <w:rFonts w:ascii="宋体" w:hAnsi="宋体" w:cs="宋体" w:eastAsia="宋体" w:hint="default"/>
                <w:sz w:val="21"/>
                <w:szCs w:val="21"/>
              </w:rPr>
              <w:t>德胜社区</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5,000.00</w:t>
            </w:r>
            <w:r>
              <w:rPr>
                <w:rFonts w:ascii="Times New Roman"/>
                <w:sz w:val="21"/>
              </w:rPr>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5,000.00</w:t>
            </w:r>
            <w:r>
              <w:rPr>
                <w:rFonts w:ascii="Times New Roman"/>
                <w:sz w:val="21"/>
              </w:rPr>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Times New Roman" w:hAnsi="Times New Roman" w:cs="Times New Roman" w:eastAsia="Times New Roman" w:hint="default"/>
                <w:sz w:val="21"/>
                <w:szCs w:val="21"/>
              </w:rPr>
              <w:t>—</w:t>
            </w:r>
            <w:r>
              <w:rPr>
                <w:rFonts w:ascii="宋体" w:hAnsi="宋体" w:cs="宋体" w:eastAsia="宋体" w:hint="default"/>
                <w:sz w:val="21"/>
                <w:szCs w:val="21"/>
              </w:rPr>
              <w:t>双荡弄社区</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5,000.00</w:t>
            </w:r>
            <w:r>
              <w:rPr>
                <w:rFonts w:ascii="Times New Roman"/>
                <w:sz w:val="21"/>
              </w:rPr>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5,000.00</w:t>
            </w:r>
            <w:r>
              <w:rPr>
                <w:rFonts w:ascii="Times New Roman"/>
                <w:sz w:val="21"/>
              </w:rPr>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spacing w:line="287" w:lineRule="exact"/>
              <w:ind w:left="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Times New Roman" w:hAnsi="Times New Roman" w:cs="Times New Roman" w:eastAsia="Times New Roman" w:hint="default"/>
                <w:sz w:val="21"/>
                <w:szCs w:val="21"/>
              </w:rPr>
              <w:t>—</w:t>
            </w:r>
            <w:r>
              <w:rPr>
                <w:rFonts w:ascii="宋体" w:hAnsi="宋体" w:cs="宋体" w:eastAsia="宋体" w:hint="default"/>
                <w:sz w:val="21"/>
                <w:szCs w:val="21"/>
              </w:rPr>
              <w:t>石塘社区</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5,000.00</w:t>
            </w:r>
            <w:r>
              <w:rPr>
                <w:rFonts w:ascii="Times New Roman"/>
                <w:sz w:val="21"/>
              </w:rPr>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5,000.00</w:t>
            </w:r>
            <w:r>
              <w:rPr>
                <w:rFonts w:ascii="Times New Roman"/>
                <w:sz w:val="21"/>
              </w:rPr>
            </w:r>
          </w:p>
        </w:tc>
      </w:tr>
      <w:tr>
        <w:trPr>
          <w:trHeight w:val="342" w:hRule="exact"/>
        </w:trPr>
        <w:tc>
          <w:tcPr>
            <w:tcW w:w="5292" w:type="dxa"/>
            <w:tcBorders>
              <w:top w:val="single" w:sz="4" w:space="0" w:color="000000"/>
              <w:left w:val="single" w:sz="4" w:space="0" w:color="000000"/>
              <w:bottom w:val="single" w:sz="4" w:space="0" w:color="000000"/>
              <w:right w:val="single" w:sz="4" w:space="0" w:color="000000"/>
            </w:tcBorders>
          </w:tcPr>
          <w:p>
            <w:pPr>
              <w:pStyle w:val="TableParagraph"/>
              <w:tabs>
                <w:tab w:pos="545" w:val="left" w:leader="none"/>
              </w:tabs>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702,563.70</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55,000.00</w:t>
            </w:r>
          </w:p>
        </w:tc>
      </w:tr>
    </w:tbl>
    <w:p>
      <w:pPr>
        <w:spacing w:line="240" w:lineRule="auto" w:before="11"/>
        <w:rPr>
          <w:rFonts w:ascii="宋体" w:hAnsi="宋体" w:cs="宋体" w:eastAsia="宋体" w:hint="default"/>
          <w:sz w:val="18"/>
          <w:szCs w:val="18"/>
        </w:rPr>
      </w:pPr>
    </w:p>
    <w:p>
      <w:pPr>
        <w:pStyle w:val="BodyText"/>
        <w:spacing w:line="312" w:lineRule="exact" w:before="56"/>
        <w:ind w:left="634" w:right="99" w:firstLine="2"/>
        <w:jc w:val="left"/>
      </w:pPr>
      <w:r>
        <w:rPr>
          <w:rFonts w:ascii="Times New Roman" w:hAnsi="Times New Roman" w:cs="Times New Roman" w:eastAsia="Times New Roman" w:hint="default"/>
          <w:b/>
          <w:bCs/>
        </w:rPr>
        <w:t>3</w:t>
      </w:r>
      <w:r>
        <w:rPr>
          <w:rFonts w:ascii="宋体" w:hAnsi="宋体" w:cs="宋体" w:eastAsia="宋体" w:hint="default"/>
          <w:b/>
          <w:bCs/>
        </w:rPr>
        <w:t>、流动风险</w:t>
      </w:r>
      <w:r>
        <w:rPr>
          <w:rFonts w:ascii="宋体" w:hAnsi="宋体" w:cs="宋体" w:eastAsia="宋体" w:hint="default"/>
          <w:b/>
          <w:bCs/>
          <w:w w:val="99"/>
        </w:rPr>
        <w:t> </w:t>
      </w:r>
      <w:r>
        <w:rPr/>
        <w:t>管理流动风险时，本公司保持管理层认为充分的现金及现金等价物并对其进行监控，以</w:t>
      </w:r>
    </w:p>
    <w:p>
      <w:pPr>
        <w:pStyle w:val="BodyText"/>
        <w:spacing w:line="312" w:lineRule="exact"/>
        <w:ind w:right="99"/>
        <w:jc w:val="left"/>
      </w:pPr>
      <w:r>
        <w:rPr/>
        <w:t>满足本公司经营需要，并降低现金流量波动的影响。本公司管理层对银行借款的使用情况进</w:t>
      </w:r>
      <w:r>
        <w:rPr>
          <w:spacing w:val="-83"/>
        </w:rPr>
        <w:t> </w:t>
      </w:r>
      <w:r>
        <w:rPr>
          <w:spacing w:val="-83"/>
        </w:rPr>
      </w:r>
      <w:r>
        <w:rPr/>
        <w:t>行监控并确保遵守借款协议。</w:t>
      </w:r>
    </w:p>
    <w:p>
      <w:pPr>
        <w:pStyle w:val="BodyText"/>
        <w:spacing w:line="283" w:lineRule="exact"/>
        <w:ind w:left="633" w:right="99"/>
        <w:jc w:val="left"/>
      </w:pPr>
      <w:r>
        <w:rPr/>
        <w:t>本公司持有的金融负债按未折现剩余合同义务的到期期限分析如下：</w:t>
      </w:r>
    </w:p>
    <w:p>
      <w:pPr>
        <w:spacing w:line="240" w:lineRule="auto" w:before="9"/>
        <w:rPr>
          <w:rFonts w:ascii="宋体" w:hAnsi="宋体" w:cs="宋体" w:eastAsia="宋体" w:hint="default"/>
          <w:sz w:val="26"/>
          <w:szCs w:val="26"/>
        </w:rPr>
      </w:pPr>
    </w:p>
    <w:tbl>
      <w:tblPr>
        <w:tblW w:w="0" w:type="auto"/>
        <w:jc w:val="left"/>
        <w:tblInd w:w="139" w:type="dxa"/>
        <w:tblLayout w:type="fixed"/>
        <w:tblCellMar>
          <w:top w:w="0" w:type="dxa"/>
          <w:left w:w="0" w:type="dxa"/>
          <w:bottom w:w="0" w:type="dxa"/>
          <w:right w:w="0" w:type="dxa"/>
        </w:tblCellMar>
        <w:tblLook w:val="01E0"/>
      </w:tblPr>
      <w:tblGrid>
        <w:gridCol w:w="1264"/>
        <w:gridCol w:w="1495"/>
        <w:gridCol w:w="1387"/>
        <w:gridCol w:w="1480"/>
        <w:gridCol w:w="1333"/>
        <w:gridCol w:w="1333"/>
        <w:gridCol w:w="1366"/>
      </w:tblGrid>
      <w:tr>
        <w:trPr>
          <w:trHeight w:val="654" w:hRule="exact"/>
        </w:trPr>
        <w:tc>
          <w:tcPr>
            <w:tcW w:w="126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1"/>
              <w:ind w:left="332"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149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1"/>
              <w:ind w:left="321"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8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73" w:lineRule="auto"/>
              <w:ind w:left="583" w:right="59" w:hanging="526"/>
              <w:jc w:val="left"/>
              <w:rPr>
                <w:rFonts w:ascii="宋体" w:hAnsi="宋体" w:cs="宋体" w:eastAsia="宋体" w:hint="default"/>
                <w:sz w:val="21"/>
                <w:szCs w:val="21"/>
              </w:rPr>
            </w:pPr>
            <w:r>
              <w:rPr>
                <w:rFonts w:ascii="宋体" w:hAnsi="宋体" w:cs="宋体" w:eastAsia="宋体" w:hint="default"/>
                <w:sz w:val="21"/>
                <w:szCs w:val="21"/>
              </w:rPr>
              <w:t>未折现合同金 额</w:t>
            </w:r>
          </w:p>
        </w:tc>
        <w:tc>
          <w:tcPr>
            <w:tcW w:w="148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1"/>
              <w:ind w:left="36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33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1"/>
              <w:ind w:left="4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1333"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1"/>
              <w:ind w:left="4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w:t>
            </w:r>
          </w:p>
        </w:tc>
        <w:tc>
          <w:tcPr>
            <w:tcW w:w="1366"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151"/>
              <w:ind w:left="3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r>
      <w:tr>
        <w:trPr>
          <w:trHeight w:val="342"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7,745,000.00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7,745,000.00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7,745,000.00</w:t>
            </w:r>
          </w:p>
        </w:tc>
        <w:tc>
          <w:tcPr>
            <w:tcW w:w="1333" w:type="dxa"/>
            <w:tcBorders>
              <w:top w:val="single" w:sz="4" w:space="0" w:color="000000"/>
              <w:left w:val="single" w:sz="4" w:space="0" w:color="000000"/>
              <w:bottom w:val="single" w:sz="4" w:space="0" w:color="000000"/>
              <w:right w:val="single" w:sz="4" w:space="0" w:color="000000"/>
            </w:tcBorders>
          </w:tcPr>
          <w:p>
            <w:pPr/>
          </w:p>
        </w:tc>
        <w:tc>
          <w:tcPr>
            <w:tcW w:w="1333"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122,387,716.24</w:t>
            </w:r>
            <w:r>
              <w:rPr>
                <w:rFonts w:ascii="Times New Roman"/>
                <w:sz w:val="21"/>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122,387,716.24</w:t>
            </w:r>
            <w:r>
              <w:rPr>
                <w:rFonts w:ascii="Times New Roman"/>
                <w:sz w:val="21"/>
              </w:rPr>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117,996,187.60</w:t>
            </w:r>
            <w:r>
              <w:rPr>
                <w:rFonts w:ascii="Times New Roman"/>
                <w:sz w:val="21"/>
              </w:rPr>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3,790,105.79</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156,159.65</w:t>
            </w:r>
            <w:r>
              <w:rPr>
                <w:rFonts w:ascii="Times New Roman"/>
                <w:sz w:val="21"/>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445,263.20</w:t>
            </w:r>
            <w:r>
              <w:rPr>
                <w:rFonts w:ascii="Times New Roman"/>
                <w:sz w:val="21"/>
              </w:rPr>
            </w:r>
          </w:p>
        </w:tc>
      </w:tr>
      <w:tr>
        <w:trPr>
          <w:trHeight w:val="343" w:hRule="exact"/>
        </w:trPr>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132,155,537.00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pacing w:val="-1"/>
                <w:sz w:val="21"/>
              </w:rPr>
              <w:t>132,155,537.00</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126,958,463.77</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2,950,738.99</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1,160,947.16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1,085,387.08</w:t>
            </w:r>
          </w:p>
        </w:tc>
      </w:tr>
    </w:tbl>
    <w:p>
      <w:pPr>
        <w:spacing w:after="0" w:line="240" w:lineRule="auto"/>
        <w:jc w:val="right"/>
        <w:rPr>
          <w:rFonts w:ascii="Times New Roman" w:hAnsi="Times New Roman" w:cs="Times New Roman" w:eastAsia="Times New Roman" w:hint="default"/>
          <w:sz w:val="21"/>
          <w:szCs w:val="21"/>
        </w:rPr>
        <w:sectPr>
          <w:pgSz w:w="11910" w:h="16840"/>
          <w:pgMar w:header="0" w:footer="982" w:top="1100" w:bottom="1180" w:left="980" w:right="900"/>
        </w:sectPr>
      </w:pPr>
    </w:p>
    <w:p>
      <w:pPr>
        <w:spacing w:line="240" w:lineRule="auto" w:before="7"/>
        <w:rPr>
          <w:rFonts w:ascii="宋体" w:hAnsi="宋体" w:cs="宋体" w:eastAsia="宋体" w:hint="default"/>
          <w:sz w:val="19"/>
          <w:szCs w:val="19"/>
        </w:rPr>
      </w:pPr>
    </w:p>
    <w:p>
      <w:pPr>
        <w:pStyle w:val="Heading3"/>
        <w:spacing w:line="312" w:lineRule="exact" w:before="56"/>
        <w:ind w:left="634" w:right="7119" w:firstLine="2"/>
        <w:jc w:val="left"/>
        <w:rPr>
          <w:rFonts w:ascii="宋体" w:hAnsi="宋体" w:cs="宋体" w:eastAsia="宋体" w:hint="default"/>
          <w:b w:val="0"/>
          <w:bCs w:val="0"/>
        </w:rPr>
      </w:pPr>
      <w:r>
        <w:rPr/>
        <w:t>（二）金融资产转移</w:t>
      </w:r>
      <w:r>
        <w:rPr>
          <w:spacing w:val="1"/>
          <w:w w:val="99"/>
        </w:rPr>
        <w:t> </w:t>
      </w:r>
      <w:r>
        <w:rPr>
          <w:rFonts w:ascii="宋体" w:hAnsi="宋体" w:cs="宋体" w:eastAsia="宋体" w:hint="default"/>
          <w:b w:val="0"/>
          <w:bCs w:val="0"/>
        </w:rPr>
        <w:t>无。</w:t>
      </w:r>
    </w:p>
    <w:p>
      <w:pPr>
        <w:pStyle w:val="Heading3"/>
        <w:spacing w:line="312" w:lineRule="exact"/>
        <w:ind w:left="634" w:right="5674" w:firstLine="2"/>
        <w:jc w:val="left"/>
        <w:rPr>
          <w:rFonts w:ascii="宋体" w:hAnsi="宋体" w:cs="宋体" w:eastAsia="宋体" w:hint="default"/>
          <w:b w:val="0"/>
          <w:bCs w:val="0"/>
        </w:rPr>
      </w:pPr>
      <w:r>
        <w:rPr/>
        <w:t>（三）金融资产与金融负债的抵销</w:t>
      </w:r>
      <w:r>
        <w:rPr>
          <w:spacing w:val="1"/>
          <w:w w:val="99"/>
        </w:rPr>
        <w:t> </w:t>
      </w:r>
      <w:r>
        <w:rPr>
          <w:rFonts w:ascii="宋体" w:hAnsi="宋体" w:cs="宋体" w:eastAsia="宋体" w:hint="default"/>
          <w:b w:val="0"/>
          <w:bCs w:val="0"/>
        </w:rPr>
        <w:t>无。</w:t>
      </w:r>
    </w:p>
    <w:p>
      <w:pPr>
        <w:spacing w:line="240" w:lineRule="auto" w:before="10"/>
        <w:rPr>
          <w:rFonts w:ascii="宋体" w:hAnsi="宋体" w:cs="宋体" w:eastAsia="宋体" w:hint="default"/>
          <w:sz w:val="20"/>
          <w:szCs w:val="20"/>
        </w:rPr>
      </w:pPr>
    </w:p>
    <w:p>
      <w:pPr>
        <w:pStyle w:val="Heading3"/>
        <w:spacing w:line="240" w:lineRule="auto"/>
        <w:ind w:right="0"/>
        <w:jc w:val="left"/>
        <w:rPr>
          <w:b w:val="0"/>
          <w:bCs w:val="0"/>
        </w:rPr>
      </w:pPr>
      <w:r>
        <w:rPr/>
        <w:t>十一、公允价值的披露</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、以公允价值计量的资产和负债的期末公允价值</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、持续和非持续第二层次公允价值计量项目，采用的估值技术和重要参数的定性及定量信息</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、持续和非持续第三层次公允价值计量项目，采用的估值技术和重要参数的定性及定量信息</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、持续的第三层次公允价值计量项目，期初与期末账面价值间的调节信息及不可观察参数敏感性分析</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、持续的公允价值计量项目，本期内发生各层级之间转换的，转换的原因及确定转换时点的政策</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、本期内发生的估值技术变更及变更原因</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、不以公允价值计量的金融资产和金融负债的公允价值情况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line="487" w:lineRule="auto" w:before="0"/>
        <w:ind w:left="154" w:right="71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杭州日报报业集团 有限公司</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5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33"/>
              <w:jc w:val="right"/>
              <w:rPr>
                <w:rFonts w:ascii="宋体" w:hAnsi="宋体" w:cs="宋体" w:eastAsia="宋体" w:hint="default"/>
                <w:sz w:val="18"/>
                <w:szCs w:val="18"/>
              </w:rPr>
            </w:pPr>
            <w:r>
              <w:rPr>
                <w:rFonts w:ascii="Times New Roman" w:hAnsi="Times New Roman" w:cs="Times New Roman" w:eastAsia="Times New Roman" w:hint="default"/>
                <w:sz w:val="18"/>
                <w:szCs w:val="18"/>
              </w:rPr>
              <w:t>30,000.00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48.13%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48.13%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spacing w:line="302" w:lineRule="auto" w:before="116"/>
        <w:ind w:left="154" w:right="186" w:firstLine="0"/>
        <w:jc w:val="left"/>
        <w:rPr>
          <w:rFonts w:ascii="宋体" w:hAnsi="宋体" w:cs="宋体" w:eastAsia="宋体" w:hint="default"/>
          <w:sz w:val="18"/>
          <w:szCs w:val="18"/>
        </w:rPr>
      </w:pPr>
      <w:r>
        <w:rPr>
          <w:rFonts w:ascii="宋体" w:hAnsi="宋体" w:cs="宋体" w:eastAsia="宋体" w:hint="default"/>
          <w:sz w:val="18"/>
          <w:szCs w:val="18"/>
        </w:rPr>
        <w:t>本企业最终控制方是杭州日报报业集团（杭州日报社</w:t>
      </w:r>
      <w:r>
        <w:rPr>
          <w:rFonts w:ascii="宋体" w:hAnsi="宋体" w:cs="宋体" w:eastAsia="宋体" w:hint="default"/>
          <w:spacing w:val="-90"/>
          <w:sz w:val="18"/>
          <w:szCs w:val="18"/>
        </w:rPr>
        <w:t>）</w:t>
      </w:r>
      <w:r>
        <w:rPr>
          <w:rFonts w:ascii="宋体" w:hAnsi="宋体" w:cs="宋体" w:eastAsia="宋体" w:hint="default"/>
          <w:sz w:val="18"/>
          <w:szCs w:val="18"/>
        </w:rPr>
        <w:t>，系事业单位，组织机构代码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470100014</w:t>
      </w:r>
      <w:r>
        <w:rPr>
          <w:rFonts w:ascii="宋体" w:hAnsi="宋体" w:cs="宋体" w:eastAsia="宋体" w:hint="default"/>
          <w:sz w:val="18"/>
          <w:szCs w:val="18"/>
        </w:rPr>
        <w:t>，注册地为浙江杭州，法人 代表赵晴，开办资金为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82,569.60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w:t>
      </w:r>
    </w:p>
    <w:p>
      <w:pPr>
        <w:spacing w:line="240" w:lineRule="auto" w:before="10"/>
        <w:rPr>
          <w:rFonts w:ascii="宋体" w:hAnsi="宋体" w:cs="宋体" w:eastAsia="宋体" w:hint="default"/>
          <w:sz w:val="21"/>
          <w:szCs w:val="21"/>
        </w:rPr>
      </w:pPr>
    </w:p>
    <w:p>
      <w:pPr>
        <w:spacing w:line="540" w:lineRule="auto" w:before="0"/>
        <w:ind w:left="154" w:right="3380" w:firstLine="0"/>
        <w:jc w:val="left"/>
        <w:rPr>
          <w:rFonts w:ascii="宋体" w:hAnsi="宋体" w:cs="宋体" w:eastAsia="宋体" w:hint="default"/>
          <w:sz w:val="18"/>
          <w:szCs w:val="18"/>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pacing w:val="-4"/>
          <w:sz w:val="18"/>
          <w:szCs w:val="18"/>
        </w:rPr>
        <w:t>本企业子公司的情况详见附注八、</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、在子公司中的权益。。</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b/>
          <w:bCs/>
          <w:spacing w:val="1"/>
          <w:w w:val="99"/>
          <w:sz w:val="21"/>
          <w:szCs w:val="21"/>
        </w:rPr>
        <w:t> </w:t>
      </w:r>
      <w:r>
        <w:rPr>
          <w:rFonts w:ascii="宋体" w:hAnsi="宋体" w:cs="宋体" w:eastAsia="宋体" w:hint="default"/>
          <w:sz w:val="18"/>
          <w:szCs w:val="18"/>
        </w:rPr>
        <w:t>本企业重要的合营或联营企业详见附注八、</w:t>
      </w:r>
      <w:r>
        <w:rPr>
          <w:rFonts w:ascii="Times New Roman" w:hAnsi="Times New Roman" w:cs="Times New Roman" w:eastAsia="Times New Roman" w:hint="default"/>
          <w:sz w:val="18"/>
          <w:szCs w:val="18"/>
        </w:rPr>
        <w:t>3</w:t>
      </w:r>
      <w:r>
        <w:rPr>
          <w:rFonts w:ascii="宋体" w:hAnsi="宋体" w:cs="宋体" w:eastAsia="宋体" w:hint="default"/>
          <w:sz w:val="18"/>
          <w:szCs w:val="18"/>
        </w:rPr>
        <w:t>、在合营安排或联营企业中的权益。</w:t>
      </w:r>
    </w:p>
    <w:p>
      <w:pPr>
        <w:spacing w:after="0" w:line="540" w:lineRule="auto"/>
        <w:jc w:val="left"/>
        <w:rPr>
          <w:rFonts w:ascii="宋体" w:hAnsi="宋体" w:cs="宋体" w:eastAsia="宋体" w:hint="default"/>
          <w:sz w:val="18"/>
          <w:szCs w:val="18"/>
        </w:rPr>
        <w:sectPr>
          <w:pgSz w:w="11910" w:h="16840"/>
          <w:pgMar w:header="0" w:footer="982" w:top="1100" w:bottom="1180" w:left="980" w:right="980"/>
        </w:sectPr>
      </w:pPr>
    </w:p>
    <w:p>
      <w:pPr>
        <w:spacing w:line="240" w:lineRule="auto" w:before="13"/>
        <w:rPr>
          <w:rFonts w:ascii="宋体" w:hAnsi="宋体" w:cs="宋体" w:eastAsia="宋体" w:hint="default"/>
          <w:sz w:val="21"/>
          <w:szCs w:val="21"/>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本期与本公司发生关联方交易，或前期与本公司发生关联方交易形成余额的其他合营或联营企业情况如下：</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575"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杭州都健电子商务有限公司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北京中环盛元数字图文有限公司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江苏时代盛元数字图文影像有限公司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杭州今典博唯文化创意有限公司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浙江衢州盛元文创印业有限公司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3"/>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每日商报社</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萧山日报社</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富阳日报社</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休闲杂志社</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都市周报社</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风景名胜杂志社</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杭州网络新闻中心</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杭州新闻物业管理开发有限公司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杭州日报报业集团假日宾馆有限公司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杭州地铁文化传媒有限公司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杭州汉书数字出版传播有限公司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浙江杭报金都创意产业发展有限公司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浙江华朗实业有限公司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杭州城市通媒体有限公司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杭州读报人电子商务有限公司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杭州日报报业集团出版传媒控股有限公司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浙江新旺财商贸有限公司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浙江都市艺术文化发展有限公司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余杭晨报社</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杭州风茂房地产代理有限公司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杭州萧山萧报教育咨询有限公司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富阳闻达电子商务有限公司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杭州风盛新传媒广告有限公司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bl>
    <w:p>
      <w:pPr>
        <w:spacing w:after="0" w:line="240" w:lineRule="auto"/>
        <w:jc w:val="left"/>
        <w:rPr>
          <w:rFonts w:ascii="宋体" w:hAnsi="宋体" w:cs="宋体" w:eastAsia="宋体" w:hint="default"/>
          <w:sz w:val="18"/>
          <w:szCs w:val="18"/>
        </w:rPr>
        <w:sectPr>
          <w:pgSz w:w="11910" w:h="16840"/>
          <w:pgMar w:header="0" w:footer="982" w:top="1100" w:bottom="1180" w:left="980" w:right="98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杭州风和会展有限公司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杭州萧山旺财商贸有限公司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杭州萧报国际旅行社有限公司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富阳旺财商贸有限公司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杭州萧文置业有限公司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杭州日报报业集团有限公司富阳文创项目</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同一最终控制方控制</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湖南广和信息科技有限公司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受本公司高级管理人员重大影响</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国教视讯（北京）文化传媒有限公司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受本公司高级管理人员重大影响</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江苏省盛世广宏无线科技传播有限公司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受本公司高级管理人员重大影响</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深圳宏天高科技有限公司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受本公司高级管理人员重大影响</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杭州余杭新闻传媒中心</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浙江国大集团有限责任公司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杨治国</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林鹭华</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韩锋</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蒋谢珍</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郑美月</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冯岚</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子公司少数股东</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4786"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p>
        </w:tc>
      </w:tr>
    </w:tbl>
    <w:p>
      <w:pPr>
        <w:spacing w:line="240" w:lineRule="auto" w:before="2"/>
        <w:rPr>
          <w:rFonts w:ascii="宋体" w:hAnsi="宋体" w:cs="宋体" w:eastAsia="宋体" w:hint="default"/>
          <w:b/>
          <w:bCs/>
          <w:sz w:val="19"/>
          <w:szCs w:val="19"/>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、关联交易情况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4"/>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浙江新旺财商贸有 限公司</w:t>
            </w:r>
          </w:p>
        </w:tc>
        <w:tc>
          <w:tcPr>
            <w:tcW w:w="14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177,563.78</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299,824.55</w:t>
            </w:r>
          </w:p>
        </w:tc>
      </w:tr>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14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采编服务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95,622,641.88</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95,622,641.51</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（杭州日报社）</w:t>
            </w:r>
          </w:p>
        </w:tc>
        <w:tc>
          <w:tcPr>
            <w:tcW w:w="14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6"/>
                <w:sz w:val="18"/>
                <w:szCs w:val="18"/>
              </w:rPr>
              <w:t>采编服务、活动费</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等</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64,239,810.97</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63,532,818.41</w:t>
            </w:r>
          </w:p>
        </w:tc>
      </w:tr>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每日商报社</w:t>
            </w:r>
          </w:p>
        </w:tc>
        <w:tc>
          <w:tcPr>
            <w:tcW w:w="14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采编服务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20,283,018.32</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20,283,018.96</w:t>
            </w:r>
          </w:p>
        </w:tc>
      </w:tr>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萧山日报社</w:t>
            </w:r>
          </w:p>
        </w:tc>
        <w:tc>
          <w:tcPr>
            <w:tcW w:w="14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采编服务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19,679,244.78</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19,679,244.75</w:t>
            </w:r>
          </w:p>
        </w:tc>
      </w:tr>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余杭晨报社</w:t>
            </w:r>
          </w:p>
        </w:tc>
        <w:tc>
          <w:tcPr>
            <w:tcW w:w="14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采编服务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10,504,484.10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10,489,252.84</w:t>
            </w:r>
          </w:p>
        </w:tc>
      </w:tr>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富阳日报社</w:t>
            </w:r>
          </w:p>
        </w:tc>
        <w:tc>
          <w:tcPr>
            <w:tcW w:w="14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采编服务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10,800,924.00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9,149,948.63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4"/>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都市周报社</w:t>
            </w:r>
          </w:p>
        </w:tc>
        <w:tc>
          <w:tcPr>
            <w:tcW w:w="14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采编服务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4,886,792.36</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4,886,792.36</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富阳闻达电子商务 有限公司</w:t>
            </w:r>
          </w:p>
        </w:tc>
        <w:tc>
          <w:tcPr>
            <w:tcW w:w="14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发行费</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4,034,273.01</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3,895,920.06</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杭州汉书数字出版 传播有限公司</w:t>
            </w:r>
          </w:p>
        </w:tc>
        <w:tc>
          <w:tcPr>
            <w:tcW w:w="14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设计服务</w:t>
            </w:r>
          </w:p>
        </w:tc>
        <w:tc>
          <w:tcPr>
            <w:tcW w:w="1454"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34,443.95</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浙江国大集团有限 责任公司</w:t>
            </w:r>
          </w:p>
        </w:tc>
        <w:tc>
          <w:tcPr>
            <w:tcW w:w="14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广告牌</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2,194,849.05</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杭州地铁文化传媒 有限公司</w:t>
            </w:r>
          </w:p>
        </w:tc>
        <w:tc>
          <w:tcPr>
            <w:tcW w:w="14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393,867.92</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109,061.78</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杭州风和会展有限 公司</w:t>
            </w:r>
          </w:p>
        </w:tc>
        <w:tc>
          <w:tcPr>
            <w:tcW w:w="14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活动费</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219,320.11</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14,018.87</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杭州风茂房地产代 理有限公司</w:t>
            </w:r>
          </w:p>
        </w:tc>
        <w:tc>
          <w:tcPr>
            <w:tcW w:w="14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广告代理</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983,240.17</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杭州风盛新传媒广 告有限公司</w:t>
            </w:r>
          </w:p>
        </w:tc>
        <w:tc>
          <w:tcPr>
            <w:tcW w:w="14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广告牌</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374,607.36</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杭州萧山萧报教育 咨询有限公司</w:t>
            </w:r>
          </w:p>
        </w:tc>
        <w:tc>
          <w:tcPr>
            <w:tcW w:w="14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广告代理</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112,816.71</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杭州日报报业集团 有限公司</w:t>
            </w:r>
          </w:p>
        </w:tc>
        <w:tc>
          <w:tcPr>
            <w:tcW w:w="14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6"/>
                <w:sz w:val="18"/>
                <w:szCs w:val="18"/>
              </w:rPr>
              <w:t>场地使用费、活动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费</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60,239.50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杭州城市通媒体有 限公司</w:t>
            </w:r>
          </w:p>
        </w:tc>
        <w:tc>
          <w:tcPr>
            <w:tcW w:w="14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28,941.75</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德清今日传媒有限 公司</w:t>
            </w:r>
          </w:p>
        </w:tc>
        <w:tc>
          <w:tcPr>
            <w:tcW w:w="14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1454"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22,641.51</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富阳旺财商贸有限 公司</w:t>
            </w:r>
          </w:p>
        </w:tc>
        <w:tc>
          <w:tcPr>
            <w:tcW w:w="14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1454"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1,900.00</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上海合印包装服务 有限公司</w:t>
            </w:r>
          </w:p>
        </w:tc>
        <w:tc>
          <w:tcPr>
            <w:tcW w:w="14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印刷</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1,651,960.62</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浙江衢州盛元文创 印业有限公司</w:t>
            </w:r>
          </w:p>
        </w:tc>
        <w:tc>
          <w:tcPr>
            <w:tcW w:w="14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印刷</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340,958.52</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杭州今典博唯文化 创意有限公司</w:t>
            </w:r>
          </w:p>
        </w:tc>
        <w:tc>
          <w:tcPr>
            <w:tcW w:w="14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活动费</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360,000.00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浙江都市艺术文化 发展有限公司</w:t>
            </w:r>
          </w:p>
        </w:tc>
        <w:tc>
          <w:tcPr>
            <w:tcW w:w="14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活动费</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142,288.95</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杭州读报人电子商 务有限公司</w:t>
            </w:r>
          </w:p>
        </w:tc>
        <w:tc>
          <w:tcPr>
            <w:tcW w:w="14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活动费</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12,820.51</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国教视讯（北京） 文化传媒有限公司</w:t>
            </w:r>
          </w:p>
        </w:tc>
        <w:tc>
          <w:tcPr>
            <w:tcW w:w="14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3" w:right="158"/>
              <w:jc w:val="left"/>
              <w:rPr>
                <w:rFonts w:ascii="宋体" w:hAnsi="宋体" w:cs="宋体" w:eastAsia="宋体" w:hint="default"/>
                <w:sz w:val="18"/>
                <w:szCs w:val="18"/>
              </w:rPr>
            </w:pPr>
            <w:r>
              <w:rPr>
                <w:rFonts w:ascii="宋体" w:hAnsi="宋体" w:cs="宋体" w:eastAsia="宋体" w:hint="default"/>
                <w:sz w:val="18"/>
                <w:szCs w:val="18"/>
              </w:rPr>
              <w:t>视频制作及动漫 版权费</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819,669.79</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十九楼网络股份有</w:t>
            </w:r>
          </w:p>
        </w:tc>
        <w:tc>
          <w:tcPr>
            <w:tcW w:w="145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现代服务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75,471.70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4"/>
        <w:gridCol w:w="1706"/>
        <w:gridCol w:w="1708"/>
        <w:gridCol w:w="1706"/>
      </w:tblGrid>
      <w:tr>
        <w:trPr>
          <w:trHeight w:val="362" w:hRule="exact"/>
        </w:trPr>
        <w:tc>
          <w:tcPr>
            <w:tcW w:w="15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45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540"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江苏省省事广宏无</w:t>
            </w:r>
          </w:p>
        </w:tc>
        <w:tc>
          <w:tcPr>
            <w:tcW w:w="1454" w:type="dxa"/>
            <w:tcBorders>
              <w:top w:val="single" w:sz="4" w:space="0" w:color="000000"/>
              <w:left w:val="single" w:sz="4" w:space="0" w:color="000000"/>
              <w:bottom w:val="nil" w:sz="6" w:space="0" w:color="auto"/>
              <w:right w:val="single" w:sz="4" w:space="0" w:color="000000"/>
            </w:tcBorders>
            <w:shd w:val="clear" w:color="auto" w:fill="C7EDCC"/>
          </w:tcPr>
          <w:p>
            <w:pPr/>
          </w:p>
        </w:tc>
        <w:tc>
          <w:tcPr>
            <w:tcW w:w="1454" w:type="dxa"/>
            <w:tcBorders>
              <w:top w:val="single" w:sz="4" w:space="0" w:color="000000"/>
              <w:left w:val="single" w:sz="4" w:space="0" w:color="000000"/>
              <w:bottom w:val="nil" w:sz="6" w:space="0" w:color="auto"/>
              <w:right w:val="single" w:sz="4" w:space="0" w:color="000000"/>
            </w:tcBorders>
          </w:tcPr>
          <w:p>
            <w:pPr/>
          </w:p>
        </w:tc>
        <w:tc>
          <w:tcPr>
            <w:tcW w:w="1706" w:type="dxa"/>
            <w:vMerge w:val="restart"/>
            <w:tcBorders>
              <w:top w:val="single" w:sz="4" w:space="0" w:color="000000"/>
              <w:left w:val="single" w:sz="4" w:space="0" w:color="000000"/>
              <w:right w:val="single" w:sz="4" w:space="0" w:color="000000"/>
            </w:tcBorders>
          </w:tcPr>
          <w:p>
            <w:pPr/>
          </w:p>
        </w:tc>
        <w:tc>
          <w:tcPr>
            <w:tcW w:w="1708" w:type="dxa"/>
            <w:vMerge w:val="restart"/>
            <w:tcBorders>
              <w:top w:val="single" w:sz="4" w:space="0" w:color="000000"/>
              <w:left w:val="single" w:sz="4" w:space="0" w:color="000000"/>
              <w:right w:val="single" w:sz="4" w:space="0" w:color="000000"/>
            </w:tcBorders>
          </w:tcPr>
          <w:p>
            <w:pPr/>
          </w:p>
        </w:tc>
        <w:tc>
          <w:tcPr>
            <w:tcW w:w="1706" w:type="dxa"/>
            <w:vMerge w:val="restart"/>
            <w:tcBorders>
              <w:top w:val="single" w:sz="4" w:space="0" w:color="000000"/>
              <w:left w:val="single" w:sz="4" w:space="0" w:color="000000"/>
              <w:right w:val="single" w:sz="4" w:space="0" w:color="000000"/>
            </w:tcBorders>
          </w:tcPr>
          <w:p>
            <w:pPr/>
          </w:p>
        </w:tc>
      </w:tr>
      <w:tr>
        <w:trPr>
          <w:trHeight w:val="316" w:hRule="exact"/>
        </w:trPr>
        <w:tc>
          <w:tcPr>
            <w:tcW w:w="1540"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线科技传播有限公</w:t>
            </w:r>
          </w:p>
        </w:tc>
        <w:tc>
          <w:tcPr>
            <w:tcW w:w="1454"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视频制作费</w:t>
            </w:r>
          </w:p>
        </w:tc>
        <w:tc>
          <w:tcPr>
            <w:tcW w:w="145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50,943.40</w:t>
            </w:r>
          </w:p>
        </w:tc>
        <w:tc>
          <w:tcPr>
            <w:tcW w:w="1706" w:type="dxa"/>
            <w:vMerge/>
            <w:tcBorders>
              <w:left w:val="single" w:sz="4" w:space="0" w:color="000000"/>
              <w:right w:val="single" w:sz="4" w:space="0" w:color="000000"/>
            </w:tcBorders>
          </w:tcPr>
          <w:p>
            <w:pPr/>
          </w:p>
        </w:tc>
        <w:tc>
          <w:tcPr>
            <w:tcW w:w="1708" w:type="dxa"/>
            <w:vMerge/>
            <w:tcBorders>
              <w:left w:val="single" w:sz="4" w:space="0" w:color="000000"/>
              <w:right w:val="single" w:sz="4" w:space="0" w:color="000000"/>
            </w:tcBorders>
          </w:tcPr>
          <w:p>
            <w:pPr/>
          </w:p>
        </w:tc>
        <w:tc>
          <w:tcPr>
            <w:tcW w:w="1706" w:type="dxa"/>
            <w:vMerge/>
            <w:tcBorders>
              <w:left w:val="single" w:sz="4" w:space="0" w:color="000000"/>
              <w:right w:val="single" w:sz="4" w:space="0" w:color="000000"/>
            </w:tcBorders>
          </w:tcPr>
          <w:p>
            <w:pPr/>
          </w:p>
        </w:tc>
      </w:tr>
      <w:tr>
        <w:trPr>
          <w:trHeight w:val="353" w:hRule="exact"/>
        </w:trPr>
        <w:tc>
          <w:tcPr>
            <w:tcW w:w="1540"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54" w:type="dxa"/>
            <w:tcBorders>
              <w:top w:val="nil" w:sz="6" w:space="0" w:color="auto"/>
              <w:left w:val="single" w:sz="4" w:space="0" w:color="000000"/>
              <w:bottom w:val="single" w:sz="4" w:space="0" w:color="000000"/>
              <w:right w:val="single" w:sz="4" w:space="0" w:color="000000"/>
            </w:tcBorders>
            <w:shd w:val="clear" w:color="auto" w:fill="C7EDCC"/>
          </w:tcPr>
          <w:p>
            <w:pPr/>
          </w:p>
        </w:tc>
        <w:tc>
          <w:tcPr>
            <w:tcW w:w="1454" w:type="dxa"/>
            <w:tcBorders>
              <w:top w:val="nil" w:sz="6" w:space="0" w:color="auto"/>
              <w:left w:val="single" w:sz="4" w:space="0" w:color="000000"/>
              <w:bottom w:val="single" w:sz="4" w:space="0" w:color="000000"/>
              <w:right w:val="single" w:sz="4" w:space="0" w:color="000000"/>
            </w:tcBorders>
          </w:tcPr>
          <w:p>
            <w:pPr/>
          </w:p>
        </w:tc>
        <w:tc>
          <w:tcPr>
            <w:tcW w:w="1706" w:type="dxa"/>
            <w:vMerge/>
            <w:tcBorders>
              <w:left w:val="single" w:sz="4" w:space="0" w:color="000000"/>
              <w:bottom w:val="single" w:sz="4" w:space="0" w:color="000000"/>
              <w:right w:val="single" w:sz="4" w:space="0" w:color="000000"/>
            </w:tcBorders>
          </w:tcPr>
          <w:p>
            <w:pPr/>
          </w:p>
        </w:tc>
        <w:tc>
          <w:tcPr>
            <w:tcW w:w="1708" w:type="dxa"/>
            <w:vMerge/>
            <w:tcBorders>
              <w:left w:val="single" w:sz="4" w:space="0" w:color="000000"/>
              <w:bottom w:val="single" w:sz="4" w:space="0" w:color="000000"/>
              <w:right w:val="single" w:sz="4" w:space="0" w:color="000000"/>
            </w:tcBorders>
          </w:tcPr>
          <w:p>
            <w:pPr/>
          </w:p>
        </w:tc>
        <w:tc>
          <w:tcPr>
            <w:tcW w:w="1706" w:type="dxa"/>
            <w:vMerge/>
            <w:tcBorders>
              <w:left w:val="single" w:sz="4" w:space="0" w:color="000000"/>
              <w:bottom w:val="single" w:sz="4" w:space="0" w:color="000000"/>
              <w:right w:val="single" w:sz="4" w:space="0" w:color="000000"/>
            </w:tcBorders>
          </w:tcPr>
          <w:p>
            <w:pPr/>
          </w:p>
        </w:tc>
      </w:tr>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3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54"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238,050,749.26</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9" w:right="0"/>
              <w:jc w:val="left"/>
              <w:rPr>
                <w:rFonts w:ascii="Times New Roman" w:hAnsi="Times New Roman" w:cs="Times New Roman" w:eastAsia="Times New Roman" w:hint="default"/>
                <w:sz w:val="18"/>
                <w:szCs w:val="18"/>
              </w:rPr>
            </w:pPr>
            <w:r>
              <w:rPr>
                <w:rFonts w:ascii="Times New Roman"/>
                <w:sz w:val="18"/>
              </w:rPr>
              <w:t>228,021,518.18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8"/>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杭州萧文置业有限公司</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刊登广告</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2,747,160.37</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8,176.98</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杭州风茂房地产代理有限公司</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刊登广告</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1,061,320.75</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877,830.15</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杭州日报报业集团假日宾馆有 限公司</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刊登广告</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692,075.47</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杭州风和会展有限公司</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刊登广告</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30,188.88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8,915.09</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杭州萧报国际旅行社有限公司</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刊登广告</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4,811.32</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207,452.83</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杭州日报报业集团有限公司富 阳文创项目</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刊登广告</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2,207.55</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杭州日报报业集团出版传媒控 股有限公司</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刊登广告</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275,207.55</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杭州萧山旺财商贸有限公司</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刊登广告</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82,075.47</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风景名胜杂志社</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刊登广告</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66,735.85</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休闲杂志社</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刊登广告</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66,735.85</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杭州新闻物业管理开发有限公 司</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刊登广告</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8,611.70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杭州网络新闻中心</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服务收入</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3,773,584.80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3,820,976.96</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杭州杭报金都创意产业发展有 限公司</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广告及印刷收入</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1,964.30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33,566.03</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杭州都快交通久一点吧传媒有 限公司</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广告及印刷收入</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973.45</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196,509.44</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杭州城市通媒体有限公司</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广告及印刷收入</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22,740.07</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富阳日报社</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广告及发行收入</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1,427,240.58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320,666.31</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十九楼网络股份有限公司</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广告及出售商品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37,292.45</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46,942.52</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富阳闻达电子商务有限公司</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广告及发行收入</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251,057.31</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376,086.89</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浙江都市艺术文化发展有限公 司</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广告、印刷等收入</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9,973,615.35</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7,375,773.58</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杭州地铁文化传媒有限公司</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广告、印刷等收入</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6,180,482.07</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7,951,588.23</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浙江华朗实业有限公司</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广告、印刷等收入</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4,264,821.43</w:t>
            </w:r>
          </w:p>
        </w:tc>
        <w:tc>
          <w:tcPr>
            <w:tcW w:w="265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8"/>
        <w:gridCol w:w="2258"/>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广告、印刷等收入</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1,441,415.89</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147,169.81</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杭州读报人电子商务有限公司</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广告、印刷等收入</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2,915,099.44</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8,049,687.74</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浙江新旺财商贸有限公司</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广告、印刷等收入</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592,150.57</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1,092,933.97</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杭州日报报业集团（杭州日报 社）</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广告、印刷等收入</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21,638,918.93</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232,004.34</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广告、印刷等收入</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4,178,897.97</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2,839,355.97</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杭州萧山萧报教育咨询有限公 司</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广告、发行等收入</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2,744,121.80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1,736,179.24</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上海合印包装服务有限公司</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印刷收入</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7,897,358.02</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北京精典博维文化传媒有限公 司</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印刷收入</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1,413,840.73</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北京中环盛元数字图文有限公 司</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印刷收入</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26,017.70</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江苏时代盛元数字图文影像有 限公司</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印刷收入</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1,517.95</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浙江衢州盛元文创印业有限公 司</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印刷及出售商品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13,487,411.65</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杭州汉书数字出版传播有限公 司</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印刷及出售商品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62,320.90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19,741.25</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国教视讯（北京）文化传媒有 限公司</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手机视频分销</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12,430,600.10</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江苏省盛世广宏无线科技传播 有限公司</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手机视频分销</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234,895.09</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深圳宏天高科技有限公司</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手机视频分销</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170,344.31</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杭州壁咚科技有限公司</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广告收入</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3,490.56</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萧山日报社</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发行及印刷收入</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255,957.61</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每日商报社</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23,484.49</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77"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58"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99,987,862.72</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35,852,981.74</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）关联受托管理</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承包及委托管理</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出包情况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7"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富阳闻达电子商务有限公司</w:t>
            </w:r>
          </w:p>
        </w:tc>
        <w:tc>
          <w:tcPr>
            <w:tcW w:w="239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车辆</w:t>
            </w:r>
          </w:p>
        </w:tc>
        <w:tc>
          <w:tcPr>
            <w:tcW w:w="2393"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22,174.10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980" w:right="980"/>
        </w:sectPr>
      </w:pPr>
    </w:p>
    <w:p>
      <w:pPr>
        <w:spacing w:line="240" w:lineRule="auto" w:before="13"/>
        <w:rPr>
          <w:rFonts w:ascii="宋体" w:hAnsi="宋体" w:cs="宋体" w:eastAsia="宋体" w:hint="default"/>
          <w:sz w:val="21"/>
          <w:szCs w:val="21"/>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杭州日报报业集团（杭州日报 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9,739,764.60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10,275,569.87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1,171,599.99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浙江杭报金都创意产业发展 有限公司</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472,894.00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451,900.00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萧山日报社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余杭晨报社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103,740.00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富阳日报社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46,245.50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杭州日报报业集团（杭州日报 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广告牌</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广告牌</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杭州日报报业集团假日宾馆 有限公司</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车辆</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37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12,037,998.59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11,291,565.37</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1"/>
        <w:gridCol w:w="1927"/>
        <w:gridCol w:w="1914"/>
        <w:gridCol w:w="1914"/>
        <w:gridCol w:w="1914"/>
      </w:tblGrid>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北京精典博维文化传媒 有限公司</w:t>
            </w:r>
          </w:p>
        </w:tc>
        <w:tc>
          <w:tcPr>
            <w:tcW w:w="1927"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2" w:right="0"/>
              <w:jc w:val="left"/>
              <w:rPr>
                <w:rFonts w:ascii="Times New Roman" w:hAnsi="Times New Roman" w:cs="Times New Roman" w:eastAsia="Times New Roman" w:hint="default"/>
                <w:sz w:val="18"/>
                <w:szCs w:val="18"/>
              </w:rPr>
            </w:pPr>
            <w:r>
              <w:rPr>
                <w:rFonts w:ascii="Times New Roman"/>
                <w:sz w:val="18"/>
              </w:rPr>
              <w:t>6,764,951.59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杨治国</w:t>
            </w:r>
          </w:p>
        </w:tc>
        <w:tc>
          <w:tcPr>
            <w:tcW w:w="1915"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1"/>
              <w:ind w:left="930" w:right="0"/>
              <w:jc w:val="left"/>
              <w:rPr>
                <w:rFonts w:ascii="Times New Roman" w:hAnsi="Times New Roman" w:cs="Times New Roman" w:eastAsia="Times New Roman" w:hint="default"/>
                <w:sz w:val="18"/>
                <w:szCs w:val="18"/>
              </w:rPr>
            </w:pPr>
            <w:r>
              <w:rPr>
                <w:rFonts w:ascii="Times New Roman"/>
                <w:sz w:val="18"/>
              </w:rPr>
              <w:t>1,300,000.00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357" w:lineRule="auto" w:before="51"/>
        <w:ind w:left="444" w:right="5115" w:hanging="291"/>
        <w:jc w:val="left"/>
        <w:rPr>
          <w:rFonts w:ascii="宋体" w:hAnsi="宋体" w:cs="宋体" w:eastAsia="宋体" w:hint="default"/>
          <w:sz w:val="18"/>
          <w:szCs w:val="18"/>
        </w:rPr>
      </w:pPr>
      <w:r>
        <w:rPr>
          <w:rFonts w:ascii="宋体" w:hAnsi="宋体" w:cs="宋体" w:eastAsia="宋体" w:hint="default"/>
          <w:sz w:val="18"/>
          <w:szCs w:val="18"/>
        </w:rPr>
        <w:t>关联担保情况说明 注：担保金额</w:t>
      </w:r>
      <w:r>
        <w:rPr>
          <w:rFonts w:ascii="Times New Roman" w:hAnsi="Times New Roman" w:cs="Times New Roman" w:eastAsia="Times New Roman" w:hint="default"/>
          <w:sz w:val="18"/>
          <w:szCs w:val="18"/>
        </w:rPr>
        <w:t>1,300,000.00</w:t>
      </w:r>
      <w:r>
        <w:rPr>
          <w:rFonts w:ascii="宋体" w:hAnsi="宋体" w:cs="宋体" w:eastAsia="宋体" w:hint="default"/>
          <w:sz w:val="18"/>
          <w:szCs w:val="18"/>
        </w:rPr>
        <w:t>元系杨治国与李颖共同担保。</w:t>
      </w:r>
    </w:p>
    <w:p>
      <w:pPr>
        <w:spacing w:line="240" w:lineRule="auto" w:before="5"/>
        <w:rPr>
          <w:rFonts w:ascii="宋体" w:hAnsi="宋体" w:cs="宋体" w:eastAsia="宋体" w:hint="default"/>
          <w:sz w:val="18"/>
          <w:szCs w:val="18"/>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）关联方资金拆借</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07"/>
        <w:gridCol w:w="1920"/>
        <w:gridCol w:w="1915"/>
        <w:gridCol w:w="1914"/>
        <w:gridCol w:w="1886"/>
      </w:tblGrid>
      <w:tr>
        <w:trPr>
          <w:trHeight w:val="401" w:hRule="exact"/>
        </w:trPr>
        <w:tc>
          <w:tcPr>
            <w:tcW w:w="19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7"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6"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42" w:type="dxa"/>
            <w:gridSpan w:val="5"/>
            <w:tcBorders>
              <w:top w:val="single" w:sz="4" w:space="0" w:color="000000"/>
              <w:left w:val="single" w:sz="4" w:space="0" w:color="000000"/>
              <w:bottom w:val="single" w:sz="8" w:space="0" w:color="C7EDCC"/>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3" w:hRule="exact"/>
        </w:trPr>
        <w:tc>
          <w:tcPr>
            <w:tcW w:w="190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71"/>
              <w:ind w:right="49"/>
              <w:jc w:val="center"/>
              <w:rPr>
                <w:rFonts w:ascii="宋体" w:hAnsi="宋体" w:cs="宋体" w:eastAsia="宋体" w:hint="default"/>
                <w:sz w:val="18"/>
                <w:szCs w:val="18"/>
              </w:rPr>
            </w:pPr>
            <w:r>
              <w:rPr>
                <w:rFonts w:ascii="宋体" w:hAnsi="宋体" w:cs="宋体" w:eastAsia="宋体" w:hint="default"/>
                <w:sz w:val="18"/>
                <w:szCs w:val="18"/>
              </w:rPr>
              <w:t>江苏省盛世广宏无线科</w:t>
            </w:r>
          </w:p>
        </w:tc>
        <w:tc>
          <w:tcPr>
            <w:tcW w:w="1920"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2"/>
              <w:ind w:left="935" w:right="0"/>
              <w:jc w:val="left"/>
              <w:rPr>
                <w:rFonts w:ascii="Times New Roman" w:hAnsi="Times New Roman" w:cs="Times New Roman" w:eastAsia="Times New Roman" w:hint="default"/>
                <w:sz w:val="18"/>
                <w:szCs w:val="18"/>
              </w:rPr>
            </w:pPr>
            <w:r>
              <w:rPr>
                <w:rFonts w:ascii="Times New Roman"/>
                <w:sz w:val="18"/>
              </w:rPr>
              <w:t>1,000,000.00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86" w:type="dxa"/>
            <w:tcBorders>
              <w:top w:val="single" w:sz="4" w:space="0" w:color="000000"/>
              <w:left w:val="single" w:sz="4" w:space="0" w:color="000000"/>
              <w:bottom w:val="single" w:sz="4" w:space="0" w:color="000000"/>
              <w:right w:val="single" w:sz="4" w:space="0" w:color="000000"/>
            </w:tcBorders>
            <w:shd w:val="clear" w:color="auto" w:fill="C7EDCC"/>
          </w:tcPr>
          <w:p>
            <w:pPr/>
          </w:p>
        </w:tc>
      </w:tr>
    </w:tbl>
    <w:p>
      <w:pPr>
        <w:spacing w:after="0"/>
        <w:sectPr>
          <w:pgSz w:w="11910" w:h="16840"/>
          <w:pgMar w:header="0"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01"/>
        <w:gridCol w:w="1925"/>
        <w:gridCol w:w="1915"/>
        <w:gridCol w:w="1914"/>
        <w:gridCol w:w="1914"/>
      </w:tblGrid>
      <w:tr>
        <w:trPr>
          <w:trHeight w:val="362" w:hRule="exact"/>
        </w:trPr>
        <w:tc>
          <w:tcPr>
            <w:tcW w:w="19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技传播有限公司</w:t>
            </w:r>
          </w:p>
        </w:tc>
        <w:tc>
          <w:tcPr>
            <w:tcW w:w="1925" w:type="dxa"/>
            <w:tcBorders>
              <w:top w:val="single" w:sz="4" w:space="0" w:color="000000"/>
              <w:left w:val="single" w:sz="9" w:space="0" w:color="C7EDCC"/>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714" w:hRule="exact"/>
        </w:trPr>
        <w:tc>
          <w:tcPr>
            <w:tcW w:w="19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江苏省盛世广宏无线科 技传播有限公司</w:t>
            </w:r>
          </w:p>
        </w:tc>
        <w:tc>
          <w:tcPr>
            <w:tcW w:w="1925"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68"/>
              <w:jc w:val="right"/>
              <w:rPr>
                <w:rFonts w:ascii="宋体" w:hAnsi="宋体" w:cs="宋体" w:eastAsia="宋体" w:hint="default"/>
                <w:sz w:val="18"/>
                <w:szCs w:val="18"/>
              </w:rPr>
            </w:pPr>
            <w:r>
              <w:rPr>
                <w:rFonts w:ascii="宋体" w:hAnsi="宋体" w:cs="宋体" w:eastAsia="宋体" w:hint="default"/>
                <w:sz w:val="18"/>
                <w:szCs w:val="18"/>
              </w:rPr>
              <w:t>合 计</w:t>
            </w:r>
          </w:p>
        </w:tc>
        <w:tc>
          <w:tcPr>
            <w:tcW w:w="1925" w:type="dxa"/>
            <w:tcBorders>
              <w:top w:val="single" w:sz="4" w:space="0" w:color="000000"/>
              <w:left w:val="single" w:sz="9" w:space="0" w:color="C7EDCC"/>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）关联方资产转让、债务重组情况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华立集团股份有限公司</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十九楼股权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56,781,275.00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杭州日报报业集团（杭州日报 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土地使用权及房屋所有权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43,700,000.00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商标</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3,383,679.26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设备</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450,558.67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67,362.46</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2"/>
              <w:ind w:left="18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100,481,275.00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3,901,600.39</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）关键管理人员报酬</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4,914,000.00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5,179,900.00</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）其他关联交易</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3D3D3"/>
          </w:tcPr>
          <w:p>
            <w:pPr/>
          </w:p>
        </w:tc>
        <w:tc>
          <w:tcPr>
            <w:tcW w:w="1595" w:type="dxa"/>
            <w:vMerge/>
            <w:tcBorders>
              <w:left w:val="single" w:sz="4" w:space="0" w:color="000000"/>
              <w:bottom w:val="single" w:sz="4" w:space="0" w:color="000000"/>
              <w:right w:val="single" w:sz="4" w:space="0" w:color="000000"/>
            </w:tcBorders>
            <w:shd w:val="clear" w:color="auto" w:fill="D3D3D3"/>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上海合印包装服务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20,081,810.63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浙江都市艺术文化 发展有限公司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9,815,363.00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2,718,320.00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（杭州日报社）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11,346,820.37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236,580.00</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杭州日报报业集团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4,202,114.69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1,791,504.93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0"/>
                <w:sz w:val="18"/>
                <w:szCs w:val="18"/>
              </w:rPr>
              <w:t>国教视讯（北京）文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化传媒有限公司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4,807,839.58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浙江衢州盛元文创 印业有限公司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3,217,678.22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浙江华朗实业有限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2,980,600.00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杭州萧文置业有限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2,875,030.00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9,240.00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北京精典博维文化 传媒有限公司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1,654,193.65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杭州萧山萧报教育 咨询有限公司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1,445,221.32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55,350.00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湖南广和信息科技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1,172,191.26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杭州地铁文化传媒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1,059,749.00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1,834,564.00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浙江新旺财商贸有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1,182,300.00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856,500.00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0"/>
              <w:jc w:val="both"/>
              <w:rPr>
                <w:rFonts w:ascii="宋体" w:hAnsi="宋体" w:cs="宋体" w:eastAsia="宋体" w:hint="default"/>
                <w:sz w:val="18"/>
                <w:szCs w:val="18"/>
              </w:rPr>
            </w:pPr>
            <w:r>
              <w:rPr>
                <w:rFonts w:ascii="宋体" w:hAnsi="宋体" w:cs="宋体" w:eastAsia="宋体" w:hint="default"/>
                <w:sz w:val="18"/>
                <w:szCs w:val="18"/>
              </w:rPr>
              <w:t>江苏省盛世广宏无 线科技传播有限公 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467,120.67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萧山日报社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杭州汉书数字出版 传播有限公司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56,648.00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杭州城市通媒体有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43,200.00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深圳宏天高科技有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21,414.85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20,846.50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杭州读报人电子商 务有限公司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8,286.30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4,398,919.00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杭州壁咚科技有限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十九楼网络股份有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49,796.00</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杭州风茂房地产代 理有限公司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352,500.00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0"/>
              <w:jc w:val="both"/>
              <w:rPr>
                <w:rFonts w:ascii="宋体" w:hAnsi="宋体" w:cs="宋体" w:eastAsia="宋体" w:hint="default"/>
                <w:sz w:val="18"/>
                <w:szCs w:val="18"/>
              </w:rPr>
            </w:pPr>
            <w:r>
              <w:rPr>
                <w:rFonts w:ascii="宋体" w:hAnsi="宋体" w:cs="宋体" w:eastAsia="宋体" w:hint="default"/>
                <w:sz w:val="18"/>
                <w:szCs w:val="18"/>
              </w:rPr>
              <w:t>杭州日报报业集团 出版传媒控股有限 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291,720.00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杭州萧报国际旅行 社有限公司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219,900.00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杭州萧山旺财商贸 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浙江杭报金都创意 产业发展有限公司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35,580.00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杭州风和会展有限 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9,450.00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杭州新闻物业管理 开发有限公司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9,128.40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富阳日报社</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4,620.00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210"/>
              <w:jc w:val="righ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66,682,192.04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13,116,672.33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杭州地铁文化传媒 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41,320.75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十九楼网络股份有 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6,213,033.60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华立集团股份有限 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368,504,060.08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浙江杭报金都创意 产业发展有限公司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175,000.00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杭州日报报业集团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20"/>
              <w:jc w:val="righ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368,504,060.08</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）应付项目</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富阳提报社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2,225,452.54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杭州日报报业集团（杭州日报 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1,978,008.67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都市周报社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873,684.07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富阳闻达电子商务有限公司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253,383.86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512,909.23</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国教视讯（北京）文化传媒有 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94,339.62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浙江新旺财商贸有限公司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69,035.20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浙江衢州盛元文创印业有限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53,950.39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杭州汉书数字出版传播有限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杭州读报人电子商务有限公 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27,726.74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543.85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165,356.85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836,367.72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余杭晨报社</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17,554.77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富阳旺财商贸有限公司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杭州风茂房地产代理有限公 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73,940.00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浙江杭报金都创意产业发展 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465,171.06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萧山日报社</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46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5,606,124.94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3,084,699.63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浙江华朗实业有限公司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2,783,018.87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杭州读报人电子商务有限公 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7,964.00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316,314.26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杭州城市通媒体有限公司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杭州地铁文化传媒有限公司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1,954.72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398,268.98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2,790,982.87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杭州日报报业集团出版传媒 控股有限公司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904,057.22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杭州余杭新闻传媒中心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right="197"/>
              <w:jc w:val="righ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1,884,057.22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林鹭华</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52,273,155.84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 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11,434,752.84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杨治国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11,434,752.84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蒋谢珍</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3,811,584.28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刘志英</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1,633,536.12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杭州日报报业集团（杭州日报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1,247,984.29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12,274,581.14</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社）</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冯岚</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544,512.04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郑美月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544,512.04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杭州日报报业集团有限公司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368,091.42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277,278.41</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杭州日报报业集团出版传媒 控股有限公司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68,172.00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浙江衢州盛元文创印业有限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杭州网络新闻中心</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734,051.82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富阳日报社</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2,072,850.24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杭州读报人电子商务有限公 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4,245.00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余杭晨报社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32,786.15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都市快报社</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576.00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28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83,417,839.86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15,363,582.61</w:t>
            </w:r>
          </w:p>
        </w:tc>
      </w:tr>
    </w:tbl>
    <w:p>
      <w:pPr>
        <w:spacing w:line="240" w:lineRule="auto" w:before="10"/>
        <w:rPr>
          <w:rFonts w:ascii="Times New Roman" w:hAnsi="Times New Roman" w:cs="Times New Roman" w:eastAsia="Times New Roman" w:hint="default"/>
          <w:sz w:val="21"/>
          <w:szCs w:val="21"/>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、关联方承诺</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line="487" w:lineRule="auto" w:before="0"/>
        <w:ind w:left="154" w:right="776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十三、股份支付</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8"/>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、以权益结算的股份支付情况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、以现金结算的股份支付情况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82" w:top="1100" w:bottom="1180" w:left="980" w:right="980"/>
        </w:sectPr>
      </w:pPr>
    </w:p>
    <w:p>
      <w:pPr>
        <w:spacing w:line="240" w:lineRule="auto" w:before="9"/>
        <w:rPr>
          <w:rFonts w:ascii="宋体" w:hAnsi="宋体" w:cs="宋体" w:eastAsia="宋体" w:hint="default"/>
          <w:sz w:val="20"/>
          <w:szCs w:val="20"/>
        </w:rPr>
      </w:pPr>
    </w:p>
    <w:p>
      <w:pPr>
        <w:spacing w:before="35"/>
        <w:ind w:left="154"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487" w:lineRule="auto" w:before="0"/>
        <w:ind w:left="154" w:right="744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08"/>
        <w:ind w:left="154" w:right="99"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spacing w:before="54"/>
        <w:ind w:left="633" w:right="99" w:firstLine="0"/>
        <w:jc w:val="left"/>
        <w:rPr>
          <w:rFonts w:ascii="宋体" w:hAnsi="宋体" w:cs="宋体" w:eastAsia="宋体" w:hint="default"/>
          <w:sz w:val="25"/>
          <w:szCs w:val="25"/>
        </w:rPr>
      </w:pPr>
      <w:r>
        <w:rPr>
          <w:rFonts w:ascii="宋体" w:hAnsi="宋体" w:cs="宋体" w:eastAsia="宋体" w:hint="default"/>
          <w:i/>
          <w:sz w:val="25"/>
          <w:szCs w:val="25"/>
        </w:rPr>
        <w:t>截至</w:t>
      </w:r>
      <w:r>
        <w:rPr>
          <w:rFonts w:ascii="Times New Roman" w:hAnsi="Times New Roman" w:cs="Times New Roman" w:eastAsia="Times New Roman" w:hint="default"/>
          <w:i/>
          <w:sz w:val="24"/>
          <w:szCs w:val="24"/>
        </w:rPr>
        <w:t>2015</w:t>
      </w:r>
      <w:r>
        <w:rPr>
          <w:rFonts w:ascii="宋体" w:hAnsi="宋体" w:cs="宋体" w:eastAsia="宋体" w:hint="default"/>
          <w:i/>
          <w:sz w:val="25"/>
          <w:szCs w:val="25"/>
        </w:rPr>
        <w:t>年</w:t>
      </w:r>
      <w:r>
        <w:rPr>
          <w:rFonts w:ascii="Times New Roman" w:hAnsi="Times New Roman" w:cs="Times New Roman" w:eastAsia="Times New Roman" w:hint="default"/>
          <w:i/>
          <w:sz w:val="24"/>
          <w:szCs w:val="24"/>
        </w:rPr>
        <w:t>12</w:t>
      </w:r>
      <w:r>
        <w:rPr>
          <w:rFonts w:ascii="宋体" w:hAnsi="宋体" w:cs="宋体" w:eastAsia="宋体" w:hint="default"/>
          <w:i/>
          <w:sz w:val="25"/>
          <w:szCs w:val="25"/>
        </w:rPr>
        <w:t>月</w:t>
      </w:r>
      <w:r>
        <w:rPr>
          <w:rFonts w:ascii="Times New Roman" w:hAnsi="Times New Roman" w:cs="Times New Roman" w:eastAsia="Times New Roman" w:hint="default"/>
          <w:i/>
          <w:sz w:val="24"/>
          <w:szCs w:val="24"/>
        </w:rPr>
        <w:t>31</w:t>
      </w:r>
      <w:r>
        <w:rPr>
          <w:rFonts w:ascii="宋体" w:hAnsi="宋体" w:cs="宋体" w:eastAsia="宋体" w:hint="default"/>
          <w:i/>
          <w:sz w:val="25"/>
          <w:szCs w:val="25"/>
        </w:rPr>
        <w:t>日，本公司无需要披露的重大承诺事项。</w:t>
      </w:r>
      <w:r>
        <w:rPr>
          <w:rFonts w:ascii="宋体" w:hAnsi="宋体" w:cs="宋体" w:eastAsia="宋体" w:hint="default"/>
          <w:sz w:val="25"/>
          <w:szCs w:val="25"/>
        </w:rPr>
      </w:r>
    </w:p>
    <w:p>
      <w:pPr>
        <w:spacing w:line="240" w:lineRule="auto" w:before="4"/>
        <w:rPr>
          <w:rFonts w:ascii="宋体" w:hAnsi="宋体" w:cs="宋体" w:eastAsia="宋体" w:hint="default"/>
          <w:i/>
          <w:sz w:val="23"/>
          <w:szCs w:val="23"/>
        </w:rPr>
      </w:pPr>
    </w:p>
    <w:p>
      <w:pPr>
        <w:spacing w:before="0"/>
        <w:ind w:left="154"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、或有事项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9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left="633" w:right="99"/>
        <w:jc w:val="left"/>
      </w:pPr>
      <w:r>
        <w:rPr/>
        <w:t>未决诉讼仲裁形成的或有负债及其财务影响 </w:t>
      </w:r>
      <w:r>
        <w:rPr>
          <w:spacing w:val="3"/>
        </w:rPr>
        <w:t>本公司的子公司杭州日报报业集团盛元印务有限公司于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10</w:t>
      </w:r>
      <w:r>
        <w:rPr>
          <w:spacing w:val="3"/>
        </w:rPr>
        <w:t>日作为原告起诉被</w:t>
      </w:r>
      <w:r>
        <w:rPr/>
      </w:r>
    </w:p>
    <w:p>
      <w:pPr>
        <w:pStyle w:val="BodyText"/>
        <w:spacing w:line="312" w:lineRule="exact"/>
        <w:ind w:left="154" w:right="216"/>
        <w:jc w:val="both"/>
      </w:pPr>
      <w:r>
        <w:rPr/>
        <w:t>告一：上海富行文化传播有限公司，被告二：昆山永丰余广告印务有限公司，被告三：上海</w:t>
      </w:r>
      <w:r>
        <w:rPr>
          <w:spacing w:val="-83"/>
        </w:rPr>
        <w:t> </w:t>
      </w:r>
      <w:r>
        <w:rPr>
          <w:spacing w:val="-83"/>
        </w:rPr>
      </w:r>
      <w:r>
        <w:rPr>
          <w:spacing w:val="9"/>
        </w:rPr>
        <w:t>永丰余印务有限公司，请求三被告立即支付原告印刷款</w:t>
      </w:r>
      <w:r>
        <w:rPr>
          <w:rFonts w:ascii="Times New Roman" w:hAnsi="Times New Roman" w:cs="Times New Roman" w:eastAsia="Times New Roman" w:hint="default"/>
          <w:spacing w:val="9"/>
        </w:rPr>
        <w:t>1,463,359.20</w:t>
      </w:r>
      <w:r>
        <w:rPr>
          <w:spacing w:val="9"/>
        </w:rPr>
        <w:t>元整，赔偿利息损失</w:t>
      </w:r>
      <w:r>
        <w:rPr>
          <w:spacing w:val="-84"/>
        </w:rPr>
        <w:t> </w:t>
      </w:r>
      <w:r>
        <w:rPr>
          <w:rFonts w:ascii="Times New Roman" w:hAnsi="Times New Roman" w:cs="Times New Roman" w:eastAsia="Times New Roman" w:hint="default"/>
          <w:spacing w:val="-2"/>
        </w:rPr>
        <w:t>165,945.00</w:t>
      </w:r>
      <w:r>
        <w:rPr>
          <w:spacing w:val="-2"/>
        </w:rPr>
        <w:t>元整，截至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日人民法院并未对该诉讼作出判决，根据律师的回复，该</w:t>
      </w:r>
      <w:r>
        <w:rPr>
          <w:spacing w:val="-104"/>
        </w:rPr>
        <w:t> </w:t>
      </w:r>
      <w:r>
        <w:rPr>
          <w:spacing w:val="-104"/>
        </w:rPr>
      </w:r>
      <w:r>
        <w:rPr/>
        <w:t>诉讼材料真实可信，根据我们法律及操作实践，该诉讼案件得到法院支持可能性极高，预计</w:t>
      </w:r>
      <w:r>
        <w:rPr>
          <w:spacing w:val="-83"/>
        </w:rPr>
        <w:t> </w:t>
      </w:r>
      <w:r>
        <w:rPr>
          <w:spacing w:val="-83"/>
        </w:rPr>
      </w:r>
      <w:r>
        <w:rPr/>
        <w:t>不会对财务报表造成重大影响。</w:t>
      </w:r>
    </w:p>
    <w:p>
      <w:pPr>
        <w:spacing w:line="240" w:lineRule="auto" w:before="7"/>
        <w:rPr>
          <w:rFonts w:ascii="宋体" w:hAnsi="宋体" w:cs="宋体" w:eastAsia="宋体" w:hint="default"/>
          <w:sz w:val="22"/>
          <w:szCs w:val="22"/>
        </w:rPr>
      </w:pPr>
    </w:p>
    <w:p>
      <w:pPr>
        <w:spacing w:before="0"/>
        <w:ind w:left="154" w:right="9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）公司没有需要披露的重要或有事项，也应予以说明</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99"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0"/>
        <w:rPr>
          <w:rFonts w:ascii="宋体" w:hAnsi="宋体" w:cs="宋体" w:eastAsia="宋体" w:hint="default"/>
          <w:sz w:val="26"/>
          <w:szCs w:val="26"/>
        </w:rPr>
      </w:pPr>
    </w:p>
    <w:p>
      <w:pPr>
        <w:spacing w:line="487" w:lineRule="auto" w:before="0"/>
        <w:ind w:left="154" w:right="695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83"/>
        <w:ind w:left="154"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、利润分配情况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、销售退回</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99" w:firstLine="480"/>
        <w:jc w:val="left"/>
      </w:pPr>
      <w:r>
        <w:rPr/>
        <w:t>根据浙江华媒控股股份有限公司第八届董事会第十一次会议，本公司与曲水华航投资有</w:t>
      </w:r>
      <w:r>
        <w:rPr>
          <w:spacing w:val="1"/>
        </w:rPr>
        <w:t> </w:t>
      </w:r>
      <w:r>
        <w:rPr/>
        <w:t>限公司、宁波高新区新愿景股权投资有限公司、宁波高新区新未来教育科技有限公司、曲水</w:t>
      </w:r>
      <w:r>
        <w:rPr>
          <w:spacing w:val="-83"/>
        </w:rPr>
        <w:t> </w:t>
      </w:r>
      <w:r>
        <w:rPr>
          <w:spacing w:val="-83"/>
        </w:rPr>
      </w:r>
      <w:r>
        <w:rPr>
          <w:spacing w:val="-3"/>
        </w:rPr>
        <w:t>华唐投资有限公司、宁波高新区红山远景投资管理中心（有限合伙）及其实际控制人吴井军、</w:t>
      </w:r>
      <w:r>
        <w:rPr>
          <w:spacing w:val="-81"/>
        </w:rPr>
        <w:t> </w:t>
      </w:r>
      <w:r>
        <w:rPr>
          <w:spacing w:val="-81"/>
        </w:rPr>
      </w:r>
      <w:r>
        <w:rPr>
          <w:spacing w:val="-3"/>
        </w:rPr>
        <w:t>韩丽夫妇签订《关于收购中教未来国际育科技（北京）有限公司部分股权之股权转让协议》。</w:t>
      </w:r>
      <w:r>
        <w:rPr>
          <w:spacing w:val="-81"/>
        </w:rPr>
        <w:t> </w:t>
      </w:r>
      <w:r>
        <w:rPr>
          <w:spacing w:val="-81"/>
        </w:rPr>
      </w:r>
      <w:r>
        <w:rPr/>
        <w:t>依据坤元评估出具的坤元评报</w:t>
      </w:r>
      <w:r>
        <w:rPr>
          <w:rFonts w:ascii="Times New Roman" w:hAnsi="Times New Roman" w:cs="Times New Roman" w:eastAsia="Times New Roman" w:hint="default"/>
        </w:rPr>
        <w:t>[2016]92</w:t>
      </w:r>
      <w:r>
        <w:rPr/>
        <w:t>号《评估报告》，截至评估基准日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日，中 教未来</w:t>
      </w:r>
      <w:r>
        <w:rPr>
          <w:rFonts w:ascii="Times New Roman" w:hAnsi="Times New Roman" w:cs="Times New Roman" w:eastAsia="Times New Roman" w:hint="default"/>
        </w:rPr>
        <w:t>100%</w:t>
      </w:r>
      <w:r>
        <w:rPr/>
        <w:t>股权的评估值为</w:t>
      </w:r>
      <w:r>
        <w:rPr>
          <w:rFonts w:ascii="Times New Roman" w:hAnsi="Times New Roman" w:cs="Times New Roman" w:eastAsia="Times New Roman" w:hint="default"/>
        </w:rPr>
        <w:t>87,543.26</w:t>
      </w:r>
      <w:r>
        <w:rPr/>
        <w:t>万元。参考评估结果，交易双方经友好协商确定中教未</w:t>
      </w:r>
    </w:p>
    <w:p>
      <w:pPr>
        <w:spacing w:after="0" w:line="312" w:lineRule="exact"/>
        <w:jc w:val="left"/>
        <w:sectPr>
          <w:pgSz w:w="11910" w:h="16840"/>
          <w:pgMar w:header="0" w:footer="982" w:top="1100" w:bottom="1180" w:left="980" w:right="900"/>
        </w:sectPr>
      </w:pPr>
    </w:p>
    <w:p>
      <w:pPr>
        <w:spacing w:line="240" w:lineRule="auto" w:before="7"/>
        <w:rPr>
          <w:rFonts w:ascii="宋体" w:hAnsi="宋体" w:cs="宋体" w:eastAsia="宋体" w:hint="default"/>
          <w:sz w:val="19"/>
          <w:szCs w:val="19"/>
        </w:rPr>
      </w:pPr>
    </w:p>
    <w:p>
      <w:pPr>
        <w:pStyle w:val="BodyText"/>
        <w:spacing w:line="312" w:lineRule="exact" w:before="56"/>
        <w:ind w:right="139"/>
        <w:jc w:val="both"/>
      </w:pPr>
      <w:r>
        <w:rPr>
          <w:spacing w:val="6"/>
        </w:rPr>
        <w:t>来</w:t>
      </w:r>
      <w:r>
        <w:rPr>
          <w:rFonts w:ascii="Times New Roman" w:hAnsi="Times New Roman" w:cs="Times New Roman" w:eastAsia="Times New Roman" w:hint="default"/>
          <w:spacing w:val="6"/>
        </w:rPr>
        <w:t>60%</w:t>
      </w:r>
      <w:r>
        <w:rPr>
          <w:spacing w:val="6"/>
        </w:rPr>
        <w:t>股权的交易作价为</w:t>
      </w:r>
      <w:r>
        <w:rPr>
          <w:rFonts w:ascii="Times New Roman" w:hAnsi="Times New Roman" w:cs="Times New Roman" w:eastAsia="Times New Roman" w:hint="default"/>
          <w:spacing w:val="6"/>
        </w:rPr>
        <w:t>52,200.00</w:t>
      </w:r>
      <w:r>
        <w:rPr>
          <w:spacing w:val="6"/>
        </w:rPr>
        <w:t>万元，即对应整体估值为</w:t>
      </w:r>
      <w:r>
        <w:rPr>
          <w:rFonts w:ascii="Times New Roman" w:hAnsi="Times New Roman" w:cs="Times New Roman" w:eastAsia="Times New Roman" w:hint="default"/>
          <w:spacing w:val="6"/>
        </w:rPr>
        <w:t>87,000.00</w:t>
      </w:r>
      <w:r>
        <w:rPr>
          <w:spacing w:val="6"/>
        </w:rPr>
        <w:t>万元。最终本公司以</w:t>
      </w:r>
      <w:r>
        <w:rPr>
          <w:spacing w:val="-116"/>
        </w:rPr>
        <w:t> </w:t>
      </w:r>
      <w:r>
        <w:rPr>
          <w:rFonts w:ascii="Times New Roman" w:hAnsi="Times New Roman" w:cs="Times New Roman" w:eastAsia="Times New Roman" w:hint="default"/>
        </w:rPr>
        <w:t>52,200.00</w:t>
      </w:r>
      <w:r>
        <w:rPr/>
        <w:t>万元现金收购曲水华航、新愿景投资持有的中教未来国际教育科技（北京）有限公</w:t>
      </w:r>
      <w:r>
        <w:rPr>
          <w:spacing w:val="-86"/>
        </w:rPr>
        <w:t> </w:t>
      </w:r>
      <w:r>
        <w:rPr>
          <w:spacing w:val="-86"/>
        </w:rPr>
      </w:r>
      <w:r>
        <w:rPr/>
        <w:t>司</w:t>
      </w:r>
      <w:r>
        <w:rPr>
          <w:rFonts w:ascii="Times New Roman" w:hAnsi="Times New Roman" w:cs="Times New Roman" w:eastAsia="Times New Roman" w:hint="default"/>
        </w:rPr>
        <w:t>60%</w:t>
      </w:r>
      <w:r>
        <w:rPr/>
        <w:t>股权。</w:t>
      </w:r>
    </w:p>
    <w:p>
      <w:pPr>
        <w:spacing w:line="240" w:lineRule="auto" w:before="10"/>
        <w:rPr>
          <w:rFonts w:ascii="宋体" w:hAnsi="宋体" w:cs="宋体" w:eastAsia="宋体" w:hint="default"/>
          <w:sz w:val="20"/>
          <w:szCs w:val="20"/>
        </w:rPr>
      </w:pPr>
    </w:p>
    <w:p>
      <w:pPr>
        <w:pStyle w:val="Heading3"/>
        <w:spacing w:line="240" w:lineRule="auto"/>
        <w:ind w:right="0"/>
        <w:jc w:val="both"/>
        <w:rPr>
          <w:b w:val="0"/>
          <w:bCs w:val="0"/>
        </w:rPr>
      </w:pPr>
      <w:r>
        <w:rPr/>
        <w:t>十六、其他重要事项</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）追溯重述法</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、资产置换</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）非货币性资产交换</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）其他资产置换</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、年金计划</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、终止经营</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、分部信息</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）报告分部的财务信息</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1"/>
        <w:gridCol w:w="1925"/>
        <w:gridCol w:w="1914"/>
        <w:gridCol w:w="1914"/>
        <w:gridCol w:w="1914"/>
      </w:tblGrid>
      <w:tr>
        <w:trPr>
          <w:trHeight w:val="162" w:hRule="exact"/>
        </w:trPr>
        <w:tc>
          <w:tcPr>
            <w:tcW w:w="1891" w:type="dxa"/>
            <w:vMerge w:val="restart"/>
            <w:tcBorders>
              <w:top w:val="single" w:sz="4" w:space="0" w:color="000000"/>
              <w:left w:val="single" w:sz="4" w:space="0" w:color="000000"/>
              <w:right w:val="single" w:sz="13" w:space="0" w:color="E1FFFF"/>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5" w:type="dxa"/>
            <w:vMerge w:val="restart"/>
            <w:tcBorders>
              <w:top w:val="single" w:sz="4" w:space="0" w:color="000000"/>
              <w:left w:val="single" w:sz="4" w:space="0" w:color="000000"/>
              <w:right w:val="single" w:sz="4" w:space="0" w:color="000000"/>
            </w:tcBorders>
            <w:shd w:val="clear" w:color="auto" w:fill="E1FFFF"/>
          </w:tcPr>
          <w:p>
            <w:pPr>
              <w:pStyle w:val="TableParagraph"/>
              <w:spacing w:line="316" w:lineRule="auto" w:before="52"/>
              <w:ind w:left="243" w:right="50" w:hanging="180"/>
              <w:jc w:val="left"/>
              <w:rPr>
                <w:rFonts w:ascii="宋体" w:hAnsi="宋体" w:cs="宋体" w:eastAsia="宋体" w:hint="default"/>
                <w:sz w:val="18"/>
                <w:szCs w:val="18"/>
              </w:rPr>
            </w:pPr>
            <w:r>
              <w:rPr>
                <w:rFonts w:ascii="宋体" w:hAnsi="宋体" w:cs="宋体" w:eastAsia="宋体" w:hint="default"/>
                <w:sz w:val="18"/>
                <w:szCs w:val="18"/>
              </w:rPr>
              <w:t>报刊发行业广告策划及 印刷相关业务分部</w:t>
            </w:r>
          </w:p>
        </w:tc>
        <w:tc>
          <w:tcPr>
            <w:tcW w:w="1914" w:type="dxa"/>
            <w:tcBorders>
              <w:top w:val="single" w:sz="4" w:space="0" w:color="000000"/>
              <w:left w:val="single" w:sz="4" w:space="0" w:color="000000"/>
              <w:bottom w:val="nil" w:sz="6" w:space="0" w:color="auto"/>
              <w:right w:val="single" w:sz="4" w:space="0" w:color="000000"/>
            </w:tcBorders>
            <w:shd w:val="clear" w:color="auto" w:fill="E1FFFF"/>
          </w:tcPr>
          <w:p>
            <w:pPr/>
          </w:p>
        </w:tc>
        <w:tc>
          <w:tcPr>
            <w:tcW w:w="1914" w:type="dxa"/>
            <w:vMerge w:val="restart"/>
            <w:tcBorders>
              <w:top w:val="single" w:sz="4" w:space="0" w:color="000000"/>
              <w:left w:val="single" w:sz="9" w:space="0" w:color="E1FFFF"/>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94"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1" w:hRule="exact"/>
        </w:trPr>
        <w:tc>
          <w:tcPr>
            <w:tcW w:w="1891" w:type="dxa"/>
            <w:vMerge/>
            <w:tcBorders>
              <w:left w:val="single" w:sz="4" w:space="0" w:color="000000"/>
              <w:right w:val="single" w:sz="13" w:space="0" w:color="E1FFFF"/>
            </w:tcBorders>
            <w:shd w:val="clear" w:color="auto" w:fill="D3D3D3"/>
          </w:tcPr>
          <w:p>
            <w:pPr/>
          </w:p>
        </w:tc>
        <w:tc>
          <w:tcPr>
            <w:tcW w:w="1925" w:type="dxa"/>
            <w:vMerge/>
            <w:tcBorders>
              <w:left w:val="single" w:sz="4" w:space="0" w:color="000000"/>
              <w:right w:val="single" w:sz="4" w:space="0" w:color="000000"/>
            </w:tcBorders>
            <w:shd w:val="clear" w:color="auto" w:fill="E1FFFF"/>
          </w:tcPr>
          <w:p>
            <w:pPr/>
          </w:p>
        </w:tc>
        <w:tc>
          <w:tcPr>
            <w:tcW w:w="1914" w:type="dxa"/>
            <w:tcBorders>
              <w:top w:val="nil" w:sz="6" w:space="0" w:color="auto"/>
              <w:left w:val="single" w:sz="4" w:space="0" w:color="000000"/>
              <w:bottom w:val="nil" w:sz="6" w:space="0" w:color="auto"/>
              <w:right w:val="single" w:sz="4" w:space="0" w:color="000000"/>
            </w:tcBorders>
            <w:shd w:val="clear" w:color="auto" w:fill="E1FFFF"/>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手机视频分销业务分部</w:t>
            </w:r>
          </w:p>
        </w:tc>
        <w:tc>
          <w:tcPr>
            <w:tcW w:w="1914" w:type="dxa"/>
            <w:vMerge/>
            <w:tcBorders>
              <w:left w:val="single" w:sz="9" w:space="0" w:color="E1FFFF"/>
              <w:right w:val="single" w:sz="4" w:space="0" w:color="000000"/>
            </w:tcBorders>
            <w:shd w:val="clear" w:color="auto" w:fill="D3D3D3"/>
          </w:tcPr>
          <w:p>
            <w:pPr/>
          </w:p>
        </w:tc>
        <w:tc>
          <w:tcPr>
            <w:tcW w:w="1914" w:type="dxa"/>
            <w:vMerge/>
            <w:tcBorders>
              <w:left w:val="single" w:sz="4" w:space="0" w:color="000000"/>
              <w:right w:val="single" w:sz="4" w:space="0" w:color="000000"/>
            </w:tcBorders>
            <w:shd w:val="clear" w:color="auto" w:fill="D3D3D3"/>
          </w:tcPr>
          <w:p>
            <w:pPr/>
          </w:p>
        </w:tc>
      </w:tr>
      <w:tr>
        <w:trPr>
          <w:trHeight w:val="161" w:hRule="exact"/>
        </w:trPr>
        <w:tc>
          <w:tcPr>
            <w:tcW w:w="1891" w:type="dxa"/>
            <w:vMerge/>
            <w:tcBorders>
              <w:left w:val="single" w:sz="4" w:space="0" w:color="000000"/>
              <w:bottom w:val="single" w:sz="4" w:space="0" w:color="000000"/>
              <w:right w:val="single" w:sz="13" w:space="0" w:color="E1FFFF"/>
            </w:tcBorders>
            <w:shd w:val="clear" w:color="auto" w:fill="D3D3D3"/>
          </w:tcPr>
          <w:p>
            <w:pPr/>
          </w:p>
        </w:tc>
        <w:tc>
          <w:tcPr>
            <w:tcW w:w="1925" w:type="dxa"/>
            <w:vMerge/>
            <w:tcBorders>
              <w:left w:val="single" w:sz="4" w:space="0" w:color="000000"/>
              <w:bottom w:val="single" w:sz="4" w:space="0" w:color="000000"/>
              <w:right w:val="single" w:sz="4" w:space="0" w:color="000000"/>
            </w:tcBorders>
            <w:shd w:val="clear" w:color="auto" w:fill="E1FFFF"/>
          </w:tcPr>
          <w:p>
            <w:pPr/>
          </w:p>
        </w:tc>
        <w:tc>
          <w:tcPr>
            <w:tcW w:w="1914" w:type="dxa"/>
            <w:tcBorders>
              <w:top w:val="nil" w:sz="6" w:space="0" w:color="auto"/>
              <w:left w:val="single" w:sz="4" w:space="0" w:color="000000"/>
              <w:bottom w:val="single" w:sz="4" w:space="0" w:color="000000"/>
              <w:right w:val="single" w:sz="4" w:space="0" w:color="000000"/>
            </w:tcBorders>
            <w:shd w:val="clear" w:color="auto" w:fill="E1FFFF"/>
          </w:tcPr>
          <w:p>
            <w:pPr/>
          </w:p>
        </w:tc>
        <w:tc>
          <w:tcPr>
            <w:tcW w:w="1914" w:type="dxa"/>
            <w:vMerge/>
            <w:tcBorders>
              <w:left w:val="single" w:sz="9" w:space="0" w:color="E1FFFF"/>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89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25" w:type="dxa"/>
            <w:tcBorders>
              <w:top w:val="single" w:sz="4" w:space="0" w:color="000000"/>
              <w:left w:val="single" w:sz="9" w:space="0" w:color="E1FFFF"/>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1,334,201,074.84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120,855,489.55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1,455,056,564.39</w:t>
            </w:r>
          </w:p>
        </w:tc>
      </w:tr>
      <w:tr>
        <w:trPr>
          <w:trHeight w:val="402" w:hRule="exact"/>
        </w:trPr>
        <w:tc>
          <w:tcPr>
            <w:tcW w:w="189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925" w:type="dxa"/>
            <w:tcBorders>
              <w:top w:val="single" w:sz="4" w:space="0" w:color="000000"/>
              <w:left w:val="single" w:sz="9" w:space="0" w:color="E1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945,099,872.19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82,231,685.00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1,027,331,557.19</w:t>
            </w:r>
          </w:p>
        </w:tc>
      </w:tr>
      <w:tr>
        <w:trPr>
          <w:trHeight w:val="402" w:hRule="exact"/>
        </w:trPr>
        <w:tc>
          <w:tcPr>
            <w:tcW w:w="189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25" w:type="dxa"/>
            <w:tcBorders>
              <w:top w:val="single" w:sz="4" w:space="0" w:color="000000"/>
              <w:left w:val="single" w:sz="9" w:space="0" w:color="E1FFFF"/>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2,282,814,165.98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111,985,901.86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2,394,800,067.84</w:t>
            </w:r>
          </w:p>
        </w:tc>
      </w:tr>
      <w:tr>
        <w:trPr>
          <w:trHeight w:val="403" w:hRule="exact"/>
        </w:trPr>
        <w:tc>
          <w:tcPr>
            <w:tcW w:w="189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925" w:type="dxa"/>
            <w:tcBorders>
              <w:top w:val="single" w:sz="4" w:space="0" w:color="000000"/>
              <w:left w:val="single" w:sz="9" w:space="0" w:color="E1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646,595,285.62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38,612,283.31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685,207,568.93</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980"/>
        </w:sectPr>
      </w:pPr>
    </w:p>
    <w:p>
      <w:pPr>
        <w:spacing w:line="240" w:lineRule="auto" w:before="10"/>
        <w:rPr>
          <w:rFonts w:ascii="宋体" w:hAnsi="宋体" w:cs="宋体" w:eastAsia="宋体" w:hint="default"/>
          <w:sz w:val="20"/>
          <w:szCs w:val="20"/>
        </w:rPr>
      </w:pPr>
    </w:p>
    <w:p>
      <w:pPr>
        <w:spacing w:before="35"/>
        <w:ind w:left="154" w:right="9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）公司无报告分部的，或者不能披露各报告分部的资产总额和负债总额的，应说明原因</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9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、其他对投资者决策有影响的重要交易和事项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99" w:firstLine="480"/>
        <w:jc w:val="left"/>
      </w:pPr>
      <w:r>
        <w:rPr/>
        <w:t>（</w:t>
      </w:r>
      <w:r>
        <w:rPr>
          <w:rFonts w:ascii="Times New Roman" w:hAnsi="Times New Roman" w:cs="Times New Roman" w:eastAsia="Times New Roman" w:hint="default"/>
        </w:rPr>
        <w:t>1</w:t>
      </w:r>
      <w:r>
        <w:rPr/>
        <w:t>）根据浙江华智控股股份有限公司第七届董事会第十一次会议决议和</w:t>
      </w:r>
      <w:r>
        <w:rPr>
          <w:rFonts w:ascii="Times New Roman" w:hAnsi="Times New Roman" w:cs="Times New Roman" w:eastAsia="Times New Roman" w:hint="default"/>
        </w:rPr>
        <w:t>2014</w:t>
      </w:r>
      <w:r>
        <w:rPr/>
        <w:t>年第一次临 时股东大会决议，本公司将除固定资产、无形资产、递延所得税资产、货币资金、应交税费</w:t>
      </w:r>
      <w:r>
        <w:rPr>
          <w:spacing w:val="-83"/>
        </w:rPr>
        <w:t> </w:t>
      </w:r>
      <w:r>
        <w:rPr>
          <w:spacing w:val="-83"/>
        </w:rPr>
      </w:r>
      <w:r>
        <w:rPr/>
        <w:t>和应付股利之外的全部资产及各类负债（具体包括其他应收款、长期股权投资、其他应付款</w:t>
      </w:r>
      <w:r>
        <w:rPr>
          <w:spacing w:val="-83"/>
        </w:rPr>
        <w:t> </w:t>
      </w:r>
      <w:r>
        <w:rPr>
          <w:spacing w:val="-83"/>
        </w:rPr>
      </w:r>
      <w:r>
        <w:rPr>
          <w:spacing w:val="-5"/>
        </w:rPr>
        <w:t>及应付职工薪酬）售予华立集团股份有限公司。依据万邦出具的浙万评报［</w:t>
      </w:r>
      <w:r>
        <w:rPr>
          <w:rFonts w:ascii="Times New Roman" w:hAnsi="Times New Roman" w:cs="Times New Roman" w:eastAsia="Times New Roman" w:hint="default"/>
          <w:spacing w:val="-5"/>
        </w:rPr>
        <w:t>2014</w:t>
      </w:r>
      <w:r>
        <w:rPr>
          <w:spacing w:val="-5"/>
        </w:rPr>
        <w:t>］第</w:t>
      </w:r>
      <w:r>
        <w:rPr>
          <w:rFonts w:ascii="Times New Roman" w:hAnsi="Times New Roman" w:cs="Times New Roman" w:eastAsia="Times New Roman" w:hint="default"/>
          <w:spacing w:val="-5"/>
        </w:rPr>
        <w:t>56</w:t>
      </w:r>
      <w:r>
        <w:rPr>
          <w:spacing w:val="-5"/>
        </w:rPr>
        <w:t>号《资</w:t>
      </w:r>
      <w:r>
        <w:rPr>
          <w:spacing w:val="-104"/>
        </w:rPr>
        <w:t> </w:t>
      </w:r>
      <w:r>
        <w:rPr>
          <w:spacing w:val="-104"/>
        </w:rPr>
      </w:r>
      <w:r>
        <w:rPr/>
        <w:t>产评估报告》，截至评估基准日</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日，本次出售总资产评估值为</w:t>
      </w:r>
      <w:r>
        <w:rPr>
          <w:rFonts w:ascii="Times New Roman" w:hAnsi="Times New Roman" w:cs="Times New Roman" w:eastAsia="Times New Roman" w:hint="default"/>
        </w:rPr>
        <w:t>59,395.59</w:t>
      </w:r>
      <w:r>
        <w:rPr/>
        <w:t>万元、</w:t>
      </w:r>
      <w:r>
        <w:rPr>
          <w:spacing w:val="-86"/>
        </w:rPr>
        <w:t> </w:t>
      </w:r>
      <w:r>
        <w:rPr/>
        <w:t>总负债评估值为</w:t>
      </w:r>
      <w:r>
        <w:rPr>
          <w:rFonts w:ascii="Times New Roman" w:hAnsi="Times New Roman" w:cs="Times New Roman" w:eastAsia="Times New Roman" w:hint="default"/>
        </w:rPr>
        <w:t>22,384.17</w:t>
      </w:r>
      <w:r>
        <w:rPr/>
        <w:t>万元、净资产评估值为</w:t>
      </w:r>
      <w:r>
        <w:rPr>
          <w:rFonts w:ascii="Times New Roman" w:hAnsi="Times New Roman" w:cs="Times New Roman" w:eastAsia="Times New Roman" w:hint="default"/>
        </w:rPr>
        <w:t>37,011.42</w:t>
      </w:r>
      <w:r>
        <w:rPr/>
        <w:t>万元。在此基础上，交易各方协商</w:t>
      </w:r>
      <w:r>
        <w:rPr>
          <w:spacing w:val="-87"/>
        </w:rPr>
        <w:t> </w:t>
      </w:r>
      <w:r>
        <w:rPr>
          <w:spacing w:val="-2"/>
        </w:rPr>
        <w:t>确定拟出售资产的交易价格为</w:t>
      </w:r>
      <w:r>
        <w:rPr>
          <w:rFonts w:ascii="Times New Roman" w:hAnsi="Times New Roman" w:cs="Times New Roman" w:eastAsia="Times New Roman" w:hint="default"/>
          <w:spacing w:val="-2"/>
        </w:rPr>
        <w:t>37,011.42</w:t>
      </w:r>
      <w:r>
        <w:rPr>
          <w:spacing w:val="-2"/>
        </w:rPr>
        <w:t>万元。于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6</w:t>
      </w:r>
      <w:r>
        <w:rPr>
          <w:spacing w:val="-2"/>
        </w:rPr>
        <w:t>日，上述款项收回</w:t>
      </w:r>
      <w:r>
        <w:rPr>
          <w:rFonts w:ascii="Times New Roman" w:hAnsi="Times New Roman" w:cs="Times New Roman" w:eastAsia="Times New Roman" w:hint="default"/>
          <w:spacing w:val="-2"/>
        </w:rPr>
        <w:t>26,000.00</w:t>
      </w:r>
      <w:r>
        <w:rPr>
          <w:spacing w:val="-2"/>
        </w:rPr>
        <w:t>万元，</w:t>
      </w:r>
      <w:r>
        <w:rPr>
          <w:spacing w:val="-94"/>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日收到余款</w:t>
      </w:r>
      <w:r>
        <w:rPr>
          <w:rFonts w:ascii="Times New Roman" w:hAnsi="Times New Roman" w:cs="Times New Roman" w:eastAsia="Times New Roman" w:hint="default"/>
        </w:rPr>
        <w:t>11,011.42</w:t>
      </w:r>
      <w:r>
        <w:rPr/>
        <w:t>万元。</w:t>
      </w:r>
    </w:p>
    <w:p>
      <w:pPr>
        <w:pStyle w:val="BodyText"/>
        <w:spacing w:line="312" w:lineRule="exact"/>
        <w:ind w:right="103" w:firstLine="480"/>
        <w:jc w:val="left"/>
      </w:pPr>
      <w:r>
        <w:rPr>
          <w:spacing w:val="-3"/>
        </w:rPr>
        <w:t>（</w:t>
      </w:r>
      <w:r>
        <w:rPr>
          <w:rFonts w:ascii="Times New Roman" w:hAnsi="Times New Roman" w:cs="Times New Roman" w:eastAsia="Times New Roman" w:hint="default"/>
          <w:spacing w:val="-3"/>
        </w:rPr>
        <w:t>2</w:t>
      </w:r>
      <w:r>
        <w:rPr>
          <w:spacing w:val="-3"/>
        </w:rPr>
        <w:t>）根据浙江华媒控股股份有限公司第八届董事会第六次会议，本公司采用公开挂牌的</w:t>
      </w:r>
      <w:r>
        <w:rPr/>
        <w:t> </w:t>
      </w:r>
      <w:r>
        <w:rPr>
          <w:spacing w:val="-3"/>
        </w:rPr>
        <w:t>方式转让持有的十九楼网络股份有限公司股权</w:t>
      </w:r>
      <w:r>
        <w:rPr>
          <w:rFonts w:ascii="Times New Roman" w:hAnsi="Times New Roman" w:cs="Times New Roman" w:eastAsia="Times New Roman" w:hint="default"/>
          <w:spacing w:val="-3"/>
        </w:rPr>
        <w:t>11,328,875</w:t>
      </w:r>
      <w:r>
        <w:rPr>
          <w:spacing w:val="-3"/>
        </w:rPr>
        <w:t>股，占十九楼总股本</w:t>
      </w:r>
      <w:r>
        <w:rPr>
          <w:rFonts w:ascii="Times New Roman" w:hAnsi="Times New Roman" w:cs="Times New Roman" w:eastAsia="Times New Roman" w:hint="default"/>
          <w:spacing w:val="-3"/>
        </w:rPr>
        <w:t>18.8815%</w:t>
      </w:r>
      <w:r>
        <w:rPr>
          <w:spacing w:val="-3"/>
        </w:rPr>
        <w:t>。依据</w:t>
      </w:r>
      <w:r>
        <w:rPr>
          <w:spacing w:val="-82"/>
        </w:rPr>
        <w:t> </w:t>
      </w:r>
      <w:r>
        <w:rPr>
          <w:spacing w:val="-82"/>
        </w:rPr>
      </w:r>
      <w:r>
        <w:rPr/>
        <w:t>瑞华会计师事务所（特殊普通合伙）浙江分所出具的瑞华浙审字</w:t>
      </w:r>
      <w:r>
        <w:rPr>
          <w:rFonts w:ascii="Times New Roman" w:hAnsi="Times New Roman" w:cs="Times New Roman" w:eastAsia="Times New Roman" w:hint="default"/>
        </w:rPr>
        <w:t>[2015]33010204</w:t>
      </w:r>
      <w:r>
        <w:rPr/>
        <w:t>号《审计报</w:t>
      </w:r>
      <w:r>
        <w:rPr>
          <w:spacing w:val="-31"/>
        </w:rPr>
        <w:t> </w:t>
      </w:r>
      <w:r>
        <w:rPr/>
        <w:t>告》，截至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日，十九楼资产总额</w:t>
      </w:r>
      <w:r>
        <w:rPr>
          <w:rFonts w:ascii="Times New Roman" w:hAnsi="Times New Roman" w:cs="Times New Roman" w:eastAsia="Times New Roman" w:hint="default"/>
        </w:rPr>
        <w:t>20,739.91</w:t>
      </w:r>
      <w:r>
        <w:rPr/>
        <w:t>万元，负债总额</w:t>
      </w:r>
      <w:r>
        <w:rPr>
          <w:rFonts w:ascii="Times New Roman" w:hAnsi="Times New Roman" w:cs="Times New Roman" w:eastAsia="Times New Roman" w:hint="default"/>
        </w:rPr>
        <w:t>3,101.60</w:t>
      </w:r>
      <w:r>
        <w:rPr/>
        <w:t>万元，净资产 </w:t>
      </w:r>
      <w:r>
        <w:rPr>
          <w:rFonts w:ascii="Times New Roman" w:hAnsi="Times New Roman" w:cs="Times New Roman" w:eastAsia="Times New Roman" w:hint="default"/>
        </w:rPr>
        <w:t>17,638.30</w:t>
      </w:r>
      <w:r>
        <w:rPr/>
        <w:t>万元，营业收入</w:t>
      </w:r>
      <w:r>
        <w:rPr>
          <w:rFonts w:ascii="Times New Roman" w:hAnsi="Times New Roman" w:cs="Times New Roman" w:eastAsia="Times New Roman" w:hint="default"/>
        </w:rPr>
        <w:t>12,977.57</w:t>
      </w:r>
      <w:r>
        <w:rPr/>
        <w:t>万元，营业利润</w:t>
      </w:r>
      <w:r>
        <w:rPr>
          <w:rFonts w:ascii="Times New Roman" w:hAnsi="Times New Roman" w:cs="Times New Roman" w:eastAsia="Times New Roman" w:hint="default"/>
        </w:rPr>
        <w:t>2,400.71</w:t>
      </w:r>
      <w:r>
        <w:rPr/>
        <w:t>万元，净利润</w:t>
      </w:r>
      <w:r>
        <w:rPr>
          <w:rFonts w:ascii="Times New Roman" w:hAnsi="Times New Roman" w:cs="Times New Roman" w:eastAsia="Times New Roman" w:hint="default"/>
        </w:rPr>
        <w:t>2,561.62</w:t>
      </w:r>
      <w:r>
        <w:rPr/>
        <w:t>万元，经营</w:t>
      </w:r>
      <w:r>
        <w:rPr>
          <w:spacing w:val="-92"/>
        </w:rPr>
        <w:t> </w:t>
      </w:r>
      <w:r>
        <w:rPr/>
        <w:t>活动产生的现金流量净额</w:t>
      </w:r>
      <w:r>
        <w:rPr>
          <w:rFonts w:ascii="Times New Roman" w:hAnsi="Times New Roman" w:cs="Times New Roman" w:eastAsia="Times New Roman" w:hint="default"/>
        </w:rPr>
        <w:t>3,087.74</w:t>
      </w:r>
      <w:r>
        <w:rPr/>
        <w:t>万元。依据具有证券期货业务资格的坤元资产评估有限公司 出具的坤元评报〔</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409</w:t>
      </w:r>
      <w:r>
        <w:rPr/>
        <w:t>号《浙江华媒控股份有限公司拟股权转让涉及的十九楼网络股份 有限公司股东全部权益价值评估项目资产评估报告》，以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日为评估基准日，采</w:t>
      </w:r>
      <w:r>
        <w:rPr>
          <w:spacing w:val="-85"/>
        </w:rPr>
        <w:t> </w:t>
      </w:r>
      <w:r>
        <w:rPr>
          <w:spacing w:val="-2"/>
        </w:rPr>
        <w:t>用收益法对十九楼的股东全部权益价值进行了评估，评估结果为</w:t>
      </w:r>
      <w:r>
        <w:rPr>
          <w:rFonts w:ascii="Times New Roman" w:hAnsi="Times New Roman" w:cs="Times New Roman" w:eastAsia="Times New Roman" w:hint="default"/>
          <w:spacing w:val="-2"/>
        </w:rPr>
        <w:t>41,184.82</w:t>
      </w:r>
      <w:r>
        <w:rPr>
          <w:spacing w:val="-2"/>
        </w:rPr>
        <w:t>万元。在此基础上，</w:t>
      </w:r>
      <w:r>
        <w:rPr>
          <w:spacing w:val="-110"/>
        </w:rPr>
        <w:t> </w:t>
      </w:r>
      <w:r>
        <w:rPr>
          <w:spacing w:val="-110"/>
        </w:rPr>
      </w:r>
      <w:r>
        <w:rPr/>
        <w:t>挂牌价格为人民币 </w:t>
      </w:r>
      <w:r>
        <w:rPr>
          <w:rFonts w:ascii="Times New Roman" w:hAnsi="Times New Roman" w:cs="Times New Roman" w:eastAsia="Times New Roman" w:hint="default"/>
        </w:rPr>
        <w:t>7,930.2125 </w:t>
      </w:r>
      <w:r>
        <w:rPr/>
        <w:t>万元，实际转让价格为</w:t>
      </w:r>
      <w:r>
        <w:rPr>
          <w:rFonts w:ascii="Times New Roman" w:hAnsi="Times New Roman" w:cs="Times New Roman" w:eastAsia="Times New Roman" w:hint="default"/>
        </w:rPr>
        <w:t>9,370.2125</w:t>
      </w:r>
      <w:r>
        <w:rPr/>
        <w:t>万元。其中华立集团股份有</w:t>
      </w:r>
      <w:r>
        <w:rPr>
          <w:spacing w:val="-102"/>
        </w:rPr>
        <w:t> </w:t>
      </w:r>
      <w:r>
        <w:rPr/>
        <w:t>限公司分别以</w:t>
      </w:r>
      <w:r>
        <w:rPr>
          <w:rFonts w:ascii="Times New Roman" w:hAnsi="Times New Roman" w:cs="Times New Roman" w:eastAsia="Times New Roman" w:hint="default"/>
        </w:rPr>
        <w:t>18,060,425</w:t>
      </w:r>
      <w:r>
        <w:rPr/>
        <w:t>元、</w:t>
      </w:r>
      <w:r>
        <w:rPr>
          <w:rFonts w:ascii="Times New Roman" w:hAnsi="Times New Roman" w:cs="Times New Roman" w:eastAsia="Times New Roman" w:hint="default"/>
        </w:rPr>
        <w:t>18,460,425</w:t>
      </w:r>
      <w:r>
        <w:rPr/>
        <w:t>元及</w:t>
      </w:r>
      <w:r>
        <w:rPr>
          <w:rFonts w:ascii="Times New Roman" w:hAnsi="Times New Roman" w:cs="Times New Roman" w:eastAsia="Times New Roman" w:hint="default"/>
        </w:rPr>
        <w:t>20,260,425</w:t>
      </w:r>
      <w:r>
        <w:rPr/>
        <w:t>元竞得三份转让标的，占十九楼总股本 </w:t>
      </w:r>
      <w:r>
        <w:rPr>
          <w:rFonts w:ascii="Times New Roman" w:hAnsi="Times New Roman" w:cs="Times New Roman" w:eastAsia="Times New Roman" w:hint="default"/>
        </w:rPr>
        <w:t>11.3289%</w:t>
      </w:r>
      <w:r>
        <w:rPr/>
        <w:t>。转让之后，本公司仍持有十九楼股权 </w:t>
      </w:r>
      <w:r>
        <w:rPr>
          <w:rFonts w:ascii="Times New Roman" w:hAnsi="Times New Roman" w:cs="Times New Roman" w:eastAsia="Times New Roman" w:hint="default"/>
        </w:rPr>
        <w:t>11,970,001  </w:t>
      </w:r>
      <w:r>
        <w:rPr/>
        <w:t>股，占总股本</w:t>
      </w:r>
      <w:r>
        <w:rPr>
          <w:spacing w:val="-14"/>
        </w:rPr>
        <w:t> </w:t>
      </w:r>
      <w:r>
        <w:rPr>
          <w:rFonts w:ascii="Times New Roman" w:hAnsi="Times New Roman" w:cs="Times New Roman" w:eastAsia="Times New Roman" w:hint="default"/>
        </w:rPr>
        <w:t>19.9500%</w:t>
      </w:r>
      <w:r>
        <w:rPr/>
        <w:t>。截止</w:t>
      </w:r>
    </w:p>
    <w:p>
      <w:pPr>
        <w:pStyle w:val="BodyText"/>
        <w:spacing w:line="291" w:lineRule="exact"/>
        <w:ind w:right="99"/>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日，上述款项已全部收到。</w:t>
      </w:r>
    </w:p>
    <w:p>
      <w:pPr>
        <w:pStyle w:val="BodyText"/>
        <w:spacing w:line="312" w:lineRule="exact" w:before="20"/>
        <w:ind w:right="106" w:firstLine="480"/>
        <w:jc w:val="left"/>
      </w:pPr>
      <w:r>
        <w:rPr>
          <w:spacing w:val="-3"/>
        </w:rPr>
        <w:t>（</w:t>
      </w:r>
      <w:r>
        <w:rPr>
          <w:rFonts w:ascii="Times New Roman" w:hAnsi="Times New Roman" w:cs="Times New Roman" w:eastAsia="Times New Roman" w:hint="default"/>
          <w:spacing w:val="-3"/>
        </w:rPr>
        <w:t>3</w:t>
      </w:r>
      <w:r>
        <w:rPr>
          <w:spacing w:val="-3"/>
        </w:rPr>
        <w:t>）根据浙江华媒控股股份有限公司第八届董事会第三次会议，本公司全资子公司杭州</w:t>
      </w:r>
      <w:r>
        <w:rPr/>
        <w:t> 日报报业集团盛元印务有限公司参与公开竞拍杭州日报报业集团（杭州日报社）的一宗土地</w:t>
      </w:r>
      <w:r>
        <w:rPr>
          <w:spacing w:val="-83"/>
        </w:rPr>
        <w:t> </w:t>
      </w:r>
      <w:r>
        <w:rPr>
          <w:spacing w:val="-83"/>
        </w:rPr>
      </w:r>
      <w:r>
        <w:rPr>
          <w:spacing w:val="-5"/>
        </w:rPr>
        <w:t>使用权及其上房屋所有权《余杭区乔司街道鑫园路</w:t>
      </w:r>
      <w:r>
        <w:rPr>
          <w:rFonts w:ascii="Times New Roman" w:hAnsi="Times New Roman" w:cs="Times New Roman" w:eastAsia="Times New Roman" w:hint="default"/>
          <w:spacing w:val="-5"/>
        </w:rPr>
        <w:t>8</w:t>
      </w:r>
      <w:r>
        <w:rPr>
          <w:spacing w:val="-5"/>
        </w:rPr>
        <w:t>号</w:t>
      </w:r>
      <w:r>
        <w:rPr>
          <w:rFonts w:ascii="Times New Roman" w:hAnsi="Times New Roman" w:cs="Times New Roman" w:eastAsia="Times New Roman" w:hint="default"/>
          <w:spacing w:val="-5"/>
        </w:rPr>
        <w:t>3</w:t>
      </w:r>
      <w:r>
        <w:rPr>
          <w:spacing w:val="-5"/>
        </w:rPr>
        <w:t>幢、</w:t>
      </w:r>
      <w:r>
        <w:rPr>
          <w:rFonts w:ascii="Times New Roman" w:hAnsi="Times New Roman" w:cs="Times New Roman" w:eastAsia="Times New Roman" w:hint="default"/>
          <w:spacing w:val="-5"/>
        </w:rPr>
        <w:t>4</w:t>
      </w:r>
      <w:r>
        <w:rPr>
          <w:spacing w:val="-5"/>
        </w:rPr>
        <w:t>幢房地产、附属房屋及附属物》，</w:t>
      </w:r>
      <w:r>
        <w:rPr>
          <w:spacing w:val="-109"/>
        </w:rPr>
        <w:t> </w:t>
      </w:r>
      <w:r>
        <w:rPr>
          <w:spacing w:val="-109"/>
        </w:rPr>
      </w:r>
      <w:r>
        <w:rPr>
          <w:spacing w:val="5"/>
        </w:rPr>
        <w:t>依据杭州厦信房地产咨询评估有限公司出具的杭厦房</w:t>
      </w:r>
      <w:r>
        <w:rPr>
          <w:spacing w:val="-1"/>
        </w:rPr>
        <w:t> </w:t>
      </w:r>
      <w:r>
        <w:rPr>
          <w:rFonts w:ascii="Times New Roman" w:hAnsi="Times New Roman" w:cs="Times New Roman" w:eastAsia="Times New Roman" w:hint="default"/>
        </w:rPr>
        <w:t>[2015]</w:t>
      </w:r>
      <w:r>
        <w:rPr/>
        <w:t>估字第</w:t>
      </w:r>
      <w:r>
        <w:rPr>
          <w:rFonts w:ascii="Times New Roman" w:hAnsi="Times New Roman" w:cs="Times New Roman" w:eastAsia="Times New Roman" w:hint="default"/>
        </w:rPr>
        <w:t>HZ10379</w:t>
      </w:r>
      <w:r>
        <w:rPr>
          <w:rFonts w:ascii="Times New Roman" w:hAnsi="Times New Roman" w:cs="Times New Roman" w:eastAsia="Times New Roman" w:hint="default"/>
          <w:spacing w:val="53"/>
        </w:rPr>
        <w:t> </w:t>
      </w:r>
      <w:r>
        <w:rPr>
          <w:spacing w:val="6"/>
        </w:rPr>
        <w:t>号房地产估价</w:t>
      </w:r>
      <w:r>
        <w:rPr>
          <w:spacing w:val="-107"/>
        </w:rPr>
        <w:t> </w:t>
      </w:r>
      <w:r>
        <w:rPr/>
        <w:t>报告书，该宗土地使用权及其上房屋所有权的评估价格为</w:t>
      </w:r>
      <w:r>
        <w:rPr>
          <w:rFonts w:ascii="Times New Roman" w:hAnsi="Times New Roman" w:cs="Times New Roman" w:eastAsia="Times New Roman" w:hint="default"/>
        </w:rPr>
        <w:t>4,370.00 </w:t>
      </w:r>
      <w:r>
        <w:rPr/>
        <w:t>万元。根据上述评估报告</w:t>
      </w:r>
      <w:r>
        <w:rPr>
          <w:spacing w:val="-105"/>
        </w:rPr>
        <w:t> </w:t>
      </w:r>
      <w:r>
        <w:rPr/>
        <w:t>挂牌出让起始价确定为 </w:t>
      </w:r>
      <w:r>
        <w:rPr>
          <w:rFonts w:ascii="Times New Roman" w:hAnsi="Times New Roman" w:cs="Times New Roman" w:eastAsia="Times New Roman" w:hint="default"/>
        </w:rPr>
        <w:t>4,370.00</w:t>
      </w:r>
      <w:r>
        <w:rPr/>
        <w:t>万元。最终本公司全资子公司杭州日报报业集团盛元印务有</w:t>
      </w:r>
      <w:r>
        <w:rPr>
          <w:spacing w:val="-103"/>
        </w:rPr>
        <w:t> </w:t>
      </w:r>
      <w:r>
        <w:rPr>
          <w:spacing w:val="-103"/>
        </w:rPr>
      </w:r>
      <w:r>
        <w:rPr/>
        <w:t>限公司以成交价格</w:t>
      </w:r>
      <w:r>
        <w:rPr>
          <w:rFonts w:ascii="Times New Roman" w:hAnsi="Times New Roman" w:cs="Times New Roman" w:eastAsia="Times New Roman" w:hint="default"/>
        </w:rPr>
        <w:t>4,370.00</w:t>
      </w:r>
      <w:r>
        <w:rPr/>
        <w:t>万元取得了上述土地使用权及其上房屋所有权，成为最终受让方。 上述款项已于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日支付。截止报告出具日该产权正在办理之中。</w:t>
      </w:r>
    </w:p>
    <w:p>
      <w:pPr>
        <w:spacing w:after="0" w:line="312" w:lineRule="exact"/>
        <w:jc w:val="left"/>
        <w:sectPr>
          <w:pgSz w:w="11910" w:h="16840"/>
          <w:pgMar w:header="0" w:footer="982" w:top="1100" w:bottom="1180" w:left="980" w:right="900"/>
        </w:sectPr>
      </w:pPr>
    </w:p>
    <w:p>
      <w:pPr>
        <w:spacing w:line="240" w:lineRule="auto" w:before="9"/>
        <w:rPr>
          <w:rFonts w:ascii="宋体" w:hAnsi="宋体" w:cs="宋体" w:eastAsia="宋体" w:hint="default"/>
          <w:sz w:val="19"/>
          <w:szCs w:val="19"/>
        </w:rPr>
      </w:pPr>
    </w:p>
    <w:p>
      <w:pPr>
        <w:pStyle w:val="Heading3"/>
        <w:spacing w:line="240" w:lineRule="auto" w:before="26"/>
        <w:ind w:right="0"/>
        <w:jc w:val="left"/>
        <w:rPr>
          <w:b w:val="0"/>
          <w:bCs w:val="0"/>
        </w:rPr>
      </w:pP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line="340" w:lineRule="auto" w:before="42"/>
        <w:ind w:left="154" w:right="54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组合中，采用余额百分比法计提坏账准备的应收账款：</w:t>
      </w:r>
    </w:p>
    <w:p>
      <w:pPr>
        <w:spacing w:line="338" w:lineRule="auto" w:before="40"/>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2"/>
        <w:rPr>
          <w:rFonts w:ascii="宋体" w:hAnsi="宋体" w:cs="宋体" w:eastAsia="宋体" w:hint="default"/>
          <w:sz w:val="21"/>
          <w:szCs w:val="21"/>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）本期实际核销的应收账款情况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1435"/>
        <w:gridCol w:w="1181"/>
        <w:gridCol w:w="701"/>
        <w:gridCol w:w="401"/>
        <w:gridCol w:w="553"/>
        <w:gridCol w:w="1181"/>
        <w:gridCol w:w="1181"/>
        <w:gridCol w:w="552"/>
        <w:gridCol w:w="605"/>
        <w:gridCol w:w="724"/>
        <w:gridCol w:w="1181"/>
      </w:tblGrid>
      <w:tr>
        <w:trPr>
          <w:trHeight w:val="402" w:hRule="exact"/>
        </w:trPr>
        <w:tc>
          <w:tcPr>
            <w:tcW w:w="1435" w:type="dxa"/>
            <w:vMerge w:val="restart"/>
            <w:tcBorders>
              <w:top w:val="single" w:sz="4" w:space="0" w:color="000000"/>
              <w:left w:val="single" w:sz="4" w:space="0" w:color="000000"/>
              <w:right w:val="single" w:sz="4" w:space="0" w:color="000000"/>
            </w:tcBorders>
            <w:shd w:val="clear" w:color="auto" w:fill="D3D3D3"/>
          </w:tcPr>
          <w:p>
            <w:pPr/>
          </w:p>
        </w:tc>
        <w:tc>
          <w:tcPr>
            <w:tcW w:w="4017"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24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435" w:type="dxa"/>
            <w:vMerge/>
            <w:tcBorders>
              <w:left w:val="single" w:sz="4" w:space="0" w:color="000000"/>
              <w:bottom w:val="nil" w:sz="6" w:space="0" w:color="auto"/>
              <w:right w:val="single" w:sz="4" w:space="0" w:color="000000"/>
            </w:tcBorders>
            <w:shd w:val="clear" w:color="auto" w:fill="D3D3D3"/>
          </w:tcPr>
          <w:p>
            <w:pPr/>
          </w:p>
        </w:tc>
        <w:tc>
          <w:tcPr>
            <w:tcW w:w="188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7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5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1" w:type="dxa"/>
            <w:vMerge w:val="restart"/>
            <w:tcBorders>
              <w:top w:val="single" w:sz="4" w:space="0" w:color="000000"/>
              <w:left w:val="single" w:sz="4" w:space="0" w:color="000000"/>
              <w:right w:val="single" w:sz="4" w:space="0" w:color="000000"/>
            </w:tcBorders>
            <w:shd w:val="clear" w:color="auto" w:fill="D3D3D3"/>
          </w:tcPr>
          <w:p>
            <w:pPr/>
          </w:p>
        </w:tc>
        <w:tc>
          <w:tcPr>
            <w:tcW w:w="173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81" w:type="dxa"/>
            <w:vMerge w:val="restart"/>
            <w:tcBorders>
              <w:top w:val="single" w:sz="4" w:space="0" w:color="000000"/>
              <w:left w:val="single" w:sz="4" w:space="0" w:color="000000"/>
              <w:right w:val="single" w:sz="4" w:space="0" w:color="000000"/>
            </w:tcBorders>
            <w:shd w:val="clear" w:color="auto" w:fill="D3D3D3"/>
          </w:tcPr>
          <w:p>
            <w:pPr/>
          </w:p>
        </w:tc>
      </w:tr>
      <w:tr>
        <w:trPr>
          <w:trHeight w:val="241" w:hRule="exact"/>
        </w:trPr>
        <w:tc>
          <w:tcPr>
            <w:tcW w:w="143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882" w:type="dxa"/>
            <w:gridSpan w:val="2"/>
            <w:vMerge/>
            <w:tcBorders>
              <w:left w:val="single" w:sz="4" w:space="0" w:color="000000"/>
              <w:bottom w:val="single" w:sz="4" w:space="0" w:color="000000"/>
              <w:right w:val="single" w:sz="4" w:space="0" w:color="000000"/>
            </w:tcBorders>
            <w:shd w:val="clear" w:color="auto" w:fill="D3D3D3"/>
          </w:tcPr>
          <w:p>
            <w:pPr/>
          </w:p>
        </w:tc>
        <w:tc>
          <w:tcPr>
            <w:tcW w:w="954" w:type="dxa"/>
            <w:gridSpan w:val="2"/>
            <w:vMerge/>
            <w:tcBorders>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nil" w:sz="6" w:space="0" w:color="auto"/>
              <w:right w:val="single" w:sz="4" w:space="0" w:color="000000"/>
            </w:tcBorders>
            <w:shd w:val="clear" w:color="auto" w:fill="D3D3D3"/>
          </w:tcPr>
          <w:p>
            <w:pPr/>
          </w:p>
        </w:tc>
        <w:tc>
          <w:tcPr>
            <w:tcW w:w="1733" w:type="dxa"/>
            <w:gridSpan w:val="2"/>
            <w:vMerge/>
            <w:tcBorders>
              <w:left w:val="single" w:sz="4" w:space="0" w:color="000000"/>
              <w:bottom w:val="single" w:sz="4" w:space="0" w:color="000000"/>
              <w:right w:val="single" w:sz="4" w:space="0" w:color="000000"/>
            </w:tcBorders>
            <w:shd w:val="clear" w:color="auto" w:fill="D3D3D3"/>
          </w:tcPr>
          <w:p>
            <w:pPr/>
          </w:p>
        </w:tc>
        <w:tc>
          <w:tcPr>
            <w:tcW w:w="1328" w:type="dxa"/>
            <w:gridSpan w:val="2"/>
            <w:vMerge/>
            <w:tcBorders>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nil" w:sz="6" w:space="0" w:color="auto"/>
              <w:right w:val="single" w:sz="4" w:space="0" w:color="000000"/>
            </w:tcBorders>
            <w:shd w:val="clear" w:color="auto" w:fill="D3D3D3"/>
          </w:tcPr>
          <w:p>
            <w:pPr/>
          </w:p>
        </w:tc>
      </w:tr>
      <w:tr>
        <w:trPr>
          <w:trHeight w:val="158" w:hRule="exact"/>
        </w:trPr>
        <w:tc>
          <w:tcPr>
            <w:tcW w:w="1435" w:type="dxa"/>
            <w:vMerge/>
            <w:tcBorders>
              <w:left w:val="single" w:sz="4" w:space="0" w:color="000000"/>
              <w:bottom w:val="single" w:sz="4" w:space="0" w:color="FFFFFF"/>
              <w:right w:val="single" w:sz="4" w:space="0" w:color="000000"/>
            </w:tcBorders>
            <w:shd w:val="clear" w:color="auto" w:fill="D3D3D3"/>
          </w:tcPr>
          <w:p>
            <w:pPr/>
          </w:p>
        </w:tc>
        <w:tc>
          <w:tcPr>
            <w:tcW w:w="1181" w:type="dxa"/>
            <w:tcBorders>
              <w:top w:val="single" w:sz="4" w:space="0" w:color="000000"/>
              <w:left w:val="single" w:sz="4" w:space="0" w:color="000000"/>
              <w:bottom w:val="single" w:sz="4" w:space="0" w:color="FFFFFF"/>
              <w:right w:val="single" w:sz="4" w:space="0" w:color="000000"/>
            </w:tcBorders>
            <w:shd w:val="clear" w:color="auto" w:fill="D3D3D3"/>
          </w:tcPr>
          <w:p>
            <w:pPr/>
          </w:p>
        </w:tc>
        <w:tc>
          <w:tcPr>
            <w:tcW w:w="701" w:type="dxa"/>
            <w:tcBorders>
              <w:top w:val="single" w:sz="4" w:space="0" w:color="000000"/>
              <w:left w:val="single" w:sz="4" w:space="0" w:color="000000"/>
              <w:bottom w:val="single" w:sz="4" w:space="0" w:color="FFFFFF"/>
              <w:right w:val="single" w:sz="4" w:space="0" w:color="000000"/>
            </w:tcBorders>
            <w:shd w:val="clear" w:color="auto" w:fill="D3D3D3"/>
          </w:tcPr>
          <w:p>
            <w:pPr/>
          </w:p>
        </w:tc>
        <w:tc>
          <w:tcPr>
            <w:tcW w:w="401"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05" w:right="103"/>
              <w:jc w:val="left"/>
              <w:rPr>
                <w:rFonts w:ascii="宋体" w:hAnsi="宋体" w:cs="宋体" w:eastAsia="宋体" w:hint="default"/>
                <w:sz w:val="18"/>
                <w:szCs w:val="18"/>
              </w:rPr>
            </w:pPr>
            <w:r>
              <w:rPr>
                <w:rFonts w:ascii="宋体" w:hAnsi="宋体" w:cs="宋体" w:eastAsia="宋体" w:hint="default"/>
                <w:sz w:val="18"/>
                <w:szCs w:val="18"/>
              </w:rPr>
              <w:t>金 额</w:t>
            </w:r>
          </w:p>
        </w:tc>
        <w:tc>
          <w:tcPr>
            <w:tcW w:w="55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91" w:right="90"/>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8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22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81" w:type="dxa"/>
            <w:tcBorders>
              <w:top w:val="single" w:sz="4" w:space="0" w:color="000000"/>
              <w:left w:val="single" w:sz="4" w:space="0" w:color="000000"/>
              <w:bottom w:val="nil" w:sz="6" w:space="0" w:color="auto"/>
              <w:right w:val="single" w:sz="4" w:space="0" w:color="000000"/>
            </w:tcBorders>
            <w:shd w:val="clear" w:color="auto" w:fill="D3D3D3"/>
          </w:tcPr>
          <w:p>
            <w:pPr/>
          </w:p>
        </w:tc>
        <w:tc>
          <w:tcPr>
            <w:tcW w:w="552" w:type="dxa"/>
            <w:tcBorders>
              <w:top w:val="single" w:sz="4" w:space="0" w:color="000000"/>
              <w:left w:val="single" w:sz="4" w:space="0" w:color="000000"/>
              <w:bottom w:val="nil" w:sz="6" w:space="0" w:color="auto"/>
              <w:right w:val="single" w:sz="4" w:space="0" w:color="000000"/>
            </w:tcBorders>
            <w:shd w:val="clear" w:color="auto" w:fill="D3D3D3"/>
          </w:tcPr>
          <w:p>
            <w:pPr/>
          </w:p>
        </w:tc>
        <w:tc>
          <w:tcPr>
            <w:tcW w:w="605" w:type="dxa"/>
            <w:tcBorders>
              <w:top w:val="single" w:sz="4" w:space="0" w:color="000000"/>
              <w:left w:val="single" w:sz="4" w:space="0" w:color="000000"/>
              <w:bottom w:val="nil" w:sz="6" w:space="0" w:color="auto"/>
              <w:right w:val="single" w:sz="4" w:space="0" w:color="000000"/>
            </w:tcBorders>
            <w:shd w:val="clear" w:color="auto" w:fill="D3D3D3"/>
          </w:tcPr>
          <w:p>
            <w:pPr/>
          </w:p>
        </w:tc>
        <w:tc>
          <w:tcPr>
            <w:tcW w:w="72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66" w:right="8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18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22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5" w:hRule="exact"/>
        </w:trPr>
        <w:tc>
          <w:tcPr>
            <w:tcW w:w="1435" w:type="dxa"/>
            <w:vMerge w:val="restart"/>
            <w:tcBorders>
              <w:top w:val="single" w:sz="4" w:space="0" w:color="FFFFFF"/>
              <w:left w:val="single" w:sz="4" w:space="0" w:color="000000"/>
              <w:right w:val="single" w:sz="4" w:space="0" w:color="000000"/>
            </w:tcBorders>
            <w:shd w:val="clear" w:color="auto" w:fill="D3D3D3"/>
          </w:tcPr>
          <w:p>
            <w:pPr/>
          </w:p>
        </w:tc>
        <w:tc>
          <w:tcPr>
            <w:tcW w:w="1181" w:type="dxa"/>
            <w:vMerge w:val="restart"/>
            <w:tcBorders>
              <w:top w:val="single" w:sz="4" w:space="0" w:color="FFFFFF"/>
              <w:left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1" w:type="dxa"/>
            <w:vMerge w:val="restart"/>
            <w:tcBorders>
              <w:top w:val="single" w:sz="4" w:space="0" w:color="FFFFFF"/>
              <w:left w:val="single" w:sz="4" w:space="0" w:color="000000"/>
              <w:right w:val="single" w:sz="4" w:space="0" w:color="000000"/>
            </w:tcBorders>
            <w:shd w:val="clear" w:color="auto" w:fill="D3D3D3"/>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401" w:type="dxa"/>
            <w:vMerge/>
            <w:tcBorders>
              <w:left w:val="single" w:sz="4" w:space="0" w:color="000000"/>
              <w:right w:val="single" w:sz="4" w:space="0" w:color="000000"/>
            </w:tcBorders>
            <w:shd w:val="clear" w:color="auto" w:fill="D3D3D3"/>
          </w:tcPr>
          <w:p>
            <w:pPr/>
          </w:p>
        </w:tc>
        <w:tc>
          <w:tcPr>
            <w:tcW w:w="553" w:type="dxa"/>
            <w:vMerge/>
            <w:tcBorders>
              <w:left w:val="single" w:sz="4" w:space="0" w:color="000000"/>
              <w:right w:val="single" w:sz="4" w:space="0" w:color="000000"/>
            </w:tcBorders>
            <w:shd w:val="clear" w:color="auto" w:fill="D3D3D3"/>
          </w:tcPr>
          <w:p>
            <w:pPr/>
          </w:p>
        </w:tc>
        <w:tc>
          <w:tcPr>
            <w:tcW w:w="1181" w:type="dxa"/>
            <w:vMerge/>
            <w:tcBorders>
              <w:left w:val="single" w:sz="4" w:space="0" w:color="000000"/>
              <w:bottom w:val="nil" w:sz="6" w:space="0" w:color="auto"/>
              <w:right w:val="single" w:sz="4" w:space="0" w:color="000000"/>
            </w:tcBorders>
            <w:shd w:val="clear" w:color="auto" w:fill="D3D3D3"/>
          </w:tcPr>
          <w:p>
            <w:pPr/>
          </w:p>
        </w:tc>
        <w:tc>
          <w:tcPr>
            <w:tcW w:w="118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5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8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60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1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24" w:type="dxa"/>
            <w:vMerge/>
            <w:tcBorders>
              <w:left w:val="single" w:sz="4" w:space="0" w:color="000000"/>
              <w:right w:val="single" w:sz="4" w:space="0" w:color="000000"/>
            </w:tcBorders>
            <w:shd w:val="clear" w:color="auto" w:fill="D3D3D3"/>
          </w:tcPr>
          <w:p>
            <w:pPr/>
          </w:p>
        </w:tc>
        <w:tc>
          <w:tcPr>
            <w:tcW w:w="1181" w:type="dxa"/>
            <w:vMerge/>
            <w:tcBorders>
              <w:left w:val="single" w:sz="4" w:space="0" w:color="000000"/>
              <w:bottom w:val="nil" w:sz="6" w:space="0" w:color="auto"/>
              <w:right w:val="single" w:sz="4" w:space="0" w:color="000000"/>
            </w:tcBorders>
            <w:shd w:val="clear" w:color="auto" w:fill="D3D3D3"/>
          </w:tcPr>
          <w:p>
            <w:pPr/>
          </w:p>
        </w:tc>
      </w:tr>
      <w:tr>
        <w:trPr>
          <w:trHeight w:val="200" w:hRule="exact"/>
        </w:trPr>
        <w:tc>
          <w:tcPr>
            <w:tcW w:w="1435" w:type="dxa"/>
            <w:vMerge/>
            <w:tcBorders>
              <w:left w:val="single" w:sz="4" w:space="0" w:color="000000"/>
              <w:right w:val="single" w:sz="4" w:space="0" w:color="000000"/>
            </w:tcBorders>
            <w:shd w:val="clear" w:color="auto" w:fill="D3D3D3"/>
          </w:tcPr>
          <w:p>
            <w:pPr/>
          </w:p>
        </w:tc>
        <w:tc>
          <w:tcPr>
            <w:tcW w:w="1181" w:type="dxa"/>
            <w:vMerge/>
            <w:tcBorders>
              <w:left w:val="single" w:sz="4" w:space="0" w:color="000000"/>
              <w:bottom w:val="nil" w:sz="6" w:space="0" w:color="auto"/>
              <w:right w:val="single" w:sz="4" w:space="0" w:color="000000"/>
            </w:tcBorders>
            <w:shd w:val="clear" w:color="auto" w:fill="D3D3D3"/>
          </w:tcPr>
          <w:p>
            <w:pPr/>
          </w:p>
        </w:tc>
        <w:tc>
          <w:tcPr>
            <w:tcW w:w="701" w:type="dxa"/>
            <w:vMerge/>
            <w:tcBorders>
              <w:left w:val="single" w:sz="4" w:space="0" w:color="000000"/>
              <w:bottom w:val="nil" w:sz="6" w:space="0" w:color="auto"/>
              <w:right w:val="single" w:sz="4" w:space="0" w:color="000000"/>
            </w:tcBorders>
            <w:shd w:val="clear" w:color="auto" w:fill="D3D3D3"/>
          </w:tcPr>
          <w:p>
            <w:pPr/>
          </w:p>
        </w:tc>
        <w:tc>
          <w:tcPr>
            <w:tcW w:w="401" w:type="dxa"/>
            <w:vMerge/>
            <w:tcBorders>
              <w:left w:val="single" w:sz="4" w:space="0" w:color="000000"/>
              <w:right w:val="single" w:sz="4" w:space="0" w:color="000000"/>
            </w:tcBorders>
            <w:shd w:val="clear" w:color="auto" w:fill="D3D3D3"/>
          </w:tcPr>
          <w:p>
            <w:pPr/>
          </w:p>
        </w:tc>
        <w:tc>
          <w:tcPr>
            <w:tcW w:w="553" w:type="dxa"/>
            <w:vMerge/>
            <w:tcBorders>
              <w:left w:val="single" w:sz="4" w:space="0" w:color="000000"/>
              <w:right w:val="single" w:sz="4" w:space="0" w:color="000000"/>
            </w:tcBorders>
            <w:shd w:val="clear" w:color="auto" w:fill="D3D3D3"/>
          </w:tcPr>
          <w:p>
            <w:pPr/>
          </w:p>
        </w:tc>
        <w:tc>
          <w:tcPr>
            <w:tcW w:w="1181" w:type="dxa"/>
            <w:vMerge w:val="restart"/>
            <w:tcBorders>
              <w:top w:val="nil" w:sz="6" w:space="0" w:color="auto"/>
              <w:left w:val="single" w:sz="4" w:space="0" w:color="000000"/>
              <w:right w:val="single" w:sz="4" w:space="0" w:color="000000"/>
            </w:tcBorders>
            <w:shd w:val="clear" w:color="auto" w:fill="D3D3D3"/>
          </w:tcPr>
          <w:p>
            <w:pPr/>
          </w:p>
        </w:tc>
        <w:tc>
          <w:tcPr>
            <w:tcW w:w="1181" w:type="dxa"/>
            <w:vMerge/>
            <w:tcBorders>
              <w:left w:val="single" w:sz="4" w:space="0" w:color="000000"/>
              <w:bottom w:val="nil" w:sz="6" w:space="0" w:color="auto"/>
              <w:right w:val="single" w:sz="4" w:space="0" w:color="000000"/>
            </w:tcBorders>
            <w:shd w:val="clear" w:color="auto" w:fill="D3D3D3"/>
          </w:tcPr>
          <w:p>
            <w:pPr/>
          </w:p>
        </w:tc>
        <w:tc>
          <w:tcPr>
            <w:tcW w:w="552" w:type="dxa"/>
            <w:vMerge/>
            <w:tcBorders>
              <w:left w:val="single" w:sz="4" w:space="0" w:color="000000"/>
              <w:bottom w:val="nil" w:sz="6" w:space="0" w:color="auto"/>
              <w:right w:val="single" w:sz="4" w:space="0" w:color="000000"/>
            </w:tcBorders>
            <w:shd w:val="clear" w:color="auto" w:fill="D3D3D3"/>
          </w:tcPr>
          <w:p>
            <w:pPr/>
          </w:p>
        </w:tc>
        <w:tc>
          <w:tcPr>
            <w:tcW w:w="605" w:type="dxa"/>
            <w:vMerge/>
            <w:tcBorders>
              <w:left w:val="single" w:sz="4" w:space="0" w:color="000000"/>
              <w:bottom w:val="nil" w:sz="6" w:space="0" w:color="auto"/>
              <w:right w:val="single" w:sz="4" w:space="0" w:color="000000"/>
            </w:tcBorders>
            <w:shd w:val="clear" w:color="auto" w:fill="D3D3D3"/>
          </w:tcPr>
          <w:p>
            <w:pPr/>
          </w:p>
        </w:tc>
        <w:tc>
          <w:tcPr>
            <w:tcW w:w="724" w:type="dxa"/>
            <w:vMerge/>
            <w:tcBorders>
              <w:left w:val="single" w:sz="4" w:space="0" w:color="000000"/>
              <w:right w:val="single" w:sz="4" w:space="0" w:color="000000"/>
            </w:tcBorders>
            <w:shd w:val="clear" w:color="auto" w:fill="D3D3D3"/>
          </w:tcPr>
          <w:p>
            <w:pPr/>
          </w:p>
        </w:tc>
        <w:tc>
          <w:tcPr>
            <w:tcW w:w="1181"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435" w:type="dxa"/>
            <w:vMerge/>
            <w:tcBorders>
              <w:left w:val="single" w:sz="4" w:space="0" w:color="000000"/>
              <w:bottom w:val="single" w:sz="4" w:space="0" w:color="000000"/>
              <w:right w:val="single" w:sz="4" w:space="0" w:color="000000"/>
            </w:tcBorders>
            <w:shd w:val="clear" w:color="auto" w:fill="D3D3D3"/>
          </w:tcPr>
          <w:p>
            <w:pPr/>
          </w:p>
        </w:tc>
        <w:tc>
          <w:tcPr>
            <w:tcW w:w="1181" w:type="dxa"/>
            <w:tcBorders>
              <w:top w:val="nil" w:sz="6" w:space="0" w:color="auto"/>
              <w:left w:val="single" w:sz="4" w:space="0" w:color="000000"/>
              <w:bottom w:val="single" w:sz="4" w:space="0" w:color="000000"/>
              <w:right w:val="single" w:sz="4" w:space="0" w:color="000000"/>
            </w:tcBorders>
            <w:shd w:val="clear" w:color="auto" w:fill="D3D3D3"/>
          </w:tcPr>
          <w:p>
            <w:pPr/>
          </w:p>
        </w:tc>
        <w:tc>
          <w:tcPr>
            <w:tcW w:w="701" w:type="dxa"/>
            <w:tcBorders>
              <w:top w:val="nil" w:sz="6" w:space="0" w:color="auto"/>
              <w:left w:val="single" w:sz="4" w:space="0" w:color="000000"/>
              <w:bottom w:val="single" w:sz="4" w:space="0" w:color="000000"/>
              <w:right w:val="single" w:sz="4" w:space="0" w:color="000000"/>
            </w:tcBorders>
            <w:shd w:val="clear" w:color="auto" w:fill="D3D3D3"/>
          </w:tcPr>
          <w:p>
            <w:pPr/>
          </w:p>
        </w:tc>
        <w:tc>
          <w:tcPr>
            <w:tcW w:w="401" w:type="dxa"/>
            <w:vMerge/>
            <w:tcBorders>
              <w:left w:val="single" w:sz="4" w:space="0" w:color="000000"/>
              <w:bottom w:val="single" w:sz="4" w:space="0" w:color="000000"/>
              <w:right w:val="single" w:sz="4" w:space="0" w:color="000000"/>
            </w:tcBorders>
            <w:shd w:val="clear" w:color="auto" w:fill="D3D3D3"/>
          </w:tcPr>
          <w:p>
            <w:pPr/>
          </w:p>
        </w:tc>
        <w:tc>
          <w:tcPr>
            <w:tcW w:w="553" w:type="dxa"/>
            <w:vMerge/>
            <w:tcBorders>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c>
          <w:tcPr>
            <w:tcW w:w="1181" w:type="dxa"/>
            <w:tcBorders>
              <w:top w:val="nil" w:sz="6" w:space="0" w:color="auto"/>
              <w:left w:val="single" w:sz="4" w:space="0" w:color="000000"/>
              <w:bottom w:val="single" w:sz="4" w:space="0" w:color="000000"/>
              <w:right w:val="single" w:sz="4" w:space="0" w:color="000000"/>
            </w:tcBorders>
            <w:shd w:val="clear" w:color="auto" w:fill="D3D3D3"/>
          </w:tcPr>
          <w:p>
            <w:pPr/>
          </w:p>
        </w:tc>
        <w:tc>
          <w:tcPr>
            <w:tcW w:w="552" w:type="dxa"/>
            <w:tcBorders>
              <w:top w:val="nil" w:sz="6" w:space="0" w:color="auto"/>
              <w:left w:val="single" w:sz="4" w:space="0" w:color="000000"/>
              <w:bottom w:val="single" w:sz="4" w:space="0" w:color="000000"/>
              <w:right w:val="single" w:sz="4" w:space="0" w:color="000000"/>
            </w:tcBorders>
            <w:shd w:val="clear" w:color="auto" w:fill="D3D3D3"/>
          </w:tcPr>
          <w:p>
            <w:pPr/>
          </w:p>
        </w:tc>
        <w:tc>
          <w:tcPr>
            <w:tcW w:w="605" w:type="dxa"/>
            <w:tcBorders>
              <w:top w:val="nil" w:sz="6" w:space="0" w:color="auto"/>
              <w:left w:val="single" w:sz="4" w:space="0" w:color="000000"/>
              <w:bottom w:val="single" w:sz="4" w:space="0" w:color="000000"/>
              <w:right w:val="single" w:sz="4" w:space="0" w:color="000000"/>
            </w:tcBorders>
            <w:shd w:val="clear" w:color="auto" w:fill="D3D3D3"/>
          </w:tcPr>
          <w:p>
            <w:pPr/>
          </w:p>
        </w:tc>
        <w:tc>
          <w:tcPr>
            <w:tcW w:w="724" w:type="dxa"/>
            <w:vMerge/>
            <w:tcBorders>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0"/>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118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 w:right="0"/>
              <w:jc w:val="left"/>
              <w:rPr>
                <w:rFonts w:ascii="Times New Roman" w:hAnsi="Times New Roman" w:cs="Times New Roman" w:eastAsia="Times New Roman" w:hint="default"/>
                <w:sz w:val="18"/>
                <w:szCs w:val="18"/>
              </w:rPr>
            </w:pPr>
            <w:r>
              <w:rPr>
                <w:rFonts w:ascii="Times New Roman"/>
                <w:sz w:val="18"/>
              </w:rPr>
              <w:t>148,758,023.59</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100.00%</w:t>
            </w:r>
          </w:p>
        </w:tc>
        <w:tc>
          <w:tcPr>
            <w:tcW w:w="401" w:type="dxa"/>
            <w:tcBorders>
              <w:top w:val="single" w:sz="4" w:space="0" w:color="000000"/>
              <w:left w:val="single" w:sz="4" w:space="0" w:color="000000"/>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148,758,023.59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368,504,060.08</w:t>
            </w:r>
          </w:p>
        </w:tc>
        <w:tc>
          <w:tcPr>
            <w:tcW w:w="55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368,504,060.08</w:t>
            </w:r>
          </w:p>
        </w:tc>
      </w:tr>
      <w:tr>
        <w:trPr>
          <w:trHeight w:val="402"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148,758,023.59</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100.00%</w:t>
            </w:r>
          </w:p>
        </w:tc>
        <w:tc>
          <w:tcPr>
            <w:tcW w:w="401" w:type="dxa"/>
            <w:tcBorders>
              <w:top w:val="single" w:sz="4" w:space="0" w:color="000000"/>
              <w:left w:val="single" w:sz="4" w:space="0" w:color="000000"/>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148,758,023.59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368,504,060.08</w:t>
            </w:r>
          </w:p>
        </w:tc>
        <w:tc>
          <w:tcPr>
            <w:tcW w:w="552"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368,504,060.08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0" w:footer="982" w:top="1100" w:bottom="1180" w:left="980" w:right="980"/>
        </w:sectPr>
      </w:pPr>
    </w:p>
    <w:p>
      <w:pPr>
        <w:spacing w:line="240" w:lineRule="auto" w:before="13"/>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40"/>
          <w:pgMar w:header="0" w:footer="982" w:top="1100" w:bottom="1180" w:left="980" w:right="980"/>
        </w:sectPr>
      </w:pPr>
    </w:p>
    <w:p>
      <w:pPr>
        <w:spacing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before="116"/>
        <w:ind w:left="15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294" w:space="4534"/>
            <w:col w:w="1122"/>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8"/>
        <w:gridCol w:w="2300"/>
        <w:gridCol w:w="2390"/>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3D3D3"/>
          </w:tcPr>
          <w:p>
            <w:pPr/>
          </w:p>
        </w:tc>
        <w:tc>
          <w:tcPr>
            <w:tcW w:w="2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其中：</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r>
              <w:rPr>
                <w:rFonts w:ascii="Times New Roman" w:hAnsi="Times New Roman" w:cs="Times New Roman" w:eastAsia="Times New Roman" w:hint="default"/>
                <w:sz w:val="18"/>
                <w:szCs w:val="18"/>
              </w:rPr>
              <w:t>]</w:t>
            </w:r>
          </w:p>
        </w:tc>
        <w:tc>
          <w:tcPr>
            <w:tcW w:w="2300"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197,170.94</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101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w:t>
            </w:r>
          </w:p>
        </w:tc>
        <w:tc>
          <w:tcPr>
            <w:tcW w:w="2300" w:type="dxa"/>
            <w:tcBorders>
              <w:top w:val="single" w:sz="4" w:space="0" w:color="000000"/>
              <w:left w:val="single" w:sz="13" w:space="0" w:color="C7EDCC"/>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197,170.94</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197,170.94</w:t>
            </w: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312" w:lineRule="exact" w:before="97"/>
        <w:ind w:right="0" w:firstLine="480"/>
        <w:jc w:val="left"/>
      </w:pPr>
      <w:r>
        <w:rPr/>
        <w:t>注：公司根据以前年度与之相同或相类似的、按账龄段划分的具有类似信用风险特征的</w:t>
      </w:r>
      <w:r>
        <w:rPr>
          <w:spacing w:val="1"/>
        </w:rPr>
        <w:t> </w:t>
      </w:r>
      <w:r>
        <w:rPr/>
        <w:t>应收账款组合的实际损失率为基础，结合现时情况分析法确定坏账准备计提的比例。</w:t>
      </w:r>
    </w:p>
    <w:p>
      <w:pPr>
        <w:spacing w:before="59"/>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7"/>
        <w:ind w:left="154" w:right="56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）本期实际核销的其他应收款情况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）其他应收款按款项性质分类情况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重组置出资产处置款等</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368,504,060.08</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148,515,209.00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212,814.59</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148,758,023.59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368,504,060.08</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）按欠款方归集的期末余额前五名的其他应收款情况</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1"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2"/>
        <w:gridCol w:w="1615"/>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杭州网络传媒有限公 司</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72,515,209.00</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48.75%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杭州日报报业集团盛 元印务有限公司</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65,000,000.00</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43.70%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9"/>
              <w:jc w:val="both"/>
              <w:rPr>
                <w:rFonts w:ascii="宋体" w:hAnsi="宋体" w:cs="宋体" w:eastAsia="宋体" w:hint="default"/>
                <w:sz w:val="18"/>
                <w:szCs w:val="18"/>
              </w:rPr>
            </w:pPr>
            <w:r>
              <w:rPr>
                <w:rFonts w:ascii="宋体" w:hAnsi="宋体" w:cs="宋体" w:eastAsia="宋体" w:hint="default"/>
                <w:sz w:val="18"/>
                <w:szCs w:val="18"/>
              </w:rPr>
              <w:t>杭州日报报业集团每 日送电子商务有限公 司</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11,000,000.00</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Virgin </w:t>
            </w:r>
            <w:r>
              <w:rPr>
                <w:rFonts w:ascii="Times New Roman"/>
                <w:sz w:val="18"/>
              </w:rPr>
              <w:t>Produced</w:t>
            </w:r>
            <w:r>
              <w:rPr>
                <w:rFonts w:ascii="Times New Roman"/>
                <w:spacing w:val="3"/>
                <w:sz w:val="18"/>
              </w:rPr>
              <w:t> </w:t>
            </w:r>
            <w:r>
              <w:rPr>
                <w:rFonts w:ascii="Times New Roman"/>
                <w:sz w:val="18"/>
              </w:rPr>
              <w:t>LLC</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160,297.50</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0.11%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杭州日报传媒有限公 司</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代垫费用</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45,643.65</w:t>
            </w:r>
          </w:p>
        </w:tc>
        <w:tc>
          <w:tcPr>
            <w:tcW w:w="1552"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148,721,150.15</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99.98%</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）涉及政府补助的应收款项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3"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）转移其他应收款且继续涉入形成的资产、负债金额</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379"/>
        <w:gridCol w:w="1367"/>
        <w:gridCol w:w="1367"/>
        <w:gridCol w:w="1368"/>
        <w:gridCol w:w="1367"/>
        <w:gridCol w:w="1367"/>
      </w:tblGrid>
      <w:tr>
        <w:trPr>
          <w:trHeight w:val="206" w:hRule="exact"/>
        </w:trPr>
        <w:tc>
          <w:tcPr>
            <w:tcW w:w="1345" w:type="dxa"/>
            <w:tcBorders>
              <w:top w:val="single" w:sz="4" w:space="0" w:color="000000"/>
              <w:left w:val="single" w:sz="4" w:space="0" w:color="000000"/>
              <w:bottom w:val="nil" w:sz="6" w:space="0" w:color="auto"/>
              <w:right w:val="single" w:sz="4" w:space="0" w:color="000000"/>
            </w:tcBorders>
            <w:shd w:val="clear" w:color="auto" w:fill="D3D3D3"/>
          </w:tcPr>
          <w:p>
            <w:pPr/>
          </w:p>
        </w:tc>
        <w:tc>
          <w:tcPr>
            <w:tcW w:w="4113"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4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3D3D3"/>
          </w:tcPr>
          <w:p>
            <w:pPr/>
          </w:p>
        </w:tc>
        <w:tc>
          <w:tcPr>
            <w:tcW w:w="4102" w:type="dxa"/>
            <w:gridSpan w:val="3"/>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1345" w:type="dxa"/>
            <w:vMerge/>
            <w:tcBorders>
              <w:left w:val="single" w:sz="4" w:space="0" w:color="000000"/>
              <w:bottom w:val="nil" w:sz="6" w:space="0" w:color="auto"/>
              <w:right w:val="single" w:sz="4" w:space="0" w:color="000000"/>
            </w:tcBorders>
            <w:shd w:val="clear" w:color="auto" w:fill="D3D3D3"/>
          </w:tcPr>
          <w:p>
            <w:pPr/>
          </w:p>
        </w:tc>
        <w:tc>
          <w:tcPr>
            <w:tcW w:w="137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5" w:type="dxa"/>
            <w:tcBorders>
              <w:top w:val="nil" w:sz="6" w:space="0" w:color="auto"/>
              <w:left w:val="single" w:sz="4" w:space="0" w:color="000000"/>
              <w:bottom w:val="single" w:sz="4" w:space="0" w:color="000000"/>
              <w:right w:val="single" w:sz="4" w:space="0" w:color="000000"/>
            </w:tcBorders>
            <w:shd w:val="clear" w:color="auto" w:fill="D3D3D3"/>
          </w:tcPr>
          <w:p>
            <w:pPr/>
          </w:p>
        </w:tc>
        <w:tc>
          <w:tcPr>
            <w:tcW w:w="137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2,123,836,000.00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2,123,836,000.00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2,073,036,000.00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2,073,036,000.00</w:t>
            </w:r>
          </w:p>
        </w:tc>
      </w:tr>
      <w:tr>
        <w:trPr>
          <w:trHeight w:val="714"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227,831,254.37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227,831,254.37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158,122,600.00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8" w:right="0"/>
              <w:jc w:val="center"/>
              <w:rPr>
                <w:rFonts w:ascii="Times New Roman" w:hAnsi="Times New Roman" w:cs="Times New Roman" w:eastAsia="Times New Roman" w:hint="default"/>
                <w:sz w:val="18"/>
                <w:szCs w:val="18"/>
              </w:rPr>
            </w:pPr>
            <w:r>
              <w:rPr>
                <w:rFonts w:ascii="Times New Roman"/>
                <w:sz w:val="18"/>
              </w:rPr>
              <w:t>158,122,600.00</w:t>
            </w: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2,351,667,254.37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2,351,667,254.37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2,231,158,600.00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2,231,158,600.00</w:t>
            </w:r>
          </w:p>
        </w:tc>
      </w:tr>
    </w:tbl>
    <w:p>
      <w:pPr>
        <w:spacing w:line="240" w:lineRule="auto" w:before="2"/>
        <w:rPr>
          <w:rFonts w:ascii="宋体" w:hAnsi="宋体" w:cs="宋体" w:eastAsia="宋体" w:hint="default"/>
          <w:sz w:val="19"/>
          <w:szCs w:val="19"/>
        </w:rPr>
      </w:pPr>
    </w:p>
    <w:p>
      <w:pPr>
        <w:spacing w:before="35"/>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）对子公司投资</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7"/>
        <w:gridCol w:w="1336"/>
        <w:gridCol w:w="1336"/>
        <w:gridCol w:w="1334"/>
        <w:gridCol w:w="1336"/>
        <w:gridCol w:w="1388"/>
        <w:gridCol w:w="1390"/>
      </w:tblGrid>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浙江都市快报控 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972,051,681.49</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972,051,681.49</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杭州网络传媒有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38,467,000.00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38,467,000.00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杭州日报传媒有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415,813,905.56</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415,813,905.56</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469" w:type="dxa"/>
        <w:tblLayout w:type="fixed"/>
        <w:tblCellMar>
          <w:top w:w="0" w:type="dxa"/>
          <w:left w:w="0" w:type="dxa"/>
          <w:bottom w:w="0" w:type="dxa"/>
          <w:right w:w="0" w:type="dxa"/>
        </w:tblCellMar>
        <w:tblLook w:val="01E0"/>
      </w:tblPr>
      <w:tblGrid>
        <w:gridCol w:w="1447"/>
        <w:gridCol w:w="1336"/>
        <w:gridCol w:w="1336"/>
        <w:gridCol w:w="1334"/>
        <w:gridCol w:w="1336"/>
        <w:gridCol w:w="1388"/>
        <w:gridCol w:w="1390"/>
      </w:tblGrid>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杭州富阳日报传 媒有限公司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69,773,700.00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69,773,700.00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杭州萧山日报传 媒有限公司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140,938,900.00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140,938,900.00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杭州每日传媒有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23,640,412.95</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23,640,412.95</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52"/>
              <w:jc w:val="both"/>
              <w:rPr>
                <w:rFonts w:ascii="宋体" w:hAnsi="宋体" w:cs="宋体" w:eastAsia="宋体" w:hint="default"/>
                <w:sz w:val="18"/>
                <w:szCs w:val="18"/>
              </w:rPr>
            </w:pPr>
            <w:r>
              <w:rPr>
                <w:rFonts w:ascii="宋体" w:hAnsi="宋体" w:cs="宋体" w:eastAsia="宋体" w:hint="default"/>
                <w:sz w:val="18"/>
                <w:szCs w:val="18"/>
              </w:rPr>
              <w:t>杭州日报报业集 团盛元印务有限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325,190,800.00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325,190,800.00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杭州余杭晨报传 媒有限公司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76,063,600.00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76,063,600.00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杭州都市周报传 媒有限公司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11,096,000.00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11,096,000.00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杭州华泰一媒文 化传媒有限公司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浙江华媒信息传 播有限公司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35,700,000.00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35,700,000.00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9"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浙江华媒投资有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2,073,036,000.00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2,123,836,000.00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47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）对联营、合营企业投资</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4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1" w:type="dxa"/>
        <w:tblLayout w:type="fixed"/>
        <w:tblCellMar>
          <w:top w:w="0" w:type="dxa"/>
          <w:left w:w="0" w:type="dxa"/>
          <w:bottom w:w="0" w:type="dxa"/>
          <w:right w:w="0" w:type="dxa"/>
        </w:tblCellMar>
        <w:tblLook w:val="01E0"/>
      </w:tblPr>
      <w:tblGrid>
        <w:gridCol w:w="914"/>
        <w:gridCol w:w="1186"/>
        <w:gridCol w:w="1181"/>
        <w:gridCol w:w="1092"/>
        <w:gridCol w:w="1250"/>
        <w:gridCol w:w="449"/>
        <w:gridCol w:w="703"/>
        <w:gridCol w:w="1176"/>
        <w:gridCol w:w="526"/>
        <w:gridCol w:w="265"/>
        <w:gridCol w:w="1181"/>
        <w:gridCol w:w="450"/>
      </w:tblGrid>
      <w:tr>
        <w:trPr>
          <w:trHeight w:val="402" w:hRule="exact"/>
        </w:trPr>
        <w:tc>
          <w:tcPr>
            <w:tcW w:w="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1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642"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8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45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9" w:right="38"/>
              <w:jc w:val="both"/>
              <w:rPr>
                <w:rFonts w:ascii="宋体" w:hAnsi="宋体" w:cs="宋体" w:eastAsia="宋体" w:hint="default"/>
                <w:sz w:val="18"/>
                <w:szCs w:val="18"/>
              </w:rPr>
            </w:pPr>
            <w:r>
              <w:rPr>
                <w:rFonts w:ascii="宋体" w:hAnsi="宋体" w:cs="宋体" w:eastAsia="宋体" w:hint="default"/>
                <w:sz w:val="18"/>
                <w:szCs w:val="18"/>
              </w:rPr>
              <w:t>减值 准备 期末 余额</w:t>
            </w:r>
          </w:p>
        </w:tc>
      </w:tr>
      <w:tr>
        <w:trPr>
          <w:trHeight w:val="1338" w:hRule="exact"/>
        </w:trPr>
        <w:tc>
          <w:tcPr>
            <w:tcW w:w="914" w:type="dxa"/>
            <w:vMerge/>
            <w:tcBorders>
              <w:left w:val="single" w:sz="4" w:space="0" w:color="000000"/>
              <w:bottom w:val="single" w:sz="4" w:space="0" w:color="000000"/>
              <w:right w:val="single" w:sz="4" w:space="0" w:color="000000"/>
            </w:tcBorders>
            <w:shd w:val="clear" w:color="auto" w:fill="D3D3D3"/>
          </w:tcPr>
          <w:p>
            <w:pPr/>
          </w:p>
        </w:tc>
        <w:tc>
          <w:tcPr>
            <w:tcW w:w="1186" w:type="dxa"/>
            <w:vMerge/>
            <w:tcBorders>
              <w:left w:val="single" w:sz="4" w:space="0" w:color="000000"/>
              <w:bottom w:val="single" w:sz="4" w:space="0" w:color="000000"/>
              <w:right w:val="single" w:sz="4" w:space="0" w:color="000000"/>
            </w:tcBorders>
            <w:shd w:val="clear" w:color="auto" w:fill="D3D3D3"/>
          </w:tcPr>
          <w:p>
            <w:pP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追加投资</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减少投资</w:t>
            </w:r>
          </w:p>
        </w:tc>
        <w:tc>
          <w:tcPr>
            <w:tcW w:w="12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70" w:right="78" w:hanging="90"/>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 w:right="38"/>
              <w:jc w:val="both"/>
              <w:rPr>
                <w:rFonts w:ascii="宋体" w:hAnsi="宋体" w:cs="宋体" w:eastAsia="宋体" w:hint="default"/>
                <w:sz w:val="18"/>
                <w:szCs w:val="18"/>
              </w:rPr>
            </w:pPr>
            <w:r>
              <w:rPr>
                <w:rFonts w:ascii="宋体" w:hAnsi="宋体" w:cs="宋体" w:eastAsia="宋体" w:hint="default"/>
                <w:sz w:val="18"/>
                <w:szCs w:val="18"/>
              </w:rPr>
              <w:t>其他 综合 收益 调整</w:t>
            </w:r>
          </w:p>
        </w:tc>
        <w:tc>
          <w:tcPr>
            <w:tcW w:w="7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75" w:right="77"/>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1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32" w:right="42" w:hanging="90"/>
              <w:jc w:val="left"/>
              <w:rPr>
                <w:rFonts w:ascii="宋体" w:hAnsi="宋体" w:cs="宋体" w:eastAsia="宋体" w:hint="default"/>
                <w:sz w:val="18"/>
                <w:szCs w:val="18"/>
              </w:rPr>
            </w:pPr>
            <w:r>
              <w:rPr>
                <w:rFonts w:ascii="宋体" w:hAnsi="宋体" w:cs="宋体" w:eastAsia="宋体" w:hint="default"/>
                <w:sz w:val="18"/>
                <w:szCs w:val="18"/>
              </w:rPr>
              <w:t>宣告发放现金 股利或利润</w:t>
            </w:r>
          </w:p>
        </w:tc>
        <w:tc>
          <w:tcPr>
            <w:tcW w:w="5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7"/>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2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37" w:right="36"/>
              <w:jc w:val="left"/>
              <w:rPr>
                <w:rFonts w:ascii="宋体" w:hAnsi="宋体" w:cs="宋体" w:eastAsia="宋体" w:hint="default"/>
                <w:sz w:val="18"/>
                <w:szCs w:val="18"/>
              </w:rPr>
            </w:pPr>
            <w:r>
              <w:rPr>
                <w:rFonts w:ascii="宋体" w:hAnsi="宋体" w:cs="宋体" w:eastAsia="宋体" w:hint="default"/>
                <w:sz w:val="18"/>
                <w:szCs w:val="18"/>
              </w:rPr>
              <w:t>其 他</w:t>
            </w:r>
          </w:p>
        </w:tc>
        <w:tc>
          <w:tcPr>
            <w:tcW w:w="1181" w:type="dxa"/>
            <w:vMerge/>
            <w:tcBorders>
              <w:left w:val="single" w:sz="4" w:space="0" w:color="000000"/>
              <w:bottom w:val="single" w:sz="4" w:space="0" w:color="000000"/>
              <w:right w:val="single" w:sz="4" w:space="0" w:color="000000"/>
            </w:tcBorders>
            <w:shd w:val="clear" w:color="auto" w:fill="D3D3D3"/>
          </w:tcPr>
          <w:p>
            <w:pPr/>
          </w:p>
        </w:tc>
        <w:tc>
          <w:tcPr>
            <w:tcW w:w="45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0373"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10373"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十九楼网 络股份有 限公司</w:t>
            </w:r>
          </w:p>
        </w:tc>
        <w:tc>
          <w:tcPr>
            <w:tcW w:w="1186" w:type="dxa"/>
            <w:tcBorders>
              <w:top w:val="single" w:sz="4" w:space="0" w:color="000000"/>
              <w:left w:val="single" w:sz="13" w:space="0" w:color="C7EDC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sz w:val="18"/>
              </w:rPr>
              <w:t>158,122,600.00</w:t>
            </w:r>
          </w:p>
        </w:tc>
        <w:tc>
          <w:tcPr>
            <w:tcW w:w="1181"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77,028,342.89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5,786,730.27</w:t>
            </w:r>
          </w:p>
        </w:tc>
        <w:tc>
          <w:tcPr>
            <w:tcW w:w="449"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8" w:right="0"/>
              <w:jc w:val="left"/>
              <w:rPr>
                <w:rFonts w:ascii="Times New Roman" w:hAnsi="Times New Roman" w:cs="Times New Roman" w:eastAsia="Times New Roman" w:hint="default"/>
                <w:sz w:val="18"/>
                <w:szCs w:val="18"/>
              </w:rPr>
            </w:pPr>
            <w:r>
              <w:rPr>
                <w:rFonts w:ascii="Times New Roman"/>
                <w:sz w:val="18"/>
              </w:rPr>
              <w:t>6,213,034.00</w:t>
            </w:r>
          </w:p>
        </w:tc>
        <w:tc>
          <w:tcPr>
            <w:tcW w:w="526"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80,667,953.38</w:t>
            </w:r>
          </w:p>
        </w:tc>
        <w:tc>
          <w:tcPr>
            <w:tcW w:w="45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14"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北京精典 博维文化 传媒有限 公司</w:t>
            </w:r>
          </w:p>
        </w:tc>
        <w:tc>
          <w:tcPr>
            <w:tcW w:w="1186" w:type="dxa"/>
            <w:tcBorders>
              <w:top w:val="single" w:sz="4" w:space="0" w:color="000000"/>
              <w:left w:val="single" w:sz="13" w:space="0" w:color="C7EDCC"/>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107,520,000.00</w:t>
            </w:r>
          </w:p>
        </w:tc>
        <w:tc>
          <w:tcPr>
            <w:tcW w:w="1092" w:type="dxa"/>
            <w:tcBorders>
              <w:top w:val="single" w:sz="4" w:space="0" w:color="000000"/>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9,592,716.78</w:t>
            </w:r>
          </w:p>
        </w:tc>
        <w:tc>
          <w:tcPr>
            <w:tcW w:w="449"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117,112,716.78</w:t>
            </w:r>
          </w:p>
        </w:tc>
        <w:tc>
          <w:tcPr>
            <w:tcW w:w="45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660" w:right="640"/>
        </w:sectPr>
      </w:pPr>
    </w:p>
    <w:p>
      <w:pPr>
        <w:spacing w:line="240" w:lineRule="auto" w:before="6"/>
        <w:rPr>
          <w:rFonts w:ascii="宋体" w:hAnsi="宋体" w:cs="宋体" w:eastAsia="宋体" w:hint="default"/>
          <w:sz w:val="24"/>
          <w:szCs w:val="24"/>
        </w:rPr>
      </w:pPr>
    </w:p>
    <w:tbl>
      <w:tblPr>
        <w:tblW w:w="0" w:type="auto"/>
        <w:jc w:val="left"/>
        <w:tblInd w:w="102" w:type="dxa"/>
        <w:tblLayout w:type="fixed"/>
        <w:tblCellMar>
          <w:top w:w="0" w:type="dxa"/>
          <w:left w:w="0" w:type="dxa"/>
          <w:bottom w:w="0" w:type="dxa"/>
          <w:right w:w="0" w:type="dxa"/>
        </w:tblCellMar>
        <w:tblLook w:val="01E0"/>
      </w:tblPr>
      <w:tblGrid>
        <w:gridCol w:w="908"/>
        <w:gridCol w:w="1192"/>
        <w:gridCol w:w="1181"/>
        <w:gridCol w:w="1092"/>
        <w:gridCol w:w="1250"/>
        <w:gridCol w:w="449"/>
        <w:gridCol w:w="703"/>
        <w:gridCol w:w="1176"/>
        <w:gridCol w:w="526"/>
        <w:gridCol w:w="265"/>
        <w:gridCol w:w="1181"/>
        <w:gridCol w:w="450"/>
      </w:tblGrid>
      <w:tr>
        <w:trPr>
          <w:trHeight w:val="358" w:hRule="exact"/>
        </w:trPr>
        <w:tc>
          <w:tcPr>
            <w:tcW w:w="90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杭州华创</w:t>
            </w:r>
          </w:p>
        </w:tc>
        <w:tc>
          <w:tcPr>
            <w:tcW w:w="1192" w:type="dxa"/>
            <w:vMerge w:val="restart"/>
            <w:tcBorders>
              <w:top w:val="single" w:sz="4" w:space="0" w:color="000000"/>
              <w:left w:val="single" w:sz="13" w:space="0" w:color="C7EDCC"/>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092" w:type="dxa"/>
            <w:vMerge w:val="restart"/>
            <w:tcBorders>
              <w:top w:val="single" w:sz="4" w:space="0" w:color="000000"/>
              <w:left w:val="single" w:sz="4" w:space="0" w:color="000000"/>
              <w:right w:val="single" w:sz="4" w:space="0" w:color="000000"/>
            </w:tcBorders>
          </w:tcPr>
          <w:p>
            <w:pPr/>
          </w:p>
        </w:tc>
        <w:tc>
          <w:tcPr>
            <w:tcW w:w="1250" w:type="dxa"/>
            <w:tcBorders>
              <w:top w:val="single" w:sz="4" w:space="0" w:color="000000"/>
              <w:left w:val="single" w:sz="4" w:space="0" w:color="000000"/>
              <w:bottom w:val="nil" w:sz="6" w:space="0" w:color="auto"/>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703" w:type="dxa"/>
            <w:vMerge w:val="restart"/>
            <w:tcBorders>
              <w:top w:val="single" w:sz="4" w:space="0" w:color="000000"/>
              <w:left w:val="single" w:sz="4" w:space="0" w:color="000000"/>
              <w:right w:val="single" w:sz="4" w:space="0" w:color="000000"/>
            </w:tcBorders>
          </w:tcPr>
          <w:p>
            <w:pPr/>
          </w:p>
        </w:tc>
        <w:tc>
          <w:tcPr>
            <w:tcW w:w="1176" w:type="dxa"/>
            <w:vMerge w:val="restart"/>
            <w:tcBorders>
              <w:top w:val="single" w:sz="4" w:space="0" w:color="000000"/>
              <w:left w:val="single" w:sz="4" w:space="0" w:color="000000"/>
              <w:right w:val="single" w:sz="4" w:space="0" w:color="000000"/>
            </w:tcBorders>
          </w:tcPr>
          <w:p>
            <w:pPr/>
          </w:p>
        </w:tc>
        <w:tc>
          <w:tcPr>
            <w:tcW w:w="526" w:type="dxa"/>
            <w:vMerge w:val="restart"/>
            <w:tcBorders>
              <w:top w:val="single" w:sz="4" w:space="0" w:color="000000"/>
              <w:left w:val="single" w:sz="4" w:space="0" w:color="000000"/>
              <w:right w:val="single" w:sz="4" w:space="0" w:color="000000"/>
            </w:tcBorders>
          </w:tcPr>
          <w:p>
            <w:pPr/>
          </w:p>
        </w:tc>
        <w:tc>
          <w:tcPr>
            <w:tcW w:w="265" w:type="dxa"/>
            <w:vMerge w:val="restart"/>
            <w:tcBorders>
              <w:top w:val="single" w:sz="4" w:space="0" w:color="000000"/>
              <w:left w:val="single" w:sz="4" w:space="0" w:color="000000"/>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450" w:type="dxa"/>
            <w:vMerge w:val="restart"/>
            <w:tcBorders>
              <w:top w:val="single" w:sz="4" w:space="0" w:color="000000"/>
              <w:left w:val="single" w:sz="4" w:space="0" w:color="000000"/>
              <w:right w:val="single" w:sz="4" w:space="0" w:color="000000"/>
            </w:tcBorders>
          </w:tcPr>
          <w:p>
            <w:pPr/>
          </w:p>
        </w:tc>
      </w:tr>
      <w:tr>
        <w:trPr>
          <w:trHeight w:val="625" w:hRule="exact"/>
        </w:trPr>
        <w:tc>
          <w:tcPr>
            <w:tcW w:w="9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153"/>
              <w:jc w:val="left"/>
              <w:rPr>
                <w:rFonts w:ascii="宋体" w:hAnsi="宋体" w:cs="宋体" w:eastAsia="宋体" w:hint="default"/>
                <w:sz w:val="18"/>
                <w:szCs w:val="18"/>
              </w:rPr>
            </w:pPr>
            <w:r>
              <w:rPr>
                <w:rFonts w:ascii="宋体" w:hAnsi="宋体" w:cs="宋体" w:eastAsia="宋体" w:hint="default"/>
                <w:sz w:val="18"/>
                <w:szCs w:val="18"/>
              </w:rPr>
              <w:t>全媒科创 园区管理</w:t>
            </w:r>
          </w:p>
        </w:tc>
        <w:tc>
          <w:tcPr>
            <w:tcW w:w="1192" w:type="dxa"/>
            <w:vMerge/>
            <w:tcBorders>
              <w:left w:val="single" w:sz="13" w:space="0" w:color="C7EDCC"/>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400,000.00</w:t>
            </w:r>
          </w:p>
        </w:tc>
        <w:tc>
          <w:tcPr>
            <w:tcW w:w="1092" w:type="dxa"/>
            <w:vMerge/>
            <w:tcBorders>
              <w:left w:val="single" w:sz="4" w:space="0" w:color="000000"/>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-106,406.57</w:t>
            </w:r>
          </w:p>
        </w:tc>
        <w:tc>
          <w:tcPr>
            <w:tcW w:w="449" w:type="dxa"/>
            <w:vMerge/>
            <w:tcBorders>
              <w:left w:val="single" w:sz="4" w:space="0" w:color="000000"/>
              <w:right w:val="single" w:sz="4" w:space="0" w:color="000000"/>
            </w:tcBorders>
          </w:tcPr>
          <w:p>
            <w:pPr/>
          </w:p>
        </w:tc>
        <w:tc>
          <w:tcPr>
            <w:tcW w:w="703" w:type="dxa"/>
            <w:vMerge/>
            <w:tcBorders>
              <w:left w:val="single" w:sz="4" w:space="0" w:color="000000"/>
              <w:right w:val="single" w:sz="4" w:space="0" w:color="000000"/>
            </w:tcBorders>
          </w:tcPr>
          <w:p>
            <w:pPr/>
          </w:p>
        </w:tc>
        <w:tc>
          <w:tcPr>
            <w:tcW w:w="1176" w:type="dxa"/>
            <w:vMerge/>
            <w:tcBorders>
              <w:left w:val="single" w:sz="4" w:space="0" w:color="000000"/>
              <w:right w:val="single" w:sz="4" w:space="0" w:color="000000"/>
            </w:tcBorders>
          </w:tcPr>
          <w:p>
            <w:pPr/>
          </w:p>
        </w:tc>
        <w:tc>
          <w:tcPr>
            <w:tcW w:w="526" w:type="dxa"/>
            <w:vMerge/>
            <w:tcBorders>
              <w:left w:val="single" w:sz="4" w:space="0" w:color="000000"/>
              <w:right w:val="single" w:sz="4" w:space="0" w:color="000000"/>
            </w:tcBorders>
          </w:tcPr>
          <w:p>
            <w:pPr/>
          </w:p>
        </w:tc>
        <w:tc>
          <w:tcPr>
            <w:tcW w:w="265" w:type="dxa"/>
            <w:vMerge/>
            <w:tcBorders>
              <w:left w:val="single" w:sz="4" w:space="0" w:color="000000"/>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293,593.43</w:t>
            </w:r>
          </w:p>
        </w:tc>
        <w:tc>
          <w:tcPr>
            <w:tcW w:w="450" w:type="dxa"/>
            <w:vMerge/>
            <w:tcBorders>
              <w:left w:val="single" w:sz="4" w:space="0" w:color="000000"/>
              <w:right w:val="single" w:sz="4" w:space="0" w:color="000000"/>
            </w:tcBorders>
          </w:tcPr>
          <w:p>
            <w:pPr/>
          </w:p>
        </w:tc>
      </w:tr>
      <w:tr>
        <w:trPr>
          <w:trHeight w:val="356" w:hRule="exact"/>
        </w:trPr>
        <w:tc>
          <w:tcPr>
            <w:tcW w:w="90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92" w:type="dxa"/>
            <w:vMerge/>
            <w:tcBorders>
              <w:left w:val="single" w:sz="13" w:space="0" w:color="C7EDCC"/>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092" w:type="dxa"/>
            <w:vMerge/>
            <w:tcBorders>
              <w:left w:val="single" w:sz="4" w:space="0" w:color="000000"/>
              <w:bottom w:val="single" w:sz="4" w:space="0" w:color="000000"/>
              <w:right w:val="single" w:sz="4" w:space="0" w:color="000000"/>
            </w:tcBorders>
          </w:tcPr>
          <w:p>
            <w:pPr/>
          </w:p>
        </w:tc>
        <w:tc>
          <w:tcPr>
            <w:tcW w:w="1250" w:type="dxa"/>
            <w:tcBorders>
              <w:top w:val="nil" w:sz="6" w:space="0" w:color="auto"/>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703" w:type="dxa"/>
            <w:vMerge/>
            <w:tcBorders>
              <w:left w:val="single" w:sz="4" w:space="0" w:color="000000"/>
              <w:bottom w:val="single" w:sz="4" w:space="0" w:color="000000"/>
              <w:right w:val="single" w:sz="4" w:space="0" w:color="000000"/>
            </w:tcBorders>
          </w:tcPr>
          <w:p>
            <w:pPr/>
          </w:p>
        </w:tc>
        <w:tc>
          <w:tcPr>
            <w:tcW w:w="1176" w:type="dxa"/>
            <w:vMerge/>
            <w:tcBorders>
              <w:left w:val="single" w:sz="4" w:space="0" w:color="000000"/>
              <w:bottom w:val="single" w:sz="4" w:space="0" w:color="000000"/>
              <w:right w:val="single" w:sz="4" w:space="0" w:color="000000"/>
            </w:tcBorders>
          </w:tcPr>
          <w:p>
            <w:pPr/>
          </w:p>
        </w:tc>
        <w:tc>
          <w:tcPr>
            <w:tcW w:w="526" w:type="dxa"/>
            <w:vMerge/>
            <w:tcBorders>
              <w:left w:val="single" w:sz="4" w:space="0" w:color="000000"/>
              <w:bottom w:val="single" w:sz="4" w:space="0" w:color="000000"/>
              <w:right w:val="single" w:sz="4" w:space="0" w:color="000000"/>
            </w:tcBorders>
          </w:tcPr>
          <w:p>
            <w:pPr/>
          </w:p>
        </w:tc>
        <w:tc>
          <w:tcPr>
            <w:tcW w:w="265" w:type="dxa"/>
            <w:vMerge/>
            <w:tcBorders>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450" w:type="dxa"/>
            <w:vMerge/>
            <w:tcBorders>
              <w:left w:val="single" w:sz="4" w:space="0" w:color="000000"/>
              <w:bottom w:val="single" w:sz="4" w:space="0" w:color="000000"/>
              <w:right w:val="single" w:sz="4" w:space="0" w:color="000000"/>
            </w:tcBorders>
          </w:tcPr>
          <w:p>
            <w:pPr/>
          </w:p>
        </w:tc>
      </w:tr>
      <w:tr>
        <w:trPr>
          <w:trHeight w:val="358" w:hRule="exact"/>
        </w:trPr>
        <w:tc>
          <w:tcPr>
            <w:tcW w:w="908"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杭州华媒</w:t>
            </w:r>
          </w:p>
        </w:tc>
        <w:tc>
          <w:tcPr>
            <w:tcW w:w="1192" w:type="dxa"/>
            <w:vMerge w:val="restart"/>
            <w:tcBorders>
              <w:top w:val="single" w:sz="4" w:space="0" w:color="000000"/>
              <w:left w:val="single" w:sz="13" w:space="0" w:color="C7EDCC"/>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092" w:type="dxa"/>
            <w:vMerge w:val="restart"/>
            <w:tcBorders>
              <w:top w:val="single" w:sz="4" w:space="0" w:color="000000"/>
              <w:left w:val="single" w:sz="4" w:space="0" w:color="000000"/>
              <w:right w:val="single" w:sz="4" w:space="0" w:color="000000"/>
            </w:tcBorders>
          </w:tcPr>
          <w:p>
            <w:pPr/>
          </w:p>
        </w:tc>
        <w:tc>
          <w:tcPr>
            <w:tcW w:w="1250" w:type="dxa"/>
            <w:tcBorders>
              <w:top w:val="single" w:sz="4" w:space="0" w:color="000000"/>
              <w:left w:val="single" w:sz="4" w:space="0" w:color="000000"/>
              <w:bottom w:val="nil" w:sz="6" w:space="0" w:color="auto"/>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703" w:type="dxa"/>
            <w:vMerge w:val="restart"/>
            <w:tcBorders>
              <w:top w:val="single" w:sz="4" w:space="0" w:color="000000"/>
              <w:left w:val="single" w:sz="4" w:space="0" w:color="000000"/>
              <w:right w:val="single" w:sz="4" w:space="0" w:color="000000"/>
            </w:tcBorders>
          </w:tcPr>
          <w:p>
            <w:pPr/>
          </w:p>
        </w:tc>
        <w:tc>
          <w:tcPr>
            <w:tcW w:w="1176" w:type="dxa"/>
            <w:vMerge w:val="restart"/>
            <w:tcBorders>
              <w:top w:val="single" w:sz="4" w:space="0" w:color="000000"/>
              <w:left w:val="single" w:sz="4" w:space="0" w:color="000000"/>
              <w:right w:val="single" w:sz="4" w:space="0" w:color="000000"/>
            </w:tcBorders>
          </w:tcPr>
          <w:p>
            <w:pPr/>
          </w:p>
        </w:tc>
        <w:tc>
          <w:tcPr>
            <w:tcW w:w="526" w:type="dxa"/>
            <w:vMerge w:val="restart"/>
            <w:tcBorders>
              <w:top w:val="single" w:sz="4" w:space="0" w:color="000000"/>
              <w:left w:val="single" w:sz="4" w:space="0" w:color="000000"/>
              <w:right w:val="single" w:sz="4" w:space="0" w:color="000000"/>
            </w:tcBorders>
          </w:tcPr>
          <w:p>
            <w:pPr/>
          </w:p>
        </w:tc>
        <w:tc>
          <w:tcPr>
            <w:tcW w:w="265" w:type="dxa"/>
            <w:vMerge w:val="restart"/>
            <w:tcBorders>
              <w:top w:val="single" w:sz="4" w:space="0" w:color="000000"/>
              <w:left w:val="single" w:sz="4" w:space="0" w:color="000000"/>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450" w:type="dxa"/>
            <w:vMerge w:val="restart"/>
            <w:tcBorders>
              <w:top w:val="single" w:sz="4" w:space="0" w:color="000000"/>
              <w:left w:val="single" w:sz="4" w:space="0" w:color="000000"/>
              <w:right w:val="single" w:sz="4" w:space="0" w:color="000000"/>
            </w:tcBorders>
          </w:tcPr>
          <w:p>
            <w:pPr/>
          </w:p>
        </w:tc>
      </w:tr>
      <w:tr>
        <w:trPr>
          <w:trHeight w:val="625" w:hRule="exact"/>
        </w:trPr>
        <w:tc>
          <w:tcPr>
            <w:tcW w:w="908" w:type="dxa"/>
            <w:tcBorders>
              <w:top w:val="nil" w:sz="6" w:space="0" w:color="auto"/>
              <w:left w:val="single" w:sz="4" w:space="0" w:color="000000"/>
              <w:bottom w:val="nil" w:sz="6" w:space="0" w:color="auto"/>
              <w:right w:val="single" w:sz="4" w:space="0" w:color="000000"/>
            </w:tcBorders>
            <w:shd w:val="clear" w:color="auto" w:fill="C7EDCC"/>
          </w:tcPr>
          <w:p>
            <w:pPr>
              <w:pStyle w:val="TableParagraph"/>
              <w:spacing w:line="316" w:lineRule="auto" w:before="10"/>
              <w:ind w:left="22" w:right="153"/>
              <w:jc w:val="left"/>
              <w:rPr>
                <w:rFonts w:ascii="宋体" w:hAnsi="宋体" w:cs="宋体" w:eastAsia="宋体" w:hint="default"/>
                <w:sz w:val="18"/>
                <w:szCs w:val="18"/>
              </w:rPr>
            </w:pPr>
            <w:r>
              <w:rPr>
                <w:rFonts w:ascii="宋体" w:hAnsi="宋体" w:cs="宋体" w:eastAsia="宋体" w:hint="default"/>
                <w:sz w:val="18"/>
                <w:szCs w:val="18"/>
              </w:rPr>
              <w:t>泽商创业 投资合伙</w:t>
            </w:r>
          </w:p>
        </w:tc>
        <w:tc>
          <w:tcPr>
            <w:tcW w:w="1192" w:type="dxa"/>
            <w:vMerge/>
            <w:tcBorders>
              <w:left w:val="single" w:sz="13" w:space="0" w:color="C7EDCC"/>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092" w:type="dxa"/>
            <w:vMerge/>
            <w:tcBorders>
              <w:left w:val="single" w:sz="4" w:space="0" w:color="000000"/>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-243,009.22</w:t>
            </w:r>
          </w:p>
        </w:tc>
        <w:tc>
          <w:tcPr>
            <w:tcW w:w="449" w:type="dxa"/>
            <w:vMerge/>
            <w:tcBorders>
              <w:left w:val="single" w:sz="4" w:space="0" w:color="000000"/>
              <w:right w:val="single" w:sz="4" w:space="0" w:color="000000"/>
            </w:tcBorders>
          </w:tcPr>
          <w:p>
            <w:pPr/>
          </w:p>
        </w:tc>
        <w:tc>
          <w:tcPr>
            <w:tcW w:w="703" w:type="dxa"/>
            <w:vMerge/>
            <w:tcBorders>
              <w:left w:val="single" w:sz="4" w:space="0" w:color="000000"/>
              <w:right w:val="single" w:sz="4" w:space="0" w:color="000000"/>
            </w:tcBorders>
          </w:tcPr>
          <w:p>
            <w:pPr/>
          </w:p>
        </w:tc>
        <w:tc>
          <w:tcPr>
            <w:tcW w:w="1176" w:type="dxa"/>
            <w:vMerge/>
            <w:tcBorders>
              <w:left w:val="single" w:sz="4" w:space="0" w:color="000000"/>
              <w:right w:val="single" w:sz="4" w:space="0" w:color="000000"/>
            </w:tcBorders>
          </w:tcPr>
          <w:p>
            <w:pPr/>
          </w:p>
        </w:tc>
        <w:tc>
          <w:tcPr>
            <w:tcW w:w="526" w:type="dxa"/>
            <w:vMerge/>
            <w:tcBorders>
              <w:left w:val="single" w:sz="4" w:space="0" w:color="000000"/>
              <w:right w:val="single" w:sz="4" w:space="0" w:color="000000"/>
            </w:tcBorders>
          </w:tcPr>
          <w:p>
            <w:pPr/>
          </w:p>
        </w:tc>
        <w:tc>
          <w:tcPr>
            <w:tcW w:w="265" w:type="dxa"/>
            <w:vMerge/>
            <w:tcBorders>
              <w:left w:val="single" w:sz="4" w:space="0" w:color="000000"/>
              <w:right w:val="single" w:sz="4" w:space="0" w:color="000000"/>
            </w:tcBorders>
          </w:tcPr>
          <w:p>
            <w:pP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29,756,990.78</w:t>
            </w:r>
          </w:p>
        </w:tc>
        <w:tc>
          <w:tcPr>
            <w:tcW w:w="450" w:type="dxa"/>
            <w:vMerge/>
            <w:tcBorders>
              <w:left w:val="single" w:sz="4" w:space="0" w:color="000000"/>
              <w:right w:val="single" w:sz="4" w:space="0" w:color="000000"/>
            </w:tcBorders>
          </w:tcPr>
          <w:p>
            <w:pPr/>
          </w:p>
        </w:tc>
      </w:tr>
      <w:tr>
        <w:trPr>
          <w:trHeight w:val="356" w:hRule="exact"/>
        </w:trPr>
        <w:tc>
          <w:tcPr>
            <w:tcW w:w="908"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1192" w:type="dxa"/>
            <w:vMerge/>
            <w:tcBorders>
              <w:left w:val="single" w:sz="13" w:space="0" w:color="C7EDCC"/>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092" w:type="dxa"/>
            <w:vMerge/>
            <w:tcBorders>
              <w:left w:val="single" w:sz="4" w:space="0" w:color="000000"/>
              <w:bottom w:val="single" w:sz="4" w:space="0" w:color="000000"/>
              <w:right w:val="single" w:sz="4" w:space="0" w:color="000000"/>
            </w:tcBorders>
          </w:tcPr>
          <w:p>
            <w:pPr/>
          </w:p>
        </w:tc>
        <w:tc>
          <w:tcPr>
            <w:tcW w:w="1250" w:type="dxa"/>
            <w:tcBorders>
              <w:top w:val="nil" w:sz="6" w:space="0" w:color="auto"/>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703" w:type="dxa"/>
            <w:vMerge/>
            <w:tcBorders>
              <w:left w:val="single" w:sz="4" w:space="0" w:color="000000"/>
              <w:bottom w:val="single" w:sz="4" w:space="0" w:color="000000"/>
              <w:right w:val="single" w:sz="4" w:space="0" w:color="000000"/>
            </w:tcBorders>
          </w:tcPr>
          <w:p>
            <w:pPr/>
          </w:p>
        </w:tc>
        <w:tc>
          <w:tcPr>
            <w:tcW w:w="1176" w:type="dxa"/>
            <w:vMerge/>
            <w:tcBorders>
              <w:left w:val="single" w:sz="4" w:space="0" w:color="000000"/>
              <w:bottom w:val="single" w:sz="4" w:space="0" w:color="000000"/>
              <w:right w:val="single" w:sz="4" w:space="0" w:color="000000"/>
            </w:tcBorders>
          </w:tcPr>
          <w:p>
            <w:pPr/>
          </w:p>
        </w:tc>
        <w:tc>
          <w:tcPr>
            <w:tcW w:w="526" w:type="dxa"/>
            <w:vMerge/>
            <w:tcBorders>
              <w:left w:val="single" w:sz="4" w:space="0" w:color="000000"/>
              <w:bottom w:val="single" w:sz="4" w:space="0" w:color="000000"/>
              <w:right w:val="single" w:sz="4" w:space="0" w:color="000000"/>
            </w:tcBorders>
          </w:tcPr>
          <w:p>
            <w:pPr/>
          </w:p>
        </w:tc>
        <w:tc>
          <w:tcPr>
            <w:tcW w:w="265" w:type="dxa"/>
            <w:vMerge/>
            <w:tcBorders>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450" w:type="dxa"/>
            <w:vMerge/>
            <w:tcBorders>
              <w:left w:val="single" w:sz="4" w:space="0" w:color="000000"/>
              <w:bottom w:val="single" w:sz="4" w:space="0" w:color="000000"/>
              <w:right w:val="single" w:sz="4" w:space="0" w:color="000000"/>
            </w:tcBorders>
          </w:tcPr>
          <w:p>
            <w:pPr/>
          </w:p>
        </w:tc>
      </w:tr>
      <w:tr>
        <w:trPr>
          <w:trHeight w:val="402" w:hRule="exact"/>
        </w:trPr>
        <w:tc>
          <w:tcPr>
            <w:tcW w:w="9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158,122,600.00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137,920,000.00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77,028,342.89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15,030,031.26</w:t>
            </w:r>
          </w:p>
        </w:tc>
        <w:tc>
          <w:tcPr>
            <w:tcW w:w="449"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227,831,254.37</w:t>
            </w:r>
          </w:p>
        </w:tc>
        <w:tc>
          <w:tcPr>
            <w:tcW w:w="4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158,122,600.00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137,920,000.00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77,028,342.89</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15,030,031.26</w:t>
            </w:r>
          </w:p>
        </w:tc>
        <w:tc>
          <w:tcPr>
            <w:tcW w:w="449"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265"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227,831,254.37</w:t>
            </w:r>
          </w:p>
        </w:tc>
        <w:tc>
          <w:tcPr>
            <w:tcW w:w="45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spacing w:before="35"/>
        <w:ind w:left="47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47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4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469" w:type="dxa"/>
        <w:tblLayout w:type="fixed"/>
        <w:tblCellMar>
          <w:top w:w="0" w:type="dxa"/>
          <w:left w:w="0" w:type="dxa"/>
          <w:bottom w:w="0" w:type="dxa"/>
          <w:right w:w="0" w:type="dxa"/>
        </w:tblCellMar>
        <w:tblLook w:val="01E0"/>
      </w:tblPr>
      <w:tblGrid>
        <w:gridCol w:w="1994"/>
        <w:gridCol w:w="1838"/>
        <w:gridCol w:w="1913"/>
        <w:gridCol w:w="1913"/>
        <w:gridCol w:w="1913"/>
      </w:tblGrid>
      <w:tr>
        <w:trPr>
          <w:trHeight w:val="206" w:hRule="exact"/>
        </w:trPr>
        <w:tc>
          <w:tcPr>
            <w:tcW w:w="1994" w:type="dxa"/>
            <w:tcBorders>
              <w:top w:val="single" w:sz="4" w:space="0" w:color="000000"/>
              <w:left w:val="single" w:sz="4" w:space="0" w:color="000000"/>
              <w:bottom w:val="nil" w:sz="6" w:space="0" w:color="auto"/>
              <w:right w:val="single" w:sz="4" w:space="0" w:color="000000"/>
            </w:tcBorders>
            <w:shd w:val="clear" w:color="auto" w:fill="D3D3D3"/>
          </w:tcPr>
          <w:p>
            <w:pPr/>
          </w:p>
        </w:tc>
        <w:tc>
          <w:tcPr>
            <w:tcW w:w="375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9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1" w:type="dxa"/>
            <w:gridSpan w:val="2"/>
            <w:vMerge/>
            <w:tcBorders>
              <w:left w:val="single" w:sz="4" w:space="0" w:color="000000"/>
              <w:bottom w:val="single" w:sz="4" w:space="0" w:color="000000"/>
              <w:right w:val="single" w:sz="4" w:space="0" w:color="000000"/>
            </w:tcBorders>
            <w:shd w:val="clear" w:color="auto" w:fill="D3D3D3"/>
          </w:tcPr>
          <w:p>
            <w:pPr/>
          </w:p>
        </w:tc>
        <w:tc>
          <w:tcPr>
            <w:tcW w:w="3826"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1994" w:type="dxa"/>
            <w:vMerge/>
            <w:tcBorders>
              <w:left w:val="single" w:sz="4" w:space="0" w:color="000000"/>
              <w:bottom w:val="nil" w:sz="6" w:space="0" w:color="auto"/>
              <w:right w:val="single" w:sz="4" w:space="0" w:color="000000"/>
            </w:tcBorders>
            <w:shd w:val="clear" w:color="auto" w:fill="D3D3D3"/>
          </w:tcPr>
          <w:p>
            <w:pPr/>
          </w:p>
        </w:tc>
        <w:tc>
          <w:tcPr>
            <w:tcW w:w="18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838"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1,886,792.40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3D3D3"/>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541,700.00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494,566.10</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1,886,792.40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541,700.00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494,566.10</w:t>
            </w:r>
          </w:p>
        </w:tc>
      </w:tr>
    </w:tbl>
    <w:p>
      <w:pPr>
        <w:spacing w:line="240" w:lineRule="auto" w:before="2"/>
        <w:rPr>
          <w:rFonts w:ascii="宋体" w:hAnsi="宋体" w:cs="宋体" w:eastAsia="宋体" w:hint="default"/>
          <w:sz w:val="19"/>
          <w:szCs w:val="19"/>
        </w:rPr>
      </w:pPr>
    </w:p>
    <w:p>
      <w:pPr>
        <w:spacing w:before="35"/>
        <w:ind w:left="47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0" w:right="4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480" w:type="dxa"/>
        <w:tblLayout w:type="fixed"/>
        <w:tblCellMar>
          <w:top w:w="0" w:type="dxa"/>
          <w:left w:w="0" w:type="dxa"/>
          <w:bottom w:w="0" w:type="dxa"/>
          <w:right w:w="0" w:type="dxa"/>
        </w:tblCellMar>
        <w:tblLook w:val="01E0"/>
      </w:tblPr>
      <w:tblGrid>
        <w:gridCol w:w="3301"/>
        <w:gridCol w:w="3070"/>
        <w:gridCol w:w="3186"/>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15,030,031.26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16,673,782.11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285,065,954.38</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31,703,813.37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285,065,954.38</w:t>
            </w:r>
          </w:p>
        </w:tc>
      </w:tr>
    </w:tbl>
    <w:p>
      <w:pPr>
        <w:spacing w:line="240" w:lineRule="auto" w:before="2"/>
        <w:rPr>
          <w:rFonts w:ascii="宋体" w:hAnsi="宋体" w:cs="宋体" w:eastAsia="宋体" w:hint="default"/>
          <w:sz w:val="19"/>
          <w:szCs w:val="19"/>
        </w:rPr>
      </w:pPr>
    </w:p>
    <w:p>
      <w:pPr>
        <w:spacing w:before="35"/>
        <w:ind w:left="47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0" w:footer="982" w:top="1100" w:bottom="1180" w:left="660" w:right="640"/>
        </w:sectPr>
      </w:pPr>
    </w:p>
    <w:p>
      <w:pPr>
        <w:spacing w:line="240" w:lineRule="auto" w:before="9"/>
        <w:rPr>
          <w:rFonts w:ascii="宋体" w:hAnsi="宋体" w:cs="宋体" w:eastAsia="宋体" w:hint="default"/>
          <w:b/>
          <w:bCs/>
          <w:sz w:val="19"/>
          <w:szCs w:val="19"/>
        </w:rPr>
      </w:pPr>
    </w:p>
    <w:p>
      <w:pPr>
        <w:pStyle w:val="Heading3"/>
        <w:spacing w:line="240" w:lineRule="auto" w:before="26"/>
        <w:ind w:right="0"/>
        <w:jc w:val="left"/>
        <w:rPr>
          <w:b w:val="0"/>
          <w:bCs w:val="0"/>
        </w:rPr>
      </w:pPr>
      <w:r>
        <w:rPr/>
        <w:t>十八、补充资料</w:t>
      </w:r>
      <w:r>
        <w:rPr>
          <w:b w:val="0"/>
          <w:bCs w:val="0"/>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1"/>
        <w:gridCol w:w="3070"/>
        <w:gridCol w:w="3186"/>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57" w:hRule="exact"/>
        </w:trPr>
        <w:tc>
          <w:tcPr>
            <w:tcW w:w="3301" w:type="dxa"/>
            <w:vMerge w:val="restart"/>
            <w:tcBorders>
              <w:top w:val="single" w:sz="4" w:space="0" w:color="000000"/>
              <w:left w:val="single" w:sz="4" w:space="0" w:color="000000"/>
              <w:right w:val="single" w:sz="4" w:space="0" w:color="000000"/>
            </w:tcBorders>
            <w:shd w:val="clear" w:color="auto" w:fill="D3D3D3"/>
          </w:tcPr>
          <w:p>
            <w:pPr/>
          </w:p>
        </w:tc>
        <w:tc>
          <w:tcPr>
            <w:tcW w:w="3070" w:type="dxa"/>
            <w:tcBorders>
              <w:top w:val="single" w:sz="4" w:space="0" w:color="000000"/>
              <w:left w:val="single" w:sz="4" w:space="0" w:color="000000"/>
              <w:bottom w:val="nil" w:sz="6" w:space="0" w:color="auto"/>
              <w:right w:val="single" w:sz="4" w:space="0" w:color="000000"/>
            </w:tcBorders>
          </w:tcPr>
          <w:p>
            <w:pPr/>
          </w:p>
        </w:tc>
        <w:tc>
          <w:tcPr>
            <w:tcW w:w="3186" w:type="dxa"/>
            <w:tcBorders>
              <w:top w:val="single" w:sz="4" w:space="0" w:color="000000"/>
              <w:left w:val="single" w:sz="4" w:space="0" w:color="000000"/>
              <w:bottom w:val="nil" w:sz="6" w:space="0" w:color="auto"/>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其中：对外转让十九楼网络股份有限公</w:t>
            </w:r>
          </w:p>
        </w:tc>
      </w:tr>
      <w:tr>
        <w:trPr>
          <w:trHeight w:val="115" w:hRule="exact"/>
        </w:trPr>
        <w:tc>
          <w:tcPr>
            <w:tcW w:w="3301" w:type="dxa"/>
            <w:vMerge/>
            <w:tcBorders>
              <w:left w:val="single" w:sz="4" w:space="0" w:color="000000"/>
              <w:bottom w:val="nil" w:sz="6" w:space="0" w:color="auto"/>
              <w:right w:val="single" w:sz="4" w:space="0" w:color="000000"/>
            </w:tcBorders>
            <w:shd w:val="clear" w:color="auto" w:fill="D3D3D3"/>
          </w:tcPr>
          <w:p>
            <w:pPr/>
          </w:p>
        </w:tc>
        <w:tc>
          <w:tcPr>
            <w:tcW w:w="3070" w:type="dxa"/>
            <w:vMerge w:val="restart"/>
            <w:tcBorders>
              <w:top w:val="nil" w:sz="6" w:space="0" w:color="auto"/>
              <w:left w:val="single" w:sz="9" w:space="0" w:color="D3D3D3"/>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5" w:right="0"/>
              <w:jc w:val="left"/>
              <w:rPr>
                <w:rFonts w:ascii="Times New Roman" w:hAnsi="Times New Roman" w:cs="Times New Roman" w:eastAsia="Times New Roman" w:hint="default"/>
                <w:sz w:val="18"/>
                <w:szCs w:val="18"/>
              </w:rPr>
            </w:pPr>
            <w:r>
              <w:rPr>
                <w:rFonts w:ascii="Times New Roman"/>
                <w:sz w:val="18"/>
              </w:rPr>
              <w:t>57,553,364.92</w:t>
            </w:r>
          </w:p>
        </w:tc>
        <w:tc>
          <w:tcPr>
            <w:tcW w:w="3186" w:type="dxa"/>
            <w:vMerge w:val="restart"/>
            <w:tcBorders>
              <w:top w:val="nil" w:sz="6" w:space="0" w:color="auto"/>
              <w:left w:val="single" w:sz="4" w:space="0" w:color="000000"/>
              <w:right w:val="single" w:sz="4" w:space="0" w:color="000000"/>
            </w:tcBorders>
            <w:shd w:val="clear" w:color="auto" w:fill="C7EDCC"/>
          </w:tcPr>
          <w:p>
            <w:pPr>
              <w:pStyle w:val="TableParagraph"/>
              <w:spacing w:line="300" w:lineRule="auto" w:before="10"/>
              <w:ind w:left="22" w:right="211"/>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18.8815%</w:t>
            </w:r>
            <w:r>
              <w:rPr>
                <w:rFonts w:ascii="宋体" w:hAnsi="宋体" w:cs="宋体" w:eastAsia="宋体" w:hint="default"/>
                <w:sz w:val="18"/>
                <w:szCs w:val="18"/>
              </w:rPr>
              <w:t>的股权，产生的投资收益 </w:t>
            </w:r>
            <w:r>
              <w:rPr>
                <w:rFonts w:ascii="Times New Roman" w:hAnsi="Times New Roman" w:cs="Times New Roman" w:eastAsia="Times New Roman" w:hint="default"/>
                <w:sz w:val="18"/>
                <w:szCs w:val="18"/>
              </w:rPr>
              <w:t>57,519,336.44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元；固定资产处置收益</w:t>
            </w:r>
          </w:p>
        </w:tc>
      </w:tr>
      <w:tr>
        <w:trPr>
          <w:trHeight w:val="392" w:hRule="exact"/>
        </w:trPr>
        <w:tc>
          <w:tcPr>
            <w:tcW w:w="33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0" w:type="dxa"/>
            <w:vMerge/>
            <w:tcBorders>
              <w:left w:val="single" w:sz="9" w:space="0" w:color="D3D3D3"/>
              <w:right w:val="single" w:sz="4" w:space="0" w:color="000000"/>
            </w:tcBorders>
          </w:tcPr>
          <w:p>
            <w:pPr/>
          </w:p>
        </w:tc>
        <w:tc>
          <w:tcPr>
            <w:tcW w:w="3186" w:type="dxa"/>
            <w:vMerge/>
            <w:tcBorders>
              <w:left w:val="single" w:sz="4" w:space="0" w:color="000000"/>
              <w:right w:val="single" w:sz="4" w:space="0" w:color="000000"/>
            </w:tcBorders>
            <w:shd w:val="clear" w:color="auto" w:fill="C7EDCC"/>
          </w:tcPr>
          <w:p>
            <w:pPr/>
          </w:p>
        </w:tc>
      </w:tr>
      <w:tr>
        <w:trPr>
          <w:trHeight w:val="121" w:hRule="exact"/>
        </w:trPr>
        <w:tc>
          <w:tcPr>
            <w:tcW w:w="3301" w:type="dxa"/>
            <w:vMerge w:val="restart"/>
            <w:tcBorders>
              <w:top w:val="nil" w:sz="6" w:space="0" w:color="auto"/>
              <w:left w:val="single" w:sz="4" w:space="0" w:color="000000"/>
              <w:right w:val="single" w:sz="4" w:space="0" w:color="000000"/>
            </w:tcBorders>
            <w:shd w:val="clear" w:color="auto" w:fill="D3D3D3"/>
          </w:tcPr>
          <w:p>
            <w:pPr/>
          </w:p>
        </w:tc>
        <w:tc>
          <w:tcPr>
            <w:tcW w:w="3070" w:type="dxa"/>
            <w:vMerge/>
            <w:tcBorders>
              <w:left w:val="single" w:sz="9" w:space="0" w:color="D3D3D3"/>
              <w:bottom w:val="nil" w:sz="6" w:space="0" w:color="auto"/>
              <w:right w:val="single" w:sz="4" w:space="0" w:color="000000"/>
            </w:tcBorders>
          </w:tcPr>
          <w:p>
            <w:pPr/>
          </w:p>
        </w:tc>
        <w:tc>
          <w:tcPr>
            <w:tcW w:w="3186" w:type="dxa"/>
            <w:vMerge/>
            <w:tcBorders>
              <w:left w:val="single" w:sz="4" w:space="0" w:color="000000"/>
              <w:bottom w:val="nil" w:sz="6" w:space="0" w:color="auto"/>
              <w:right w:val="single" w:sz="4" w:space="0" w:color="000000"/>
            </w:tcBorders>
            <w:shd w:val="clear" w:color="auto" w:fill="C7EDCC"/>
          </w:tcPr>
          <w:p>
            <w:pPr/>
          </w:p>
        </w:tc>
      </w:tr>
      <w:tr>
        <w:trPr>
          <w:trHeight w:val="352" w:hRule="exact"/>
        </w:trPr>
        <w:tc>
          <w:tcPr>
            <w:tcW w:w="3301" w:type="dxa"/>
            <w:vMerge/>
            <w:tcBorders>
              <w:left w:val="single" w:sz="4" w:space="0" w:color="000000"/>
              <w:bottom w:val="single" w:sz="4" w:space="0" w:color="000000"/>
              <w:right w:val="single" w:sz="4" w:space="0" w:color="000000"/>
            </w:tcBorders>
            <w:shd w:val="clear" w:color="auto" w:fill="D3D3D3"/>
          </w:tcPr>
          <w:p>
            <w:pPr/>
          </w:p>
        </w:tc>
        <w:tc>
          <w:tcPr>
            <w:tcW w:w="3070" w:type="dxa"/>
            <w:tcBorders>
              <w:top w:val="nil" w:sz="6" w:space="0" w:color="auto"/>
              <w:left w:val="single" w:sz="4" w:space="0" w:color="000000"/>
              <w:bottom w:val="single" w:sz="4" w:space="0" w:color="000000"/>
              <w:right w:val="single" w:sz="4" w:space="0" w:color="000000"/>
            </w:tcBorders>
          </w:tcPr>
          <w:p>
            <w:pPr/>
          </w:p>
        </w:tc>
        <w:tc>
          <w:tcPr>
            <w:tcW w:w="3186" w:type="dxa"/>
            <w:tcBorders>
              <w:top w:val="nil" w:sz="6" w:space="0" w:color="auto"/>
              <w:left w:val="single" w:sz="4" w:space="0" w:color="000000"/>
              <w:bottom w:val="single" w:sz="4" w:space="0" w:color="000000"/>
              <w:right w:val="single" w:sz="4" w:space="0" w:color="000000"/>
            </w:tcBorders>
            <w:shd w:val="clear" w:color="auto" w:fill="C7EDCC"/>
          </w:tcPr>
          <w:p>
            <w:pPr>
              <w:pStyle w:val="TableParagraph"/>
              <w:spacing w:line="240" w:lineRule="auto" w:before="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34,028.48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元；合计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57,553,364.92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r>
      <w:tr>
        <w:trPr>
          <w:trHeight w:val="357" w:hRule="exact"/>
        </w:trPr>
        <w:tc>
          <w:tcPr>
            <w:tcW w:w="330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w:t>
            </w:r>
          </w:p>
        </w:tc>
        <w:tc>
          <w:tcPr>
            <w:tcW w:w="3070" w:type="dxa"/>
            <w:tcBorders>
              <w:top w:val="single" w:sz="4" w:space="0" w:color="000000"/>
              <w:left w:val="single" w:sz="9" w:space="0" w:color="D3D3D3"/>
              <w:bottom w:val="nil" w:sz="6" w:space="0" w:color="auto"/>
              <w:right w:val="single" w:sz="4" w:space="0" w:color="000000"/>
            </w:tcBorders>
          </w:tcPr>
          <w:p>
            <w:pPr/>
          </w:p>
        </w:tc>
        <w:tc>
          <w:tcPr>
            <w:tcW w:w="3186" w:type="dxa"/>
            <w:vMerge w:val="restart"/>
            <w:tcBorders>
              <w:top w:val="single" w:sz="4" w:space="0" w:color="000000"/>
              <w:left w:val="single" w:sz="4" w:space="0" w:color="000000"/>
              <w:right w:val="single" w:sz="4" w:space="0" w:color="000000"/>
            </w:tcBorders>
            <w:shd w:val="clear" w:color="auto" w:fill="C7EDCC"/>
          </w:tcPr>
          <w:p>
            <w:pPr/>
          </w:p>
        </w:tc>
      </w:tr>
      <w:tr>
        <w:trPr>
          <w:trHeight w:val="316" w:hRule="exact"/>
        </w:trPr>
        <w:tc>
          <w:tcPr>
            <w:tcW w:w="33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切相关，按照国家统一标准定额或定量享</w:t>
            </w:r>
          </w:p>
        </w:tc>
        <w:tc>
          <w:tcPr>
            <w:tcW w:w="3070" w:type="dxa"/>
            <w:tcBorders>
              <w:top w:val="nil" w:sz="6" w:space="0" w:color="auto"/>
              <w:left w:val="single" w:sz="9" w:space="0" w:color="D3D3D3"/>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7,257,524.43</w:t>
            </w:r>
          </w:p>
        </w:tc>
        <w:tc>
          <w:tcPr>
            <w:tcW w:w="3186" w:type="dxa"/>
            <w:vMerge/>
            <w:tcBorders>
              <w:left w:val="single" w:sz="4" w:space="0" w:color="000000"/>
              <w:right w:val="single" w:sz="4" w:space="0" w:color="000000"/>
            </w:tcBorders>
            <w:shd w:val="clear" w:color="auto" w:fill="C7EDCC"/>
          </w:tcPr>
          <w:p>
            <w:pPr/>
          </w:p>
        </w:tc>
      </w:tr>
      <w:tr>
        <w:trPr>
          <w:trHeight w:val="353" w:hRule="exact"/>
        </w:trPr>
        <w:tc>
          <w:tcPr>
            <w:tcW w:w="330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11"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3070" w:type="dxa"/>
            <w:tcBorders>
              <w:top w:val="nil" w:sz="6" w:space="0" w:color="auto"/>
              <w:left w:val="single" w:sz="9" w:space="0" w:color="D3D3D3"/>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shd w:val="clear" w:color="auto" w:fill="C7EDCC"/>
          </w:tcPr>
          <w:p>
            <w:pPr/>
          </w:p>
        </w:tc>
      </w:tr>
      <w:tr>
        <w:trPr>
          <w:trHeight w:val="357" w:hRule="exact"/>
        </w:trPr>
        <w:tc>
          <w:tcPr>
            <w:tcW w:w="330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企业取得子公司、联营企业及合营企业的</w:t>
            </w:r>
          </w:p>
        </w:tc>
        <w:tc>
          <w:tcPr>
            <w:tcW w:w="3070" w:type="dxa"/>
            <w:tcBorders>
              <w:top w:val="single" w:sz="4" w:space="0" w:color="000000"/>
              <w:left w:val="single" w:sz="9" w:space="0" w:color="D3D3D3"/>
              <w:bottom w:val="nil" w:sz="6" w:space="0" w:color="auto"/>
              <w:right w:val="single" w:sz="4" w:space="0" w:color="000000"/>
            </w:tcBorders>
          </w:tcPr>
          <w:p>
            <w:pPr/>
          </w:p>
        </w:tc>
        <w:tc>
          <w:tcPr>
            <w:tcW w:w="3186" w:type="dxa"/>
            <w:vMerge w:val="restart"/>
            <w:tcBorders>
              <w:top w:val="single" w:sz="4" w:space="0" w:color="000000"/>
              <w:left w:val="single" w:sz="4" w:space="0" w:color="000000"/>
              <w:right w:val="single" w:sz="4" w:space="0" w:color="000000"/>
            </w:tcBorders>
            <w:shd w:val="clear" w:color="auto" w:fill="C7EDCC"/>
          </w:tcPr>
          <w:p>
            <w:pPr/>
          </w:p>
        </w:tc>
      </w:tr>
      <w:tr>
        <w:trPr>
          <w:trHeight w:val="316" w:hRule="exact"/>
        </w:trPr>
        <w:tc>
          <w:tcPr>
            <w:tcW w:w="33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投资成本小于取得投资时应享有被投资单</w:t>
            </w:r>
          </w:p>
        </w:tc>
        <w:tc>
          <w:tcPr>
            <w:tcW w:w="3070" w:type="dxa"/>
            <w:tcBorders>
              <w:top w:val="nil" w:sz="6" w:space="0" w:color="auto"/>
              <w:left w:val="single" w:sz="9" w:space="0" w:color="D3D3D3"/>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50,433.30</w:t>
            </w:r>
          </w:p>
        </w:tc>
        <w:tc>
          <w:tcPr>
            <w:tcW w:w="3186" w:type="dxa"/>
            <w:vMerge/>
            <w:tcBorders>
              <w:left w:val="single" w:sz="4" w:space="0" w:color="000000"/>
              <w:right w:val="single" w:sz="4" w:space="0" w:color="000000"/>
            </w:tcBorders>
            <w:shd w:val="clear" w:color="auto" w:fill="C7EDCC"/>
          </w:tcPr>
          <w:p>
            <w:pPr/>
          </w:p>
        </w:tc>
      </w:tr>
      <w:tr>
        <w:trPr>
          <w:trHeight w:val="353" w:hRule="exact"/>
        </w:trPr>
        <w:tc>
          <w:tcPr>
            <w:tcW w:w="330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11" w:right="0"/>
              <w:jc w:val="left"/>
              <w:rPr>
                <w:rFonts w:ascii="宋体" w:hAnsi="宋体" w:cs="宋体" w:eastAsia="宋体" w:hint="default"/>
                <w:sz w:val="18"/>
                <w:szCs w:val="18"/>
              </w:rPr>
            </w:pPr>
            <w:r>
              <w:rPr>
                <w:rFonts w:ascii="宋体" w:hAnsi="宋体" w:cs="宋体" w:eastAsia="宋体" w:hint="default"/>
                <w:sz w:val="18"/>
                <w:szCs w:val="18"/>
              </w:rPr>
              <w:t>位可辨认净资产公允价值产生的收益</w:t>
            </w:r>
          </w:p>
        </w:tc>
        <w:tc>
          <w:tcPr>
            <w:tcW w:w="3070" w:type="dxa"/>
            <w:tcBorders>
              <w:top w:val="nil" w:sz="6" w:space="0" w:color="auto"/>
              <w:left w:val="single" w:sz="9" w:space="0" w:color="D3D3D3"/>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shd w:val="clear" w:color="auto" w:fill="C7EDCC"/>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926,752.59</w:t>
            </w:r>
          </w:p>
        </w:tc>
        <w:tc>
          <w:tcPr>
            <w:tcW w:w="3186"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2,704,130.37</w:t>
            </w:r>
          </w:p>
        </w:tc>
        <w:tc>
          <w:tcPr>
            <w:tcW w:w="3186"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357" w:hRule="exact"/>
        </w:trPr>
        <w:tc>
          <w:tcPr>
            <w:tcW w:w="330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w:t>
            </w:r>
          </w:p>
        </w:tc>
        <w:tc>
          <w:tcPr>
            <w:tcW w:w="3070" w:type="dxa"/>
            <w:tcBorders>
              <w:top w:val="single" w:sz="4" w:space="0" w:color="000000"/>
              <w:left w:val="single" w:sz="9" w:space="0" w:color="D3D3D3"/>
              <w:bottom w:val="nil" w:sz="6" w:space="0" w:color="auto"/>
              <w:right w:val="single" w:sz="4" w:space="0" w:color="000000"/>
            </w:tcBorders>
          </w:tcPr>
          <w:p>
            <w:pPr/>
          </w:p>
        </w:tc>
        <w:tc>
          <w:tcPr>
            <w:tcW w:w="3186" w:type="dxa"/>
            <w:vMerge w:val="restart"/>
            <w:tcBorders>
              <w:top w:val="single" w:sz="4" w:space="0" w:color="000000"/>
              <w:left w:val="single" w:sz="4" w:space="0" w:color="000000"/>
              <w:right w:val="single" w:sz="4" w:space="0" w:color="000000"/>
            </w:tcBorders>
            <w:shd w:val="clear" w:color="auto" w:fill="C7EDCC"/>
          </w:tcPr>
          <w:p>
            <w:pPr/>
          </w:p>
        </w:tc>
      </w:tr>
      <w:tr>
        <w:trPr>
          <w:trHeight w:val="311" w:hRule="exact"/>
        </w:trPr>
        <w:tc>
          <w:tcPr>
            <w:tcW w:w="33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值业务外，持有交易性金融资产、交易性</w:t>
            </w:r>
          </w:p>
        </w:tc>
        <w:tc>
          <w:tcPr>
            <w:tcW w:w="3070" w:type="dxa"/>
            <w:tcBorders>
              <w:top w:val="nil" w:sz="6" w:space="0" w:color="auto"/>
              <w:left w:val="single" w:sz="9" w:space="0" w:color="D3D3D3"/>
              <w:bottom w:val="nil" w:sz="6" w:space="0" w:color="auto"/>
              <w:right w:val="single" w:sz="4" w:space="0" w:color="000000"/>
            </w:tcBorders>
          </w:tcPr>
          <w:p>
            <w:pPr/>
          </w:p>
        </w:tc>
        <w:tc>
          <w:tcPr>
            <w:tcW w:w="3186" w:type="dxa"/>
            <w:vMerge/>
            <w:tcBorders>
              <w:left w:val="single" w:sz="4" w:space="0" w:color="000000"/>
              <w:right w:val="single" w:sz="4" w:space="0" w:color="000000"/>
            </w:tcBorders>
            <w:shd w:val="clear" w:color="auto" w:fill="C7EDCC"/>
          </w:tcPr>
          <w:p>
            <w:pPr/>
          </w:p>
        </w:tc>
      </w:tr>
      <w:tr>
        <w:trPr>
          <w:trHeight w:val="316" w:hRule="exact"/>
        </w:trPr>
        <w:tc>
          <w:tcPr>
            <w:tcW w:w="33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金融负债产生的公允价值变动损益，以及</w:t>
            </w:r>
          </w:p>
        </w:tc>
        <w:tc>
          <w:tcPr>
            <w:tcW w:w="3070" w:type="dxa"/>
            <w:tcBorders>
              <w:top w:val="nil" w:sz="6" w:space="0" w:color="auto"/>
              <w:left w:val="single" w:sz="9" w:space="0" w:color="D3D3D3"/>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15,826,763.68</w:t>
            </w:r>
          </w:p>
        </w:tc>
        <w:tc>
          <w:tcPr>
            <w:tcW w:w="3186" w:type="dxa"/>
            <w:vMerge/>
            <w:tcBorders>
              <w:left w:val="single" w:sz="4" w:space="0" w:color="000000"/>
              <w:right w:val="single" w:sz="4" w:space="0" w:color="000000"/>
            </w:tcBorders>
            <w:shd w:val="clear" w:color="auto" w:fill="C7EDCC"/>
          </w:tcPr>
          <w:p>
            <w:pPr/>
          </w:p>
        </w:tc>
      </w:tr>
      <w:tr>
        <w:trPr>
          <w:trHeight w:val="308" w:hRule="exact"/>
        </w:trPr>
        <w:tc>
          <w:tcPr>
            <w:tcW w:w="33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left="11" w:right="0"/>
              <w:jc w:val="left"/>
              <w:rPr>
                <w:rFonts w:ascii="宋体" w:hAnsi="宋体" w:cs="宋体" w:eastAsia="宋体" w:hint="default"/>
                <w:sz w:val="18"/>
                <w:szCs w:val="18"/>
              </w:rPr>
            </w:pPr>
            <w:r>
              <w:rPr>
                <w:rFonts w:ascii="宋体" w:hAnsi="宋体" w:cs="宋体" w:eastAsia="宋体" w:hint="default"/>
                <w:sz w:val="18"/>
                <w:szCs w:val="18"/>
              </w:rPr>
              <w:t>处置交易性金融资产、交易性金融负债和</w:t>
            </w:r>
          </w:p>
        </w:tc>
        <w:tc>
          <w:tcPr>
            <w:tcW w:w="3070" w:type="dxa"/>
            <w:tcBorders>
              <w:top w:val="nil" w:sz="6" w:space="0" w:color="auto"/>
              <w:left w:val="single" w:sz="9" w:space="0" w:color="D3D3D3"/>
              <w:bottom w:val="nil" w:sz="6" w:space="0" w:color="auto"/>
              <w:right w:val="single" w:sz="4" w:space="0" w:color="000000"/>
            </w:tcBorders>
          </w:tcPr>
          <w:p>
            <w:pPr/>
          </w:p>
        </w:tc>
        <w:tc>
          <w:tcPr>
            <w:tcW w:w="3186" w:type="dxa"/>
            <w:vMerge/>
            <w:tcBorders>
              <w:left w:val="single" w:sz="4" w:space="0" w:color="000000"/>
              <w:right w:val="single" w:sz="4" w:space="0" w:color="000000"/>
            </w:tcBorders>
            <w:shd w:val="clear" w:color="auto" w:fill="C7EDCC"/>
          </w:tcPr>
          <w:p>
            <w:pPr/>
          </w:p>
        </w:tc>
      </w:tr>
      <w:tr>
        <w:trPr>
          <w:trHeight w:val="357" w:hRule="exact"/>
        </w:trPr>
        <w:tc>
          <w:tcPr>
            <w:tcW w:w="330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可供出售金融资产取得的投资收益</w:t>
            </w:r>
          </w:p>
        </w:tc>
        <w:tc>
          <w:tcPr>
            <w:tcW w:w="3070" w:type="dxa"/>
            <w:tcBorders>
              <w:top w:val="nil" w:sz="6" w:space="0" w:color="auto"/>
              <w:left w:val="single" w:sz="9" w:space="0" w:color="D3D3D3"/>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shd w:val="clear" w:color="auto" w:fill="C7EDCC"/>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898,389.72</w:t>
            </w:r>
          </w:p>
        </w:tc>
        <w:tc>
          <w:tcPr>
            <w:tcW w:w="3186"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74,920.88</w:t>
            </w:r>
          </w:p>
        </w:tc>
        <w:tc>
          <w:tcPr>
            <w:tcW w:w="3186"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1,476,284.12</w:t>
            </w:r>
          </w:p>
        </w:tc>
        <w:tc>
          <w:tcPr>
            <w:tcW w:w="3186" w:type="dxa"/>
            <w:tcBorders>
              <w:top w:val="single" w:sz="4" w:space="0" w:color="000000"/>
              <w:left w:val="single" w:sz="4" w:space="0" w:color="000000"/>
              <w:bottom w:val="single" w:sz="4" w:space="0" w:color="000000"/>
              <w:right w:val="single" w:sz="4" w:space="0" w:color="000000"/>
            </w:tcBorders>
            <w:shd w:val="clear" w:color="auto" w:fill="C7EDCC"/>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0" w:type="dxa"/>
            <w:tcBorders>
              <w:top w:val="single" w:sz="4" w:space="0" w:color="000000"/>
              <w:left w:val="single" w:sz="9" w:space="0" w:color="D3D3D3"/>
              <w:bottom w:val="single" w:sz="4" w:space="0" w:color="000000"/>
              <w:right w:val="single" w:sz="9"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83,666,154.01</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7"/>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r>
        <w:rPr>
          <w:rFonts w:ascii="宋体" w:hAnsi="宋体" w:cs="宋体" w:eastAsia="宋体" w:hint="default"/>
          <w:sz w:val="18"/>
          <w:szCs w:val="18"/>
        </w:rPr>
      </w:r>
    </w:p>
    <w:p>
      <w:pPr>
        <w:spacing w:line="302" w:lineRule="auto" w:before="61"/>
        <w:ind w:left="154" w:right="137"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7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10"/>
        <w:rPr>
          <w:rFonts w:ascii="宋体" w:hAnsi="宋体" w:cs="宋体" w:eastAsia="宋体" w:hint="default"/>
          <w:b/>
          <w:bCs/>
          <w:sz w:val="2"/>
          <w:szCs w:val="2"/>
        </w:rPr>
      </w:pPr>
    </w:p>
    <w:tbl>
      <w:tblPr>
        <w:tblW w:w="0" w:type="auto"/>
        <w:jc w:val="left"/>
        <w:tblInd w:w="160" w:type="dxa"/>
        <w:tblLayout w:type="fixed"/>
        <w:tblCellMar>
          <w:top w:w="0" w:type="dxa"/>
          <w:left w:w="0" w:type="dxa"/>
          <w:bottom w:w="0" w:type="dxa"/>
          <w:right w:w="0" w:type="dxa"/>
        </w:tblCellMar>
        <w:tblLook w:val="01E0"/>
      </w:tblPr>
      <w:tblGrid>
        <w:gridCol w:w="2650"/>
        <w:gridCol w:w="3080"/>
        <w:gridCol w:w="1913"/>
        <w:gridCol w:w="1913"/>
      </w:tblGrid>
      <w:tr>
        <w:trPr>
          <w:trHeight w:val="206" w:hRule="exact"/>
        </w:trPr>
        <w:tc>
          <w:tcPr>
            <w:tcW w:w="2650" w:type="dxa"/>
            <w:tcBorders>
              <w:top w:val="single" w:sz="4" w:space="0" w:color="000000"/>
              <w:left w:val="single" w:sz="4" w:space="0" w:color="000000"/>
              <w:bottom w:val="nil" w:sz="6" w:space="0" w:color="auto"/>
              <w:right w:val="single" w:sz="4" w:space="0" w:color="000000"/>
            </w:tcBorders>
            <w:shd w:val="clear" w:color="auto" w:fill="D3D3D3"/>
          </w:tcPr>
          <w:p>
            <w:pPr/>
          </w:p>
        </w:tc>
        <w:tc>
          <w:tcPr>
            <w:tcW w:w="3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38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6" w:hRule="exact"/>
        </w:trPr>
        <w:tc>
          <w:tcPr>
            <w:tcW w:w="265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650" w:type="dxa"/>
            <w:vMerge/>
            <w:tcBorders>
              <w:left w:val="single" w:sz="4" w:space="0" w:color="000000"/>
              <w:bottom w:val="nil" w:sz="6" w:space="0" w:color="auto"/>
              <w:right w:val="single" w:sz="4" w:space="0" w:color="000000"/>
            </w:tcBorders>
            <w:shd w:val="clear" w:color="auto" w:fill="D3D3D3"/>
          </w:tcPr>
          <w:p>
            <w:pPr/>
          </w:p>
        </w:tc>
        <w:tc>
          <w:tcPr>
            <w:tcW w:w="3080" w:type="dxa"/>
            <w:vMerge/>
            <w:tcBorders>
              <w:left w:val="single" w:sz="4" w:space="0" w:color="000000"/>
              <w:bottom w:val="nil" w:sz="6" w:space="0" w:color="auto"/>
              <w:right w:val="single" w:sz="4" w:space="0" w:color="000000"/>
            </w:tcBorders>
            <w:shd w:val="clear" w:color="auto" w:fill="D3D3D3"/>
          </w:tcPr>
          <w:p>
            <w:pP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0" w:type="dxa"/>
            <w:tcBorders>
              <w:top w:val="nil" w:sz="6" w:space="0" w:color="auto"/>
              <w:left w:val="single" w:sz="4" w:space="0" w:color="000000"/>
              <w:bottom w:val="single" w:sz="4" w:space="0" w:color="000000"/>
              <w:right w:val="single" w:sz="4" w:space="0" w:color="000000"/>
            </w:tcBorders>
            <w:shd w:val="clear" w:color="auto" w:fill="D3D3D3"/>
          </w:tcPr>
          <w:p>
            <w:pPr/>
          </w:p>
        </w:tc>
        <w:tc>
          <w:tcPr>
            <w:tcW w:w="3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0.280</w:t>
            </w:r>
          </w:p>
        </w:tc>
      </w:tr>
      <w:tr>
        <w:trPr>
          <w:trHeight w:val="714"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80" w:right="980"/>
        </w:sectPr>
      </w:pPr>
    </w:p>
    <w:p>
      <w:pPr>
        <w:spacing w:line="240" w:lineRule="auto" w:before="10"/>
        <w:rPr>
          <w:rFonts w:ascii="宋体" w:hAnsi="宋体" w:cs="宋体" w:eastAsia="宋体" w:hint="default"/>
          <w:b/>
          <w:bCs/>
          <w:sz w:val="20"/>
          <w:szCs w:val="20"/>
        </w:rPr>
      </w:pPr>
    </w:p>
    <w:p>
      <w:pPr>
        <w:spacing w:before="35"/>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）同时按照国际会计准则与按中国会计准则披露的财务报告中净利润和净资产差异情况</w:t>
      </w:r>
      <w:r>
        <w:rPr>
          <w:rFonts w:ascii="宋体" w:hAnsi="宋体" w:cs="宋体" w:eastAsia="宋体" w:hint="default"/>
          <w:sz w:val="21"/>
          <w:szCs w:val="21"/>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）同时按照境外会计准则与按中国会计准则披露的财务报告中净利润和净资产差异情况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line="259" w:lineRule="auto"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）境内外会计准则下会计数据差异原因说明，对已经境外审计机构审计的数据进行差异调节的，应注</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b/>
          <w:bCs/>
          <w:sz w:val="21"/>
          <w:szCs w:val="21"/>
        </w:rPr>
        <w:t>明该境外机构的名称</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154"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
        <w:rPr>
          <w:rFonts w:ascii="宋体" w:hAnsi="宋体" w:cs="宋体" w:eastAsia="宋体" w:hint="default"/>
          <w:b/>
          <w:bCs/>
          <w:sz w:val="25"/>
          <w:szCs w:val="25"/>
        </w:rPr>
      </w:pPr>
    </w:p>
    <w:p>
      <w:pPr>
        <w:pStyle w:val="BodyText"/>
        <w:spacing w:line="312" w:lineRule="exact"/>
        <w:ind w:right="0" w:firstLine="540"/>
        <w:jc w:val="left"/>
      </w:pPr>
      <w:r>
        <w:rPr>
          <w:spacing w:val="-1"/>
        </w:rPr>
        <w:t>注</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1</w:t>
      </w:r>
      <w:r>
        <w:rPr>
          <w:spacing w:val="-1"/>
        </w:rPr>
        <w:t>）非流动性资产处置损益系处置固定资产损益</w:t>
      </w:r>
      <w:r>
        <w:rPr>
          <w:rFonts w:ascii="Times New Roman" w:hAnsi="Times New Roman" w:cs="Times New Roman" w:eastAsia="Times New Roman" w:hint="default"/>
          <w:spacing w:val="-1"/>
        </w:rPr>
        <w:t>34,028.48</w:t>
      </w:r>
      <w:r>
        <w:rPr>
          <w:spacing w:val="-1"/>
        </w:rPr>
        <w:t>元以及转让十九楼网络</w:t>
      </w:r>
      <w:r>
        <w:rPr/>
        <w:t> 股份有限公司</w:t>
      </w:r>
      <w:r>
        <w:rPr>
          <w:rFonts w:ascii="Times New Roman" w:hAnsi="Times New Roman" w:cs="Times New Roman" w:eastAsia="Times New Roman" w:hint="default"/>
        </w:rPr>
        <w:t>18.8815%</w:t>
      </w:r>
      <w:r>
        <w:rPr/>
        <w:t>的股权金额</w:t>
      </w:r>
      <w:r>
        <w:rPr>
          <w:rFonts w:ascii="Times New Roman" w:hAnsi="Times New Roman" w:cs="Times New Roman" w:eastAsia="Times New Roman" w:hint="default"/>
        </w:rPr>
        <w:t>57,519,336.44</w:t>
      </w:r>
      <w:r>
        <w:rPr/>
        <w:t>元，合计</w:t>
      </w:r>
      <w:r>
        <w:rPr>
          <w:rFonts w:ascii="Times New Roman" w:hAnsi="Times New Roman" w:cs="Times New Roman" w:eastAsia="Times New Roman" w:hint="default"/>
        </w:rPr>
        <w:t>57,553,364.92</w:t>
      </w:r>
      <w:r>
        <w:rPr/>
        <w:t>元。</w:t>
      </w:r>
    </w:p>
    <w:p>
      <w:pPr>
        <w:pStyle w:val="BodyText"/>
        <w:spacing w:line="312" w:lineRule="exact"/>
        <w:ind w:right="171" w:firstLine="540"/>
        <w:jc w:val="left"/>
      </w:pPr>
      <w:r>
        <w:rPr/>
        <w:t>（</w:t>
      </w:r>
      <w:r>
        <w:rPr>
          <w:rFonts w:ascii="Times New Roman" w:hAnsi="Times New Roman" w:cs="Times New Roman" w:eastAsia="Times New Roman" w:hint="default"/>
        </w:rPr>
        <w:t>2</w:t>
      </w:r>
      <w:r>
        <w:rPr/>
        <w:t>）企业取得子公司、联营企业及合营企业的投资成本小于取得投资时应享有被投资 单位可辨认净资产公允价值产生的收益系本公司子公司浙江都市快报控股有限公司购买杭州 云瞰科技有限公司</w:t>
      </w:r>
      <w:r>
        <w:rPr>
          <w:rFonts w:ascii="Times New Roman" w:hAnsi="Times New Roman" w:cs="Times New Roman" w:eastAsia="Times New Roman" w:hint="default"/>
        </w:rPr>
        <w:t>50%</w:t>
      </w:r>
      <w:r>
        <w:rPr/>
        <w:t>的股权，其合并成本小于取得的可辨认净资产公允价值份额的金额 </w:t>
      </w:r>
      <w:r>
        <w:rPr>
          <w:rFonts w:ascii="Times New Roman" w:hAnsi="Times New Roman" w:cs="Times New Roman" w:eastAsia="Times New Roman" w:hint="default"/>
        </w:rPr>
        <w:t>50,433.30</w:t>
      </w:r>
      <w:r>
        <w:rPr/>
        <w:t>元。</w:t>
      </w:r>
    </w:p>
    <w:p>
      <w:pPr>
        <w:pStyle w:val="BodyText"/>
        <w:spacing w:line="312" w:lineRule="exact"/>
        <w:ind w:left="154" w:right="170" w:firstLine="540"/>
        <w:jc w:val="left"/>
      </w:pPr>
      <w:r>
        <w:rPr/>
        <w:t>（</w:t>
      </w:r>
      <w:r>
        <w:rPr>
          <w:rFonts w:ascii="Times New Roman" w:hAnsi="Times New Roman" w:cs="Times New Roman" w:eastAsia="Times New Roman" w:hint="default"/>
        </w:rPr>
        <w:t>3</w:t>
      </w:r>
      <w:r>
        <w:rPr/>
        <w:t>）非货币性资产交换损益系子公司杭州日报报业集团盛元印务有限公司以固定资产 出资与衢州日报报业传媒集团有限公司以及自然人王征、汪航生、江峰共同投资设立浙江衢 州盛元文创印业有限公司，其固定资产评估价值高于账面价值考虑合并抵消因素后，差额 </w:t>
      </w:r>
      <w:r>
        <w:rPr>
          <w:rFonts w:ascii="Times New Roman" w:hAnsi="Times New Roman" w:cs="Times New Roman" w:eastAsia="Times New Roman" w:hint="default"/>
        </w:rPr>
        <w:t>926,752.59</w:t>
      </w:r>
      <w:r>
        <w:rPr/>
        <w:t>元计入营业外收入。</w:t>
      </w:r>
    </w:p>
    <w:p>
      <w:pPr>
        <w:pStyle w:val="BodyText"/>
        <w:spacing w:line="291" w:lineRule="exact"/>
        <w:ind w:left="693" w:right="0"/>
        <w:jc w:val="left"/>
      </w:pPr>
      <w:r>
        <w:rPr/>
        <w:t>（</w:t>
      </w:r>
      <w:r>
        <w:rPr>
          <w:rFonts w:ascii="Times New Roman" w:hAnsi="Times New Roman" w:cs="Times New Roman" w:eastAsia="Times New Roman" w:hint="default"/>
        </w:rPr>
        <w:t>4</w:t>
      </w:r>
      <w:r>
        <w:rPr/>
        <w:t>）委托他人投资或管理资产的损益系非保本保收益的理财收益。</w:t>
      </w:r>
    </w:p>
    <w:p>
      <w:pPr>
        <w:pStyle w:val="BodyText"/>
        <w:spacing w:line="312" w:lineRule="exact" w:before="20"/>
        <w:ind w:right="151" w:firstLine="540"/>
        <w:jc w:val="both"/>
      </w:pPr>
      <w:r>
        <w:rPr/>
        <w:t>（</w:t>
      </w:r>
      <w:r>
        <w:rPr>
          <w:rFonts w:ascii="Times New Roman" w:hAnsi="Times New Roman" w:cs="Times New Roman" w:eastAsia="Times New Roman" w:hint="default"/>
        </w:rPr>
        <w:t>5</w:t>
      </w:r>
      <w:r>
        <w:rPr/>
        <w:t>）除同公司正常经营业务相关的有效套期保值业务外，持有交易性金融资产、交易 性金融负债产生的公允价值变动损益，以及处置交易性金融资产、交易性金融负债和可供出 售金融资产取得的投资收益主要系本公司的子公司杭州日报报业集团盛元印务有限公司原持 有上海合印包装服务有限公司</w:t>
      </w:r>
      <w:r>
        <w:rPr>
          <w:rFonts w:ascii="Times New Roman" w:hAnsi="Times New Roman" w:cs="Times New Roman" w:eastAsia="Times New Roman" w:hint="default"/>
        </w:rPr>
        <w:t>9%</w:t>
      </w:r>
      <w:r>
        <w:rPr/>
        <w:t>的股权，账面价值为</w:t>
      </w:r>
      <w:r>
        <w:rPr>
          <w:rFonts w:ascii="Times New Roman" w:hAnsi="Times New Roman" w:cs="Times New Roman" w:eastAsia="Times New Roman" w:hint="default"/>
        </w:rPr>
        <w:t>900,000.00</w:t>
      </w:r>
      <w:r>
        <w:rPr/>
        <w:t>元。本期增资后持股比例提 高到</w:t>
      </w:r>
      <w:r>
        <w:rPr>
          <w:rFonts w:ascii="Times New Roman" w:hAnsi="Times New Roman" w:cs="Times New Roman" w:eastAsia="Times New Roman" w:hint="default"/>
        </w:rPr>
        <w:t>30.84%</w:t>
      </w:r>
      <w:r>
        <w:rPr/>
        <w:t>，原持有的</w:t>
      </w:r>
      <w:r>
        <w:rPr>
          <w:rFonts w:ascii="Times New Roman" w:hAnsi="Times New Roman" w:cs="Times New Roman" w:eastAsia="Times New Roman" w:hint="default"/>
        </w:rPr>
        <w:t>9%</w:t>
      </w:r>
      <w:r>
        <w:rPr/>
        <w:t>的股权根据评估值确认的长期股权投资的公允价值为</w:t>
      </w:r>
      <w:r>
        <w:rPr>
          <w:rFonts w:ascii="Times New Roman" w:hAnsi="Times New Roman" w:cs="Times New Roman" w:eastAsia="Times New Roman" w:hint="default"/>
        </w:rPr>
        <w:t>15,783,300.00 </w:t>
      </w:r>
      <w:r>
        <w:rPr/>
        <w:t>元高于</w:t>
      </w:r>
      <w:r>
        <w:rPr>
          <w:rFonts w:ascii="Times New Roman" w:hAnsi="Times New Roman" w:cs="Times New Roman" w:eastAsia="Times New Roman" w:hint="default"/>
        </w:rPr>
        <w:t>9%</w:t>
      </w:r>
      <w:r>
        <w:rPr/>
        <w:t>股权的账面价值金额为</w:t>
      </w:r>
      <w:r>
        <w:rPr>
          <w:rFonts w:ascii="Times New Roman" w:hAnsi="Times New Roman" w:cs="Times New Roman" w:eastAsia="Times New Roman" w:hint="default"/>
        </w:rPr>
        <w:t>14,883,300.00</w:t>
      </w:r>
      <w:r>
        <w:rPr/>
        <w:t>元；杭州每日传媒有限公司处置股票、基金收 益</w:t>
      </w:r>
      <w:r>
        <w:rPr>
          <w:rFonts w:ascii="Times New Roman" w:hAnsi="Times New Roman" w:cs="Times New Roman" w:eastAsia="Times New Roman" w:hint="default"/>
        </w:rPr>
        <w:t>927,342.14</w:t>
      </w:r>
      <w:r>
        <w:rPr/>
        <w:t>元，基金、股票收益持有期间收益</w:t>
      </w:r>
      <w:r>
        <w:rPr>
          <w:rFonts w:ascii="Times New Roman" w:hAnsi="Times New Roman" w:cs="Times New Roman" w:eastAsia="Times New Roman" w:hint="default"/>
        </w:rPr>
        <w:t>16,121.54</w:t>
      </w:r>
      <w:r>
        <w:rPr/>
        <w:t>元，合计</w:t>
      </w:r>
      <w:r>
        <w:rPr>
          <w:rFonts w:ascii="Times New Roman" w:hAnsi="Times New Roman" w:cs="Times New Roman" w:eastAsia="Times New Roman" w:hint="default"/>
        </w:rPr>
        <w:t>15,826,763.68</w:t>
      </w:r>
      <w:r>
        <w:rPr/>
        <w:t>元。</w:t>
      </w:r>
    </w:p>
    <w:p>
      <w:pPr>
        <w:pStyle w:val="BodyText"/>
        <w:spacing w:line="312" w:lineRule="exact"/>
        <w:ind w:right="133" w:firstLine="540"/>
        <w:jc w:val="left"/>
      </w:pPr>
      <w:r>
        <w:rPr/>
        <w:t>注</w:t>
      </w:r>
      <w:r>
        <w:rPr>
          <w:rFonts w:ascii="Times New Roman" w:hAnsi="Times New Roman" w:cs="Times New Roman" w:eastAsia="Times New Roman" w:hint="default"/>
        </w:rPr>
        <w:t>2</w:t>
      </w:r>
      <w:r>
        <w:rPr/>
        <w:t>：非经常性损益项目中的数字</w:t>
      </w:r>
      <w:r>
        <w:rPr>
          <w:rFonts w:ascii="Times New Roman" w:hAnsi="Times New Roman" w:cs="Times New Roman" w:eastAsia="Times New Roman" w:hint="default"/>
        </w:rPr>
        <w:t>“+”</w:t>
      </w:r>
      <w:r>
        <w:rPr/>
        <w:t>表示收益及收入</w:t>
      </w:r>
      <w:r>
        <w:rPr>
          <w:rFonts w:ascii="Times New Roman" w:hAnsi="Times New Roman" w:cs="Times New Roman" w:eastAsia="Times New Roman" w:hint="default"/>
        </w:rPr>
        <w:t>,"-"</w:t>
      </w:r>
      <w:r>
        <w:rPr/>
        <w:t>表示损失或支出。 </w:t>
      </w:r>
      <w:r>
        <w:rPr>
          <w:spacing w:val="-2"/>
        </w:rPr>
        <w:t>本公司对非经常性损益项目的确认依照《公开发行证券的公司信息披露解释性公告第</w:t>
      </w:r>
      <w:r>
        <w:rPr>
          <w:rFonts w:ascii="Times New Roman" w:hAnsi="Times New Roman" w:cs="Times New Roman" w:eastAsia="Times New Roman" w:hint="default"/>
          <w:spacing w:val="-2"/>
        </w:rPr>
        <w:t>1</w:t>
      </w:r>
      <w:r>
        <w:rPr>
          <w:spacing w:val="-2"/>
        </w:rPr>
        <w:t>号</w:t>
      </w:r>
      <w:r>
        <w:rPr>
          <w:rFonts w:ascii="Times New Roman" w:hAnsi="Times New Roman" w:cs="Times New Roman" w:eastAsia="Times New Roman" w:hint="default"/>
          <w:spacing w:val="-2"/>
        </w:rPr>
        <w:t>——</w:t>
      </w:r>
      <w:r>
        <w:rPr>
          <w:rFonts w:ascii="Times New Roman" w:hAnsi="Times New Roman" w:cs="Times New Roman" w:eastAsia="Times New Roman" w:hint="default"/>
        </w:rPr>
        <w:t> </w:t>
      </w:r>
      <w:r>
        <w:rPr/>
        <w:t>非经常性损益》（证监会公告</w:t>
      </w:r>
      <w:r>
        <w:rPr>
          <w:rFonts w:ascii="Times New Roman" w:hAnsi="Times New Roman" w:cs="Times New Roman" w:eastAsia="Times New Roman" w:hint="default"/>
        </w:rPr>
        <w:t>[2008]43</w:t>
      </w:r>
      <w:r>
        <w:rPr/>
        <w:t>号）的规定执行。</w:t>
      </w:r>
    </w:p>
    <w:p>
      <w:pPr>
        <w:spacing w:after="0" w:line="312" w:lineRule="exact"/>
        <w:jc w:val="left"/>
        <w:sectPr>
          <w:pgSz w:w="11910" w:h="16840"/>
          <w:pgMar w:header="0"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3286" w:right="0"/>
        <w:jc w:val="left"/>
        <w:rPr>
          <w:b w:val="0"/>
          <w:bCs w:val="0"/>
        </w:rPr>
      </w:pPr>
      <w:bookmarkStart w:name="_TOC_250000" w:id="11"/>
      <w:r>
        <w:rPr/>
        <w:t>第十一节</w:t>
      </w:r>
      <w:r>
        <w:rPr>
          <w:spacing w:val="-9"/>
        </w:rPr>
        <w:t> </w:t>
      </w:r>
      <w:r>
        <w:rPr/>
        <w:t>备查文件目录</w:t>
      </w:r>
      <w:bookmarkEnd w:id="11"/>
      <w:r>
        <w:rPr>
          <w:b w:val="0"/>
          <w:bCs w:val="0"/>
        </w:rPr>
      </w:r>
    </w:p>
    <w:p>
      <w:pPr>
        <w:spacing w:line="240" w:lineRule="auto" w:before="6"/>
        <w:rPr>
          <w:rFonts w:ascii="宋体" w:hAnsi="宋体" w:cs="宋体" w:eastAsia="宋体" w:hint="default"/>
          <w:b/>
          <w:bCs/>
          <w:sz w:val="42"/>
          <w:szCs w:val="42"/>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、经公司法定代表人、主管会计工作的负责人、会计机构负责人签字并盖章的财务报表；</w:t>
      </w:r>
    </w:p>
    <w:p>
      <w:pPr>
        <w:spacing w:before="6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、经瑞华会计师事务所（特殊普通合伙）盖章、注册会计师签名并盖章的审计报告原件。</w:t>
      </w:r>
    </w:p>
    <w:p>
      <w:pPr>
        <w:spacing w:before="63"/>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、报告期内在巨潮资讯网上公开披露过的所有公司文件的正本及公告的原稿。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line="636" w:lineRule="auto" w:before="44"/>
        <w:ind w:left="7344" w:right="402" w:firstLine="18"/>
        <w:jc w:val="left"/>
        <w:rPr>
          <w:rFonts w:ascii="宋体" w:hAnsi="宋体" w:cs="宋体" w:eastAsia="宋体" w:hint="default"/>
          <w:sz w:val="18"/>
          <w:szCs w:val="18"/>
        </w:rPr>
      </w:pPr>
      <w:r>
        <w:rPr>
          <w:rFonts w:ascii="宋体" w:hAnsi="宋体" w:cs="宋体" w:eastAsia="宋体" w:hint="default"/>
          <w:sz w:val="18"/>
          <w:szCs w:val="18"/>
        </w:rPr>
        <w:t>浙江华媒控股股份有限公司 法定代表人：赵</w:t>
      </w:r>
      <w:r>
        <w:rPr>
          <w:rFonts w:ascii="宋体" w:hAnsi="宋体" w:cs="宋体" w:eastAsia="宋体" w:hint="default"/>
          <w:spacing w:val="89"/>
          <w:sz w:val="18"/>
          <w:szCs w:val="18"/>
        </w:rPr>
        <w:t> </w:t>
      </w:r>
      <w:r>
        <w:rPr>
          <w:rFonts w:ascii="宋体" w:hAnsi="宋体" w:cs="宋体" w:eastAsia="宋体" w:hint="default"/>
          <w:sz w:val="18"/>
          <w:szCs w:val="18"/>
        </w:rPr>
        <w:t>晴</w:t>
      </w:r>
      <w:r>
        <w:rPr>
          <w:rFonts w:ascii="宋体" w:hAnsi="宋体" w:cs="宋体" w:eastAsia="宋体" w:hint="default"/>
          <w:sz w:val="18"/>
          <w:szCs w:val="18"/>
        </w:rPr>
        <w:t> </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sectPr>
      <w:pgSz w:w="11910" w:h="16840"/>
      <w:pgMar w:header="0" w:footer="982" w:top="110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873pt;margin-top:795.457642pt;width:6.5pt;height:11pt;mso-position-horizontal-relative:page;mso-position-vertical-relative:page;z-index:-126073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814.717651pt;width:11pt;height:11pt;mso-position-horizontal-relative:page;mso-position-vertical-relative:page;z-index:-126044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86</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1.897522pt;width:11pt;height:11pt;mso-position-horizontal-relative:page;mso-position-vertical-relative:page;z-index:-126042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87</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0522pt;margin-top:560.197815pt;width:13pt;height:11pt;mso-position-horizontal-relative:page;mso-position-vertical-relative:page;z-index:-1260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88</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0522pt;margin-top:535.297913pt;width:13pt;height:11pt;mso-position-horizontal-relative:page;mso-position-vertical-relative:page;z-index:-1260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2602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92</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1.897522pt;width:15.5pt;height:11pt;mso-position-horizontal-relative:page;mso-position-vertical-relative:page;z-index:-126023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2602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4.410522pt;margin-top:535.297913pt;width:17.5pt;height:11pt;mso-position-horizontal-relative:page;mso-position-vertical-relative:page;z-index:-12601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127</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2600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129</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2607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260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161</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0522pt;margin-top:535.297913pt;width:13pt;height:11pt;mso-position-horizontal-relative:page;mso-position-vertical-relative:page;z-index:-12606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2605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2605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64</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2605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76</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1.897522pt;width:11pt;height:11pt;mso-position-horizontal-relative:page;mso-position-vertical-relative:page;z-index:-12604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85</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179993pt;margin-top:36.325325pt;width:195.45pt;height:11.5pt;mso-position-horizontal-relative:page;mso-position-vertical-relative:page;z-index:-12607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浙江华媒控股股份有限公司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260136"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44.179993pt;margin-top:42.865326pt;width:195.45pt;height:11.5pt;mso-position-horizontal-relative:page;mso-position-vertical-relative:page;z-index:-126011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浙江华媒控股股份有限公司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47052pt;margin-top:42.865623pt;width:195.45pt;height:11.5pt;mso-position-horizontal-relative:page;mso-position-vertical-relative:page;z-index:-12606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浙江华媒控股股份有限公司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260640"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44.179993pt;margin-top:42.865326pt;width:195.45pt;height:11.5pt;mso-position-horizontal-relative:page;mso-position-vertical-relative:page;z-index:-12606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浙江华媒控股股份有限公司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619984pt;width:484.95pt;height:.1pt;mso-position-horizontal-relative:page;mso-position-vertical-relative:page;z-index:-1260520"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44.179993pt;margin-top:42.865326pt;width:195.45pt;height:11.5pt;mso-position-horizontal-relative:page;mso-position-vertical-relative:page;z-index:-12604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浙江华媒控股股份有限公司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47052pt;margin-top:35.785625pt;width:195.45pt;height:11.5pt;mso-position-horizontal-relative:page;mso-position-vertical-relative:page;z-index:-126040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浙江华媒控股股份有限公司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47052pt;margin-top:35.785625pt;width:195.45pt;height:11.5pt;mso-position-horizontal-relative:page;mso-position-vertical-relative:page;z-index:-12603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浙江华媒控股股份有限公司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260304"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44.179993pt;margin-top:42.865326pt;width:195.45pt;height:11.5pt;mso-position-horizontal-relative:page;mso-position-vertical-relative:page;z-index:-12602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浙江华媒控股股份有限公司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47052pt;margin-top:42.865623pt;width:195.45pt;height:11.5pt;mso-position-horizontal-relative:page;mso-position-vertical-relative:page;z-index:-12601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浙江华媒控股股份有限公司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24"/>
      <w:szCs w:val="24"/>
    </w:rPr>
  </w:style>
  <w:style w:styleId="Heading1" w:type="paragraph">
    <w:name w:val="Heading 1"/>
    <w:basedOn w:val="Normal"/>
    <w:uiPriority w:val="1"/>
    <w:qFormat/>
    <w:pPr>
      <w:spacing w:before="1"/>
      <w:ind w:left="2784"/>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i/>
      <w:sz w:val="25"/>
      <w:szCs w:val="25"/>
    </w:rPr>
  </w:style>
  <w:style w:styleId="Heading3" w:type="paragraph">
    <w:name w:val="Heading 3"/>
    <w:basedOn w:val="Normal"/>
    <w:uiPriority w:val="1"/>
    <w:qFormat/>
    <w:pPr>
      <w:ind w:left="154"/>
      <w:outlineLvl w:val="3"/>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http://www.000607.cn/" TargetMode="External"/><Relationship Id="rId10" Type="http://schemas.openxmlformats.org/officeDocument/2006/relationships/hyperlink" Target="mailto:ir000607@000607.cn" TargetMode="External"/><Relationship Id="rId11" Type="http://schemas.openxmlformats.org/officeDocument/2006/relationships/hyperlink" Target="http://www.cninfo.com.cn/" TargetMode="Externa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yperlink" Target="http://www.cninfo.com.cn&#25259;&#38706;&#30340;/" TargetMode="External"/><Relationship Id="rId17" Type="http://schemas.openxmlformats.org/officeDocument/2006/relationships/image" Target="media/image2.jpeg"/><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header" Target="header4.xml"/><Relationship Id="rId21" Type="http://schemas.openxmlformats.org/officeDocument/2006/relationships/footer" Target="footer7.xml"/><Relationship Id="rId22" Type="http://schemas.openxmlformats.org/officeDocument/2006/relationships/header" Target="header5.xml"/><Relationship Id="rId23" Type="http://schemas.openxmlformats.org/officeDocument/2006/relationships/footer" Target="footer8.xml"/><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footer" Target="footer11.xml"/><Relationship Id="rId27" Type="http://schemas.openxmlformats.org/officeDocument/2006/relationships/header" Target="header6.xml"/><Relationship Id="rId28" Type="http://schemas.openxmlformats.org/officeDocument/2006/relationships/footer" Target="footer12.xml"/><Relationship Id="rId29" Type="http://schemas.openxmlformats.org/officeDocument/2006/relationships/header" Target="header7.xml"/><Relationship Id="rId30" Type="http://schemas.openxmlformats.org/officeDocument/2006/relationships/footer" Target="footer13.xml"/><Relationship Id="rId31" Type="http://schemas.openxmlformats.org/officeDocument/2006/relationships/header" Target="header8.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footer" Target="footer16.xml"/><Relationship Id="rId35" Type="http://schemas.openxmlformats.org/officeDocument/2006/relationships/header" Target="header9.xml"/><Relationship Id="rId36" Type="http://schemas.openxmlformats.org/officeDocument/2006/relationships/footer" Target="footer17.xml"/><Relationship Id="rId37" Type="http://schemas.openxmlformats.org/officeDocument/2006/relationships/header" Target="header10.xml"/><Relationship Id="rId38" Type="http://schemas.openxmlformats.org/officeDocument/2006/relationships/footer" Target="footer18.xml"/><Relationship Id="rId39" Type="http://schemas.openxmlformats.org/officeDocument/2006/relationships/header" Target="header11.xml"/><Relationship Id="rId40" Type="http://schemas.openxmlformats.org/officeDocument/2006/relationships/footer" Target="footer19.xml"/><Relationship Id="rId41" Type="http://schemas.openxmlformats.org/officeDocument/2006/relationships/footer" Target="foot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hmzjj</dc:creator>
  <dc:title>Microsoft Word - 2016-018  2015年年度报告全文【0427 11点41】.doc</dc:title>
  <dcterms:created xsi:type="dcterms:W3CDTF">2020-05-04T10:23:07Z</dcterms:created>
  <dcterms:modified xsi:type="dcterms:W3CDTF">2020-05-04T10:23:07Z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2016-04-27T00:00:00Z</vt:filetime>
  </property>
  <property fmtid="{D5CDD505-2E9C-101B-9397-08002B2CF9AE}" pid="3" name="Creator">
    <vt:lpwstr>PScript5.dll Version 5.2.2</vt:lpwstr>
  </property>
  <property fmtid="{D5CDD505-2E9C-101B-9397-08002B2CF9AE}" pid="4" name="LastSaved">
    <vt:filetime>2020-05-04T00:00:00Z</vt:filetime>
  </property>
</Properties>
</file>