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p>
      <w:pPr>
        <w:spacing w:line="1483" w:lineRule="exact"/>
        <w:ind w:left="424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9"/>
          <w:sz w:val="20"/>
          <w:szCs w:val="20"/>
        </w:rPr>
        <w:drawing>
          <wp:inline distT="0" distB="0" distL="0" distR="0">
            <wp:extent cx="931917" cy="94183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931917" cy="941831"/>
                    </a:xfrm>
                    <a:prstGeom prst="rect">
                      <a:avLst/>
                    </a:prstGeom>
                  </pic:spPr>
                </pic:pic>
              </a:graphicData>
            </a:graphic>
          </wp:inline>
        </w:drawing>
      </w:r>
      <w:r>
        <w:rPr>
          <w:rFonts w:ascii="Times New Roman" w:hAnsi="Times New Roman" w:cs="Times New Roman" w:eastAsia="Times New Roman" w:hint="default"/>
          <w:position w:val="-2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spacing w:line="460" w:lineRule="exact" w:before="0"/>
        <w:ind w:left="2784" w:right="2783" w:firstLine="0"/>
        <w:jc w:val="center"/>
        <w:rPr>
          <w:rFonts w:ascii="宋体" w:hAnsi="宋体" w:cs="宋体" w:eastAsia="宋体" w:hint="default"/>
          <w:sz w:val="36"/>
          <w:szCs w:val="36"/>
        </w:rPr>
      </w:pPr>
      <w:r>
        <w:rPr>
          <w:rFonts w:ascii="宋体" w:hAnsi="宋体" w:cs="宋体" w:eastAsia="宋体" w:hint="default"/>
          <w:b/>
          <w:bCs/>
          <w:sz w:val="36"/>
          <w:szCs w:val="36"/>
        </w:rPr>
        <w:t>浙江华媒控股股份有限公司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783" w:right="27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2784" w:right="2783" w:firstLine="0"/>
        <w:jc w:val="center"/>
        <w:rPr>
          <w:rFonts w:ascii="Times New Roman" w:hAnsi="Times New Roman" w:cs="Times New Roman" w:eastAsia="Times New Roman" w:hint="default"/>
          <w:sz w:val="22"/>
          <w:szCs w:val="22"/>
        </w:rPr>
      </w:pPr>
      <w:r>
        <w:rPr>
          <w:rFonts w:ascii="Times New Roman"/>
          <w:b/>
          <w:sz w:val="22"/>
        </w:rPr>
        <w:t>2018-016</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2784" w:right="27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5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公司负责人董悦、主管会计工作负责人郭勤勇及会计机构负责人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郭勤勇声明：保证年度报告中财务报告的真实、准确、完整。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本年度报告内容涉及的未来计划、规划等前瞻性陈述，存在不确定性，不</w:t>
      </w:r>
      <w:r>
        <w:rPr>
          <w:rFonts w:ascii="宋体" w:hAnsi="宋体" w:cs="宋体" w:eastAsia="宋体" w:hint="default"/>
          <w:sz w:val="28"/>
          <w:szCs w:val="28"/>
        </w:rPr>
      </w:r>
    </w:p>
    <w:p>
      <w:pPr>
        <w:spacing w:line="475" w:lineRule="auto" w:before="0"/>
        <w:ind w:left="715" w:right="2744" w:hanging="562"/>
        <w:jc w:val="left"/>
        <w:rPr>
          <w:rFonts w:ascii="宋体" w:hAnsi="宋体" w:cs="宋体" w:eastAsia="宋体" w:hint="default"/>
          <w:sz w:val="28"/>
          <w:szCs w:val="28"/>
        </w:rPr>
      </w:pPr>
      <w:r>
        <w:rPr>
          <w:rFonts w:ascii="宋体" w:hAnsi="宋体" w:cs="宋体" w:eastAsia="宋体" w:hint="default"/>
          <w:b/>
          <w:bCs/>
          <w:sz w:val="28"/>
          <w:szCs w:val="28"/>
        </w:rPr>
        <w:t>构成公司对投资者的实质承诺。请投资者注意投资风险。</w:t>
      </w:r>
      <w:r>
        <w:rPr>
          <w:rFonts w:ascii="宋体" w:hAnsi="宋体" w:cs="宋体" w:eastAsia="宋体" w:hint="default"/>
          <w:b/>
          <w:bCs/>
          <w:spacing w:val="1"/>
          <w:w w:val="99"/>
          <w:sz w:val="28"/>
          <w:szCs w:val="28"/>
        </w:rPr>
        <w:t> </w:t>
      </w:r>
      <w:r>
        <w:rPr>
          <w:rFonts w:ascii="宋体" w:hAnsi="宋体" w:cs="宋体" w:eastAsia="宋体" w:hint="default"/>
          <w:b/>
          <w:bCs/>
          <w:sz w:val="28"/>
          <w:szCs w:val="28"/>
        </w:rPr>
        <w:t>一、</w:t>
      </w:r>
      <w:r>
        <w:rPr>
          <w:rFonts w:ascii="宋体" w:hAnsi="宋体" w:cs="宋体" w:eastAsia="宋体" w:hint="default"/>
          <w:b/>
          <w:bCs/>
          <w:spacing w:val="-12"/>
          <w:sz w:val="28"/>
          <w:szCs w:val="28"/>
        </w:rPr>
        <w:t> </w:t>
      </w:r>
      <w:r>
        <w:rPr>
          <w:rFonts w:ascii="宋体" w:hAnsi="宋体" w:cs="宋体" w:eastAsia="宋体" w:hint="default"/>
          <w:b/>
          <w:bCs/>
          <w:sz w:val="28"/>
          <w:szCs w:val="28"/>
        </w:rPr>
        <w:t>采编与经营“两分开”的风险。</w:t>
      </w:r>
      <w:r>
        <w:rPr>
          <w:rFonts w:ascii="宋体" w:hAnsi="宋体" w:cs="宋体" w:eastAsia="宋体" w:hint="default"/>
          <w:sz w:val="28"/>
          <w:szCs w:val="28"/>
        </w:rPr>
      </w:r>
    </w:p>
    <w:p>
      <w:pPr>
        <w:spacing w:line="405" w:lineRule="auto" w:before="81"/>
        <w:ind w:left="154" w:right="147" w:firstLine="561"/>
        <w:jc w:val="both"/>
        <w:rPr>
          <w:rFonts w:ascii="宋体" w:hAnsi="宋体" w:cs="宋体" w:eastAsia="宋体" w:hint="default"/>
          <w:sz w:val="28"/>
          <w:szCs w:val="28"/>
        </w:rPr>
      </w:pPr>
      <w:r>
        <w:rPr>
          <w:rFonts w:ascii="宋体" w:hAnsi="宋体" w:cs="宋体" w:eastAsia="宋体" w:hint="default"/>
          <w:b/>
          <w:bCs/>
          <w:spacing w:val="3"/>
          <w:w w:val="95"/>
          <w:sz w:val="28"/>
          <w:szCs w:val="28"/>
        </w:rPr>
        <w:t>根据报刊行业采编与经营</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两分开</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的政策，公司重组后收购的资产不包括</w:t>
      </w:r>
      <w:r>
        <w:rPr>
          <w:rFonts w:ascii="宋体" w:hAnsi="宋体" w:cs="宋体" w:eastAsia="宋体" w:hint="default"/>
          <w:b/>
          <w:bCs/>
          <w:w w:val="99"/>
          <w:sz w:val="28"/>
          <w:szCs w:val="28"/>
        </w:rPr>
        <w:t> </w:t>
      </w:r>
      <w:r>
        <w:rPr>
          <w:rFonts w:ascii="宋体" w:hAnsi="宋体" w:cs="宋体" w:eastAsia="宋体" w:hint="default"/>
          <w:b/>
          <w:bCs/>
          <w:spacing w:val="-5"/>
          <w:w w:val="99"/>
          <w:sz w:val="28"/>
          <w:szCs w:val="28"/>
        </w:rPr>
        <w:t>报纸采编类资产。《杭州日报》社及其他相关报社，与公司购买资产范围内各相</w:t>
      </w:r>
      <w:r>
        <w:rPr>
          <w:rFonts w:ascii="宋体" w:hAnsi="宋体" w:cs="宋体" w:eastAsia="宋体" w:hint="default"/>
          <w:b/>
          <w:bCs/>
          <w:spacing w:val="-133"/>
          <w:w w:val="99"/>
          <w:sz w:val="28"/>
          <w:szCs w:val="28"/>
        </w:rPr>
        <w:t> </w:t>
      </w:r>
      <w:r>
        <w:rPr>
          <w:rFonts w:ascii="宋体" w:hAnsi="宋体" w:cs="宋体" w:eastAsia="宋体" w:hint="default"/>
          <w:b/>
          <w:bCs/>
          <w:spacing w:val="-133"/>
          <w:w w:val="99"/>
          <w:sz w:val="28"/>
          <w:szCs w:val="28"/>
        </w:rPr>
      </w:r>
      <w:r>
        <w:rPr>
          <w:rFonts w:ascii="宋体" w:hAnsi="宋体" w:cs="宋体" w:eastAsia="宋体" w:hint="default"/>
          <w:b/>
          <w:bCs/>
          <w:spacing w:val="3"/>
          <w:w w:val="95"/>
          <w:sz w:val="28"/>
          <w:szCs w:val="28"/>
        </w:rPr>
        <w:t>关报刊经营公司签订了《授权经营协议》和《收入分成协议》及《收入分成协</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5"/>
          <w:w w:val="99"/>
          <w:sz w:val="28"/>
          <w:szCs w:val="28"/>
        </w:rPr>
        <w:t>议之补充协议》。上市公司负责经营广告、发行、印刷和新媒体等业务，《杭州</w:t>
      </w:r>
      <w:r>
        <w:rPr>
          <w:rFonts w:ascii="宋体" w:hAnsi="宋体" w:cs="宋体" w:eastAsia="宋体" w:hint="default"/>
          <w:b/>
          <w:bCs/>
          <w:spacing w:val="3"/>
          <w:w w:val="99"/>
          <w:sz w:val="28"/>
          <w:szCs w:val="28"/>
        </w:rPr>
        <w:t> </w:t>
      </w:r>
      <w:r>
        <w:rPr>
          <w:rFonts w:ascii="宋体" w:hAnsi="宋体" w:cs="宋体" w:eastAsia="宋体" w:hint="default"/>
          <w:b/>
          <w:bCs/>
          <w:spacing w:val="3"/>
          <w:w w:val="95"/>
          <w:sz w:val="28"/>
          <w:szCs w:val="28"/>
        </w:rPr>
        <w:t>日报》社及其他相关报社负责采编业务。各报刊经营公司与《杭州日报》社及</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其他相关报社存在持续关联交易。新闻采编业务现阶段不在上市公司内运营，</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提请投资者关注可能产生的对公司广告经营、报刊发行等业务发展带来的经营</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风险。</w:t>
      </w:r>
      <w:r>
        <w:rPr>
          <w:rFonts w:ascii="宋体" w:hAnsi="宋体" w:cs="宋体" w:eastAsia="宋体" w:hint="default"/>
          <w:sz w:val="28"/>
          <w:szCs w:val="28"/>
        </w:rPr>
      </w:r>
    </w:p>
    <w:p>
      <w:pPr>
        <w:spacing w:line="472" w:lineRule="auto" w:before="164"/>
        <w:ind w:left="715" w:right="0" w:hanging="1"/>
        <w:jc w:val="left"/>
        <w:rPr>
          <w:rFonts w:ascii="宋体" w:hAnsi="宋体" w:cs="宋体" w:eastAsia="宋体" w:hint="default"/>
          <w:sz w:val="28"/>
          <w:szCs w:val="28"/>
        </w:rPr>
      </w:pPr>
      <w:r>
        <w:rPr>
          <w:rFonts w:ascii="宋体" w:hAnsi="宋体" w:cs="宋体" w:eastAsia="宋体" w:hint="default"/>
          <w:b/>
          <w:bCs/>
          <w:sz w:val="28"/>
          <w:szCs w:val="28"/>
        </w:rPr>
        <w:t>二、</w:t>
      </w:r>
      <w:r>
        <w:rPr>
          <w:rFonts w:ascii="宋体" w:hAnsi="宋体" w:cs="宋体" w:eastAsia="宋体" w:hint="default"/>
          <w:b/>
          <w:bCs/>
          <w:spacing w:val="-5"/>
          <w:sz w:val="28"/>
          <w:szCs w:val="28"/>
        </w:rPr>
        <w:t> </w:t>
      </w:r>
      <w:r>
        <w:rPr>
          <w:rFonts w:ascii="宋体" w:hAnsi="宋体" w:cs="宋体" w:eastAsia="宋体" w:hint="default"/>
          <w:b/>
          <w:bCs/>
          <w:sz w:val="28"/>
          <w:szCs w:val="28"/>
        </w:rPr>
        <w:t>新媒体业务波动的风险。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全社会新媒体业务快速发展，对上市公司传统媒体经营构成冲击。公司经</w:t>
      </w:r>
      <w:r>
        <w:rPr>
          <w:rFonts w:ascii="宋体" w:hAnsi="宋体" w:cs="宋体" w:eastAsia="宋体" w:hint="default"/>
          <w:sz w:val="28"/>
          <w:szCs w:val="28"/>
        </w:rPr>
      </w:r>
    </w:p>
    <w:p>
      <w:pPr>
        <w:spacing w:after="0" w:line="472" w:lineRule="auto"/>
        <w:jc w:val="left"/>
        <w:rPr>
          <w:rFonts w:ascii="宋体" w:hAnsi="宋体" w:cs="宋体" w:eastAsia="宋体" w:hint="default"/>
          <w:sz w:val="28"/>
          <w:szCs w:val="28"/>
        </w:rPr>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08" w:lineRule="auto" w:before="13"/>
        <w:ind w:left="153" w:right="24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营的互联网和移动互联网业务，营业收入占比有限，且易受互联网发展进程和</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相关行业政策调控的影响，新媒体业务的发展和盈利能力等方面，存在一定的</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不确定性。</w:t>
      </w:r>
      <w:r>
        <w:rPr>
          <w:rFonts w:ascii="宋体" w:hAnsi="宋体" w:cs="宋体" w:eastAsia="宋体" w:hint="default"/>
          <w:sz w:val="28"/>
          <w:szCs w:val="28"/>
        </w:rPr>
      </w:r>
    </w:p>
    <w:p>
      <w:pPr>
        <w:spacing w:line="472" w:lineRule="auto" w:before="161"/>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二、</w:t>
      </w:r>
      <w:r>
        <w:rPr>
          <w:rFonts w:ascii="宋体" w:hAnsi="宋体" w:cs="宋体" w:eastAsia="宋体" w:hint="default"/>
          <w:b/>
          <w:bCs/>
          <w:spacing w:val="-5"/>
          <w:sz w:val="28"/>
          <w:szCs w:val="28"/>
        </w:rPr>
        <w:t> </w:t>
      </w:r>
      <w:r>
        <w:rPr>
          <w:rFonts w:ascii="宋体" w:hAnsi="宋体" w:cs="宋体" w:eastAsia="宋体" w:hint="default"/>
          <w:b/>
          <w:bCs/>
          <w:sz w:val="28"/>
          <w:szCs w:val="28"/>
        </w:rPr>
        <w:t>经营业绩波动风险。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根据以往年度经营情况及行业惯例，公司主营业务中的传媒类业务，经营</w:t>
      </w:r>
      <w:r>
        <w:rPr>
          <w:rFonts w:ascii="宋体" w:hAnsi="宋体" w:cs="宋体" w:eastAsia="宋体" w:hint="default"/>
          <w:sz w:val="28"/>
          <w:szCs w:val="28"/>
        </w:rPr>
      </w:r>
    </w:p>
    <w:p>
      <w:pPr>
        <w:spacing w:line="408" w:lineRule="auto" w:before="0"/>
        <w:ind w:left="153" w:right="24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收入存在波动现象，盈利主要体现在下半年。教育类业务营业收入集中在新生</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入学和大专院校各学期开学前后。相关行业有可能继续受相关行业政策调控和</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阶段性区域经营环境变化的影响，经营业绩存在波动甚至下滑的可能。</w:t>
      </w:r>
      <w:r>
        <w:rPr>
          <w:rFonts w:ascii="宋体" w:hAnsi="宋体" w:cs="宋体" w:eastAsia="宋体" w:hint="default"/>
          <w:sz w:val="28"/>
          <w:szCs w:val="28"/>
        </w:rPr>
      </w:r>
    </w:p>
    <w:p>
      <w:pPr>
        <w:spacing w:line="472" w:lineRule="auto" w:before="161"/>
        <w:ind w:left="715" w:right="0" w:hanging="1"/>
        <w:jc w:val="left"/>
        <w:rPr>
          <w:rFonts w:ascii="宋体" w:hAnsi="宋体" w:cs="宋体" w:eastAsia="宋体" w:hint="default"/>
          <w:sz w:val="28"/>
          <w:szCs w:val="28"/>
        </w:rPr>
      </w:pPr>
      <w:r>
        <w:rPr>
          <w:rFonts w:ascii="宋体" w:hAnsi="宋体" w:cs="宋体" w:eastAsia="宋体" w:hint="default"/>
          <w:b/>
          <w:bCs/>
          <w:sz w:val="28"/>
          <w:szCs w:val="28"/>
        </w:rPr>
        <w:t>三、</w:t>
      </w:r>
      <w:r>
        <w:rPr>
          <w:rFonts w:ascii="宋体" w:hAnsi="宋体" w:cs="宋体" w:eastAsia="宋体" w:hint="default"/>
          <w:b/>
          <w:bCs/>
          <w:spacing w:val="-5"/>
          <w:sz w:val="28"/>
          <w:szCs w:val="28"/>
        </w:rPr>
        <w:t> </w:t>
      </w:r>
      <w:r>
        <w:rPr>
          <w:rFonts w:ascii="宋体" w:hAnsi="宋体" w:cs="宋体" w:eastAsia="宋体" w:hint="default"/>
          <w:b/>
          <w:bCs/>
          <w:sz w:val="28"/>
          <w:szCs w:val="28"/>
        </w:rPr>
        <w:t>并购投资项目运作的风险。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公司收购和投资项目中，有的已形成较高商誉。各项目运营情况正常，但</w:t>
      </w:r>
      <w:r>
        <w:rPr>
          <w:rFonts w:ascii="宋体" w:hAnsi="宋体" w:cs="宋体" w:eastAsia="宋体" w:hint="default"/>
          <w:sz w:val="28"/>
          <w:szCs w:val="28"/>
        </w:rPr>
      </w:r>
    </w:p>
    <w:p>
      <w:pPr>
        <w:spacing w:line="410" w:lineRule="auto" w:before="0"/>
        <w:ind w:left="153" w:right="24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市场或政策环境变化的影响，发展存在不确定性，可能存在商誉减值或长期股</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权投资减值、进而耗减公司利润的风险。</w:t>
      </w:r>
      <w:r>
        <w:rPr>
          <w:rFonts w:ascii="宋体" w:hAnsi="宋体" w:cs="宋体" w:eastAsia="宋体" w:hint="default"/>
          <w:sz w:val="28"/>
          <w:szCs w:val="28"/>
        </w:rPr>
      </w:r>
    </w:p>
    <w:p>
      <w:pPr>
        <w:spacing w:line="472" w:lineRule="auto" w:before="159"/>
        <w:ind w:left="715" w:right="0" w:hanging="1"/>
        <w:jc w:val="left"/>
        <w:rPr>
          <w:rFonts w:ascii="宋体" w:hAnsi="宋体" w:cs="宋体" w:eastAsia="宋体" w:hint="default"/>
          <w:sz w:val="28"/>
          <w:szCs w:val="28"/>
        </w:rPr>
      </w:pPr>
      <w:r>
        <w:rPr>
          <w:rFonts w:ascii="宋体" w:hAnsi="宋体" w:cs="宋体" w:eastAsia="宋体" w:hint="default"/>
          <w:b/>
          <w:bCs/>
          <w:sz w:val="28"/>
          <w:szCs w:val="28"/>
        </w:rPr>
        <w:t>四、</w:t>
      </w:r>
      <w:r>
        <w:rPr>
          <w:rFonts w:ascii="宋体" w:hAnsi="宋体" w:cs="宋体" w:eastAsia="宋体" w:hint="default"/>
          <w:b/>
          <w:bCs/>
          <w:spacing w:val="-5"/>
          <w:sz w:val="28"/>
          <w:szCs w:val="28"/>
        </w:rPr>
        <w:t> </w:t>
      </w:r>
      <w:r>
        <w:rPr>
          <w:rFonts w:ascii="宋体" w:hAnsi="宋体" w:cs="宋体" w:eastAsia="宋体" w:hint="default"/>
          <w:b/>
          <w:bCs/>
          <w:sz w:val="28"/>
          <w:szCs w:val="28"/>
        </w:rPr>
        <w:t>融资事项不确定性风险。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公司已履行审批程序，将发行公司债和超短期融资券。受相关行业政策、</w:t>
      </w:r>
      <w:r>
        <w:rPr>
          <w:rFonts w:ascii="宋体" w:hAnsi="宋体" w:cs="宋体" w:eastAsia="宋体" w:hint="default"/>
          <w:sz w:val="28"/>
          <w:szCs w:val="28"/>
        </w:rPr>
      </w:r>
    </w:p>
    <w:p>
      <w:pPr>
        <w:spacing w:line="398" w:lineRule="auto" w:before="0"/>
        <w:ind w:left="154" w:right="24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利率波动、募投项目等的影响，最终的发行规模、发行价格、债券期限、债券</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利率等存在不确定性。债券发行后，募投项目进程</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收益能否达到预期存在不确</w:t>
      </w:r>
      <w:r>
        <w:rPr>
          <w:rFonts w:ascii="宋体" w:hAnsi="宋体" w:cs="宋体" w:eastAsia="宋体" w:hint="default"/>
          <w:b/>
          <w:bCs/>
          <w:spacing w:val="1"/>
          <w:w w:val="99"/>
          <w:sz w:val="28"/>
          <w:szCs w:val="28"/>
        </w:rPr>
        <w:t> </w:t>
      </w:r>
      <w:r>
        <w:rPr>
          <w:rFonts w:ascii="宋体" w:hAnsi="宋体" w:cs="宋体" w:eastAsia="宋体" w:hint="default"/>
          <w:b/>
          <w:bCs/>
          <w:sz w:val="28"/>
          <w:szCs w:val="28"/>
        </w:rPr>
        <w:t>定性，公司未来可能面临偿债压力。</w:t>
      </w:r>
      <w:r>
        <w:rPr>
          <w:rFonts w:ascii="宋体" w:hAnsi="宋体" w:cs="宋体" w:eastAsia="宋体" w:hint="default"/>
          <w:sz w:val="28"/>
          <w:szCs w:val="28"/>
        </w:rPr>
      </w:r>
    </w:p>
    <w:p>
      <w:pPr>
        <w:spacing w:before="171"/>
        <w:ind w:left="715" w:right="0"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公司经本次董事会审议通过的利润分配预案为</w:t>
      </w:r>
      <w:r>
        <w:rPr>
          <w:rFonts w:ascii="宋体" w:hAnsi="宋体" w:cs="宋体" w:eastAsia="宋体" w:hint="default"/>
          <w:b/>
          <w:bCs/>
          <w:spacing w:val="-123"/>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1,017</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698,410</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股为基数，</w:t>
      </w:r>
      <w:r>
        <w:rPr>
          <w:rFonts w:ascii="宋体" w:hAnsi="宋体" w:cs="宋体" w:eastAsia="宋体" w:hint="default"/>
          <w:sz w:val="28"/>
          <w:szCs w:val="28"/>
        </w:rPr>
      </w:r>
    </w:p>
    <w:p>
      <w:pPr>
        <w:spacing w:line="386" w:lineRule="auto" w:before="236"/>
        <w:ind w:left="154" w:right="253" w:hanging="1"/>
        <w:jc w:val="both"/>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6"/>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6"/>
          <w:w w:val="99"/>
          <w:sz w:val="28"/>
          <w:szCs w:val="28"/>
        </w:rPr>
        <w:t> </w:t>
      </w:r>
      <w:r>
        <w:rPr>
          <w:rFonts w:ascii="Times New Roman" w:hAnsi="Times New Roman" w:cs="Times New Roman" w:eastAsia="Times New Roman" w:hint="default"/>
          <w:b/>
          <w:bCs/>
          <w:w w:val="99"/>
          <w:sz w:val="28"/>
          <w:szCs w:val="28"/>
        </w:rPr>
        <w:t>0.15</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2"/>
          <w:w w:val="99"/>
          <w:sz w:val="28"/>
          <w:szCs w:val="28"/>
        </w:rPr>
        <w:t>元（含税），送红股</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2"/>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pgSz w:w="11910" w:h="16840"/>
          <w:pgMar w:header="747" w:footer="982" w:top="1060" w:bottom="1180" w:left="980" w:right="8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2784" w:right="278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left="154"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8"/>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8"/>
              </w:rPr>
              <w:t> </w:t>
            </w:r>
            <w:r>
              <w:rPr/>
              <w:t>公司业务概要</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185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82" w:top="1060" w:bottom="1180" w:left="980" w:right="980"/>
        </w:sectPr>
      </w:pPr>
    </w:p>
    <w:p>
      <w:pPr>
        <w:spacing w:before="946"/>
        <w:ind w:left="2784" w:right="278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5"/>
        <w:gridCol w:w="598"/>
        <w:gridCol w:w="5435"/>
      </w:tblGrid>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浙江华媒控股股份有限公司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杭报集团</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杭报集团有限公司、杭报集团公司</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杭报传媒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杭州日报传媒有限公司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每日传媒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都快控股</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杭州网络传媒、杭州网</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杭州网络传媒有限公司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萧报传媒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萧山日报传媒有限公司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富报传媒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杭州富阳日报传媒有限公司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晨报传媒、余杭晨报</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每日送、每日送电子商务</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杭州日报报业集团每日送电子商务有限公司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盛元印务</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杭州日报报业集团盛元印务有限公司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风盛公司、风盛股份</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都市周报传媒、周报传媒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杭州都市周报传媒有限公司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久一点吧</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杭州都快交通久一点吧传媒有限公司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快房网</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杭州快房传媒有限公司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快点传播、上海快点</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华媒投资</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华创全媒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华媒传播</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中教未来、中教国际</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中教未来国际教育科技（北京）有限公司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都快教育</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杭州都市快报教育文化创意有限公司</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10"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1"/>
        <w:gridCol w:w="2965"/>
        <w:gridCol w:w="2144"/>
        <w:gridCol w:w="2188"/>
      </w:tblGrid>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13" w:space="0" w:color="D3D3D3"/>
              <w:bottom w:val="single" w:sz="4" w:space="0" w:color="000000"/>
              <w:right w:val="single" w:sz="13" w:space="0" w:color="D3D3D3"/>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华媒控股</w:t>
            </w:r>
          </w:p>
        </w:tc>
        <w:tc>
          <w:tcPr>
            <w:tcW w:w="2144" w:type="dxa"/>
            <w:tcBorders>
              <w:top w:val="single" w:sz="4" w:space="0" w:color="000000"/>
              <w:left w:val="single" w:sz="9" w:space="0" w:color="C7EDCC"/>
              <w:bottom w:val="single" w:sz="4" w:space="0" w:color="000000"/>
              <w:right w:val="single" w:sz="4" w:space="0" w:color="000000"/>
            </w:tcBorders>
            <w:shd w:val="clear" w:color="auto" w:fill="D3D3D3"/>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000607</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浙江华媒控股股份有限公司</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华媒控股</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Zhejiang Huamei Holding CO.,</w:t>
            </w:r>
            <w:r>
              <w:rPr>
                <w:rFonts w:ascii="Times New Roman"/>
                <w:spacing w:val="-20"/>
                <w:sz w:val="18"/>
              </w:rPr>
              <w:t> </w:t>
            </w:r>
            <w:r>
              <w:rPr>
                <w:rFonts w:ascii="Times New Roman"/>
                <w:spacing w:val="-5"/>
                <w:sz w:val="18"/>
              </w:rPr>
              <w:t>LTD.</w:t>
            </w:r>
            <w:r>
              <w:rPr>
                <w:rFonts w:ascii="Times New Roman"/>
                <w:sz w:val="18"/>
              </w:rPr>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89"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HUAMEI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HOLDING</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董悦</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杭州市下城区体育场路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310041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杭州市下城区体育场路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310041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http://www.000607.cn/</w:t>
              </w:r>
            </w:hyperlink>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ir000607@000607.cn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张江瑾</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杭州市下城区体育场路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杭州市下城区体育场路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0571-85098807</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0571-85098807</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0571-85155005-8807</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0571-85155005-8807</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ir000607@000607.cn</w:t>
              </w:r>
            </w:hyperlink>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ir000607@000607.cn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20282349-4</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除公司重组后收购的传媒经营类业务外，新增教育培训为主营业务之一。</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1"/>
        <w:gridCol w:w="6917"/>
      </w:tblGrid>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号楼中海地产广场西塔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徐殷鹏、叶凌超</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348" w:lineRule="auto" w:before="116"/>
        <w:ind w:right="81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追溯调整或重述原因 同一控制下企业合并</w:t>
      </w:r>
    </w:p>
    <w:tbl>
      <w:tblPr>
        <w:tblW w:w="0" w:type="auto"/>
        <w:jc w:val="left"/>
        <w:tblInd w:w="160" w:type="dxa"/>
        <w:tblLayout w:type="fixed"/>
        <w:tblCellMar>
          <w:top w:w="0" w:type="dxa"/>
          <w:left w:w="0" w:type="dxa"/>
          <w:bottom w:w="0" w:type="dxa"/>
          <w:right w:w="0" w:type="dxa"/>
        </w:tblCellMar>
        <w:tblLook w:val="01E0"/>
      </w:tblPr>
      <w:tblGrid>
        <w:gridCol w:w="2024"/>
        <w:gridCol w:w="1328"/>
        <w:gridCol w:w="1315"/>
        <w:gridCol w:w="1316"/>
        <w:gridCol w:w="1039"/>
        <w:gridCol w:w="1315"/>
        <w:gridCol w:w="1316"/>
      </w:tblGrid>
      <w:tr>
        <w:trPr>
          <w:trHeight w:val="161" w:hRule="exact"/>
        </w:trPr>
        <w:tc>
          <w:tcPr>
            <w:tcW w:w="2024" w:type="dxa"/>
            <w:vMerge w:val="restart"/>
            <w:tcBorders>
              <w:top w:val="single" w:sz="4" w:space="0" w:color="000000"/>
              <w:left w:val="single" w:sz="4" w:space="0" w:color="000000"/>
              <w:right w:val="single" w:sz="4" w:space="0" w:color="000000"/>
            </w:tcBorders>
            <w:shd w:val="clear" w:color="auto" w:fill="D3D3D3"/>
          </w:tcPr>
          <w:p>
            <w:pPr/>
          </w:p>
        </w:tc>
        <w:tc>
          <w:tcPr>
            <w:tcW w:w="1328" w:type="dxa"/>
            <w:vMerge w:val="restart"/>
            <w:tcBorders>
              <w:top w:val="single" w:sz="4" w:space="0" w:color="000000"/>
              <w:left w:val="single" w:sz="4" w:space="0" w:color="000000"/>
              <w:right w:val="single" w:sz="4" w:space="0" w:color="000000"/>
            </w:tcBorders>
            <w:shd w:val="clear" w:color="auto" w:fill="D3D3D3"/>
          </w:tcPr>
          <w:p>
            <w:pPr/>
          </w:p>
        </w:tc>
        <w:tc>
          <w:tcPr>
            <w:tcW w:w="2632"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039"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33" w:right="65"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632"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2024" w:type="dxa"/>
            <w:vMerge/>
            <w:tcBorders>
              <w:left w:val="single" w:sz="4" w:space="0" w:color="000000"/>
              <w:bottom w:val="nil" w:sz="6" w:space="0" w:color="auto"/>
              <w:right w:val="single" w:sz="4" w:space="0" w:color="000000"/>
            </w:tcBorders>
            <w:shd w:val="clear" w:color="auto" w:fill="D3D3D3"/>
          </w:tcPr>
          <w:p>
            <w:pPr/>
          </w:p>
        </w:tc>
        <w:tc>
          <w:tcPr>
            <w:tcW w:w="1328" w:type="dxa"/>
            <w:vMerge/>
            <w:tcBorders>
              <w:left w:val="single" w:sz="4" w:space="0" w:color="000000"/>
              <w:bottom w:val="nil" w:sz="6" w:space="0" w:color="auto"/>
              <w:right w:val="single" w:sz="4" w:space="0" w:color="000000"/>
            </w:tcBorders>
            <w:shd w:val="clear" w:color="auto" w:fill="D3D3D3"/>
          </w:tcPr>
          <w:p>
            <w:pPr/>
          </w:p>
        </w:tc>
        <w:tc>
          <w:tcPr>
            <w:tcW w:w="263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39" w:type="dxa"/>
            <w:vMerge/>
            <w:tcBorders>
              <w:left w:val="single" w:sz="4" w:space="0" w:color="000000"/>
              <w:right w:val="single" w:sz="4" w:space="0" w:color="000000"/>
            </w:tcBorders>
            <w:shd w:val="clear" w:color="auto" w:fill="D3D3D3"/>
          </w:tcPr>
          <w:p>
            <w:pPr/>
          </w:p>
        </w:tc>
        <w:tc>
          <w:tcPr>
            <w:tcW w:w="263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0" w:hRule="exact"/>
        </w:trPr>
        <w:tc>
          <w:tcPr>
            <w:tcW w:w="2024" w:type="dxa"/>
            <w:vMerge w:val="restart"/>
            <w:tcBorders>
              <w:top w:val="nil" w:sz="6" w:space="0" w:color="auto"/>
              <w:left w:val="single" w:sz="4" w:space="0" w:color="000000"/>
              <w:right w:val="single" w:sz="4" w:space="0" w:color="000000"/>
            </w:tcBorders>
            <w:shd w:val="clear" w:color="auto" w:fill="D3D3D3"/>
          </w:tcPr>
          <w:p>
            <w:pPr/>
          </w:p>
        </w:tc>
        <w:tc>
          <w:tcPr>
            <w:tcW w:w="13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32" w:type="dxa"/>
            <w:gridSpan w:val="2"/>
            <w:vMerge/>
            <w:tcBorders>
              <w:left w:val="single" w:sz="4" w:space="0" w:color="000000"/>
              <w:bottom w:val="nil" w:sz="6" w:space="0" w:color="auto"/>
              <w:right w:val="single" w:sz="4" w:space="0" w:color="000000"/>
            </w:tcBorders>
            <w:shd w:val="clear" w:color="auto" w:fill="D3D3D3"/>
          </w:tcPr>
          <w:p>
            <w:pPr/>
          </w:p>
        </w:tc>
        <w:tc>
          <w:tcPr>
            <w:tcW w:w="1039" w:type="dxa"/>
            <w:vMerge/>
            <w:tcBorders>
              <w:left w:val="single" w:sz="4" w:space="0" w:color="000000"/>
              <w:right w:val="single" w:sz="4" w:space="0" w:color="000000"/>
            </w:tcBorders>
            <w:shd w:val="clear" w:color="auto" w:fill="D3D3D3"/>
          </w:tcPr>
          <w:p>
            <w:pPr/>
          </w:p>
        </w:tc>
        <w:tc>
          <w:tcPr>
            <w:tcW w:w="2632" w:type="dxa"/>
            <w:gridSpan w:val="2"/>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024" w:type="dxa"/>
            <w:vMerge/>
            <w:tcBorders>
              <w:left w:val="single" w:sz="4" w:space="0" w:color="000000"/>
              <w:bottom w:val="nil" w:sz="6" w:space="0" w:color="auto"/>
              <w:right w:val="single" w:sz="4" w:space="0" w:color="000000"/>
            </w:tcBorders>
            <w:shd w:val="clear" w:color="auto" w:fill="D3D3D3"/>
          </w:tcPr>
          <w:p>
            <w:pPr/>
          </w:p>
        </w:tc>
        <w:tc>
          <w:tcPr>
            <w:tcW w:w="1328" w:type="dxa"/>
            <w:vMerge/>
            <w:tcBorders>
              <w:left w:val="single" w:sz="4" w:space="0" w:color="000000"/>
              <w:bottom w:val="nil" w:sz="6" w:space="0" w:color="auto"/>
              <w:right w:val="single" w:sz="4" w:space="0" w:color="000000"/>
            </w:tcBorders>
            <w:shd w:val="clear" w:color="auto" w:fill="D3D3D3"/>
          </w:tcPr>
          <w:p>
            <w:pPr/>
          </w:p>
        </w:tc>
        <w:tc>
          <w:tcPr>
            <w:tcW w:w="2632"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039" w:type="dxa"/>
            <w:vMerge/>
            <w:tcBorders>
              <w:left w:val="single" w:sz="4" w:space="0" w:color="000000"/>
              <w:bottom w:val="single" w:sz="4" w:space="0" w:color="000000"/>
              <w:right w:val="single" w:sz="4" w:space="0" w:color="000000"/>
            </w:tcBorders>
            <w:shd w:val="clear" w:color="auto" w:fill="D3D3D3"/>
          </w:tcPr>
          <w:p>
            <w:pPr/>
          </w:p>
        </w:tc>
        <w:tc>
          <w:tcPr>
            <w:tcW w:w="2632"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024"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1,832,268,001.47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1,824,331,401.15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1,832,144,605.06</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1,554,030,721.35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1,554,030,721.35</w:t>
            </w:r>
          </w:p>
        </w:tc>
      </w:tr>
      <w:tr>
        <w:trPr>
          <w:trHeight w:val="714" w:hRule="exact"/>
        </w:trPr>
        <w:tc>
          <w:tcPr>
            <w:tcW w:w="2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0"/>
              <w:jc w:val="left"/>
              <w:rPr>
                <w:rFonts w:ascii="宋体" w:hAnsi="宋体" w:cs="宋体" w:eastAsia="宋体" w:hint="default"/>
                <w:sz w:val="18"/>
                <w:szCs w:val="18"/>
              </w:rPr>
            </w:pPr>
            <w:r>
              <w:rPr>
                <w:rFonts w:ascii="宋体" w:hAnsi="宋体" w:cs="宋体" w:eastAsia="宋体" w:hint="default"/>
                <w:sz w:val="18"/>
                <w:szCs w:val="18"/>
              </w:rPr>
              <w:t>归属于上市公司股东的净 利润（元）</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146,809,823.33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223,063,987.26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225,115,501.44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-34.78%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283,509,623.51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283,509,623.51</w:t>
            </w:r>
          </w:p>
        </w:tc>
      </w:tr>
      <w:tr>
        <w:trPr>
          <w:trHeight w:val="1026" w:hRule="exact"/>
        </w:trPr>
        <w:tc>
          <w:tcPr>
            <w:tcW w:w="2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0"/>
              <w:jc w:val="left"/>
              <w:rPr>
                <w:rFonts w:ascii="宋体" w:hAnsi="宋体" w:cs="宋体" w:eastAsia="宋体" w:hint="default"/>
                <w:sz w:val="18"/>
                <w:szCs w:val="18"/>
              </w:rPr>
            </w:pPr>
            <w:r>
              <w:rPr>
                <w:rFonts w:ascii="宋体" w:hAnsi="宋体" w:cs="宋体" w:eastAsia="宋体" w:hint="default"/>
                <w:sz w:val="18"/>
                <w:szCs w:val="18"/>
              </w:rPr>
              <w:t>归属于上市公司股东的扣 除非经常性损益的净利润</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80,289,597.66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218,050,779.08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218,050,779.08</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-63.18%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199,843,469.50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199,843,469.50</w:t>
            </w:r>
          </w:p>
        </w:tc>
      </w:tr>
      <w:tr>
        <w:trPr>
          <w:trHeight w:val="714" w:hRule="exact"/>
        </w:trPr>
        <w:tc>
          <w:tcPr>
            <w:tcW w:w="2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0"/>
              <w:jc w:val="left"/>
              <w:rPr>
                <w:rFonts w:ascii="宋体" w:hAnsi="宋体" w:cs="宋体" w:eastAsia="宋体" w:hint="default"/>
                <w:sz w:val="18"/>
                <w:szCs w:val="18"/>
              </w:rPr>
            </w:pPr>
            <w:r>
              <w:rPr>
                <w:rFonts w:ascii="宋体" w:hAnsi="宋体" w:cs="宋体" w:eastAsia="宋体" w:hint="default"/>
                <w:sz w:val="18"/>
                <w:szCs w:val="18"/>
              </w:rPr>
              <w:t>经营活动产生的现金流量 净额（元）</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185,245,508.64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289,680,200.18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289,956,687.05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-36.11%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91,970,493.50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91,970,493.50</w:t>
            </w: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0.280</w:t>
            </w: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0.280</w:t>
            </w: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13.60%</w:t>
            </w:r>
          </w:p>
        </w:tc>
        <w:tc>
          <w:tcPr>
            <w:tcW w:w="1039" w:type="dxa"/>
            <w:tcBorders>
              <w:top w:val="single" w:sz="4" w:space="0" w:color="000000"/>
              <w:left w:val="single" w:sz="4" w:space="0" w:color="000000"/>
              <w:bottom w:val="single" w:sz="12" w:space="0" w:color="D3D3D3"/>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20.20%</w:t>
            </w: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3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0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65"/>
              <w:jc w:val="right"/>
              <w:rPr>
                <w:rFonts w:ascii="宋体" w:hAnsi="宋体" w:cs="宋体" w:eastAsia="宋体" w:hint="default"/>
                <w:sz w:val="18"/>
                <w:szCs w:val="18"/>
              </w:rPr>
            </w:pPr>
            <w:r>
              <w:rPr>
                <w:rFonts w:ascii="宋体" w:hAnsi="宋体" w:cs="宋体" w:eastAsia="宋体" w:hint="default"/>
                <w:sz w:val="18"/>
                <w:szCs w:val="18"/>
              </w:rPr>
              <w:t>本年末比上</w:t>
            </w:r>
          </w:p>
        </w:tc>
        <w:tc>
          <w:tcPr>
            <w:tcW w:w="263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47"/>
        <w:gridCol w:w="1316"/>
        <w:gridCol w:w="1315"/>
        <w:gridCol w:w="1316"/>
        <w:gridCol w:w="1039"/>
        <w:gridCol w:w="1315"/>
        <w:gridCol w:w="1316"/>
      </w:tblGrid>
      <w:tr>
        <w:trPr>
          <w:trHeight w:val="362" w:hRule="exact"/>
        </w:trPr>
        <w:tc>
          <w:tcPr>
            <w:tcW w:w="204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16" w:type="dxa"/>
            <w:tcBorders>
              <w:top w:val="single" w:sz="4" w:space="0" w:color="000000"/>
              <w:left w:val="single" w:sz="4" w:space="0" w:color="000000"/>
              <w:bottom w:val="nil" w:sz="6" w:space="0" w:color="auto"/>
              <w:right w:val="single" w:sz="4" w:space="0" w:color="000000"/>
            </w:tcBorders>
            <w:shd w:val="clear" w:color="auto" w:fill="D3D3D3"/>
          </w:tcPr>
          <w:p>
            <w:pPr/>
          </w:p>
        </w:tc>
        <w:tc>
          <w:tcPr>
            <w:tcW w:w="2632" w:type="dxa"/>
            <w:gridSpan w:val="2"/>
            <w:tcBorders>
              <w:top w:val="single" w:sz="4" w:space="0" w:color="000000"/>
              <w:left w:val="single" w:sz="4" w:space="0" w:color="000000"/>
              <w:bottom w:val="single" w:sz="4" w:space="0" w:color="000000"/>
              <w:right w:val="single" w:sz="4" w:space="0" w:color="000000"/>
            </w:tcBorders>
            <w:shd w:val="clear" w:color="auto" w:fill="D3D3D3"/>
          </w:tcPr>
          <w:p>
            <w:pPr/>
          </w:p>
        </w:tc>
        <w:tc>
          <w:tcPr>
            <w:tcW w:w="10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53" w:right="0"/>
              <w:jc w:val="left"/>
              <w:rPr>
                <w:rFonts w:ascii="宋体" w:hAnsi="宋体" w:cs="宋体" w:eastAsia="宋体" w:hint="default"/>
                <w:sz w:val="18"/>
                <w:szCs w:val="18"/>
              </w:rPr>
            </w:pPr>
            <w:r>
              <w:rPr>
                <w:rFonts w:ascii="宋体" w:hAnsi="宋体" w:cs="宋体" w:eastAsia="宋体" w:hint="default"/>
                <w:sz w:val="18"/>
                <w:szCs w:val="18"/>
              </w:rPr>
              <w:t>年末增减</w:t>
            </w:r>
          </w:p>
        </w:tc>
        <w:tc>
          <w:tcPr>
            <w:tcW w:w="2632" w:type="dxa"/>
            <w:gridSpan w:val="2"/>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04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0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3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3,200,604,342.28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2,963,035,603.24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2,969,856,120.79</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2,394,800,067.84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2,394,800,067.84</w:t>
            </w:r>
          </w:p>
        </w:tc>
      </w:tr>
      <w:tr>
        <w:trPr>
          <w:trHeight w:val="714" w:hRule="exact"/>
        </w:trPr>
        <w:tc>
          <w:tcPr>
            <w:tcW w:w="2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归属于上市公司股东的净 资产（元）</w:t>
            </w:r>
          </w:p>
        </w:tc>
        <w:tc>
          <w:tcPr>
            <w:tcW w:w="13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1,800,160,138.37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1,766,713,257.64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1,770,778,488.81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1,539,673,291.15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1,539,673,291.15</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1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341,474,099.38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422,601,678.36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440,750,046.94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627,442,176.79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-16,896,956.23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48,072,860.58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59,186,543.82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56,447,375.16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-18,150,863.86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45,625,573.34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6,789,439.16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46,025,449.02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-106,722,074.10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-61,029,193.82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-20,081,656.80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373,078,433.36</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5642"/>
        <w:gridCol w:w="1287"/>
        <w:gridCol w:w="1062"/>
        <w:gridCol w:w="1091"/>
        <w:gridCol w:w="568"/>
      </w:tblGrid>
      <w:tr>
        <w:trPr>
          <w:trHeight w:val="402" w:hRule="exact"/>
        </w:trPr>
        <w:tc>
          <w:tcPr>
            <w:tcW w:w="5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2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5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28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2,864,346.65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-1,937,010.31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57,553,364.92</w:t>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 w:right="44"/>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 额或定量享受的政府补助除外）</w:t>
            </w:r>
          </w:p>
        </w:tc>
        <w:tc>
          <w:tcPr>
            <w:tcW w:w="128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11,744,389.08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6,242,227.45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7,257,524.43</w:t>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 w:right="44"/>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 有被投资单位可辨认净资产公允价值产生的收益</w:t>
            </w:r>
          </w:p>
        </w:tc>
        <w:tc>
          <w:tcPr>
            <w:tcW w:w="1287" w:type="dxa"/>
            <w:tcBorders>
              <w:top w:val="single" w:sz="4" w:space="0" w:color="000000"/>
              <w:left w:val="single" w:sz="9" w:space="0" w:color="D3D3D3"/>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50,433.30</w:t>
            </w:r>
          </w:p>
        </w:tc>
        <w:tc>
          <w:tcPr>
            <w:tcW w:w="5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670"/>
        <w:gridCol w:w="1276"/>
        <w:gridCol w:w="1062"/>
        <w:gridCol w:w="1091"/>
        <w:gridCol w:w="568"/>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926,752.59</w:t>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3,150,291.09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128,376.44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2,704,130.37</w:t>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1,911,929.63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2,051,514.18</w:t>
            </w:r>
          </w:p>
        </w:tc>
        <w:tc>
          <w:tcPr>
            <w:tcW w:w="10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56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w:t>
            </w:r>
          </w:p>
        </w:tc>
        <w:tc>
          <w:tcPr>
            <w:tcW w:w="1276"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r>
      <w:tr>
        <w:trPr>
          <w:trHeight w:val="316" w:hRule="exact"/>
        </w:trPr>
        <w:tc>
          <w:tcPr>
            <w:tcW w:w="56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产、交易性金融负债产生的公允价值变动损益，以及处置交易性金融资</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144,458.11</w:t>
            </w:r>
          </w:p>
        </w:tc>
        <w:tc>
          <w:tcPr>
            <w:tcW w:w="1062" w:type="dxa"/>
            <w:vMerge/>
            <w:tcBorders>
              <w:left w:val="single" w:sz="4" w:space="0" w:color="000000"/>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15,826,763.68</w:t>
            </w:r>
          </w:p>
        </w:tc>
        <w:tc>
          <w:tcPr>
            <w:tcW w:w="568" w:type="dxa"/>
            <w:vMerge/>
            <w:tcBorders>
              <w:left w:val="single" w:sz="4" w:space="0" w:color="000000"/>
              <w:right w:val="single" w:sz="4" w:space="0" w:color="000000"/>
            </w:tcBorders>
          </w:tcPr>
          <w:p>
            <w:pPr/>
          </w:p>
        </w:tc>
      </w:tr>
      <w:tr>
        <w:trPr>
          <w:trHeight w:val="352" w:hRule="exact"/>
        </w:trPr>
        <w:tc>
          <w:tcPr>
            <w:tcW w:w="56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产、交易性金融负债和可供出售金融资产取得的投资收益</w:t>
            </w:r>
          </w:p>
        </w:tc>
        <w:tc>
          <w:tcPr>
            <w:tcW w:w="1276"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-2,005,986.35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-696,030.91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898,389.72</w:t>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49,714,019.43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2,254,456.25</w:t>
            </w:r>
          </w:p>
        </w:tc>
        <w:tc>
          <w:tcPr>
            <w:tcW w:w="10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222,851.41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69,455.84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74,920.88</w:t>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780,370.56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909,354.90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1,476,284.12</w:t>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66,520,225.67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7,064,722.36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83,666,154.01</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3"/>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34"/>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
        <w:jc w:val="center"/>
        <w:rPr>
          <w:b w:val="0"/>
          <w:bCs w:val="0"/>
        </w:rPr>
      </w:pPr>
      <w:bookmarkStart w:name="_TOC_250009" w:id="3"/>
      <w:r>
        <w:rPr/>
        <w:t>第三节</w:t>
      </w:r>
      <w:r>
        <w:rPr>
          <w:spacing w:val="-1"/>
        </w:rPr>
        <w:t> </w:t>
      </w:r>
      <w:r>
        <w:rPr/>
        <w:t>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25"/>
        <w:jc w:val="left"/>
        <w:rPr>
          <w:b w:val="0"/>
          <w:bCs w:val="0"/>
        </w:rPr>
      </w:pP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6751"/>
        <w:jc w:val="left"/>
      </w:pPr>
      <w:r>
        <w:rPr/>
        <w:t>公司是否需要遵守特殊行业的披露要求 否</w:t>
      </w:r>
    </w:p>
    <w:p>
      <w:pPr>
        <w:spacing w:line="468" w:lineRule="auto" w:before="103"/>
        <w:ind w:left="573" w:right="125" w:firstLine="0"/>
        <w:jc w:val="left"/>
        <w:rPr>
          <w:rFonts w:ascii="宋体" w:hAnsi="宋体" w:cs="宋体" w:eastAsia="宋体" w:hint="default"/>
          <w:sz w:val="18"/>
          <w:szCs w:val="18"/>
        </w:rPr>
      </w:pPr>
      <w:r>
        <w:rPr>
          <w:rFonts w:ascii="宋体" w:hAnsi="宋体" w:cs="宋体" w:eastAsia="宋体" w:hint="default"/>
          <w:b/>
          <w:bCs/>
          <w:sz w:val="18"/>
          <w:szCs w:val="18"/>
        </w:rPr>
        <w:t>（一）报告期内公司所从事的主要业务、主要产品及用途、经营模式、主要的业绩驱动因素</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、公司所从事的主要业务</w:t>
      </w:r>
      <w:r>
        <w:rPr>
          <w:rFonts w:ascii="宋体" w:hAnsi="宋体" w:cs="宋体" w:eastAsia="宋体" w:hint="default"/>
          <w:b/>
          <w:bCs/>
          <w:spacing w:val="1"/>
          <w:w w:val="99"/>
          <w:sz w:val="18"/>
          <w:szCs w:val="18"/>
        </w:rPr>
        <w:t> </w:t>
      </w:r>
      <w:r>
        <w:rPr>
          <w:rFonts w:ascii="宋体" w:hAnsi="宋体" w:cs="宋体" w:eastAsia="宋体" w:hint="default"/>
          <w:sz w:val="18"/>
          <w:szCs w:val="18"/>
        </w:rPr>
        <w:t>公司经营范围为：设计制作代理发布各类广告；新媒体技术开发；实业投资；会展服务和进出口业务经营。 报告期内，公司主要从事平面媒体、网络媒体、移动新媒体、户外媒体包括地铁媒体的广告承揽发布、企事业单位宣</w:t>
      </w:r>
    </w:p>
    <w:p>
      <w:pPr>
        <w:pStyle w:val="BodyText"/>
        <w:spacing w:line="477" w:lineRule="auto" w:before="61"/>
        <w:ind w:right="188"/>
        <w:jc w:val="both"/>
      </w:pPr>
      <w:r>
        <w:rPr>
          <w:spacing w:val="-2"/>
        </w:rPr>
        <w:t>传公关的全案策划和实施，各种会展和活动的策划承办；报刊印刷、包装和书籍印刷；报刊发行、同城轻物流配送业务；移</w:t>
      </w:r>
      <w:r>
        <w:rPr>
          <w:spacing w:val="-67"/>
        </w:rPr>
        <w:t> </w:t>
      </w:r>
      <w:r>
        <w:rPr>
          <w:spacing w:val="-67"/>
        </w:rPr>
      </w:r>
      <w:r>
        <w:rPr>
          <w:spacing w:val="-2"/>
        </w:rPr>
        <w:t>动互联网视频内容信息的采集制作和分销；覆盖多个省区与多个大专院校合作举办职业教育、成人教育、在线教育，以及幼</w:t>
      </w:r>
      <w:r>
        <w:rPr>
          <w:spacing w:val="-66"/>
        </w:rPr>
        <w:t> </w:t>
      </w:r>
      <w:r>
        <w:rPr>
          <w:spacing w:val="-66"/>
        </w:rPr>
      </w:r>
      <w:r>
        <w:rPr/>
        <w:t>儿教育、教育信息咨询服务和技能培训等。</w:t>
      </w:r>
    </w:p>
    <w:p>
      <w:pPr>
        <w:spacing w:line="451" w:lineRule="auto" w:before="54"/>
        <w:ind w:left="573" w:right="12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、公司的主要产品及用途</w:t>
      </w:r>
      <w:r>
        <w:rPr>
          <w:rFonts w:ascii="宋体" w:hAnsi="宋体" w:cs="宋体" w:eastAsia="宋体" w:hint="default"/>
          <w:b/>
          <w:bCs/>
          <w:spacing w:val="1"/>
          <w:w w:val="99"/>
          <w:sz w:val="18"/>
          <w:szCs w:val="18"/>
        </w:rPr>
        <w:t> </w:t>
      </w:r>
      <w:r>
        <w:rPr>
          <w:rFonts w:ascii="宋体" w:hAnsi="宋体" w:cs="宋体" w:eastAsia="宋体" w:hint="default"/>
          <w:sz w:val="18"/>
          <w:szCs w:val="18"/>
        </w:rPr>
        <w:t>报纸广告、网络广告、户外广告（含地铁站内、车厢和围挡广告）、电台广播等多种形式的广告。企事业单位根据自</w:t>
      </w:r>
    </w:p>
    <w:p>
      <w:pPr>
        <w:pStyle w:val="BodyText"/>
        <w:spacing w:line="477" w:lineRule="auto" w:before="74"/>
        <w:ind w:left="573" w:right="125" w:hanging="420"/>
        <w:jc w:val="left"/>
      </w:pPr>
      <w:r>
        <w:rPr/>
        <w:t>身宣传需要，可以购买公司各类广告服务用以达到扩大影响、增加销售等目的。 移动新媒体自建自营和代为维护。公司移动新媒体涵盖微信公众号、微博官方账号、手机</w:t>
      </w:r>
      <w:r>
        <w:rPr>
          <w:rFonts w:ascii="Times New Roman" w:hAnsi="Times New Roman" w:cs="Times New Roman" w:eastAsia="Times New Roman" w:hint="default"/>
        </w:rPr>
        <w:t>APP</w:t>
      </w:r>
      <w:r>
        <w:rPr/>
        <w:t>等。公司和所属子公司</w:t>
      </w:r>
    </w:p>
    <w:p>
      <w:pPr>
        <w:pStyle w:val="BodyText"/>
        <w:spacing w:line="477" w:lineRule="auto" w:before="21"/>
        <w:ind w:left="153" w:right="190"/>
        <w:jc w:val="both"/>
      </w:pPr>
      <w:r>
        <w:rPr>
          <w:spacing w:val="-2"/>
        </w:rPr>
        <w:t>为扩大媒体影响力建设了系列新媒体产品，既可以为公司自身的宣传和营销活动造势，也为其他企事业单位提供新媒体平台</w:t>
      </w:r>
      <w:r>
        <w:rPr>
          <w:spacing w:val="-64"/>
        </w:rPr>
        <w:t> </w:t>
      </w:r>
      <w:r>
        <w:rPr>
          <w:spacing w:val="-64"/>
        </w:rPr>
      </w:r>
      <w:r>
        <w:rPr/>
        <w:t>服务。</w:t>
      </w:r>
    </w:p>
    <w:p>
      <w:pPr>
        <w:pStyle w:val="BodyText"/>
        <w:spacing w:line="477" w:lineRule="auto" w:before="54"/>
        <w:ind w:left="573" w:right="83"/>
        <w:jc w:val="left"/>
      </w:pPr>
      <w:r>
        <w:rPr>
          <w:spacing w:val="-1"/>
        </w:rPr>
        <w:t>可供移动端发布的视频信息、彩信手机报等。用以提供给电信运营商，满足手机使用者对于文字和音视频信息的需求。</w:t>
      </w:r>
      <w:r>
        <w:rPr/>
        <w:t> 主办和承办的各种大型会展和营销活动。承接地方政府和有关部门委托的大型会展，全程负责场地租用、招商和参展</w:t>
      </w:r>
    </w:p>
    <w:p>
      <w:pPr>
        <w:pStyle w:val="BodyText"/>
        <w:spacing w:line="477" w:lineRule="auto" w:before="54"/>
        <w:ind w:left="573" w:right="125" w:hanging="420"/>
        <w:jc w:val="left"/>
      </w:pPr>
      <w:r>
        <w:rPr/>
        <w:t>厂商的宣传、参观或消费客户的组织和管理，服务于地方经济、兼顾社会效益和经济效益。 报刊印刷和商业包装印刷、报刊投递。为杭报集团出版的报纸杂志提供印刷和投递服务，承接机关企事业单位书报刊</w:t>
      </w:r>
    </w:p>
    <w:p>
      <w:pPr>
        <w:pStyle w:val="BodyText"/>
        <w:spacing w:line="477" w:lineRule="auto" w:before="54"/>
        <w:ind w:left="573" w:right="4351" w:hanging="420"/>
        <w:jc w:val="left"/>
      </w:pPr>
      <w:r>
        <w:rPr/>
        <w:t>和包装用品的印刷投递业务。 本市轻物流配送服务。为网络销售平台提供货物投送入户服务。</w:t>
      </w:r>
    </w:p>
    <w:p>
      <w:pPr>
        <w:pStyle w:val="BodyText"/>
        <w:spacing w:line="477" w:lineRule="auto" w:before="54"/>
        <w:ind w:left="153" w:right="186" w:firstLine="420"/>
        <w:jc w:val="both"/>
      </w:pPr>
      <w:r>
        <w:rPr/>
        <w:t>成人教育、职业教育、互联网在线教育、幼教、教育信息咨询服务和技能培训等。经教育部门批准，与大专院校合办</w:t>
      </w:r>
      <w:r>
        <w:rPr>
          <w:spacing w:val="1"/>
        </w:rPr>
        <w:t> </w:t>
      </w:r>
      <w:r>
        <w:rPr>
          <w:spacing w:val="-2"/>
        </w:rPr>
        <w:t>或参与管理、面向全国符合要求的生源招生，提供大专或大学培训教育服务。报告期内，公司通过投资幼教业务，收购集团</w:t>
      </w:r>
      <w:r>
        <w:rPr>
          <w:spacing w:val="-66"/>
        </w:rPr>
        <w:t> </w:t>
      </w:r>
      <w:r>
        <w:rPr>
          <w:spacing w:val="-66"/>
        </w:rPr>
      </w:r>
      <w:r>
        <w:rPr/>
        <w:t>教育类资产，进一步完善教育产业链。</w:t>
      </w:r>
    </w:p>
    <w:p>
      <w:pPr>
        <w:pStyle w:val="BodyText"/>
        <w:spacing w:line="451" w:lineRule="auto" w:before="54"/>
        <w:ind w:left="573" w:right="125"/>
        <w:jc w:val="left"/>
      </w:pPr>
      <w:r>
        <w:rPr>
          <w:rFonts w:ascii="Times New Roman" w:hAnsi="Times New Roman" w:cs="Times New Roman" w:eastAsia="Times New Roman" w:hint="default"/>
          <w:b/>
          <w:bCs/>
        </w:rPr>
        <w:t>3</w:t>
      </w:r>
      <w:r>
        <w:rPr>
          <w:rFonts w:ascii="宋体" w:hAnsi="宋体" w:cs="宋体" w:eastAsia="宋体" w:hint="default"/>
          <w:b/>
          <w:bCs/>
        </w:rPr>
        <w:t>、公司的经营模式</w:t>
      </w:r>
      <w:r>
        <w:rPr>
          <w:rFonts w:ascii="宋体" w:hAnsi="宋体" w:cs="宋体" w:eastAsia="宋体" w:hint="default"/>
          <w:b/>
          <w:bCs/>
          <w:w w:val="99"/>
        </w:rPr>
        <w:t> </w:t>
      </w:r>
      <w:r>
        <w:rPr/>
        <w:t>平面、网络和户外（含地铁站内、围挡）、电台广播广告的承揽、发布和中介代理；书报刊和包装印刷服务；书报刊</w:t>
      </w:r>
    </w:p>
    <w:p>
      <w:pPr>
        <w:spacing w:after="0" w:line="451"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8" w:lineRule="auto"/>
        <w:ind w:left="153" w:right="83"/>
        <w:jc w:val="left"/>
      </w:pPr>
      <w:r>
        <w:rPr>
          <w:spacing w:val="-4"/>
        </w:rPr>
        <w:t>和电商销售商品的自营、投递和配送；承办举办大型会展活动；自行开设并维护、代为维护其他企事业单位官方微信、微博、</w:t>
      </w:r>
      <w:r>
        <w:rPr>
          <w:spacing w:val="-44"/>
        </w:rPr>
        <w:t> </w:t>
      </w:r>
      <w:r>
        <w:rPr>
          <w:spacing w:val="-44"/>
        </w:rPr>
      </w:r>
      <w:r>
        <w:rPr/>
        <w:t>制作并维护</w:t>
      </w:r>
      <w:r>
        <w:rPr>
          <w:rFonts w:ascii="Times New Roman" w:hAnsi="Times New Roman" w:cs="Times New Roman" w:eastAsia="Times New Roman" w:hint="default"/>
        </w:rPr>
        <w:t>APP</w:t>
      </w:r>
      <w:r>
        <w:rPr/>
        <w:t>以自我营销或服务用户；采集和制作移动视频信息以供电信运营商发布；与高校联合举办职业教育、国际教 </w:t>
      </w:r>
      <w:r>
        <w:rPr>
          <w:spacing w:val="-2"/>
        </w:rPr>
        <w:t>育等合作办学项目，向国内外院校输出管理、教学、实训、就业等教育服务；独立提供教育培训；在线教育；举办和受托管</w:t>
      </w:r>
      <w:r>
        <w:rPr>
          <w:spacing w:val="-65"/>
        </w:rPr>
        <w:t> </w:t>
      </w:r>
      <w:r>
        <w:rPr>
          <w:spacing w:val="-65"/>
        </w:rPr>
      </w:r>
      <w:r>
        <w:rPr/>
        <w:t>理幼儿园、提供教育信息咨询服务和技能培训等。</w:t>
      </w:r>
    </w:p>
    <w:p>
      <w:pPr>
        <w:spacing w:line="477" w:lineRule="auto" w:before="61"/>
        <w:ind w:left="573" w:right="125" w:firstLine="0"/>
        <w:jc w:val="left"/>
        <w:rPr>
          <w:rFonts w:ascii="宋体" w:hAnsi="宋体" w:cs="宋体" w:eastAsia="宋体" w:hint="default"/>
          <w:sz w:val="18"/>
          <w:szCs w:val="18"/>
        </w:rPr>
      </w:pPr>
      <w:r>
        <w:rPr>
          <w:rFonts w:ascii="宋体" w:hAnsi="宋体" w:cs="宋体" w:eastAsia="宋体" w:hint="default"/>
          <w:b/>
          <w:bCs/>
          <w:sz w:val="18"/>
          <w:szCs w:val="18"/>
        </w:rPr>
        <w:t>（二）报告期内公司所属行业的发展阶段、周期性特点以及公司所处的行业地位</w:t>
      </w:r>
      <w:r>
        <w:rPr>
          <w:rFonts w:ascii="宋体" w:hAnsi="宋体" w:cs="宋体" w:eastAsia="宋体" w:hint="default"/>
          <w:b/>
          <w:bCs/>
          <w:spacing w:val="1"/>
          <w:w w:val="99"/>
          <w:sz w:val="18"/>
          <w:szCs w:val="18"/>
        </w:rPr>
        <w:t> </w:t>
      </w:r>
      <w:r>
        <w:rPr>
          <w:rFonts w:ascii="宋体" w:hAnsi="宋体" w:cs="宋体" w:eastAsia="宋体" w:hint="default"/>
          <w:sz w:val="18"/>
          <w:szCs w:val="18"/>
        </w:rPr>
        <w:t>根据国家工商总局广告司的统计数据，</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年全国广告经营额</w:t>
      </w:r>
      <w:r>
        <w:rPr>
          <w:rFonts w:ascii="Times New Roman" w:hAnsi="Times New Roman" w:cs="Times New Roman" w:eastAsia="Times New Roman" w:hint="default"/>
          <w:sz w:val="18"/>
          <w:szCs w:val="18"/>
        </w:rPr>
        <w:t>6,896.41</w:t>
      </w:r>
      <w:r>
        <w:rPr>
          <w:rFonts w:ascii="宋体" w:hAnsi="宋体" w:cs="宋体" w:eastAsia="宋体" w:hint="default"/>
          <w:sz w:val="18"/>
          <w:szCs w:val="18"/>
        </w:rPr>
        <w:t>亿元，同比增长</w:t>
      </w:r>
      <w:r>
        <w:rPr>
          <w:rFonts w:ascii="Times New Roman" w:hAnsi="Times New Roman" w:cs="Times New Roman" w:eastAsia="Times New Roman" w:hint="default"/>
          <w:sz w:val="18"/>
          <w:szCs w:val="18"/>
        </w:rPr>
        <w:t>6.3%</w:t>
      </w:r>
      <w:r>
        <w:rPr>
          <w:rFonts w:ascii="宋体" w:hAnsi="宋体" w:cs="宋体" w:eastAsia="宋体" w:hint="default"/>
          <w:sz w:val="18"/>
          <w:szCs w:val="18"/>
        </w:rPr>
        <w:t>，户均广告经营额</w:t>
      </w:r>
      <w:r>
        <w:rPr>
          <w:rFonts w:ascii="Times New Roman" w:hAnsi="Times New Roman" w:cs="Times New Roman" w:eastAsia="Times New Roman" w:hint="default"/>
          <w:sz w:val="18"/>
          <w:szCs w:val="18"/>
        </w:rPr>
        <w:t>61.41</w:t>
      </w:r>
      <w:r>
        <w:rPr>
          <w:rFonts w:ascii="宋体" w:hAnsi="宋体" w:cs="宋体" w:eastAsia="宋体" w:hint="default"/>
          <w:sz w:val="18"/>
          <w:szCs w:val="18"/>
        </w:rPr>
        <w:t>万</w:t>
      </w:r>
    </w:p>
    <w:p>
      <w:pPr>
        <w:pStyle w:val="BodyText"/>
        <w:spacing w:line="451" w:lineRule="auto" w:before="21"/>
        <w:ind w:left="153" w:right="125"/>
        <w:jc w:val="left"/>
      </w:pPr>
      <w:r>
        <w:rPr/>
        <w:t>元。从互联网广告分类来看，互联网服务类广告占比</w:t>
      </w:r>
      <w:r>
        <w:rPr>
          <w:rFonts w:ascii="Times New Roman" w:hAnsi="Times New Roman" w:cs="Times New Roman" w:eastAsia="Times New Roman" w:hint="default"/>
        </w:rPr>
        <w:t>93.67%</w:t>
      </w:r>
      <w:r>
        <w:rPr/>
        <w:t>，其中电子商务广告</w:t>
      </w:r>
      <w:r>
        <w:rPr>
          <w:rFonts w:ascii="Times New Roman" w:hAnsi="Times New Roman" w:cs="Times New Roman" w:eastAsia="Times New Roman" w:hint="default"/>
        </w:rPr>
        <w:t>302</w:t>
      </w:r>
      <w:r>
        <w:rPr/>
        <w:t>万条次，其他互联网服务广告</w:t>
      </w:r>
      <w:r>
        <w:rPr>
          <w:rFonts w:ascii="Times New Roman" w:hAnsi="Times New Roman" w:cs="Times New Roman" w:eastAsia="Times New Roman" w:hint="default"/>
        </w:rPr>
        <w:t>646.95</w:t>
      </w:r>
      <w:r>
        <w:rPr/>
        <w:t>万</w:t>
      </w:r>
      <w:r>
        <w:rPr>
          <w:spacing w:val="-62"/>
        </w:rPr>
        <w:t> </w:t>
      </w:r>
      <w:r>
        <w:rPr>
          <w:spacing w:val="-4"/>
        </w:rPr>
        <w:t>条次。</w:t>
      </w:r>
      <w:r>
        <w:rPr>
          <w:rFonts w:ascii="Times New Roman" w:hAnsi="Times New Roman" w:cs="Times New Roman" w:eastAsia="Times New Roman" w:hint="default"/>
          <w:spacing w:val="-4"/>
        </w:rPr>
        <w:t>CTR</w:t>
      </w:r>
      <w:r>
        <w:rPr>
          <w:spacing w:val="-4"/>
        </w:rPr>
        <w:t>媒介智讯显示，</w:t>
      </w:r>
      <w:r>
        <w:rPr>
          <w:rFonts w:ascii="Times New Roman" w:hAnsi="Times New Roman" w:cs="Times New Roman" w:eastAsia="Times New Roman" w:hint="default"/>
          <w:spacing w:val="-4"/>
        </w:rPr>
        <w:t>2017</w:t>
      </w:r>
      <w:r>
        <w:rPr>
          <w:spacing w:val="-4"/>
        </w:rPr>
        <w:t>年，中国广告市场在两年连降之后增长</w:t>
      </w:r>
      <w:r>
        <w:rPr>
          <w:rFonts w:ascii="Times New Roman" w:hAnsi="Times New Roman" w:cs="Times New Roman" w:eastAsia="Times New Roman" w:hint="default"/>
          <w:spacing w:val="-4"/>
        </w:rPr>
        <w:t>4.3%</w:t>
      </w:r>
      <w:r>
        <w:rPr>
          <w:spacing w:val="-4"/>
        </w:rPr>
        <w:t>，这主要归因于传统媒体广告的止跌回升。其中，</w:t>
      </w:r>
      <w:r>
        <w:rPr>
          <w:spacing w:val="-32"/>
        </w:rPr>
        <w:t> </w:t>
      </w:r>
      <w:r>
        <w:rPr>
          <w:spacing w:val="-32"/>
        </w:rPr>
      </w:r>
      <w:r>
        <w:rPr/>
        <w:t>传统广告刊例花费同比增长</w:t>
      </w:r>
      <w:r>
        <w:rPr>
          <w:rFonts w:ascii="Times New Roman" w:hAnsi="Times New Roman" w:cs="Times New Roman" w:eastAsia="Times New Roman" w:hint="default"/>
        </w:rPr>
        <w:t>0.2%</w:t>
      </w:r>
      <w:r>
        <w:rPr/>
        <w:t>。互联网广告刊例收入增长</w:t>
      </w:r>
      <w:r>
        <w:rPr>
          <w:rFonts w:ascii="Times New Roman" w:hAnsi="Times New Roman" w:cs="Times New Roman" w:eastAsia="Times New Roman" w:hint="default"/>
        </w:rPr>
        <w:t>12.4%</w:t>
      </w:r>
      <w:r>
        <w:rPr/>
        <w:t>。</w:t>
      </w:r>
    </w:p>
    <w:p>
      <w:pPr>
        <w:pStyle w:val="BodyText"/>
        <w:spacing w:line="477" w:lineRule="auto" w:before="43"/>
        <w:ind w:left="153" w:right="186" w:firstLine="420"/>
        <w:jc w:val="both"/>
      </w:pPr>
      <w:r>
        <w:rPr/>
        <w:t>报告期内，受到区域新媒体分流和房产相关行业发展的影响，公司所属平面媒体广告业务略有下滑。各公司依靠品牌</w:t>
      </w:r>
      <w:r>
        <w:rPr>
          <w:spacing w:val="1"/>
        </w:rPr>
        <w:t> </w:t>
      </w:r>
      <w:r>
        <w:rPr>
          <w:spacing w:val="-2"/>
        </w:rPr>
        <w:t>效应，持续推动广告媒介资源和广告生产要素的有效整合，以平台思维运作媒体，实现版面广告承揽、互联网和移动互联网</w:t>
      </w:r>
      <w:r>
        <w:rPr>
          <w:spacing w:val="-66"/>
        </w:rPr>
        <w:t> </w:t>
      </w:r>
      <w:r>
        <w:rPr>
          <w:spacing w:val="-66"/>
        </w:rPr>
      </w:r>
      <w:r>
        <w:rPr>
          <w:spacing w:val="-2"/>
        </w:rPr>
        <w:t>协同推广、活动策划和会展营销的综合互动，广告和策划业务稳扎稳打。杭州日报继续稳居全省市域党报龙头、全国省会城</w:t>
      </w:r>
      <w:r>
        <w:rPr>
          <w:spacing w:val="-66"/>
        </w:rPr>
        <w:t> </w:t>
      </w:r>
      <w:r>
        <w:rPr>
          <w:spacing w:val="-66"/>
        </w:rPr>
      </w:r>
      <w:r>
        <w:rPr/>
        <w:t>市和副省级城市党报前列地位。都市快报的市场影响力、市场占有份额等方面，继续名列全省主流媒体前茅。</w:t>
      </w:r>
    </w:p>
    <w:p>
      <w:pPr>
        <w:pStyle w:val="BodyText"/>
        <w:spacing w:line="456" w:lineRule="auto" w:before="54"/>
        <w:ind w:left="153" w:right="139" w:firstLine="420"/>
        <w:jc w:val="both"/>
      </w:pPr>
      <w:r>
        <w:rPr/>
        <w:t>根据中国互联网络信息中心（</w:t>
      </w:r>
      <w:r>
        <w:rPr>
          <w:rFonts w:ascii="Times New Roman" w:hAnsi="Times New Roman" w:cs="Times New Roman" w:eastAsia="Times New Roman" w:hint="default"/>
        </w:rPr>
        <w:t>CNNIC</w:t>
      </w:r>
      <w:r>
        <w:rPr/>
        <w:t>）发布的第</w:t>
      </w:r>
      <w:r>
        <w:rPr>
          <w:rFonts w:ascii="Times New Roman" w:hAnsi="Times New Roman" w:cs="Times New Roman" w:eastAsia="Times New Roman" w:hint="default"/>
        </w:rPr>
        <w:t>41</w:t>
      </w:r>
      <w:r>
        <w:rPr/>
        <w:t>次《中国互联网络发展状况统计报告》，</w:t>
      </w:r>
      <w:r>
        <w:rPr>
          <w:rFonts w:ascii="Times New Roman" w:hAnsi="Times New Roman" w:cs="Times New Roman" w:eastAsia="Times New Roman" w:hint="default"/>
        </w:rPr>
        <w:t>2017</w:t>
      </w:r>
      <w:r>
        <w:rPr/>
        <w:t>年，我国网络广告市 场规模为</w:t>
      </w:r>
      <w:r>
        <w:rPr>
          <w:rFonts w:ascii="Times New Roman" w:hAnsi="Times New Roman" w:cs="Times New Roman" w:eastAsia="Times New Roman" w:hint="default"/>
        </w:rPr>
        <w:t>2,957</w:t>
      </w:r>
      <w:r>
        <w:rPr/>
        <w:t>亿元，同比增长</w:t>
      </w:r>
      <w:r>
        <w:rPr>
          <w:rFonts w:ascii="Times New Roman" w:hAnsi="Times New Roman" w:cs="Times New Roman" w:eastAsia="Times New Roman" w:hint="default"/>
        </w:rPr>
        <w:t>28.8%</w:t>
      </w:r>
      <w:r>
        <w:rPr/>
        <w:t>，增速较上年有所提高。</w:t>
      </w:r>
      <w:r>
        <w:rPr>
          <w:rFonts w:ascii="Times New Roman" w:hAnsi="Times New Roman" w:cs="Times New Roman" w:eastAsia="Times New Roman" w:hint="default"/>
        </w:rPr>
        <w:t>2017</w:t>
      </w:r>
      <w:r>
        <w:rPr/>
        <w:t>年，中国网络广告市场进一步成熟，市场结构趋于稳定， 广告主的投放预算在以更快的速度向移动端转移，主流互联网广告运营商广告收入结构呈现移动端压倒</w:t>
      </w:r>
      <w:r>
        <w:rPr>
          <w:rFonts w:ascii="Times New Roman" w:hAnsi="Times New Roman" w:cs="Times New Roman" w:eastAsia="Times New Roman" w:hint="default"/>
        </w:rPr>
        <w:t>PC</w:t>
      </w:r>
      <w:r>
        <w:rPr/>
        <w:t>端的态势。</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w:t>
      </w:r>
      <w:r>
        <w:rPr>
          <w:spacing w:val="-2"/>
        </w:rPr>
        <w:t>日，国家网信办正式颁布《互联网新闻信息服务管理规定》，自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日起施行。新闻服务范围扩展到新媒体领</w:t>
      </w:r>
      <w:r>
        <w:rPr>
          <w:spacing w:val="-58"/>
        </w:rPr>
        <w:t> </w:t>
      </w:r>
      <w:r>
        <w:rPr>
          <w:spacing w:val="-58"/>
        </w:rPr>
      </w:r>
      <w:r>
        <w:rPr>
          <w:spacing w:val="-2"/>
        </w:rPr>
        <w:t>域，新媒体全面纳入监管范围。对从事相关时政类新闻自媒体将产生实质性影响。该规定的出台将有利于本公司进一步发展</w:t>
      </w:r>
      <w:r>
        <w:rPr>
          <w:spacing w:val="-66"/>
        </w:rPr>
        <w:t> </w:t>
      </w:r>
      <w:r>
        <w:rPr>
          <w:spacing w:val="-66"/>
        </w:rPr>
      </w:r>
      <w:r>
        <w:rPr/>
        <w:t>新媒体业务。</w:t>
      </w:r>
    </w:p>
    <w:p>
      <w:pPr>
        <w:pStyle w:val="BodyText"/>
        <w:spacing w:line="451" w:lineRule="auto" w:before="70"/>
        <w:ind w:left="153" w:right="83" w:firstLine="420"/>
        <w:jc w:val="left"/>
      </w:pPr>
      <w:r>
        <w:rPr>
          <w:spacing w:val="-6"/>
        </w:rPr>
        <w:t>报告期内，公司顺应互联网发展趋势，持续推动新媒体业务的转型发展。根据新榜发布的《</w:t>
      </w:r>
      <w:r>
        <w:rPr>
          <w:rFonts w:ascii="Times New Roman" w:hAnsi="Times New Roman" w:cs="Times New Roman" w:eastAsia="Times New Roman" w:hint="default"/>
          <w:spacing w:val="-6"/>
        </w:rPr>
        <w:t>2017</w:t>
      </w:r>
      <w:r>
        <w:rPr>
          <w:spacing w:val="-6"/>
        </w:rPr>
        <w:t>年中国微信</w:t>
      </w:r>
      <w:r>
        <w:rPr>
          <w:rFonts w:ascii="Times New Roman" w:hAnsi="Times New Roman" w:cs="Times New Roman" w:eastAsia="Times New Roman" w:hint="default"/>
          <w:spacing w:val="-6"/>
        </w:rPr>
        <w:t>500</w:t>
      </w:r>
      <w:r>
        <w:rPr>
          <w:spacing w:val="-6"/>
        </w:rPr>
        <w:t>强年榜》，</w:t>
      </w:r>
      <w:r>
        <w:rPr/>
        <w:t> </w:t>
      </w:r>
      <w:r>
        <w:rPr>
          <w:spacing w:val="-2"/>
        </w:rPr>
        <w:t>杭州日报和都市快报公众号均在</w:t>
      </w:r>
      <w:r>
        <w:rPr>
          <w:rFonts w:ascii="Times New Roman" w:hAnsi="Times New Roman" w:cs="Times New Roman" w:eastAsia="Times New Roman" w:hint="default"/>
          <w:spacing w:val="-2"/>
        </w:rPr>
        <w:t>500</w:t>
      </w:r>
      <w:r>
        <w:rPr>
          <w:spacing w:val="-2"/>
        </w:rPr>
        <w:t>强之列，其中都市快报名列第</w:t>
      </w:r>
      <w:r>
        <w:rPr>
          <w:rFonts w:ascii="Times New Roman" w:hAnsi="Times New Roman" w:cs="Times New Roman" w:eastAsia="Times New Roman" w:hint="default"/>
          <w:spacing w:val="-2"/>
        </w:rPr>
        <w:t>41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30</w:t>
      </w:r>
      <w:r>
        <w:rPr>
          <w:spacing w:val="-2"/>
        </w:rPr>
        <w:t>日，都市快报微信公众号排名第</w:t>
      </w:r>
      <w:r>
        <w:rPr>
          <w:rFonts w:ascii="Times New Roman" w:hAnsi="Times New Roman" w:cs="Times New Roman" w:eastAsia="Times New Roman" w:hint="default"/>
          <w:spacing w:val="-2"/>
        </w:rPr>
        <w:t>10</w:t>
      </w:r>
      <w:r>
        <w:rPr>
          <w:spacing w:val="-2"/>
        </w:rPr>
        <w:t>，杭报</w:t>
      </w:r>
      <w:r>
        <w:rPr>
          <w:spacing w:val="-52"/>
        </w:rPr>
        <w:t> </w:t>
      </w:r>
      <w:r>
        <w:rPr>
          <w:spacing w:val="-52"/>
        </w:rPr>
      </w:r>
      <w:r>
        <w:rPr/>
        <w:t>日报排名第</w:t>
      </w:r>
      <w:r>
        <w:rPr>
          <w:rFonts w:ascii="Times New Roman" w:hAnsi="Times New Roman" w:cs="Times New Roman" w:eastAsia="Times New Roman" w:hint="default"/>
        </w:rPr>
        <w:t>26</w:t>
      </w:r>
      <w:r>
        <w:rPr/>
        <w:t>。公司所属杭州网为地方互联网主流媒体，居于市域互联网站影响力前茅。</w:t>
      </w:r>
    </w:p>
    <w:p>
      <w:pPr>
        <w:pStyle w:val="BodyText"/>
        <w:spacing w:line="451" w:lineRule="auto" w:before="43"/>
        <w:ind w:right="125" w:firstLine="420"/>
        <w:jc w:val="left"/>
      </w:pPr>
      <w:r>
        <w:rPr/>
        <w:t>根据</w:t>
      </w:r>
      <w:r>
        <w:rPr>
          <w:rFonts w:ascii="Times New Roman" w:hAnsi="Times New Roman" w:cs="Times New Roman" w:eastAsia="Times New Roman" w:hint="default"/>
        </w:rPr>
        <w:t>CODC</w:t>
      </w:r>
      <w:r>
        <w:rPr/>
        <w:t>的报告，</w:t>
      </w:r>
      <w:r>
        <w:rPr>
          <w:rFonts w:ascii="Times New Roman" w:hAnsi="Times New Roman" w:cs="Times New Roman" w:eastAsia="Times New Roman" w:hint="default"/>
        </w:rPr>
        <w:t>2017</w:t>
      </w:r>
      <w:r>
        <w:rPr/>
        <w:t>年户外广告刊例花费总规模达到</w:t>
      </w:r>
      <w:r>
        <w:rPr>
          <w:rFonts w:ascii="Times New Roman" w:hAnsi="Times New Roman" w:cs="Times New Roman" w:eastAsia="Times New Roman" w:hint="default"/>
        </w:rPr>
        <w:t>1,312</w:t>
      </w:r>
      <w:r>
        <w:rPr/>
        <w:t>亿，同比增长</w:t>
      </w:r>
      <w:r>
        <w:rPr>
          <w:rFonts w:ascii="Times New Roman" w:hAnsi="Times New Roman" w:cs="Times New Roman" w:eastAsia="Times New Roman" w:hint="default"/>
        </w:rPr>
        <w:t>12%</w:t>
      </w:r>
      <w:r>
        <w:rPr/>
        <w:t>，刊例平均涨幅</w:t>
      </w:r>
      <w:r>
        <w:rPr>
          <w:rFonts w:ascii="Times New Roman" w:hAnsi="Times New Roman" w:cs="Times New Roman" w:eastAsia="Times New Roman" w:hint="default"/>
        </w:rPr>
        <w:t>11%</w:t>
      </w:r>
      <w:r>
        <w:rPr/>
        <w:t>，涨幅高于</w:t>
      </w:r>
      <w:r>
        <w:rPr>
          <w:rFonts w:ascii="Times New Roman" w:hAnsi="Times New Roman" w:cs="Times New Roman" w:eastAsia="Times New Roman" w:hint="default"/>
        </w:rPr>
        <w:t>2016 </w:t>
      </w:r>
      <w:r>
        <w:rPr/>
        <w:t>年同期的</w:t>
      </w:r>
      <w:r>
        <w:rPr>
          <w:rFonts w:ascii="Times New Roman" w:hAnsi="Times New Roman" w:cs="Times New Roman" w:eastAsia="Times New Roman" w:hint="default"/>
        </w:rPr>
        <w:t>9%</w:t>
      </w:r>
      <w:r>
        <w:rPr/>
        <w:t>。</w:t>
      </w:r>
    </w:p>
    <w:p>
      <w:pPr>
        <w:pStyle w:val="BodyText"/>
        <w:spacing w:line="477" w:lineRule="auto" w:before="43"/>
        <w:ind w:right="83" w:firstLine="420"/>
        <w:jc w:val="left"/>
      </w:pPr>
      <w:r>
        <w:rPr>
          <w:spacing w:val="-2"/>
        </w:rPr>
        <w:t>报告期内，根据户外（地铁）广告的发展趋势和本土资源优势，公司积极拓展户外（地铁）广告业务。通过统一经营、</w:t>
      </w:r>
      <w:r>
        <w:rPr/>
        <w:t> </w:t>
      </w:r>
      <w:r>
        <w:rPr>
          <w:spacing w:val="-2"/>
        </w:rPr>
        <w:t>规范管理，公司的户外（地铁）广告业务已形成集城市公共交通、城市主干道、高中端社区于一体的户外广告传播网络，通</w:t>
      </w:r>
      <w:r>
        <w:rPr>
          <w:spacing w:val="-67"/>
        </w:rPr>
        <w:t> </w:t>
      </w:r>
      <w:r>
        <w:rPr>
          <w:spacing w:val="-67"/>
        </w:rPr>
      </w:r>
      <w:r>
        <w:rPr>
          <w:spacing w:val="-2"/>
        </w:rPr>
        <w:t>过充分发挥媒体资源优势，各业务板块协同配合，将信息精准传达于受众消费群体，实现客户的广告传播效果最大化。现阶</w:t>
      </w:r>
      <w:r>
        <w:rPr>
          <w:spacing w:val="-66"/>
        </w:rPr>
        <w:t> </w:t>
      </w:r>
      <w:r>
        <w:rPr>
          <w:spacing w:val="-66"/>
        </w:rPr>
      </w:r>
      <w:r>
        <w:rPr/>
        <w:t>段公司拥有的户外媒体资源已在同类型户外媒体领域处于领先优势。</w:t>
      </w:r>
      <w:r>
        <w:rPr>
          <w:rFonts w:ascii="Times New Roman" w:hAnsi="Times New Roman" w:cs="Times New Roman" w:eastAsia="Times New Roman" w:hint="default"/>
        </w:rPr>
        <w:t>2017</w:t>
      </w:r>
      <w:r>
        <w:rPr/>
        <w:t>年，该板块营业收入增幅</w:t>
      </w:r>
      <w:r>
        <w:rPr>
          <w:rFonts w:ascii="Times New Roman" w:hAnsi="Times New Roman" w:cs="Times New Roman" w:eastAsia="Times New Roman" w:hint="default"/>
        </w:rPr>
        <w:t>70.53%</w:t>
      </w:r>
      <w:r>
        <w:rPr/>
        <w:t>。</w:t>
      </w:r>
    </w:p>
    <w:p>
      <w:pPr>
        <w:pStyle w:val="BodyText"/>
        <w:spacing w:line="451" w:lineRule="auto" w:before="21"/>
        <w:ind w:right="125" w:firstLine="419"/>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日，国务院办公厅印发《关于深化产教融合的若干意见》，指导思想为：深化职业教育、高等教育等改</w:t>
      </w:r>
      <w:r>
        <w:rPr>
          <w:spacing w:val="1"/>
        </w:rPr>
        <w:t> </w:t>
      </w:r>
      <w:r>
        <w:rPr>
          <w:spacing w:val="-2"/>
        </w:rPr>
        <w:t>革，发挥企业重要主体作用，促进人才培养供给侧和产业需求侧结构要素全方位融合，培养大批高素质创新人才和技术技能</w:t>
      </w:r>
    </w:p>
    <w:p>
      <w:pPr>
        <w:spacing w:after="0" w:line="451" w:lineRule="auto"/>
        <w:jc w:val="left"/>
        <w:sectPr>
          <w:footerReference w:type="default" r:id="rId12"/>
          <w:pgSz w:w="11910" w:h="16840"/>
          <w:pgMar w:footer="982" w:header="747" w:top="1060" w:bottom="1180" w:left="980" w:right="940"/>
          <w:pgNumType w:start="11"/>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left="573" w:right="125" w:hanging="420"/>
        <w:jc w:val="left"/>
      </w:pPr>
      <w:r>
        <w:rPr/>
        <w:t>人才。根据光大证券的预计，</w:t>
      </w:r>
      <w:r>
        <w:rPr>
          <w:rFonts w:ascii="Times New Roman" w:hAnsi="Times New Roman" w:cs="Times New Roman" w:eastAsia="Times New Roman" w:hint="default"/>
        </w:rPr>
        <w:t>2018</w:t>
      </w:r>
      <w:r>
        <w:rPr/>
        <w:t>年非学历职业教育培训领域市场规模约</w:t>
      </w:r>
      <w:r>
        <w:rPr>
          <w:rFonts w:ascii="Times New Roman" w:hAnsi="Times New Roman" w:cs="Times New Roman" w:eastAsia="Times New Roman" w:hint="default"/>
        </w:rPr>
        <w:t>6,000</w:t>
      </w:r>
      <w:r>
        <w:rPr/>
        <w:t>亿元。 在国家政策红利驱动下，产教融合、校企合作、支持和规范社会力量兴办教育将是大势所趋，民办教育行业将迎来更</w:t>
      </w:r>
    </w:p>
    <w:p>
      <w:pPr>
        <w:pStyle w:val="BodyText"/>
        <w:spacing w:line="477" w:lineRule="auto" w:before="74"/>
        <w:ind w:left="153" w:right="125"/>
        <w:jc w:val="left"/>
      </w:pPr>
      <w:r>
        <w:rPr>
          <w:spacing w:val="-2"/>
        </w:rPr>
        <w:t>好的发展期。公司所属中教未来公司依托于以北京为中心的全国运营和教学管理中心，对布点校区和项目提供专业化运营和</w:t>
      </w:r>
      <w:r>
        <w:rPr>
          <w:spacing w:val="-64"/>
        </w:rPr>
        <w:t> </w:t>
      </w:r>
      <w:r>
        <w:rPr>
          <w:spacing w:val="-64"/>
        </w:rPr>
      </w:r>
      <w:r>
        <w:rPr/>
        <w:t>管理支持，在职业教育、国际教育、</w:t>
      </w:r>
      <w:r>
        <w:rPr>
          <w:rFonts w:ascii="Times New Roman" w:hAnsi="Times New Roman" w:cs="Times New Roman" w:eastAsia="Times New Roman" w:hint="default"/>
        </w:rPr>
        <w:t>IT</w:t>
      </w:r>
      <w:r>
        <w:rPr/>
        <w:t>教育、艺术教育、在线教育、幼儿教育板块，市场覆盖区域均有明显拓展。</w:t>
      </w:r>
    </w:p>
    <w:p>
      <w:pPr>
        <w:pStyle w:val="BodyText"/>
        <w:spacing w:line="451" w:lineRule="auto" w:before="21"/>
        <w:ind w:left="153" w:right="124" w:firstLine="420"/>
        <w:jc w:val="left"/>
      </w:pPr>
      <w:r>
        <w:rPr/>
        <w:t>根据北京欧立新信息咨询有限公司的《</w:t>
      </w:r>
      <w:r>
        <w:rPr>
          <w:rFonts w:ascii="Times New Roman" w:hAnsi="Times New Roman" w:cs="Times New Roman" w:eastAsia="Times New Roman" w:hint="default"/>
        </w:rPr>
        <w:t>2017</w:t>
      </w:r>
      <w:r>
        <w:rPr/>
        <w:t>年学前教育行业市场调研分析报告》，我国第六次人口普查的统计结果，</w:t>
      </w:r>
      <w:r>
        <w:rPr>
          <w:spacing w:val="1"/>
        </w:rPr>
        <w:t> </w:t>
      </w:r>
      <w:r>
        <w:rPr>
          <w:rFonts w:ascii="Times New Roman" w:hAnsi="Times New Roman" w:cs="Times New Roman" w:eastAsia="Times New Roman" w:hint="default"/>
        </w:rPr>
        <w:t>0-6</w:t>
      </w:r>
      <w:r>
        <w:rPr/>
        <w:t>岁婴幼儿数量达到</w:t>
      </w:r>
      <w:r>
        <w:rPr>
          <w:rFonts w:ascii="Times New Roman" w:hAnsi="Times New Roman" w:cs="Times New Roman" w:eastAsia="Times New Roman" w:hint="default"/>
        </w:rPr>
        <w:t>1.05</w:t>
      </w:r>
      <w:r>
        <w:rPr/>
        <w:t>亿人，其中城市婴幼儿数量为</w:t>
      </w:r>
      <w:r>
        <w:rPr>
          <w:rFonts w:ascii="Times New Roman" w:hAnsi="Times New Roman" w:cs="Times New Roman" w:eastAsia="Times New Roman" w:hint="default"/>
        </w:rPr>
        <w:t>2291</w:t>
      </w:r>
      <w:r>
        <w:rPr/>
        <w:t>万元，占比超过</w:t>
      </w:r>
      <w:r>
        <w:rPr>
          <w:rFonts w:ascii="Times New Roman" w:hAnsi="Times New Roman" w:cs="Times New Roman" w:eastAsia="Times New Roman" w:hint="default"/>
        </w:rPr>
        <w:t>20%</w:t>
      </w:r>
      <w:r>
        <w:rPr/>
        <w:t>。未来十年中国每年至少</w:t>
      </w:r>
      <w:r>
        <w:rPr>
          <w:rFonts w:ascii="Times New Roman" w:hAnsi="Times New Roman" w:cs="Times New Roman" w:eastAsia="Times New Roman" w:hint="default"/>
        </w:rPr>
        <w:t>1700</w:t>
      </w:r>
      <w:r>
        <w:rPr/>
        <w:t>万新生人口。 人口总量的增加将进一步扩大早教产业的市场需求。</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月，经国家教育体制改革领导小组会议通过，决定</w:t>
      </w:r>
      <w:r>
        <w:rPr>
          <w:rFonts w:ascii="Times New Roman" w:hAnsi="Times New Roman" w:cs="Times New Roman" w:eastAsia="Times New Roman" w:hint="default"/>
        </w:rPr>
        <w:t>2017—2020</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年实施第三期学前教育行动计划，主要目标包括：到</w:t>
      </w:r>
      <w:r>
        <w:rPr>
          <w:rFonts w:ascii="Times New Roman" w:hAnsi="Times New Roman" w:cs="Times New Roman" w:eastAsia="Times New Roman" w:hint="default"/>
        </w:rPr>
        <w:t>2020</w:t>
      </w:r>
      <w:r>
        <w:rPr/>
        <w:t>年全国学前三年毛入园率达到</w:t>
      </w:r>
      <w:r>
        <w:rPr>
          <w:rFonts w:ascii="Times New Roman" w:hAnsi="Times New Roman" w:cs="Times New Roman" w:eastAsia="Times New Roman" w:hint="default"/>
        </w:rPr>
        <w:t>85%</w:t>
      </w:r>
      <w:r>
        <w:rPr/>
        <w:t>，普惠性幼儿园覆盖率达到</w:t>
      </w:r>
      <w:r>
        <w:rPr>
          <w:rFonts w:ascii="Times New Roman" w:hAnsi="Times New Roman" w:cs="Times New Roman" w:eastAsia="Times New Roman" w:hint="default"/>
        </w:rPr>
        <w:t>80% </w:t>
      </w:r>
      <w:r>
        <w:rPr/>
        <w:t>左右。</w:t>
      </w:r>
    </w:p>
    <w:p>
      <w:pPr>
        <w:pStyle w:val="BodyText"/>
        <w:spacing w:line="477" w:lineRule="auto" w:before="74"/>
        <w:ind w:left="153" w:right="83" w:firstLine="420"/>
        <w:jc w:val="left"/>
      </w:pPr>
      <w:r>
        <w:rPr/>
        <w:t>报告期内，公司所属中教未来投资收购布朗睿智和布朗时代等优质线下幼教资源，进军幼教领域。同时，公司成立全</w:t>
      </w:r>
      <w:r>
        <w:rPr>
          <w:spacing w:val="1"/>
        </w:rPr>
        <w:t> </w:t>
      </w:r>
      <w:r>
        <w:rPr>
          <w:spacing w:val="-7"/>
        </w:rPr>
        <w:t>资子公司华媒教育，收购杭州萧山萧报教育咨询有限公司和杭州华媒企业管理有限公司（原名：浙江世文教育科技有限公司），</w:t>
      </w:r>
      <w:r>
        <w:rPr>
          <w:spacing w:val="-52"/>
        </w:rPr>
        <w:t> </w:t>
      </w:r>
      <w:r>
        <w:rPr>
          <w:spacing w:val="-52"/>
        </w:rPr>
      </w:r>
      <w:r>
        <w:rPr/>
        <w:t>充分整合集团现有的教育资源，进一步完善教育网络建设。</w:t>
      </w:r>
    </w:p>
    <w:p>
      <w:pPr>
        <w:spacing w:line="240" w:lineRule="auto" w:before="7"/>
        <w:rPr>
          <w:rFonts w:ascii="宋体" w:hAnsi="宋体" w:cs="宋体" w:eastAsia="宋体" w:hint="default"/>
          <w:sz w:val="17"/>
          <w:szCs w:val="17"/>
        </w:rPr>
      </w:pPr>
    </w:p>
    <w:p>
      <w:pPr>
        <w:pStyle w:val="Heading2"/>
        <w:spacing w:line="240" w:lineRule="auto"/>
        <w:ind w:right="125"/>
        <w:jc w:val="left"/>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pStyle w:val="BodyText"/>
        <w:spacing w:line="240" w:lineRule="auto" w:before="44"/>
        <w:ind w:left="0" w:right="199"/>
        <w:jc w:val="right"/>
      </w:pPr>
      <w:r>
        <w:rPr/>
        <w:pict>
          <v:shape style="position:absolute;margin-left:56.459999pt;margin-top:-39.067951pt;width:479.1pt;height:339.9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7583"/>
                  </w:tblGrid>
                  <w:tr>
                    <w:trPr>
                      <w:trHeight w:val="186" w:hRule="exact"/>
                    </w:trPr>
                    <w:tc>
                      <w:tcPr>
                        <w:tcW w:w="1985" w:type="dxa"/>
                        <w:tcBorders>
                          <w:top w:val="single" w:sz="4" w:space="0" w:color="000000"/>
                          <w:left w:val="single" w:sz="4" w:space="0" w:color="000000"/>
                          <w:bottom w:val="nil" w:sz="6" w:space="0" w:color="auto"/>
                          <w:right w:val="single" w:sz="4" w:space="0" w:color="000000"/>
                        </w:tcBorders>
                        <w:shd w:val="clear" w:color="auto" w:fill="D3D3D3"/>
                      </w:tcPr>
                      <w:p>
                        <w:pPr/>
                      </w:p>
                    </w:tc>
                    <w:tc>
                      <w:tcPr>
                        <w:tcW w:w="758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5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1985" w:type="dxa"/>
                        <w:tcBorders>
                          <w:top w:val="nil" w:sz="6" w:space="0" w:color="auto"/>
                          <w:left w:val="single" w:sz="4" w:space="0" w:color="000000"/>
                          <w:bottom w:val="single" w:sz="4" w:space="0" w:color="000000"/>
                          <w:right w:val="single" w:sz="4" w:space="0" w:color="000000"/>
                        </w:tcBorders>
                        <w:shd w:val="clear" w:color="auto" w:fill="D3D3D3"/>
                      </w:tcPr>
                      <w:p>
                        <w:pPr/>
                      </w:p>
                    </w:tc>
                    <w:tc>
                      <w:tcPr>
                        <w:tcW w:w="758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583"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right="10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年末无形资产</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79,166,277.90</w:t>
                        </w:r>
                        <w:r>
                          <w:rPr>
                            <w:rFonts w:ascii="Times New Roman" w:hAnsi="Times New Roman" w:cs="Times New Roman" w:eastAsia="Times New Roman" w:hint="default"/>
                            <w:spacing w:val="43"/>
                            <w:sz w:val="18"/>
                            <w:szCs w:val="18"/>
                          </w:rPr>
                          <w:t> </w:t>
                        </w:r>
                        <w:r>
                          <w:rPr>
                            <w:rFonts w:ascii="宋体" w:hAnsi="宋体" w:cs="宋体" w:eastAsia="宋体" w:hint="default"/>
                            <w:spacing w:val="-15"/>
                            <w:sz w:val="18"/>
                            <w:szCs w:val="18"/>
                          </w:rPr>
                          <w:t>元，较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118.24%</w:t>
                        </w:r>
                        <w:r>
                          <w:rPr>
                            <w:rFonts w:ascii="宋体" w:hAnsi="宋体" w:cs="宋体" w:eastAsia="宋体" w:hint="default"/>
                            <w:sz w:val="18"/>
                            <w:szCs w:val="18"/>
                          </w:rPr>
                          <w:t>，</w:t>
                        </w:r>
                        <w:r>
                          <w:rPr>
                            <w:rFonts w:ascii="宋体" w:hAnsi="宋体" w:cs="宋体" w:eastAsia="宋体" w:hint="default"/>
                            <w:spacing w:val="-45"/>
                            <w:sz w:val="18"/>
                            <w:szCs w:val="18"/>
                          </w:rPr>
                          <w:t> </w:t>
                        </w:r>
                        <w:r>
                          <w:rPr>
                            <w:rFonts w:ascii="宋体" w:hAnsi="宋体" w:cs="宋体" w:eastAsia="宋体" w:hint="default"/>
                            <w:sz w:val="18"/>
                            <w:szCs w:val="18"/>
                          </w:rPr>
                          <w:t>主要系子公司购入土地所致</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5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年末应收票据 </w:t>
                        </w:r>
                        <w:r>
                          <w:rPr>
                            <w:rFonts w:ascii="Times New Roman" w:hAnsi="Times New Roman" w:cs="Times New Roman" w:eastAsia="Times New Roman" w:hint="default"/>
                            <w:sz w:val="18"/>
                            <w:szCs w:val="18"/>
                          </w:rPr>
                          <w:t>4,610,000.00 </w:t>
                        </w:r>
                        <w:r>
                          <w:rPr>
                            <w:rFonts w:ascii="宋体" w:hAnsi="宋体" w:cs="宋体" w:eastAsia="宋体" w:hint="default"/>
                            <w:sz w:val="18"/>
                            <w:szCs w:val="18"/>
                          </w:rPr>
                          <w:t>元，较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年初增长</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102.48%</w:t>
                        </w:r>
                        <w:r>
                          <w:rPr>
                            <w:rFonts w:ascii="宋体" w:hAnsi="宋体" w:cs="宋体" w:eastAsia="宋体" w:hint="default"/>
                            <w:sz w:val="18"/>
                            <w:szCs w:val="18"/>
                          </w:rPr>
                          <w:t>，主要系盛元印务应收票据增加 所致。</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5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09"/>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年末预付款项 </w:t>
                        </w:r>
                        <w:r>
                          <w:rPr>
                            <w:rFonts w:ascii="Times New Roman" w:hAnsi="Times New Roman" w:cs="Times New Roman" w:eastAsia="Times New Roman" w:hint="default"/>
                            <w:sz w:val="18"/>
                            <w:szCs w:val="18"/>
                          </w:rPr>
                          <w:t>40,871,018.47 </w:t>
                        </w:r>
                        <w:r>
                          <w:rPr>
                            <w:rFonts w:ascii="宋体" w:hAnsi="宋体" w:cs="宋体" w:eastAsia="宋体" w:hint="default"/>
                            <w:sz w:val="18"/>
                            <w:szCs w:val="18"/>
                          </w:rPr>
                          <w:t>元，较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年初增长</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126.37%</w:t>
                        </w:r>
                        <w:r>
                          <w:rPr>
                            <w:rFonts w:ascii="宋体" w:hAnsi="宋体" w:cs="宋体" w:eastAsia="宋体" w:hint="default"/>
                            <w:sz w:val="18"/>
                            <w:szCs w:val="18"/>
                          </w:rPr>
                          <w:t>，主要系主要系预付新闻纸款 项所致。</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5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年末其他应收款 </w:t>
                        </w:r>
                        <w:r>
                          <w:rPr>
                            <w:rFonts w:ascii="Times New Roman" w:hAnsi="Times New Roman" w:cs="Times New Roman" w:eastAsia="Times New Roman" w:hint="default"/>
                            <w:sz w:val="18"/>
                            <w:szCs w:val="18"/>
                          </w:rPr>
                          <w:t>206,258,311.42 </w:t>
                        </w:r>
                        <w:r>
                          <w:rPr>
                            <w:rFonts w:ascii="宋体" w:hAnsi="宋体" w:cs="宋体" w:eastAsia="宋体" w:hint="default"/>
                            <w:sz w:val="18"/>
                            <w:szCs w:val="18"/>
                          </w:rPr>
                          <w:t>元，较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年初增长</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216.73%</w:t>
                        </w:r>
                        <w:r>
                          <w:rPr>
                            <w:rFonts w:ascii="宋体" w:hAnsi="宋体" w:cs="宋体" w:eastAsia="宋体" w:hint="default"/>
                            <w:sz w:val="18"/>
                            <w:szCs w:val="18"/>
                          </w:rPr>
                          <w:t>，主要系转让北京精典博维 </w:t>
                        </w:r>
                        <w:r>
                          <w:rPr>
                            <w:rFonts w:ascii="宋体" w:hAnsi="宋体" w:cs="宋体" w:eastAsia="宋体" w:hint="default"/>
                            <w:spacing w:val="-1"/>
                            <w:sz w:val="18"/>
                            <w:szCs w:val="18"/>
                          </w:rPr>
                          <w:t>文化传播有限公司和快点文化传播（上海）有限公司股权，根据合同约定付款期执行，尚未到付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款期的股权转让款。</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5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年末其他流动资产 </w:t>
                        </w:r>
                        <w:r>
                          <w:rPr>
                            <w:rFonts w:ascii="Times New Roman" w:hAnsi="Times New Roman" w:cs="Times New Roman" w:eastAsia="Times New Roman" w:hint="default"/>
                            <w:sz w:val="18"/>
                            <w:szCs w:val="18"/>
                          </w:rPr>
                          <w:t>118,231,541.26 </w:t>
                        </w:r>
                        <w:r>
                          <w:rPr>
                            <w:rFonts w:ascii="宋体" w:hAnsi="宋体" w:cs="宋体" w:eastAsia="宋体" w:hint="default"/>
                            <w:spacing w:val="-15"/>
                            <w:sz w:val="18"/>
                            <w:szCs w:val="18"/>
                          </w:rPr>
                          <w:t>元，较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年初增长</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68.68%</w:t>
                        </w:r>
                        <w:r>
                          <w:rPr>
                            <w:rFonts w:ascii="宋体" w:hAnsi="宋体" w:cs="宋体" w:eastAsia="宋体" w:hint="default"/>
                            <w:spacing w:val="-3"/>
                            <w:sz w:val="18"/>
                            <w:szCs w:val="18"/>
                          </w:rPr>
                          <w:t>，主要系子公司理财产品增</w:t>
                        </w:r>
                        <w:r>
                          <w:rPr>
                            <w:rFonts w:ascii="宋体" w:hAnsi="宋体" w:cs="宋体" w:eastAsia="宋体" w:hint="default"/>
                            <w:sz w:val="18"/>
                            <w:szCs w:val="18"/>
                          </w:rPr>
                          <w:t> 加所致。</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5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年末可供出售金融资产 </w:t>
                        </w:r>
                        <w:r>
                          <w:rPr>
                            <w:rFonts w:ascii="Times New Roman" w:hAnsi="Times New Roman" w:cs="Times New Roman" w:eastAsia="Times New Roman" w:hint="default"/>
                            <w:sz w:val="18"/>
                            <w:szCs w:val="18"/>
                          </w:rPr>
                          <w:t>115,857,403.76 </w:t>
                        </w:r>
                        <w:r>
                          <w:rPr>
                            <w:rFonts w:ascii="宋体" w:hAnsi="宋体" w:cs="宋体" w:eastAsia="宋体" w:hint="default"/>
                            <w:sz w:val="18"/>
                            <w:szCs w:val="18"/>
                          </w:rPr>
                          <w:t>元，较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年初增长 </w:t>
                        </w:r>
                        <w:r>
                          <w:rPr>
                            <w:rFonts w:ascii="Times New Roman" w:hAnsi="Times New Roman" w:cs="Times New Roman" w:eastAsia="Times New Roman" w:hint="default"/>
                            <w:sz w:val="18"/>
                            <w:szCs w:val="18"/>
                          </w:rPr>
                          <w:t>1485.35%</w:t>
                        </w: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z w:val="18"/>
                            <w:szCs w:val="18"/>
                          </w:rPr>
                          <w:t>主要系持有的上 海合印科技股份有限公司股权，改变持有目的所致。</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5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年末长期股权投资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533,354,473.67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50.08%</w:t>
                        </w:r>
                        <w:r>
                          <w:rPr>
                            <w:rFonts w:ascii="宋体" w:hAnsi="宋体" w:cs="宋体" w:eastAsia="宋体" w:hint="default"/>
                            <w:sz w:val="18"/>
                            <w:szCs w:val="18"/>
                          </w:rPr>
                          <w:t>，主要系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年度快点文</w:t>
                        </w:r>
                      </w:p>
                      <w:p>
                        <w:pPr>
                          <w:pStyle w:val="TableParagraph"/>
                          <w:spacing w:line="302" w:lineRule="auto" w:before="61"/>
                          <w:ind w:left="22" w:right="23"/>
                          <w:jc w:val="left"/>
                          <w:rPr>
                            <w:rFonts w:ascii="宋体" w:hAnsi="宋体" w:cs="宋体" w:eastAsia="宋体" w:hint="default"/>
                            <w:sz w:val="18"/>
                            <w:szCs w:val="18"/>
                          </w:rPr>
                        </w:pPr>
                        <w:r>
                          <w:rPr>
                            <w:rFonts w:ascii="宋体" w:hAnsi="宋体" w:cs="宋体" w:eastAsia="宋体" w:hint="default"/>
                            <w:spacing w:val="-3"/>
                            <w:sz w:val="18"/>
                            <w:szCs w:val="18"/>
                          </w:rPr>
                          <w:t>化传播（上海）有限公司为并表公司，</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日转让部分股权，对该公司从控股变为重 大影响，核算方法发生改变所致。</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5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年末开发支出 </w:t>
                        </w:r>
                        <w:r>
                          <w:rPr>
                            <w:rFonts w:ascii="Times New Roman" w:hAnsi="Times New Roman" w:cs="Times New Roman" w:eastAsia="Times New Roman" w:hint="default"/>
                            <w:sz w:val="18"/>
                            <w:szCs w:val="18"/>
                          </w:rPr>
                          <w:t>1,098,508.76 </w:t>
                        </w:r>
                        <w:r>
                          <w:rPr>
                            <w:rFonts w:ascii="宋体" w:hAnsi="宋体" w:cs="宋体" w:eastAsia="宋体" w:hint="default"/>
                            <w:sz w:val="18"/>
                            <w:szCs w:val="18"/>
                          </w:rPr>
                          <w:t>元，较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年初减少 </w:t>
                        </w:r>
                        <w:r>
                          <w:rPr>
                            <w:rFonts w:ascii="Times New Roman" w:hAnsi="Times New Roman" w:cs="Times New Roman" w:eastAsia="Times New Roman" w:hint="default"/>
                            <w:sz w:val="18"/>
                            <w:szCs w:val="18"/>
                          </w:rPr>
                          <w:t>58.56%</w:t>
                        </w:r>
                        <w:r>
                          <w:rPr>
                            <w:rFonts w:ascii="宋体" w:hAnsi="宋体" w:cs="宋体" w:eastAsia="宋体" w:hint="default"/>
                            <w:sz w:val="18"/>
                            <w:szCs w:val="18"/>
                          </w:rPr>
                          <w:t>，</w:t>
                        </w:r>
                        <w:r>
                          <w:rPr>
                            <w:rFonts w:ascii="宋体" w:hAnsi="宋体" w:cs="宋体" w:eastAsia="宋体" w:hint="default"/>
                            <w:spacing w:val="-54"/>
                            <w:sz w:val="18"/>
                            <w:szCs w:val="18"/>
                          </w:rPr>
                          <w:t> </w:t>
                        </w:r>
                        <w:r>
                          <w:rPr>
                            <w:rFonts w:ascii="宋体" w:hAnsi="宋体" w:cs="宋体" w:eastAsia="宋体" w:hint="default"/>
                            <w:sz w:val="18"/>
                            <w:szCs w:val="18"/>
                          </w:rPr>
                          <w:t>主要系开发支出完成后转入无</w:t>
                        </w:r>
                        <w:r>
                          <w:rPr>
                            <w:rFonts w:ascii="宋体" w:hAnsi="宋体" w:cs="宋体" w:eastAsia="宋体" w:hint="default"/>
                            <w:sz w:val="18"/>
                            <w:szCs w:val="18"/>
                          </w:rPr>
                          <w:t> 形资产所致。</w:t>
                        </w:r>
                      </w:p>
                    </w:tc>
                  </w:tr>
                </w:tbl>
                <w:p>
                  <w:pPr/>
                </w:p>
              </w:txbxContent>
            </v:textbox>
            <w10:wrap type="none"/>
          </v:shape>
        </w:pict>
      </w:r>
      <w:r>
        <w:rPr/>
        <w:t>。</w:t>
      </w:r>
    </w:p>
    <w:p>
      <w:pPr>
        <w:spacing w:after="0" w:line="240" w:lineRule="auto"/>
        <w:jc w:val="right"/>
        <w:sectPr>
          <w:pgSz w:w="11910" w:h="16840"/>
          <w:pgMar w:header="747" w:footer="982" w:top="1060" w:bottom="1180" w:left="980" w:right="940"/>
        </w:sectPr>
      </w:pPr>
    </w:p>
    <w:p>
      <w:pPr>
        <w:spacing w:line="240" w:lineRule="auto" w:before="2"/>
        <w:rPr>
          <w:rFonts w:ascii="宋体" w:hAnsi="宋体" w:cs="宋体" w:eastAsia="宋体" w:hint="default"/>
          <w:sz w:val="28"/>
          <w:szCs w:val="28"/>
        </w:rPr>
      </w:pPr>
    </w:p>
    <w:p>
      <w:pPr>
        <w:spacing w:line="733" w:lineRule="exact"/>
        <w:ind w:left="144"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35pt;height:36.7pt;mso-position-horizontal-relative:char;mso-position-vertical-relative:line" coordorigin="0,0" coordsize="9587,734">
            <v:group style="position:absolute;left:14;top:563;width:1976;height:156" coordorigin="14,563" coordsize="1976,156">
              <v:shape style="position:absolute;left:14;top:563;width:1976;height:156" coordorigin="14,563" coordsize="1976,156" path="m14,719l1990,719,1990,563,14,563,14,719xe" filled="true" fillcolor="#c7edcc" stroked="false">
                <v:path arrowok="t"/>
                <v:fill type="solid"/>
              </v:shape>
            </v:group>
            <v:group style="position:absolute;left:26;top:171;width:2;height:392" coordorigin="26,171" coordsize="2,392">
              <v:shape style="position:absolute;left:26;top:171;width:2;height:392" coordorigin="26,171" coordsize="0,392" path="m26,171l26,563e" filled="false" stroked="true" strokeweight="1.140pt" strokecolor="#c7edcc">
                <v:path arrowok="t"/>
              </v:shape>
            </v:group>
            <v:group style="position:absolute;left:14;top:15;width:1976;height:156" coordorigin="14,15" coordsize="1976,156">
              <v:shape style="position:absolute;left:14;top:15;width:1976;height:156" coordorigin="14,15" coordsize="1976,156" path="m14,171l1990,171,1990,15,14,15,14,171xe" filled="true" fillcolor="#c7edcc" stroked="false">
                <v:path arrowok="t"/>
                <v:fill type="solid"/>
              </v:shape>
            </v:group>
            <v:group style="position:absolute;left:1978;top:170;width:2;height:393" coordorigin="1978,170" coordsize="2,393">
              <v:shape style="position:absolute;left:1978;top:170;width:2;height:393" coordorigin="1978,170" coordsize="0,393" path="m1978,170l1978,563e" filled="false" stroked="true" strokeweight="1.140pt" strokecolor="#c7edcc">
                <v:path arrowok="t"/>
              </v:shape>
            </v:group>
            <v:group style="position:absolute;left:37;top:170;width:1930;height:393" coordorigin="37,170" coordsize="1930,393">
              <v:shape style="position:absolute;left:37;top:170;width:1930;height:393" coordorigin="37,170" coordsize="1930,393" path="m37,563l1967,563,1967,170,37,170,37,563xe" filled="true" fillcolor="#c7edcc" stroked="false">
                <v:path arrowok="t"/>
                <v:fill type="solid"/>
              </v:shape>
            </v:group>
            <v:group style="position:absolute;left:2011;top:14;width:2;height:705" coordorigin="2011,14" coordsize="2,705">
              <v:shape style="position:absolute;left:2011;top:14;width:2;height:705" coordorigin="2011,14" coordsize="0,705" path="m2011,14l2011,719e" filled="false" stroked="true" strokeweight="1.140pt" strokecolor="#c7edcc">
                <v:path arrowok="t"/>
              </v:shape>
            </v:group>
            <v:group style="position:absolute;left:9561;top:14;width:2;height:705" coordorigin="9561,14" coordsize="2,705">
              <v:shape style="position:absolute;left:9561;top:14;width:2;height:705" coordorigin="9561,14" coordsize="0,705" path="m9561,14l9561,719e" filled="false" stroked="true" strokeweight="1.140pt" strokecolor="#c7edcc">
                <v:path arrowok="t"/>
              </v:shape>
            </v:group>
            <v:group style="position:absolute;left:2022;top:14;width:7528;height:353" coordorigin="2022,14" coordsize="7528,353">
              <v:shape style="position:absolute;left:2022;top:14;width:7528;height:353" coordorigin="2022,14" coordsize="7528,353" path="m2022,367l9550,367,9550,14,2022,14,2022,367xe" filled="true" fillcolor="#c7edcc" stroked="false">
                <v:path arrowok="t"/>
                <v:fill type="solid"/>
              </v:shape>
            </v:group>
            <v:group style="position:absolute;left:2022;top:367;width:7528;height:352" coordorigin="2022,367" coordsize="7528,352">
              <v:shape style="position:absolute;left:2022;top:367;width:7528;height:352" coordorigin="2022,367" coordsize="7528,352" path="m2022,719l9550,719,9550,367,2022,367,2022,719xe" filled="true" fillcolor="#c7edcc"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724" coordorigin="10,5" coordsize="2,724">
              <v:shape style="position:absolute;left:10;top:5;width:2;height:724" coordorigin="10,5" coordsize="0,724" path="m10,5l10,728e" filled="false" stroked="true" strokeweight=".48001pt" strokecolor="#000000">
                <v:path arrowok="t"/>
              </v:shape>
            </v:group>
            <v:group style="position:absolute;left:5;top:724;width:1985;height:2" coordorigin="5,724" coordsize="1985,2">
              <v:shape style="position:absolute;left:5;top:724;width:1985;height:2" coordorigin="5,724" coordsize="1985,0" path="m5,724l1990,724e" filled="false" stroked="true" strokeweight=".47998pt" strokecolor="#000000">
                <v:path arrowok="t"/>
              </v:shape>
            </v:group>
            <v:group style="position:absolute;left:1994;top:14;width:2;height:714" coordorigin="1994,14" coordsize="2,714">
              <v:shape style="position:absolute;left:1994;top:14;width:2;height:714" coordorigin="1994,14" coordsize="0,714" path="m1994,14l1994,728e" filled="false" stroked="true" strokeweight=".48001pt" strokecolor="#000000">
                <v:path arrowok="t"/>
              </v:shape>
            </v:group>
            <v:group style="position:absolute;left:1999;top:724;width:7574;height:2" coordorigin="1999,724" coordsize="7574,2">
              <v:shape style="position:absolute;left:1999;top:724;width:7574;height:2" coordorigin="1999,724" coordsize="7574,0" path="m1999,724l9572,724e" filled="false" stroked="true" strokeweight=".47998pt" strokecolor="#000000">
                <v:path arrowok="t"/>
              </v:shape>
            </v:group>
            <v:group style="position:absolute;left:9577;top:5;width:2;height:724" coordorigin="9577,5" coordsize="2,724">
              <v:shape style="position:absolute;left:9577;top:5;width:2;height:724" coordorigin="9577,5" coordsize="0,724" path="m9577,5l9577,728e" filled="false" stroked="true" strokeweight=".47998pt" strokecolor="#000000">
                <v:path arrowok="t"/>
              </v:shape>
              <v:shape style="position:absolute;left:10;top:10;width:1985;height:714" type="#_x0000_t202" filled="false" stroked="false">
                <v:textbox inset="0,0,0,0">
                  <w:txbxContent>
                    <w:p>
                      <w:pPr>
                        <w:spacing w:line="240" w:lineRule="auto" w:before="3"/>
                        <w:rPr>
                          <w:rFonts w:ascii="宋体" w:hAnsi="宋体" w:cs="宋体" w:eastAsia="宋体" w:hint="default"/>
                          <w:sz w:val="16"/>
                          <w:szCs w:val="16"/>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递延所得税资产</w:t>
                      </w:r>
                    </w:p>
                  </w:txbxContent>
                </v:textbox>
                <w10:wrap type="none"/>
              </v:shape>
              <v:shape style="position:absolute;left:1994;top:10;width:7583;height:714" type="#_x0000_t202" filled="false" stroked="false">
                <v:textbox inset="0,0,0,0">
                  <w:txbxContent>
                    <w:p>
                      <w:pPr>
                        <w:spacing w:line="302" w:lineRule="auto" w:before="56"/>
                        <w:ind w:left="27" w:right="2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年末递延所得税资产 </w:t>
                      </w:r>
                      <w:r>
                        <w:rPr>
                          <w:rFonts w:ascii="Times New Roman" w:hAnsi="Times New Roman" w:cs="Times New Roman" w:eastAsia="Times New Roman" w:hint="default"/>
                          <w:sz w:val="18"/>
                          <w:szCs w:val="18"/>
                        </w:rPr>
                        <w:t>5,404,840.99 </w:t>
                      </w:r>
                      <w:r>
                        <w:rPr>
                          <w:rFonts w:ascii="宋体" w:hAnsi="宋体" w:cs="宋体" w:eastAsia="宋体" w:hint="default"/>
                          <w:sz w:val="18"/>
                          <w:szCs w:val="18"/>
                        </w:rPr>
                        <w:t>元，较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年初增长 </w:t>
                      </w:r>
                      <w:r>
                        <w:rPr>
                          <w:rFonts w:ascii="Times New Roman" w:hAnsi="Times New Roman" w:cs="Times New Roman" w:eastAsia="Times New Roman" w:hint="default"/>
                          <w:sz w:val="18"/>
                          <w:szCs w:val="18"/>
                        </w:rPr>
                        <w:t>67.89%</w:t>
                      </w:r>
                      <w:r>
                        <w:rPr>
                          <w:rFonts w:ascii="宋体" w:hAnsi="宋体" w:cs="宋体" w:eastAsia="宋体" w:hint="default"/>
                          <w:sz w:val="18"/>
                          <w:szCs w:val="18"/>
                        </w:rPr>
                        <w:t>，</w:t>
                      </w:r>
                      <w:r>
                        <w:rPr>
                          <w:rFonts w:ascii="宋体" w:hAnsi="宋体" w:cs="宋体" w:eastAsia="宋体" w:hint="default"/>
                          <w:spacing w:val="-55"/>
                          <w:sz w:val="18"/>
                          <w:szCs w:val="18"/>
                        </w:rPr>
                        <w:t> </w:t>
                      </w:r>
                      <w:r>
                        <w:rPr>
                          <w:rFonts w:ascii="宋体" w:hAnsi="宋体" w:cs="宋体" w:eastAsia="宋体" w:hint="default"/>
                          <w:sz w:val="18"/>
                          <w:szCs w:val="18"/>
                        </w:rPr>
                        <w:t>主要系可抵扣亏损时间</w:t>
                      </w:r>
                      <w:r>
                        <w:rPr>
                          <w:rFonts w:ascii="宋体" w:hAnsi="宋体" w:cs="宋体" w:eastAsia="宋体" w:hint="default"/>
                          <w:sz w:val="18"/>
                          <w:szCs w:val="18"/>
                        </w:rPr>
                        <w:t> 性差异，递延所得税资产增加所致。</w:t>
                      </w:r>
                    </w:p>
                  </w:txbxContent>
                </v:textbox>
                <w10:wrap type="none"/>
              </v:shape>
            </v:group>
          </v:group>
        </w:pict>
      </w:r>
      <w:r>
        <w:rPr>
          <w:rFonts w:ascii="宋体" w:hAnsi="宋体" w:cs="宋体" w:eastAsia="宋体" w:hint="default"/>
          <w:position w:val="-14"/>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0"/>
        <w:jc w:val="both"/>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6751"/>
        <w:jc w:val="left"/>
      </w:pPr>
      <w:r>
        <w:rPr/>
        <w:t>公司是否需要遵守特殊行业的披露要求 否</w:t>
      </w:r>
    </w:p>
    <w:p>
      <w:pPr>
        <w:pStyle w:val="BodyText"/>
        <w:spacing w:line="477" w:lineRule="auto" w:before="103"/>
        <w:ind w:left="153" w:right="188" w:firstLine="560"/>
        <w:jc w:val="both"/>
      </w:pPr>
      <w:r>
        <w:rPr/>
        <w:t>作为中国报业集团第一方阵的一员，公司实际控制人杭报集团努力推进媒体融合发展，着力于区域领先优势的构建</w:t>
      </w:r>
      <w:r>
        <w:rPr>
          <w:spacing w:val="1"/>
        </w:rPr>
        <w:t> </w:t>
      </w:r>
      <w:r>
        <w:rPr/>
        <w:t>和确立，借助资本市场做强做大党报媒体产业，以确保公司通过转型升级加快发展。</w:t>
      </w:r>
    </w:p>
    <w:p>
      <w:pPr>
        <w:pStyle w:val="Heading5"/>
        <w:spacing w:line="240" w:lineRule="auto" w:before="54"/>
        <w:ind w:left="714" w:right="125"/>
        <w:jc w:val="left"/>
        <w:rPr>
          <w:b w:val="0"/>
          <w:bCs w:val="0"/>
        </w:rPr>
      </w:pPr>
      <w:r>
        <w:rPr>
          <w:rFonts w:ascii="Times New Roman" w:hAnsi="Times New Roman" w:cs="Times New Roman" w:eastAsia="Times New Roman" w:hint="default"/>
        </w:rPr>
        <w:t>1</w:t>
      </w:r>
      <w:r>
        <w:rPr/>
        <w:t>、权威公信力优势</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left="714" w:right="125"/>
        <w:jc w:val="left"/>
      </w:pPr>
      <w:r>
        <w:rPr/>
        <w:t>《杭州日报》是中共杭州市委机关报，以本地区不可替代的权威性、公信力和影响力成为杭州市域第一主流媒体。</w:t>
      </w:r>
    </w:p>
    <w:p>
      <w:pPr>
        <w:spacing w:line="240" w:lineRule="auto" w:before="10"/>
        <w:rPr>
          <w:rFonts w:ascii="宋体" w:hAnsi="宋体" w:cs="宋体" w:eastAsia="宋体" w:hint="default"/>
          <w:sz w:val="17"/>
          <w:szCs w:val="17"/>
        </w:rPr>
      </w:pPr>
    </w:p>
    <w:p>
      <w:pPr>
        <w:pStyle w:val="BodyText"/>
        <w:spacing w:line="240" w:lineRule="auto"/>
        <w:ind w:left="153" w:right="0"/>
        <w:jc w:val="both"/>
      </w:pPr>
      <w:r>
        <w:rPr/>
        <w:t>《都市快报》在媒体影响力和市场份额方面，继续居于省内都市报领先地位。</w:t>
      </w:r>
    </w:p>
    <w:p>
      <w:pPr>
        <w:spacing w:line="240" w:lineRule="auto" w:before="10"/>
        <w:rPr>
          <w:rFonts w:ascii="宋体" w:hAnsi="宋体" w:cs="宋体" w:eastAsia="宋体" w:hint="default"/>
          <w:sz w:val="17"/>
          <w:szCs w:val="17"/>
        </w:rPr>
      </w:pPr>
    </w:p>
    <w:p>
      <w:pPr>
        <w:pStyle w:val="BodyText"/>
        <w:spacing w:line="451" w:lineRule="auto"/>
        <w:ind w:left="714" w:right="125"/>
        <w:jc w:val="left"/>
      </w:pPr>
      <w:r>
        <w:rPr>
          <w:rFonts w:ascii="Times New Roman" w:hAnsi="Times New Roman" w:cs="Times New Roman" w:eastAsia="Times New Roman" w:hint="default"/>
          <w:b/>
          <w:bCs/>
        </w:rPr>
        <w:t>2</w:t>
      </w:r>
      <w:r>
        <w:rPr>
          <w:rFonts w:ascii="宋体" w:hAnsi="宋体" w:cs="宋体" w:eastAsia="宋体" w:hint="default"/>
          <w:b/>
          <w:bCs/>
        </w:rPr>
        <w:t>、强势媒体优势</w:t>
      </w:r>
      <w:r>
        <w:rPr>
          <w:rFonts w:ascii="宋体" w:hAnsi="宋体" w:cs="宋体" w:eastAsia="宋体" w:hint="default"/>
          <w:b/>
          <w:bCs/>
          <w:w w:val="99"/>
        </w:rPr>
        <w:t> </w:t>
      </w:r>
      <w:r>
        <w:rPr>
          <w:spacing w:val="-3"/>
        </w:rPr>
        <w:t>公司负责运营的《杭州日报》、《都市快报》、《每日商报》、《萧山日报》、《余杭晨报》、《富阳日报》、《休</w:t>
      </w:r>
    </w:p>
    <w:p>
      <w:pPr>
        <w:pStyle w:val="BodyText"/>
        <w:spacing w:line="477" w:lineRule="auto" w:before="74"/>
        <w:ind w:left="153" w:right="125"/>
        <w:jc w:val="left"/>
      </w:pPr>
      <w:r>
        <w:rPr>
          <w:spacing w:val="-2"/>
        </w:rPr>
        <w:t>闲》杂志等报刊，均属于区域、行业强势媒体或处于独家重要地位。萧山日报、余杭晨报和富阳日报，均为所在区域党报性</w:t>
      </w:r>
      <w:r>
        <w:rPr>
          <w:spacing w:val="-68"/>
        </w:rPr>
        <w:t> </w:t>
      </w:r>
      <w:r>
        <w:rPr>
          <w:spacing w:val="-68"/>
        </w:rPr>
      </w:r>
      <w:r>
        <w:rPr/>
        <w:t>质的权威报纸，其中萧山日报影响力和经营水平持续多年居于全国同类型报纸前茅。</w:t>
      </w:r>
    </w:p>
    <w:p>
      <w:pPr>
        <w:pStyle w:val="BodyText"/>
        <w:spacing w:line="451" w:lineRule="auto" w:before="54"/>
        <w:ind w:right="188" w:firstLine="560"/>
        <w:jc w:val="both"/>
      </w:pPr>
      <w:r>
        <w:rPr>
          <w:spacing w:val="-1"/>
        </w:rPr>
        <w:t>杭州网系国家一类新闻网站、杭州市属唯一新闻门户网站，综合传播力名列国内同类网站前茅。借助</w:t>
      </w:r>
      <w:r>
        <w:rPr>
          <w:rFonts w:ascii="Times New Roman" w:hAnsi="Times New Roman" w:cs="Times New Roman" w:eastAsia="Times New Roman" w:hint="default"/>
          <w:spacing w:val="-1"/>
        </w:rPr>
        <w:t>G20</w:t>
      </w:r>
      <w:r>
        <w:rPr>
          <w:spacing w:val="-1"/>
        </w:rPr>
        <w:t>杭州峰会官</w:t>
      </w:r>
      <w:r>
        <w:rPr/>
        <w:t> </w:t>
      </w:r>
      <w:r>
        <w:rPr>
          <w:spacing w:val="-2"/>
        </w:rPr>
        <w:t>网建设和运维的声誉，杭州网进一步发挥内容和技术团队的优势，报告期内顺利中标</w:t>
      </w:r>
      <w:r>
        <w:rPr>
          <w:rFonts w:ascii="Times New Roman" w:hAnsi="Times New Roman" w:cs="Times New Roman" w:eastAsia="Times New Roman" w:hint="default"/>
          <w:spacing w:val="-2"/>
        </w:rPr>
        <w:t>2022</w:t>
      </w:r>
      <w:r>
        <w:rPr>
          <w:spacing w:val="-2"/>
        </w:rPr>
        <w:t>年第十九届亚运会组委会官网采购</w:t>
      </w:r>
      <w:r>
        <w:rPr>
          <w:spacing w:val="-60"/>
        </w:rPr>
        <w:t> </w:t>
      </w:r>
      <w:r>
        <w:rPr/>
        <w:t>项目。</w:t>
      </w:r>
    </w:p>
    <w:p>
      <w:pPr>
        <w:spacing w:line="451" w:lineRule="auto" w:before="74"/>
        <w:ind w:left="671" w:right="125" w:firstLine="4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、政府资源和公共关系优势</w:t>
      </w:r>
      <w:r>
        <w:rPr>
          <w:rFonts w:ascii="宋体" w:hAnsi="宋体" w:cs="宋体" w:eastAsia="宋体" w:hint="default"/>
          <w:b/>
          <w:bCs/>
          <w:w w:val="99"/>
          <w:sz w:val="18"/>
          <w:szCs w:val="18"/>
        </w:rPr>
        <w:t> </w:t>
      </w:r>
      <w:r>
        <w:rPr>
          <w:rFonts w:ascii="宋体" w:hAnsi="宋体" w:cs="宋体" w:eastAsia="宋体" w:hint="default"/>
          <w:spacing w:val="-2"/>
          <w:sz w:val="18"/>
          <w:szCs w:val="18"/>
        </w:rPr>
        <w:t>作为国有文化企业集团，公司拥有良好的政府资源和公共关系资源优势。公司实际控制人杭报集团得到各级政府的高</w:t>
      </w:r>
    </w:p>
    <w:p>
      <w:pPr>
        <w:pStyle w:val="BodyText"/>
        <w:spacing w:line="458" w:lineRule="auto" w:before="74"/>
        <w:ind w:right="191"/>
        <w:jc w:val="both"/>
      </w:pPr>
      <w:r>
        <w:rPr>
          <w:spacing w:val="-2"/>
        </w:rPr>
        <w:t>度重视和大力支持，在文化体制改革中得以享受政策优惠。报告期内，公司举办包含了第二届全球跨境电商峰会和第一届跨</w:t>
      </w:r>
      <w:r>
        <w:rPr>
          <w:spacing w:val="-66"/>
        </w:rPr>
        <w:t> </w:t>
      </w:r>
      <w:r>
        <w:rPr>
          <w:spacing w:val="-66"/>
        </w:rPr>
      </w:r>
      <w:r>
        <w:rPr>
          <w:spacing w:val="-2"/>
        </w:rPr>
        <w:t>境电商进口博览会的第四届中国（杭州）国际电子商务博览会、童博会、老博会、红木展和</w:t>
      </w:r>
      <w:r>
        <w:rPr>
          <w:rFonts w:ascii="Times New Roman" w:hAnsi="Times New Roman" w:cs="Times New Roman" w:eastAsia="Times New Roman" w:hint="default"/>
          <w:spacing w:val="-2"/>
        </w:rPr>
        <w:t>“</w:t>
      </w:r>
      <w:r>
        <w:rPr>
          <w:spacing w:val="-2"/>
        </w:rPr>
        <w:t>万物生长大会</w:t>
      </w:r>
      <w:r>
        <w:rPr>
          <w:rFonts w:ascii="Times New Roman" w:hAnsi="Times New Roman" w:cs="Times New Roman" w:eastAsia="Times New Roman" w:hint="default"/>
          <w:spacing w:val="-2"/>
        </w:rPr>
        <w:t>”</w:t>
      </w:r>
      <w:r>
        <w:rPr>
          <w:spacing w:val="-2"/>
        </w:rPr>
        <w:t>等各类大中型会</w:t>
      </w:r>
      <w:r>
        <w:rPr>
          <w:spacing w:val="-44"/>
        </w:rPr>
        <w:t> </w:t>
      </w:r>
      <w:r>
        <w:rPr>
          <w:spacing w:val="-3"/>
        </w:rPr>
        <w:t>展，超过</w:t>
      </w:r>
      <w:r>
        <w:rPr>
          <w:rFonts w:ascii="Times New Roman" w:hAnsi="Times New Roman" w:cs="Times New Roman" w:eastAsia="Times New Roman" w:hint="default"/>
          <w:spacing w:val="-3"/>
        </w:rPr>
        <w:t>47</w:t>
      </w:r>
      <w:r>
        <w:rPr>
          <w:spacing w:val="-3"/>
        </w:rPr>
        <w:t>场，进一步扩大了公司会展品牌的影响力。</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27</w:t>
      </w:r>
      <w:r>
        <w:rPr>
          <w:spacing w:val="-3"/>
        </w:rPr>
        <w:t>日至</w:t>
      </w:r>
      <w:r>
        <w:rPr>
          <w:rFonts w:ascii="Times New Roman" w:hAnsi="Times New Roman" w:cs="Times New Roman" w:eastAsia="Times New Roman" w:hint="default"/>
          <w:spacing w:val="-3"/>
        </w:rPr>
        <w:t>29</w:t>
      </w:r>
      <w:r>
        <w:rPr>
          <w:spacing w:val="-3"/>
        </w:rPr>
        <w:t>日，公司全资子公司都快控股举办的首届杭州（国</w:t>
      </w:r>
      <w:r>
        <w:rPr>
          <w:spacing w:val="-84"/>
        </w:rPr>
        <w:t> </w:t>
      </w:r>
      <w:r>
        <w:rPr>
          <w:spacing w:val="-84"/>
        </w:rPr>
      </w:r>
      <w:r>
        <w:rPr/>
        <w:t>际）未来生活节，吸引了近百家企业参展，成为本地又一现象级展会。公司作为第一大股东的</w:t>
      </w:r>
      <w:r>
        <w:rPr>
          <w:rFonts w:ascii="Times New Roman" w:hAnsi="Times New Roman" w:cs="Times New Roman" w:eastAsia="Times New Roman" w:hint="default"/>
        </w:rPr>
        <w:t>19</w:t>
      </w:r>
      <w:r>
        <w:rPr/>
        <w:t>楼，报告期内举办了</w:t>
      </w:r>
      <w:r>
        <w:rPr>
          <w:rFonts w:ascii="Times New Roman" w:hAnsi="Times New Roman" w:cs="Times New Roman" w:eastAsia="Times New Roman" w:hint="default"/>
        </w:rPr>
        <w:t>3</w:t>
      </w:r>
      <w:r>
        <w:rPr/>
        <w:t>场结 婚采购大会，</w:t>
      </w:r>
      <w:r>
        <w:rPr>
          <w:rFonts w:ascii="Times New Roman" w:hAnsi="Times New Roman" w:cs="Times New Roman" w:eastAsia="Times New Roman" w:hint="default"/>
        </w:rPr>
        <w:t>2</w:t>
      </w:r>
      <w:r>
        <w:rPr/>
        <w:t>场家博会，</w:t>
      </w:r>
      <w:r>
        <w:rPr>
          <w:rFonts w:ascii="Times New Roman" w:hAnsi="Times New Roman" w:cs="Times New Roman" w:eastAsia="Times New Roman" w:hint="default"/>
        </w:rPr>
        <w:t>2</w:t>
      </w:r>
      <w:r>
        <w:rPr/>
        <w:t>场万人相亲嘉年华活动以及</w:t>
      </w:r>
      <w:r>
        <w:rPr>
          <w:rFonts w:ascii="Times New Roman" w:hAnsi="Times New Roman" w:cs="Times New Roman" w:eastAsia="Times New Roman" w:hint="default"/>
        </w:rPr>
        <w:t>1</w:t>
      </w:r>
      <w:r>
        <w:rPr/>
        <w:t>场亲子嘉年华活动，均获得了良好成效。</w:t>
      </w:r>
    </w:p>
    <w:p>
      <w:pPr>
        <w:pStyle w:val="BodyText"/>
        <w:spacing w:line="451" w:lineRule="auto" w:before="37"/>
        <w:ind w:left="634" w:right="125" w:firstLine="80"/>
        <w:jc w:val="left"/>
      </w:pPr>
      <w:r>
        <w:rPr>
          <w:rFonts w:ascii="Times New Roman" w:hAnsi="Times New Roman" w:cs="Times New Roman" w:eastAsia="Times New Roman" w:hint="default"/>
          <w:b/>
          <w:bCs/>
        </w:rPr>
        <w:t>4</w:t>
      </w:r>
      <w:r>
        <w:rPr>
          <w:rFonts w:ascii="宋体" w:hAnsi="宋体" w:cs="宋体" w:eastAsia="宋体" w:hint="default"/>
          <w:b/>
          <w:bCs/>
        </w:rPr>
        <w:t>、教育资源优势</w:t>
      </w:r>
      <w:r>
        <w:rPr>
          <w:rFonts w:ascii="宋体" w:hAnsi="宋体" w:cs="宋体" w:eastAsia="宋体" w:hint="default"/>
          <w:b/>
          <w:bCs/>
          <w:w w:val="99"/>
        </w:rPr>
        <w:t> </w:t>
      </w:r>
      <w:r>
        <w:rPr>
          <w:spacing w:val="-1"/>
        </w:rPr>
        <w:t>公司的教育业务已经涵盖职业教育、国际教育、</w:t>
      </w:r>
      <w:r>
        <w:rPr>
          <w:rFonts w:ascii="Times New Roman" w:hAnsi="Times New Roman" w:cs="Times New Roman" w:eastAsia="Times New Roman" w:hint="default"/>
          <w:spacing w:val="-1"/>
        </w:rPr>
        <w:t>IT</w:t>
      </w:r>
      <w:r>
        <w:rPr>
          <w:spacing w:val="-1"/>
        </w:rPr>
        <w:t>教育、艺术教育、在线教育、幼儿教育和假期培训等板块。其中职</w:t>
      </w:r>
    </w:p>
    <w:p>
      <w:pPr>
        <w:pStyle w:val="BodyText"/>
        <w:spacing w:line="240" w:lineRule="auto" w:before="43"/>
        <w:ind w:right="0"/>
        <w:jc w:val="both"/>
      </w:pPr>
      <w:r>
        <w:rPr>
          <w:spacing w:val="-4"/>
        </w:rPr>
        <w:t>业教育继续维持在区域范围内的领先优势。各板块布局完整、发展顺利。公司并购的中教未来公司，业务范围覆盖包括北京、</w:t>
      </w:r>
    </w:p>
    <w:p>
      <w:pPr>
        <w:spacing w:after="0" w:line="240" w:lineRule="auto"/>
        <w:jc w:val="both"/>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8" w:lineRule="auto"/>
        <w:ind w:left="153" w:right="186"/>
        <w:jc w:val="both"/>
      </w:pPr>
      <w:r>
        <w:rPr>
          <w:spacing w:val="-2"/>
        </w:rPr>
        <w:t>杭州、广州等在内的数十个大中城市，与这些城市所在的众多高校建立了长期合作关系。报告期内，子公司中教未来收购了</w:t>
      </w:r>
      <w:r>
        <w:rPr>
          <w:spacing w:val="-66"/>
        </w:rPr>
        <w:t> </w:t>
      </w:r>
      <w:r>
        <w:rPr>
          <w:spacing w:val="-66"/>
        </w:rPr>
      </w:r>
      <w:r>
        <w:rPr>
          <w:spacing w:val="-1"/>
        </w:rPr>
        <w:t>布朗时代和布朗睿智各</w:t>
      </w:r>
      <w:r>
        <w:rPr>
          <w:rFonts w:ascii="Times New Roman" w:hAnsi="Times New Roman" w:cs="Times New Roman" w:eastAsia="Times New Roman" w:hint="default"/>
          <w:spacing w:val="-1"/>
        </w:rPr>
        <w:t>30%</w:t>
      </w:r>
      <w:r>
        <w:rPr>
          <w:spacing w:val="-1"/>
        </w:rPr>
        <w:t>股权，完善了公司的教育业务链。公司设立全资子公司浙江华媒教育科技有限公司，收购了杭州</w:t>
      </w:r>
      <w:r>
        <w:rPr>
          <w:spacing w:val="-86"/>
        </w:rPr>
        <w:t> </w:t>
      </w:r>
      <w:r>
        <w:rPr>
          <w:spacing w:val="-86"/>
        </w:rPr>
      </w:r>
      <w:r>
        <w:rPr/>
        <w:t>萧山萧报教育咨询有限公司和杭州华媒企业管理有限公司（原名浙江世文教育科技有限公司）</w:t>
      </w:r>
      <w:r>
        <w:rPr>
          <w:rFonts w:ascii="Times New Roman" w:hAnsi="Times New Roman" w:cs="Times New Roman" w:eastAsia="Times New Roman" w:hint="default"/>
        </w:rPr>
        <w:t>100%</w:t>
      </w:r>
      <w:r>
        <w:rPr/>
        <w:t>股权，消除集团内部教</w:t>
      </w:r>
      <w:r>
        <w:rPr>
          <w:spacing w:val="-57"/>
        </w:rPr>
        <w:t> </w:t>
      </w:r>
      <w:r>
        <w:rPr>
          <w:spacing w:val="-57"/>
        </w:rPr>
      </w:r>
      <w:r>
        <w:rPr/>
        <w:t>育培训领域同业竞争，加上原有的杭州都市快报教育文化创意有限公司，进一步完善了公司教育网络建设。</w:t>
      </w:r>
    </w:p>
    <w:p>
      <w:pPr>
        <w:pStyle w:val="Heading5"/>
        <w:spacing w:line="240" w:lineRule="auto" w:before="68"/>
        <w:ind w:left="671" w:right="125"/>
        <w:jc w:val="left"/>
        <w:rPr>
          <w:b w:val="0"/>
          <w:bCs w:val="0"/>
        </w:rPr>
      </w:pPr>
      <w:r>
        <w:rPr>
          <w:rFonts w:ascii="Times New Roman" w:hAnsi="Times New Roman" w:cs="Times New Roman" w:eastAsia="Times New Roman" w:hint="default"/>
        </w:rPr>
        <w:t>5</w:t>
      </w:r>
      <w:r>
        <w:rPr/>
        <w:t>、用户平台集聚优势</w:t>
      </w:r>
      <w:r>
        <w:rPr>
          <w:b w:val="0"/>
          <w:bCs w:val="0"/>
        </w:rPr>
      </w:r>
    </w:p>
    <w:p>
      <w:pPr>
        <w:spacing w:line="240" w:lineRule="auto" w:before="9"/>
        <w:rPr>
          <w:rFonts w:ascii="宋体" w:hAnsi="宋体" w:cs="宋体" w:eastAsia="宋体" w:hint="default"/>
          <w:b/>
          <w:bCs/>
          <w:sz w:val="16"/>
          <w:szCs w:val="16"/>
        </w:rPr>
      </w:pPr>
    </w:p>
    <w:p>
      <w:pPr>
        <w:spacing w:line="451" w:lineRule="auto" w:before="0"/>
        <w:ind w:left="671" w:right="12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）现代传媒集群核心平台</w:t>
      </w:r>
      <w:r>
        <w:rPr>
          <w:rFonts w:ascii="宋体" w:hAnsi="宋体" w:cs="宋体" w:eastAsia="宋体" w:hint="default"/>
          <w:b/>
          <w:bCs/>
          <w:w w:val="99"/>
          <w:sz w:val="18"/>
          <w:szCs w:val="18"/>
        </w:rPr>
        <w:t> </w:t>
      </w:r>
      <w:r>
        <w:rPr>
          <w:rFonts w:ascii="宋体" w:hAnsi="宋体" w:cs="宋体" w:eastAsia="宋体" w:hint="default"/>
          <w:spacing w:val="-2"/>
          <w:sz w:val="18"/>
          <w:szCs w:val="18"/>
        </w:rPr>
        <w:t>公司运营的报刊媒体、互联网站点和移动互联网产品，共同构成平台坚实基础。平台拥有庞大的用户群，控股股东承</w:t>
      </w:r>
    </w:p>
    <w:p>
      <w:pPr>
        <w:pStyle w:val="BodyText"/>
        <w:spacing w:line="477" w:lineRule="auto" w:before="74"/>
        <w:ind w:left="671" w:right="125" w:hanging="518"/>
        <w:jc w:val="left"/>
      </w:pPr>
      <w:r>
        <w:rPr/>
        <w:t>担主流媒体舆论引导和文化服务双重责任，公司负责全部运营事务。 </w:t>
      </w:r>
      <w:r>
        <w:rPr>
          <w:spacing w:val="-2"/>
        </w:rPr>
        <w:t>杭州网旗下支站覆盖全地区各个县（市、区）；快房网为行业大型垂直门户网站，在省内居于房产专业网站前列；萧</w:t>
      </w:r>
    </w:p>
    <w:p>
      <w:pPr>
        <w:pStyle w:val="BodyText"/>
        <w:spacing w:line="477" w:lineRule="auto" w:before="54"/>
        <w:ind w:left="153" w:right="101"/>
        <w:jc w:val="both"/>
      </w:pPr>
      <w:r>
        <w:rPr>
          <w:spacing w:val="-4"/>
        </w:rPr>
        <w:t>山网、余杭新闻网和富阳新闻网为所在区域互联网主流媒体，媒体公信力和影响力领先，三网作为县（市、区）域门户网站，</w:t>
      </w:r>
      <w:r>
        <w:rPr>
          <w:spacing w:val="-44"/>
        </w:rPr>
        <w:t> </w:t>
      </w:r>
      <w:r>
        <w:rPr>
          <w:spacing w:val="-44"/>
        </w:rPr>
      </w:r>
      <w:r>
        <w:rPr/>
        <w:t>居于同类型网站全国或全省领先地位。公司为第一大股东的社区网站</w:t>
      </w:r>
      <w:r>
        <w:rPr>
          <w:rFonts w:ascii="Times New Roman" w:hAnsi="Times New Roman" w:cs="Times New Roman" w:eastAsia="Times New Roman" w:hint="default"/>
        </w:rPr>
        <w:t>19</w:t>
      </w:r>
      <w:r>
        <w:rPr/>
        <w:t>楼，为本地用户提供优质的生活交流服务。</w:t>
      </w:r>
    </w:p>
    <w:p>
      <w:pPr>
        <w:pStyle w:val="BodyText"/>
        <w:spacing w:line="451" w:lineRule="auto" w:before="21"/>
        <w:ind w:left="153" w:right="125" w:firstLine="517"/>
        <w:jc w:val="left"/>
      </w:pPr>
      <w:r>
        <w:rPr>
          <w:spacing w:val="-1"/>
        </w:rPr>
        <w:t>报告期内，适应移动互联网时代，公司平面媒体订阅户近百万，各类新媒体产品包括手机</w:t>
      </w:r>
      <w:r>
        <w:rPr>
          <w:rFonts w:ascii="Times New Roman" w:hAnsi="Times New Roman" w:cs="Times New Roman" w:eastAsia="Times New Roman" w:hint="default"/>
          <w:spacing w:val="-1"/>
        </w:rPr>
        <w:t>APP</w:t>
      </w:r>
      <w:r>
        <w:rPr>
          <w:spacing w:val="-1"/>
        </w:rPr>
        <w:t>、微信公众号、移动视</w:t>
      </w:r>
      <w:r>
        <w:rPr/>
        <w:t> </w:t>
      </w:r>
      <w:r>
        <w:rPr>
          <w:spacing w:val="-2"/>
        </w:rPr>
        <w:t>频产品、官方微博号和互联网社区等，共有用户数（含</w:t>
      </w:r>
      <w:r>
        <w:rPr>
          <w:rFonts w:ascii="Times New Roman" w:hAnsi="Times New Roman" w:cs="Times New Roman" w:eastAsia="Times New Roman" w:hint="default"/>
          <w:spacing w:val="-2"/>
        </w:rPr>
        <w:t>APP</w:t>
      </w:r>
      <w:r>
        <w:rPr>
          <w:spacing w:val="-2"/>
        </w:rPr>
        <w:t>活跃用户、微信订阅数、微博粉丝数、社区注册用户、移动视频</w:t>
      </w:r>
      <w:r>
        <w:rPr>
          <w:spacing w:val="-37"/>
        </w:rPr>
        <w:t> </w:t>
      </w:r>
      <w:r>
        <w:rPr>
          <w:spacing w:val="-37"/>
        </w:rPr>
      </w:r>
      <w:r>
        <w:rPr/>
        <w:t>订阅户等）</w:t>
      </w:r>
      <w:r>
        <w:rPr>
          <w:rFonts w:ascii="Times New Roman" w:hAnsi="Times New Roman" w:cs="Times New Roman" w:eastAsia="Times New Roman" w:hint="default"/>
        </w:rPr>
        <w:t>1.68</w:t>
      </w:r>
      <w:r>
        <w:rPr/>
        <w:t>亿，已经拥有网站</w:t>
      </w:r>
      <w:r>
        <w:rPr>
          <w:rFonts w:ascii="Times New Roman" w:hAnsi="Times New Roman" w:cs="Times New Roman" w:eastAsia="Times New Roman" w:hint="default"/>
        </w:rPr>
        <w:t>42</w:t>
      </w:r>
      <w:r>
        <w:rPr/>
        <w:t>家，手机</w:t>
      </w:r>
      <w:r>
        <w:rPr>
          <w:rFonts w:ascii="Times New Roman" w:hAnsi="Times New Roman" w:cs="Times New Roman" w:eastAsia="Times New Roman" w:hint="default"/>
        </w:rPr>
        <w:t>APP12</w:t>
      </w:r>
      <w:r>
        <w:rPr/>
        <w:t>个，微信公众号</w:t>
      </w:r>
      <w:r>
        <w:rPr>
          <w:rFonts w:ascii="Times New Roman" w:hAnsi="Times New Roman" w:cs="Times New Roman" w:eastAsia="Times New Roman" w:hint="default"/>
        </w:rPr>
        <w:t>117</w:t>
      </w:r>
      <w:r>
        <w:rPr/>
        <w:t>个，微博官微</w:t>
      </w:r>
      <w:r>
        <w:rPr>
          <w:rFonts w:ascii="Times New Roman" w:hAnsi="Times New Roman" w:cs="Times New Roman" w:eastAsia="Times New Roman" w:hint="default"/>
        </w:rPr>
        <w:t>21</w:t>
      </w:r>
      <w:r>
        <w:rPr/>
        <w:t>个，手机报产品</w:t>
      </w:r>
      <w:r>
        <w:rPr>
          <w:rFonts w:ascii="Times New Roman" w:hAnsi="Times New Roman" w:cs="Times New Roman" w:eastAsia="Times New Roman" w:hint="default"/>
        </w:rPr>
        <w:t>9</w:t>
      </w:r>
      <w:r>
        <w:rPr/>
        <w:t>个，数字报产品</w:t>
      </w:r>
      <w:r>
        <w:rPr>
          <w:rFonts w:ascii="Times New Roman" w:hAnsi="Times New Roman" w:cs="Times New Roman" w:eastAsia="Times New Roman" w:hint="default"/>
        </w:rPr>
        <w:t>4 </w:t>
      </w:r>
      <w:r>
        <w:rPr/>
        <w:t>个，为报业集团媒体公信力和公司经营的市场影响力打下了扎实的用户基础。</w:t>
      </w:r>
    </w:p>
    <w:p>
      <w:pPr>
        <w:pStyle w:val="BodyText"/>
        <w:spacing w:line="451" w:lineRule="auto" w:before="74"/>
        <w:ind w:left="724" w:right="181" w:hanging="53"/>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）文创园区运维平台</w:t>
      </w:r>
      <w:r>
        <w:rPr>
          <w:rFonts w:ascii="宋体" w:hAnsi="宋体" w:cs="宋体" w:eastAsia="宋体" w:hint="default"/>
          <w:b/>
          <w:bCs/>
          <w:w w:val="99"/>
        </w:rPr>
        <w:t> </w:t>
      </w:r>
      <w:r>
        <w:rPr/>
        <w:t>公司参股的杭州华创全媒科创园区管理有限公司运作的华媒科创园，园区整体改造面积</w:t>
      </w:r>
      <w:r>
        <w:rPr>
          <w:rFonts w:ascii="Times New Roman" w:hAnsi="Times New Roman" w:cs="Times New Roman" w:eastAsia="Times New Roman" w:hint="default"/>
        </w:rPr>
        <w:t>43,400 </w:t>
      </w:r>
      <w:r>
        <w:rPr>
          <w:rFonts w:ascii="Times New Roman" w:hAnsi="Times New Roman" w:cs="Times New Roman" w:eastAsia="Times New Roman" w:hint="default"/>
          <w:spacing w:val="14"/>
        </w:rPr>
        <w:t> </w:t>
      </w:r>
      <w:r>
        <w:rPr/>
        <w:t>㎡，报告期内已签约</w:t>
      </w:r>
    </w:p>
    <w:p>
      <w:pPr>
        <w:pStyle w:val="BodyText"/>
        <w:spacing w:line="451" w:lineRule="auto" w:before="43"/>
        <w:ind w:right="191"/>
        <w:jc w:val="both"/>
      </w:pPr>
      <w:r>
        <w:rPr>
          <w:spacing w:val="-1"/>
        </w:rPr>
        <w:t>企业</w:t>
      </w:r>
      <w:r>
        <w:rPr>
          <w:rFonts w:ascii="Times New Roman" w:hAnsi="Times New Roman" w:cs="Times New Roman" w:eastAsia="Times New Roman" w:hint="default"/>
          <w:spacing w:val="-1"/>
        </w:rPr>
        <w:t>115</w:t>
      </w:r>
      <w:r>
        <w:rPr>
          <w:spacing w:val="-1"/>
        </w:rPr>
        <w:t>家，入驻或装修进程中的</w:t>
      </w:r>
      <w:r>
        <w:rPr>
          <w:rFonts w:ascii="Times New Roman" w:hAnsi="Times New Roman" w:cs="Times New Roman" w:eastAsia="Times New Roman" w:hint="default"/>
          <w:spacing w:val="-1"/>
        </w:rPr>
        <w:t>7</w:t>
      </w:r>
      <w:r>
        <w:rPr>
          <w:spacing w:val="-1"/>
        </w:rPr>
        <w:t>家，入驻手续办理中的</w:t>
      </w:r>
      <w:r>
        <w:rPr>
          <w:rFonts w:ascii="Times New Roman" w:hAnsi="Times New Roman" w:cs="Times New Roman" w:eastAsia="Times New Roman" w:hint="default"/>
          <w:spacing w:val="-1"/>
        </w:rPr>
        <w:t>3</w:t>
      </w:r>
      <w:r>
        <w:rPr>
          <w:spacing w:val="-1"/>
        </w:rPr>
        <w:t>家，完成园区</w:t>
      </w:r>
      <w:r>
        <w:rPr>
          <w:rFonts w:ascii="Times New Roman" w:hAnsi="Times New Roman" w:cs="Times New Roman" w:eastAsia="Times New Roman" w:hint="default"/>
          <w:spacing w:val="-1"/>
        </w:rPr>
        <w:t>100%</w:t>
      </w:r>
      <w:r>
        <w:rPr>
          <w:spacing w:val="-1"/>
        </w:rPr>
        <w:t>满租。华媒科创园抓住阿里创新中心入驻园区</w:t>
      </w:r>
      <w:r>
        <w:rPr>
          <w:spacing w:val="-88"/>
        </w:rPr>
        <w:t> </w:t>
      </w:r>
      <w:r>
        <w:rPr>
          <w:spacing w:val="-88"/>
        </w:rPr>
      </w:r>
      <w:r>
        <w:rPr>
          <w:spacing w:val="-2"/>
        </w:rPr>
        <w:t>的契机，成功引入了国家级众创空间、知名创业孵化企业</w:t>
      </w:r>
      <w:r>
        <w:rPr>
          <w:rFonts w:ascii="Times New Roman" w:hAnsi="Times New Roman" w:cs="Times New Roman" w:eastAsia="Times New Roman" w:hint="default"/>
          <w:spacing w:val="-2"/>
        </w:rPr>
        <w:t>——</w:t>
      </w:r>
      <w:r>
        <w:rPr>
          <w:spacing w:val="-2"/>
        </w:rPr>
        <w:t>良仓加速器，并借助其创业生态和孵化能力共同开展华媒控股</w:t>
      </w:r>
      <w:r>
        <w:rPr>
          <w:spacing w:val="-66"/>
        </w:rPr>
        <w:t> </w:t>
      </w:r>
      <w:r>
        <w:rPr>
          <w:spacing w:val="-66"/>
        </w:rPr>
      </w:r>
      <w:r>
        <w:rPr/>
        <w:t>第三届创新创业大赛的各项工作。</w:t>
      </w:r>
    </w:p>
    <w:p>
      <w:pPr>
        <w:pStyle w:val="BodyText"/>
        <w:spacing w:line="451" w:lineRule="auto" w:before="74"/>
        <w:ind w:right="125" w:firstLine="570"/>
        <w:jc w:val="left"/>
      </w:pPr>
      <w:r>
        <w:rPr/>
        <w:t>杭报传媒控股子公司杭州日报华知投资有限公司具体运作的创投孵化项目</w:t>
      </w:r>
      <w:r>
        <w:rPr>
          <w:rFonts w:ascii="Times New Roman" w:hAnsi="Times New Roman" w:cs="Times New Roman" w:eastAsia="Times New Roman" w:hint="default"/>
        </w:rPr>
        <w:t>“</w:t>
      </w:r>
      <w:r>
        <w:rPr/>
        <w:t>第七空间</w:t>
      </w:r>
      <w:r>
        <w:rPr>
          <w:rFonts w:ascii="Times New Roman" w:hAnsi="Times New Roman" w:cs="Times New Roman" w:eastAsia="Times New Roman" w:hint="default"/>
        </w:rPr>
        <w:t>”</w:t>
      </w:r>
      <w:r>
        <w:rPr/>
        <w:t>获得省级优秀众创空间奖励</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万元、余杭区科技局运营奖励</w:t>
      </w:r>
      <w:r>
        <w:rPr>
          <w:rFonts w:ascii="Times New Roman" w:hAnsi="Times New Roman" w:cs="Times New Roman" w:eastAsia="Times New Roman" w:hint="default"/>
        </w:rPr>
        <w:t>300</w:t>
      </w:r>
      <w:r>
        <w:rPr/>
        <w:t>万元。</w:t>
      </w:r>
    </w:p>
    <w:p>
      <w:pPr>
        <w:pStyle w:val="BodyText"/>
        <w:spacing w:line="477" w:lineRule="auto" w:before="43"/>
        <w:ind w:right="125" w:firstLine="570"/>
        <w:jc w:val="left"/>
      </w:pPr>
      <w:r>
        <w:rPr/>
        <w:t>现有文创园区项目帮助公司在园区运维方面积累了大量宝贵经验。公司后续将总结园区产业管理经验，设立专业管 </w:t>
      </w:r>
      <w:r>
        <w:rPr>
          <w:spacing w:val="-2"/>
        </w:rPr>
        <w:t>理机构，创新属营分离机制改革。通过政府政策扶持和市场化竞争并举模式，努力构建文创园区、文创产业、创业孵化三位</w:t>
      </w:r>
      <w:r>
        <w:rPr>
          <w:spacing w:val="-66"/>
        </w:rPr>
        <w:t> </w:t>
      </w:r>
      <w:r>
        <w:rPr>
          <w:spacing w:val="-66"/>
        </w:rPr>
      </w:r>
      <w:r>
        <w:rPr/>
        <w:t>一体的集群格局，树立</w:t>
      </w:r>
      <w:r>
        <w:rPr>
          <w:rFonts w:ascii="Times New Roman" w:hAnsi="Times New Roman" w:cs="Times New Roman" w:eastAsia="Times New Roman" w:hint="default"/>
        </w:rPr>
        <w:t>“</w:t>
      </w:r>
      <w:r>
        <w:rPr/>
        <w:t>华媒</w:t>
      </w:r>
      <w:r>
        <w:rPr>
          <w:rFonts w:ascii="Times New Roman" w:hAnsi="Times New Roman" w:cs="Times New Roman" w:eastAsia="Times New Roman" w:hint="default"/>
        </w:rPr>
        <w:t>”</w:t>
      </w:r>
      <w:r>
        <w:rPr/>
        <w:t>文创综合体统一品牌。</w:t>
      </w:r>
    </w:p>
    <w:p>
      <w:pPr>
        <w:spacing w:line="451" w:lineRule="auto" w:before="21"/>
        <w:ind w:left="714" w:right="250" w:hanging="44"/>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）文创投融资和交易平台</w:t>
      </w:r>
      <w:r>
        <w:rPr>
          <w:rFonts w:ascii="宋体" w:hAnsi="宋体" w:cs="宋体" w:eastAsia="宋体" w:hint="default"/>
          <w:b/>
          <w:bCs/>
          <w:w w:val="99"/>
          <w:sz w:val="18"/>
          <w:szCs w:val="18"/>
        </w:rPr>
        <w:t> </w:t>
      </w:r>
      <w:r>
        <w:rPr>
          <w:rFonts w:ascii="宋体" w:hAnsi="宋体" w:cs="宋体" w:eastAsia="宋体" w:hint="default"/>
          <w:sz w:val="18"/>
          <w:szCs w:val="18"/>
        </w:rPr>
        <w:t>公司继设立专营投资业务的全资子公司浙江华媒投资有限公司，在多个子公司层面就文创投融资进行了布局。</w:t>
      </w:r>
      <w:r>
        <w:rPr>
          <w:rFonts w:ascii="Times New Roman" w:hAnsi="Times New Roman" w:cs="Times New Roman" w:eastAsia="Times New Roman" w:hint="default"/>
          <w:sz w:val="18"/>
          <w:szCs w:val="18"/>
        </w:rPr>
        <w:t>2017</w:t>
      </w:r>
    </w:p>
    <w:p>
      <w:pPr>
        <w:pStyle w:val="BodyText"/>
        <w:spacing w:line="451" w:lineRule="auto" w:before="43"/>
        <w:ind w:left="671" w:right="89" w:hanging="518"/>
        <w:jc w:val="left"/>
      </w:pPr>
      <w:r>
        <w:rPr/>
        <w:t>年</w:t>
      </w:r>
      <w:r>
        <w:rPr>
          <w:rFonts w:ascii="Times New Roman" w:hAnsi="Times New Roman" w:cs="Times New Roman" w:eastAsia="Times New Roman" w:hint="default"/>
        </w:rPr>
        <w:t>3</w:t>
      </w:r>
      <w:r>
        <w:rPr/>
        <w:t>月，杭州市创业投资协会授牌落地杭报集团，公司创新创业迈出了新的一步。 </w:t>
      </w:r>
      <w:r>
        <w:rPr>
          <w:spacing w:val="-3"/>
        </w:rPr>
        <w:t>公司运营的杭州市文化产权交易所，已经成功搭建国有文化产权交易服务平台，报告期内，线上电子交易业务获得省、</w:t>
      </w:r>
    </w:p>
    <w:p>
      <w:pPr>
        <w:pStyle w:val="BodyText"/>
        <w:spacing w:line="240" w:lineRule="auto" w:before="74"/>
        <w:ind w:right="0"/>
        <w:jc w:val="both"/>
      </w:pPr>
      <w:r>
        <w:rPr/>
        <w:t>市金融监管部门审批通过。平台挂牌交易项目涉及国企增资、股权转让、资产处置等，地域涵盖杭州、上海等地。全面推进</w:t>
      </w:r>
    </w:p>
    <w:p>
      <w:pPr>
        <w:spacing w:after="0" w:line="240" w:lineRule="auto"/>
        <w:jc w:val="both"/>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53" w:right="0"/>
        <w:jc w:val="left"/>
      </w:pPr>
      <w:r>
        <w:rPr>
          <w:spacing w:val="-2"/>
        </w:rPr>
        <w:t>互联网交易业务，交易品类涵盖收藏品和其他文化艺术用品。文交所已成为阿里巴巴集团旗下资产处置平台全国首批授权服</w:t>
      </w:r>
      <w:r>
        <w:rPr>
          <w:spacing w:val="-64"/>
        </w:rPr>
        <w:t> </w:t>
      </w:r>
      <w:r>
        <w:rPr>
          <w:spacing w:val="-64"/>
        </w:rPr>
      </w:r>
      <w:r>
        <w:rPr/>
        <w:t>务机构，并成为淘宝拍卖平台拥有全品类交易资质和</w:t>
      </w:r>
      <w:r>
        <w:rPr>
          <w:rFonts w:ascii="Times New Roman" w:hAnsi="Times New Roman" w:cs="Times New Roman" w:eastAsia="Times New Roman" w:hint="default"/>
        </w:rPr>
        <w:t>“</w:t>
      </w:r>
      <w:r>
        <w:rPr/>
        <w:t>印石交易平台</w:t>
      </w:r>
      <w:r>
        <w:rPr>
          <w:rFonts w:ascii="Times New Roman" w:hAnsi="Times New Roman" w:cs="Times New Roman" w:eastAsia="Times New Roman" w:hint="default"/>
        </w:rPr>
        <w:t>”</w:t>
      </w:r>
      <w:r>
        <w:rPr/>
        <w:t>交易账号的战略合作伙伴。</w:t>
      </w:r>
    </w:p>
    <w:p>
      <w:pPr>
        <w:pStyle w:val="BodyText"/>
        <w:spacing w:line="451" w:lineRule="auto" w:before="21"/>
        <w:ind w:left="671" w:right="0"/>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）城市生活服务平台</w:t>
      </w:r>
      <w:r>
        <w:rPr>
          <w:rFonts w:ascii="宋体" w:hAnsi="宋体" w:cs="宋体" w:eastAsia="宋体" w:hint="default"/>
          <w:b/>
          <w:bCs/>
          <w:w w:val="99"/>
        </w:rPr>
        <w:t> </w:t>
      </w:r>
      <w:r>
        <w:rPr>
          <w:spacing w:val="-2"/>
        </w:rPr>
        <w:t>公司以报刊发行投递和电商物流配送、报刊印刷、包装印刷、互联网桌面轻印刷、户外媒体和地铁媒体构成城市生活</w:t>
      </w:r>
    </w:p>
    <w:p>
      <w:pPr>
        <w:pStyle w:val="BodyText"/>
        <w:spacing w:line="240" w:lineRule="auto" w:before="74"/>
        <w:ind w:right="0"/>
        <w:jc w:val="left"/>
      </w:pPr>
      <w:r>
        <w:rPr/>
        <w:t>服务平台，以服务带动开拓，赢得了市场。公司所属盛元印务是国家、省、市三级政府机关定点印刷企业。</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125"/>
        <w:jc w:val="left"/>
        <w:rPr>
          <w:b w:val="0"/>
          <w:bCs w:val="0"/>
        </w:rPr>
      </w:pPr>
      <w:bookmarkStart w:name="_TOC_250008" w:id="4"/>
      <w:r>
        <w:rPr/>
        <w:t>第四节</w:t>
      </w:r>
      <w:r>
        <w:rPr>
          <w:spacing w:val="-10"/>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25"/>
        <w:jc w:val="left"/>
        <w:rPr>
          <w:b w:val="0"/>
          <w:bCs w:val="0"/>
        </w:rPr>
      </w:pPr>
      <w:r>
        <w:rPr/>
        <w:t>一、概述</w:t>
      </w:r>
      <w:r>
        <w:rPr>
          <w:b w:val="0"/>
          <w:bCs w:val="0"/>
        </w:rPr>
      </w:r>
    </w:p>
    <w:p>
      <w:pPr>
        <w:spacing w:line="240" w:lineRule="auto" w:before="7"/>
        <w:rPr>
          <w:rFonts w:ascii="宋体" w:hAnsi="宋体" w:cs="宋体" w:eastAsia="宋体" w:hint="default"/>
          <w:b/>
          <w:bCs/>
          <w:sz w:val="32"/>
          <w:szCs w:val="32"/>
        </w:rPr>
      </w:pPr>
    </w:p>
    <w:p>
      <w:pPr>
        <w:pStyle w:val="BodyText"/>
        <w:spacing w:line="460" w:lineRule="auto"/>
        <w:ind w:left="153" w:right="91" w:firstLine="472"/>
        <w:jc w:val="left"/>
      </w:pPr>
      <w:r>
        <w:rPr>
          <w:spacing w:val="4"/>
        </w:rPr>
        <w:t>报告期内，公司实现营业收入</w:t>
      </w:r>
      <w:r>
        <w:rPr>
          <w:rFonts w:ascii="Times New Roman" w:hAnsi="Times New Roman" w:cs="Times New Roman" w:eastAsia="Times New Roman" w:hint="default"/>
          <w:spacing w:val="4"/>
        </w:rPr>
        <w:t>183,226.80</w:t>
      </w:r>
      <w:r>
        <w:rPr>
          <w:spacing w:val="4"/>
        </w:rPr>
        <w:t>万元，同比持平，归属上市公司股东的净利润为</w:t>
      </w:r>
      <w:r>
        <w:rPr>
          <w:rFonts w:ascii="Times New Roman" w:hAnsi="Times New Roman" w:cs="Times New Roman" w:eastAsia="Times New Roman" w:hint="default"/>
          <w:spacing w:val="4"/>
        </w:rPr>
        <w:t>14,680.98</w:t>
      </w:r>
      <w:r>
        <w:rPr>
          <w:spacing w:val="4"/>
        </w:rPr>
        <w:t>万元，同比下降</w:t>
      </w:r>
      <w:r>
        <w:rPr/>
        <w:t> </w:t>
      </w:r>
      <w:r>
        <w:rPr>
          <w:rFonts w:ascii="Times New Roman" w:hAnsi="Times New Roman" w:cs="Times New Roman" w:eastAsia="Times New Roman" w:hint="default"/>
        </w:rPr>
        <w:t>34.78%</w:t>
      </w:r>
      <w:r>
        <w:rPr/>
        <w:t>，扣除非经常性损益后的归属于上市公司股东的净利润为</w:t>
      </w:r>
      <w:r>
        <w:rPr>
          <w:rFonts w:ascii="Times New Roman" w:hAnsi="Times New Roman" w:cs="Times New Roman" w:eastAsia="Times New Roman" w:hint="default"/>
        </w:rPr>
        <w:t>8,028.96</w:t>
      </w:r>
      <w:r>
        <w:rPr/>
        <w:t>万元，同比下降</w:t>
      </w:r>
      <w:r>
        <w:rPr>
          <w:rFonts w:ascii="Times New Roman" w:hAnsi="Times New Roman" w:cs="Times New Roman" w:eastAsia="Times New Roman" w:hint="default"/>
        </w:rPr>
        <w:t>63.18%</w:t>
      </w:r>
      <w:r>
        <w:rPr/>
        <w:t>。主要原因系受行业发展的 </w:t>
      </w:r>
      <w:r>
        <w:rPr>
          <w:spacing w:val="-2"/>
        </w:rPr>
        <w:t>影响，公司广告、策划、印刷和发行等传统业务有所下滑，但是相关成本有所上升，其中印刷业务成本增幅较大；公司继续</w:t>
      </w:r>
      <w:r>
        <w:rPr>
          <w:spacing w:val="-68"/>
        </w:rPr>
        <w:t> </w:t>
      </w:r>
      <w:r>
        <w:rPr>
          <w:spacing w:val="-68"/>
        </w:rPr>
      </w:r>
      <w:r>
        <w:rPr/>
        <w:t>推动转型升级，但新媒体业务受相关行业政策调控的影响，业绩同比有所波动；教育业务和户外（地铁）广告处于扩张期， </w:t>
      </w:r>
      <w:r>
        <w:rPr>
          <w:spacing w:val="-4"/>
        </w:rPr>
        <w:t>营业收入和成本同步增长，利润增长规模尚不足以覆盖传统业务和新媒体业务的下滑部分。报告期内，公司基本每股收益</w:t>
      </w:r>
      <w:r>
        <w:rPr>
          <w:rFonts w:ascii="Times New Roman" w:hAnsi="Times New Roman" w:cs="Times New Roman" w:eastAsia="Times New Roman" w:hint="default"/>
          <w:spacing w:val="-4"/>
        </w:rPr>
        <w:t>0.14</w:t>
      </w:r>
      <w:r>
        <w:rPr>
          <w:rFonts w:ascii="Times New Roman" w:hAnsi="Times New Roman" w:cs="Times New Roman" w:eastAsia="Times New Roman" w:hint="default"/>
          <w:spacing w:val="-33"/>
        </w:rPr>
        <w:t> </w:t>
      </w:r>
      <w:r>
        <w:rPr/>
        <w:t>元。加权平均净资产收益率</w:t>
      </w:r>
      <w:r>
        <w:rPr>
          <w:rFonts w:ascii="Times New Roman" w:hAnsi="Times New Roman" w:cs="Times New Roman" w:eastAsia="Times New Roman" w:hint="default"/>
        </w:rPr>
        <w:t>8.04%</w:t>
      </w:r>
      <w:r>
        <w:rPr/>
        <w:t>。经营活动产生的现金流量净额同比下降</w:t>
      </w:r>
      <w:r>
        <w:rPr>
          <w:rFonts w:ascii="Times New Roman" w:hAnsi="Times New Roman" w:cs="Times New Roman" w:eastAsia="Times New Roman" w:hint="default"/>
        </w:rPr>
        <w:t>36.11%</w:t>
      </w:r>
      <w:r>
        <w:rPr/>
        <w:t>。</w:t>
      </w:r>
    </w:p>
    <w:p>
      <w:pPr>
        <w:pStyle w:val="BodyText"/>
        <w:spacing w:line="518" w:lineRule="auto" w:before="74"/>
        <w:ind w:left="641" w:right="125" w:hanging="134"/>
        <w:jc w:val="left"/>
      </w:pPr>
      <w:r>
        <w:rPr>
          <w:rFonts w:ascii="宋体" w:hAnsi="宋体" w:cs="宋体" w:eastAsia="宋体" w:hint="default"/>
          <w:b/>
          <w:bCs/>
        </w:rPr>
        <w:t>（一）教育业务快速拓展</w:t>
      </w:r>
      <w:r>
        <w:rPr>
          <w:rFonts w:ascii="宋体" w:hAnsi="宋体" w:cs="宋体" w:eastAsia="宋体" w:hint="default"/>
          <w:b/>
          <w:bCs/>
          <w:spacing w:val="1"/>
          <w:w w:val="99"/>
        </w:rPr>
        <w:t> </w:t>
      </w:r>
      <w:r>
        <w:rPr>
          <w:spacing w:val="-1"/>
        </w:rPr>
        <w:t>公司已经开展包括职业教育、国际教育、艺术教育、</w:t>
      </w:r>
      <w:r>
        <w:rPr>
          <w:rFonts w:ascii="Times New Roman" w:hAnsi="Times New Roman" w:cs="Times New Roman" w:eastAsia="Times New Roman" w:hint="default"/>
          <w:spacing w:val="-1"/>
        </w:rPr>
        <w:t>IT</w:t>
      </w:r>
      <w:r>
        <w:rPr>
          <w:spacing w:val="-1"/>
        </w:rPr>
        <w:t>教育、在线教育和幼儿教育在内的教育合作项目，由控股子公</w:t>
      </w:r>
    </w:p>
    <w:p>
      <w:pPr>
        <w:pStyle w:val="BodyText"/>
        <w:spacing w:line="222" w:lineRule="exact"/>
        <w:ind w:left="153" w:right="0"/>
        <w:jc w:val="left"/>
      </w:pPr>
      <w:r>
        <w:rPr/>
        <w:t>司中教未来负责运营。同时，公司通过整合集团其他教育培训类业务，积极完善教育网络建设，已设立华媒教育、华媒企业</w:t>
      </w:r>
    </w:p>
    <w:p>
      <w:pPr>
        <w:spacing w:line="240" w:lineRule="auto" w:before="11"/>
        <w:rPr>
          <w:rFonts w:ascii="宋体" w:hAnsi="宋体" w:cs="宋体" w:eastAsia="宋体" w:hint="default"/>
          <w:sz w:val="17"/>
          <w:szCs w:val="17"/>
        </w:rPr>
      </w:pPr>
    </w:p>
    <w:p>
      <w:pPr>
        <w:pStyle w:val="BodyText"/>
        <w:spacing w:line="516" w:lineRule="auto"/>
        <w:ind w:left="641" w:right="125" w:hanging="488"/>
        <w:jc w:val="left"/>
      </w:pPr>
      <w:r>
        <w:rPr/>
        <w:t>管理公司，用于统筹整合教育资源，开展教育类业务。 </w:t>
      </w:r>
      <w:r>
        <w:rPr>
          <w:spacing w:val="-2"/>
        </w:rPr>
        <w:t>报告期内，公司教育类业务实现营业收入</w:t>
      </w:r>
      <w:r>
        <w:rPr>
          <w:rFonts w:ascii="Times New Roman" w:hAnsi="Times New Roman" w:cs="Times New Roman" w:eastAsia="Times New Roman" w:hint="default"/>
          <w:spacing w:val="-2"/>
        </w:rPr>
        <w:t>21,288.74</w:t>
      </w:r>
      <w:r>
        <w:rPr>
          <w:spacing w:val="-2"/>
        </w:rPr>
        <w:t>万元，同比上升</w:t>
      </w:r>
      <w:r>
        <w:rPr>
          <w:rFonts w:ascii="Times New Roman" w:hAnsi="Times New Roman" w:cs="Times New Roman" w:eastAsia="Times New Roman" w:hint="default"/>
          <w:spacing w:val="-2"/>
        </w:rPr>
        <w:t>52.49%</w:t>
      </w:r>
      <w:r>
        <w:rPr>
          <w:spacing w:val="-2"/>
        </w:rPr>
        <w:t>，占公司营业总收入的比重为</w:t>
      </w:r>
      <w:r>
        <w:rPr>
          <w:rFonts w:ascii="Times New Roman" w:hAnsi="Times New Roman" w:cs="Times New Roman" w:eastAsia="Times New Roman" w:hint="default"/>
          <w:spacing w:val="-2"/>
        </w:rPr>
        <w:t>11.62%</w:t>
      </w:r>
      <w:r>
        <w:rPr>
          <w:spacing w:val="-2"/>
        </w:rPr>
        <w:t>。同比</w:t>
      </w:r>
    </w:p>
    <w:p>
      <w:pPr>
        <w:pStyle w:val="BodyText"/>
        <w:spacing w:line="487" w:lineRule="auto"/>
        <w:ind w:left="641" w:right="187" w:hanging="488"/>
        <w:jc w:val="left"/>
      </w:pPr>
      <w:r>
        <w:rPr/>
        <w:t>上升较大的主要原因为，中教未来系公司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月纳入公司合并报表范围，</w:t>
      </w:r>
      <w:r>
        <w:rPr>
          <w:rFonts w:ascii="Times New Roman" w:hAnsi="Times New Roman" w:cs="Times New Roman" w:eastAsia="Times New Roman" w:hint="default"/>
        </w:rPr>
        <w:t>2017</w:t>
      </w:r>
      <w:r>
        <w:rPr/>
        <w:t>年全年纳入，口径有所不同。 </w:t>
      </w:r>
      <w:r>
        <w:rPr>
          <w:spacing w:val="-1"/>
        </w:rPr>
        <w:t>报告期内，中教未来实现营业收入</w:t>
      </w:r>
      <w:r>
        <w:rPr>
          <w:rFonts w:ascii="Times New Roman" w:hAnsi="Times New Roman" w:cs="Times New Roman" w:eastAsia="Times New Roman" w:hint="default"/>
          <w:spacing w:val="-1"/>
        </w:rPr>
        <w:t>19,464.71</w:t>
      </w:r>
      <w:r>
        <w:rPr>
          <w:spacing w:val="-1"/>
        </w:rPr>
        <w:t>万元，同比上升</w:t>
      </w:r>
      <w:r>
        <w:rPr>
          <w:rFonts w:ascii="Times New Roman" w:hAnsi="Times New Roman" w:cs="Times New Roman" w:eastAsia="Times New Roman" w:hint="default"/>
          <w:spacing w:val="-1"/>
        </w:rPr>
        <w:t>24.92%</w:t>
      </w:r>
      <w:r>
        <w:rPr>
          <w:spacing w:val="-1"/>
        </w:rPr>
        <w:t>。公司积极拓展各省市教育项目，营业收入同比明</w:t>
      </w:r>
    </w:p>
    <w:p>
      <w:pPr>
        <w:pStyle w:val="BodyText"/>
        <w:spacing w:line="458" w:lineRule="auto" w:before="13"/>
        <w:ind w:left="153" w:right="83"/>
        <w:jc w:val="left"/>
      </w:pPr>
      <w:r>
        <w:rPr>
          <w:spacing w:val="-2"/>
        </w:rPr>
        <w:t>显增长，同时营业成本也有较大增加。公司推动市场拓展，着力打造华南、西南及华东的业务集群，对所有运营项目进行项</w:t>
      </w:r>
      <w:r>
        <w:rPr>
          <w:spacing w:val="-66"/>
        </w:rPr>
        <w:t> </w:t>
      </w:r>
      <w:r>
        <w:rPr>
          <w:spacing w:val="-66"/>
        </w:rPr>
      </w:r>
      <w:r>
        <w:rPr>
          <w:spacing w:val="-2"/>
        </w:rPr>
        <w:t>目关联和复合链接，以点带面，把项目单体逐步发展成为互相支撑的多内容复合项目平台。进军幼教市场，平衡公司运营结</w:t>
      </w:r>
      <w:r>
        <w:rPr>
          <w:spacing w:val="-66"/>
        </w:rPr>
        <w:t> </w:t>
      </w:r>
      <w:r>
        <w:rPr>
          <w:spacing w:val="-66"/>
        </w:rPr>
      </w:r>
      <w:r>
        <w:rPr>
          <w:spacing w:val="-2"/>
        </w:rPr>
        <w:t>构。对所有项目进行内涵优化，从人员队伍、教育教学、学生管理、安全保障等方面对项目运营进行全面升级，进一步促进</w:t>
      </w:r>
      <w:r>
        <w:rPr>
          <w:spacing w:val="-67"/>
        </w:rPr>
        <w:t> </w:t>
      </w:r>
      <w:r>
        <w:rPr>
          <w:spacing w:val="-67"/>
        </w:rPr>
      </w:r>
      <w:r>
        <w:rPr/>
        <w:t>公司运转平稳和良性发展。至报告期末，职业教育业务项目已达</w:t>
      </w:r>
      <w:r>
        <w:rPr>
          <w:rFonts w:ascii="Times New Roman" w:hAnsi="Times New Roman" w:cs="Times New Roman" w:eastAsia="Times New Roman" w:hint="default"/>
        </w:rPr>
        <w:t>15</w:t>
      </w:r>
      <w:r>
        <w:rPr/>
        <w:t>个，其中新增项目</w:t>
      </w:r>
      <w:r>
        <w:rPr>
          <w:rFonts w:ascii="Times New Roman" w:hAnsi="Times New Roman" w:cs="Times New Roman" w:eastAsia="Times New Roman" w:hint="default"/>
        </w:rPr>
        <w:t>5</w:t>
      </w:r>
      <w:r>
        <w:rPr/>
        <w:t>个。</w:t>
      </w:r>
      <w:r>
        <w:rPr>
          <w:rFonts w:ascii="Times New Roman" w:hAnsi="Times New Roman" w:cs="Times New Roman" w:eastAsia="Times New Roman" w:hint="default"/>
        </w:rPr>
        <w:t>2017</w:t>
      </w:r>
      <w:r>
        <w:rPr/>
        <w:t>年度职业教育营业收入同比</w:t>
      </w:r>
      <w:r>
        <w:rPr>
          <w:spacing w:val="-83"/>
        </w:rPr>
        <w:t> </w:t>
      </w:r>
      <w:r>
        <w:rPr>
          <w:spacing w:val="-83"/>
        </w:rPr>
      </w:r>
      <w:r>
        <w:rPr/>
        <w:t>增长</w:t>
      </w:r>
      <w:r>
        <w:rPr>
          <w:rFonts w:ascii="Times New Roman" w:hAnsi="Times New Roman" w:cs="Times New Roman" w:eastAsia="Times New Roman" w:hint="default"/>
        </w:rPr>
        <w:t>19.43%</w:t>
      </w:r>
      <w:r>
        <w:rPr/>
        <w:t>。国际教育业务累计已签约运营</w:t>
      </w:r>
      <w:r>
        <w:rPr>
          <w:rFonts w:ascii="Times New Roman" w:hAnsi="Times New Roman" w:cs="Times New Roman" w:eastAsia="Times New Roman" w:hint="default"/>
        </w:rPr>
        <w:t>10</w:t>
      </w:r>
      <w:r>
        <w:rPr/>
        <w:t>所院校，其中新增项目</w:t>
      </w:r>
      <w:r>
        <w:rPr>
          <w:rFonts w:ascii="Times New Roman" w:hAnsi="Times New Roman" w:cs="Times New Roman" w:eastAsia="Times New Roman" w:hint="default"/>
        </w:rPr>
        <w:t>3</w:t>
      </w:r>
      <w:r>
        <w:rPr/>
        <w:t>个，国际教育业务营业收入增长</w:t>
      </w:r>
      <w:r>
        <w:rPr>
          <w:rFonts w:ascii="Times New Roman" w:hAnsi="Times New Roman" w:cs="Times New Roman" w:eastAsia="Times New Roman" w:hint="default"/>
        </w:rPr>
        <w:t>290.46%</w:t>
      </w:r>
      <w:r>
        <w:rPr/>
        <w:t>。</w:t>
      </w:r>
      <w:r>
        <w:rPr>
          <w:rFonts w:ascii="Times New Roman" w:hAnsi="Times New Roman" w:cs="Times New Roman" w:eastAsia="Times New Roman" w:hint="default"/>
        </w:rPr>
        <w:t>IT</w:t>
      </w:r>
      <w:r>
        <w:rPr/>
        <w:t>教育业</w:t>
      </w:r>
      <w:r>
        <w:rPr>
          <w:spacing w:val="-28"/>
        </w:rPr>
        <w:t> </w:t>
      </w:r>
      <w:r>
        <w:rPr/>
        <w:t>务累计签约院校</w:t>
      </w:r>
      <w:r>
        <w:rPr>
          <w:rFonts w:ascii="Times New Roman" w:hAnsi="Times New Roman" w:cs="Times New Roman" w:eastAsia="Times New Roman" w:hint="default"/>
        </w:rPr>
        <w:t>17</w:t>
      </w:r>
      <w:r>
        <w:rPr/>
        <w:t>所，其中新增</w:t>
      </w:r>
      <w:r>
        <w:rPr>
          <w:rFonts w:ascii="Times New Roman" w:hAnsi="Times New Roman" w:cs="Times New Roman" w:eastAsia="Times New Roman" w:hint="default"/>
        </w:rPr>
        <w:t>6</w:t>
      </w:r>
      <w:r>
        <w:rPr/>
        <w:t>所，</w:t>
      </w:r>
      <w:r>
        <w:rPr>
          <w:rFonts w:ascii="Times New Roman" w:hAnsi="Times New Roman" w:cs="Times New Roman" w:eastAsia="Times New Roman" w:hint="default"/>
        </w:rPr>
        <w:t>IT</w:t>
      </w:r>
      <w:r>
        <w:rPr/>
        <w:t>教育创新创业领域累计合作项目</w:t>
      </w:r>
      <w:r>
        <w:rPr>
          <w:rFonts w:ascii="Times New Roman" w:hAnsi="Times New Roman" w:cs="Times New Roman" w:eastAsia="Times New Roman" w:hint="default"/>
        </w:rPr>
        <w:t>10</w:t>
      </w:r>
      <w:r>
        <w:rPr/>
        <w:t>个，</w:t>
      </w:r>
      <w:r>
        <w:rPr>
          <w:rFonts w:ascii="Times New Roman" w:hAnsi="Times New Roman" w:cs="Times New Roman" w:eastAsia="Times New Roman" w:hint="default"/>
        </w:rPr>
        <w:t>IT</w:t>
      </w:r>
      <w:r>
        <w:rPr/>
        <w:t>实验室建设服务领域拓展开发合作院校</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所，在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月份已中标</w:t>
      </w:r>
      <w:r>
        <w:rPr>
          <w:rFonts w:ascii="Times New Roman" w:hAnsi="Times New Roman" w:cs="Times New Roman" w:eastAsia="Times New Roman" w:hint="default"/>
        </w:rPr>
        <w:t>2</w:t>
      </w:r>
      <w:r>
        <w:rPr/>
        <w:t>个</w:t>
      </w:r>
      <w:r>
        <w:rPr>
          <w:rFonts w:ascii="Times New Roman" w:hAnsi="Times New Roman" w:cs="Times New Roman" w:eastAsia="Times New Roman" w:hint="default"/>
        </w:rPr>
        <w:t>IT</w:t>
      </w:r>
      <w:r>
        <w:rPr/>
        <w:t>实验室项目。艺术教育业务，全力打造子品牌</w:t>
      </w:r>
      <w:r>
        <w:rPr>
          <w:rFonts w:ascii="Times New Roman" w:hAnsi="Times New Roman" w:cs="Times New Roman" w:eastAsia="Times New Roman" w:hint="default"/>
        </w:rPr>
        <w:t>“</w:t>
      </w:r>
      <w:r>
        <w:rPr/>
        <w:t>星干线</w:t>
      </w:r>
      <w:r>
        <w:rPr>
          <w:rFonts w:ascii="Times New Roman" w:hAnsi="Times New Roman" w:cs="Times New Roman" w:eastAsia="Times New Roman" w:hint="default"/>
        </w:rPr>
        <w:t>”</w:t>
      </w:r>
      <w:r>
        <w:rPr/>
        <w:t>，新拓展</w:t>
      </w:r>
      <w:r>
        <w:rPr>
          <w:rFonts w:ascii="Times New Roman" w:hAnsi="Times New Roman" w:cs="Times New Roman" w:eastAsia="Times New Roman" w:hint="default"/>
        </w:rPr>
        <w:t>3</w:t>
      </w:r>
      <w:r>
        <w:rPr/>
        <w:t>个合作院校、</w:t>
      </w:r>
      <w:r>
        <w:rPr>
          <w:rFonts w:ascii="Times New Roman" w:hAnsi="Times New Roman" w:cs="Times New Roman" w:eastAsia="Times New Roman" w:hint="default"/>
        </w:rPr>
        <w:t>8</w:t>
      </w:r>
      <w:r>
        <w:rPr/>
        <w:t>个加盟校、 线下合作高中</w:t>
      </w:r>
      <w:r>
        <w:rPr>
          <w:rFonts w:ascii="Times New Roman" w:hAnsi="Times New Roman" w:cs="Times New Roman" w:eastAsia="Times New Roman" w:hint="default"/>
        </w:rPr>
        <w:t>10</w:t>
      </w:r>
      <w:r>
        <w:rPr/>
        <w:t>所和合作机构</w:t>
      </w:r>
      <w:r>
        <w:rPr>
          <w:rFonts w:ascii="Times New Roman" w:hAnsi="Times New Roman" w:cs="Times New Roman" w:eastAsia="Times New Roman" w:hint="default"/>
        </w:rPr>
        <w:t>5</w:t>
      </w:r>
      <w:r>
        <w:rPr/>
        <w:t>家。在青少儿艺术培训领域，共运营校区</w:t>
      </w:r>
      <w:r>
        <w:rPr>
          <w:rFonts w:ascii="Times New Roman" w:hAnsi="Times New Roman" w:cs="Times New Roman" w:eastAsia="Times New Roman" w:hint="default"/>
        </w:rPr>
        <w:t>8</w:t>
      </w:r>
      <w:r>
        <w:rPr/>
        <w:t>个，其中新增</w:t>
      </w:r>
      <w:r>
        <w:rPr>
          <w:rFonts w:ascii="Times New Roman" w:hAnsi="Times New Roman" w:cs="Times New Roman" w:eastAsia="Times New Roman" w:hint="default"/>
        </w:rPr>
        <w:t>2</w:t>
      </w:r>
      <w:r>
        <w:rPr/>
        <w:t>个。在线教育业务中标或签约项目</w:t>
      </w:r>
      <w:r>
        <w:rPr>
          <w:spacing w:val="-84"/>
        </w:rPr>
        <w:t> </w:t>
      </w:r>
      <w:r>
        <w:rPr>
          <w:spacing w:val="-84"/>
        </w:rPr>
      </w:r>
      <w:r>
        <w:rPr>
          <w:spacing w:val="-2"/>
        </w:rPr>
        <w:t>共计</w:t>
      </w:r>
      <w:r>
        <w:rPr>
          <w:rFonts w:ascii="Times New Roman" w:hAnsi="Times New Roman" w:cs="Times New Roman" w:eastAsia="Times New Roman" w:hint="default"/>
          <w:spacing w:val="-2"/>
        </w:rPr>
        <w:t>16</w:t>
      </w:r>
      <w:r>
        <w:rPr>
          <w:spacing w:val="-2"/>
        </w:rPr>
        <w:t>个、组织实施项目共计</w:t>
      </w:r>
      <w:r>
        <w:rPr>
          <w:rFonts w:ascii="Times New Roman" w:hAnsi="Times New Roman" w:cs="Times New Roman" w:eastAsia="Times New Roman" w:hint="default"/>
          <w:spacing w:val="-2"/>
        </w:rPr>
        <w:t>21</w:t>
      </w:r>
      <w:r>
        <w:rPr>
          <w:spacing w:val="-2"/>
        </w:rPr>
        <w:t>个，其中教师培训类中标或签约项目</w:t>
      </w:r>
      <w:r>
        <w:rPr>
          <w:rFonts w:ascii="Times New Roman" w:hAnsi="Times New Roman" w:cs="Times New Roman" w:eastAsia="Times New Roman" w:hint="default"/>
          <w:spacing w:val="-2"/>
        </w:rPr>
        <w:t>12</w:t>
      </w:r>
      <w:r>
        <w:rPr>
          <w:spacing w:val="-2"/>
        </w:rPr>
        <w:t>个、实施项目</w:t>
      </w:r>
      <w:r>
        <w:rPr>
          <w:rFonts w:ascii="Times New Roman" w:hAnsi="Times New Roman" w:cs="Times New Roman" w:eastAsia="Times New Roman" w:hint="default"/>
          <w:spacing w:val="-2"/>
        </w:rPr>
        <w:t>17</w:t>
      </w:r>
      <w:r>
        <w:rPr>
          <w:spacing w:val="-2"/>
        </w:rPr>
        <w:t>个；学校服务类中标或签约项目</w:t>
      </w:r>
      <w:r>
        <w:rPr>
          <w:rFonts w:ascii="Times New Roman" w:hAnsi="Times New Roman" w:cs="Times New Roman" w:eastAsia="Times New Roman" w:hint="default"/>
          <w:spacing w:val="-2"/>
        </w:rPr>
        <w:t>3</w:t>
      </w:r>
      <w:r>
        <w:rPr>
          <w:spacing w:val="-2"/>
        </w:rPr>
        <w:t>个、</w:t>
      </w:r>
      <w:r>
        <w:rPr>
          <w:spacing w:val="-56"/>
        </w:rPr>
        <w:t> </w:t>
      </w:r>
      <w:r>
        <w:rPr/>
        <w:t>实施项目</w:t>
      </w:r>
      <w:r>
        <w:rPr>
          <w:rFonts w:ascii="Times New Roman" w:hAnsi="Times New Roman" w:cs="Times New Roman" w:eastAsia="Times New Roman" w:hint="default"/>
        </w:rPr>
        <w:t>3</w:t>
      </w:r>
      <w:r>
        <w:rPr/>
        <w:t>个；非学历中标或签约项目</w:t>
      </w:r>
      <w:r>
        <w:rPr>
          <w:rFonts w:ascii="Times New Roman" w:hAnsi="Times New Roman" w:cs="Times New Roman" w:eastAsia="Times New Roman" w:hint="default"/>
        </w:rPr>
        <w:t>1</w:t>
      </w:r>
      <w:r>
        <w:rPr/>
        <w:t>个、实施项目</w:t>
      </w:r>
      <w:r>
        <w:rPr>
          <w:rFonts w:ascii="Times New Roman" w:hAnsi="Times New Roman" w:cs="Times New Roman" w:eastAsia="Times New Roman" w:hint="default"/>
        </w:rPr>
        <w:t>1</w:t>
      </w:r>
      <w:r>
        <w:rPr/>
        <w:t>个。接受北京市快递行业协会委托，组织实施</w:t>
      </w:r>
      <w:r>
        <w:rPr>
          <w:rFonts w:ascii="Times New Roman" w:hAnsi="Times New Roman" w:cs="Times New Roman" w:eastAsia="Times New Roman" w:hint="default"/>
        </w:rPr>
        <w:t>“</w:t>
      </w:r>
      <w:r>
        <w:rPr/>
        <w:t>快递行业培训</w:t>
      </w:r>
      <w:r>
        <w:rPr>
          <w:rFonts w:ascii="Times New Roman" w:hAnsi="Times New Roman" w:cs="Times New Roman" w:eastAsia="Times New Roman" w:hint="default"/>
        </w:rPr>
        <w:t>”</w:t>
      </w:r>
      <w:r>
        <w:rPr/>
        <w:t>，为北</w:t>
      </w:r>
      <w:r>
        <w:rPr>
          <w:spacing w:val="-70"/>
        </w:rPr>
        <w:t> </w:t>
      </w:r>
      <w:r>
        <w:rPr>
          <w:spacing w:val="-70"/>
        </w:rPr>
      </w:r>
      <w:r>
        <w:rPr/>
        <w:t>京市快递行业</w:t>
      </w:r>
      <w:r>
        <w:rPr>
          <w:rFonts w:ascii="Times New Roman" w:hAnsi="Times New Roman" w:cs="Times New Roman" w:eastAsia="Times New Roman" w:hint="default"/>
        </w:rPr>
        <w:t>7</w:t>
      </w:r>
      <w:r>
        <w:rPr/>
        <w:t>万余名从业人员提供在线培训。目前在线教育业务已覆盖北京、广东、浙江等</w:t>
      </w:r>
      <w:r>
        <w:rPr>
          <w:rFonts w:ascii="Times New Roman" w:hAnsi="Times New Roman" w:cs="Times New Roman" w:eastAsia="Times New Roman" w:hint="default"/>
        </w:rPr>
        <w:t>16</w:t>
      </w:r>
      <w:r>
        <w:rPr/>
        <w:t>个区域，业务态势良好。</w:t>
      </w:r>
    </w:p>
    <w:p>
      <w:pPr>
        <w:pStyle w:val="BodyText"/>
        <w:spacing w:line="240" w:lineRule="auto" w:before="76"/>
        <w:ind w:left="641"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月，中教未来收购布朗时代和布朗睿智各</w:t>
      </w:r>
      <w:r>
        <w:rPr>
          <w:rFonts w:ascii="Times New Roman" w:hAnsi="Times New Roman" w:cs="Times New Roman" w:eastAsia="Times New Roman" w:hint="default"/>
        </w:rPr>
        <w:t>30%</w:t>
      </w:r>
      <w:r>
        <w:rPr/>
        <w:t>股权，布局幼儿教育。其中，布朗时代主营实体幼儿园业务，目</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left="153" w:right="100"/>
        <w:jc w:val="both"/>
      </w:pPr>
      <w:r>
        <w:rPr/>
        <w:t>前在全国范围内拥有实体园所</w:t>
      </w:r>
      <w:r>
        <w:rPr>
          <w:rFonts w:ascii="Times New Roman" w:hAnsi="Times New Roman" w:cs="Times New Roman" w:eastAsia="Times New Roman" w:hint="default"/>
        </w:rPr>
        <w:t>15</w:t>
      </w:r>
      <w:r>
        <w:rPr/>
        <w:t>所、小学</w:t>
      </w:r>
      <w:r>
        <w:rPr>
          <w:rFonts w:ascii="Times New Roman" w:hAnsi="Times New Roman" w:cs="Times New Roman" w:eastAsia="Times New Roman" w:hint="default"/>
        </w:rPr>
        <w:t>1</w:t>
      </w:r>
      <w:r>
        <w:rPr/>
        <w:t>所。布朗睿智主营布朗少儿英语教材业务，客户及使用人群分布区域主要在北上</w:t>
      </w:r>
      <w:r>
        <w:rPr>
          <w:spacing w:val="-83"/>
        </w:rPr>
        <w:t> </w:t>
      </w:r>
      <w:r>
        <w:rPr>
          <w:spacing w:val="-83"/>
        </w:rPr>
      </w:r>
      <w:r>
        <w:rPr>
          <w:spacing w:val="-2"/>
        </w:rPr>
        <w:t>广深等</w:t>
      </w:r>
      <w:r>
        <w:rPr>
          <w:rFonts w:ascii="Times New Roman" w:hAnsi="Times New Roman" w:cs="Times New Roman" w:eastAsia="Times New Roman" w:hint="default"/>
          <w:spacing w:val="-2"/>
        </w:rPr>
        <w:t>23</w:t>
      </w:r>
      <w:r>
        <w:rPr>
          <w:spacing w:val="-2"/>
        </w:rPr>
        <w:t>个省市自治区，目前拥有渠道代理商</w:t>
      </w:r>
      <w:r>
        <w:rPr>
          <w:rFonts w:ascii="Times New Roman" w:hAnsi="Times New Roman" w:cs="Times New Roman" w:eastAsia="Times New Roman" w:hint="default"/>
          <w:spacing w:val="-2"/>
        </w:rPr>
        <w:t>80</w:t>
      </w:r>
      <w:r>
        <w:rPr>
          <w:spacing w:val="-2"/>
        </w:rPr>
        <w:t>家、直营客户</w:t>
      </w:r>
      <w:r>
        <w:rPr>
          <w:rFonts w:ascii="Times New Roman" w:hAnsi="Times New Roman" w:cs="Times New Roman" w:eastAsia="Times New Roman" w:hint="default"/>
          <w:spacing w:val="-2"/>
        </w:rPr>
        <w:t>117</w:t>
      </w:r>
      <w:r>
        <w:rPr>
          <w:spacing w:val="-2"/>
        </w:rPr>
        <w:t>家、终端用户幼儿园近千所，</w:t>
      </w:r>
      <w:r>
        <w:rPr>
          <w:rFonts w:ascii="Times New Roman" w:hAnsi="Times New Roman" w:cs="Times New Roman" w:eastAsia="Times New Roman" w:hint="default"/>
          <w:spacing w:val="-2"/>
        </w:rPr>
        <w:t>2017</w:t>
      </w:r>
      <w:r>
        <w:rPr>
          <w:spacing w:val="-2"/>
        </w:rPr>
        <w:t>年各类产品销售</w:t>
      </w:r>
      <w:r>
        <w:rPr>
          <w:rFonts w:ascii="Times New Roman" w:hAnsi="Times New Roman" w:cs="Times New Roman" w:eastAsia="Times New Roman" w:hint="default"/>
          <w:spacing w:val="-2"/>
        </w:rPr>
        <w:t>22</w:t>
      </w:r>
      <w:r>
        <w:rPr>
          <w:spacing w:val="-2"/>
        </w:rPr>
        <w:t>万套。</w:t>
      </w:r>
    </w:p>
    <w:p>
      <w:pPr>
        <w:pStyle w:val="BodyText"/>
        <w:spacing w:line="451" w:lineRule="auto" w:before="82"/>
        <w:ind w:right="189" w:firstLine="487"/>
        <w:jc w:val="both"/>
      </w:pPr>
      <w:r>
        <w:rPr/>
        <w:t>报告期内，</w:t>
      </w:r>
      <w:r>
        <w:rPr>
          <w:rFonts w:ascii="Times New Roman" w:hAnsi="Times New Roman" w:cs="Times New Roman" w:eastAsia="Times New Roman" w:hint="default"/>
        </w:rPr>
        <w:t>“</w:t>
      </w:r>
      <w:r>
        <w:rPr/>
        <w:t>星干线艺考</w:t>
      </w:r>
      <w:r>
        <w:rPr>
          <w:rFonts w:ascii="Times New Roman" w:hAnsi="Times New Roman" w:cs="Times New Roman" w:eastAsia="Times New Roman" w:hint="default"/>
        </w:rPr>
        <w:t>”</w:t>
      </w:r>
      <w:r>
        <w:rPr/>
        <w:t>被行业联盟</w:t>
      </w:r>
      <w:r>
        <w:rPr>
          <w:rFonts w:ascii="Times New Roman" w:hAnsi="Times New Roman" w:cs="Times New Roman" w:eastAsia="Times New Roman" w:hint="default"/>
        </w:rPr>
        <w:t>——</w:t>
      </w:r>
      <w:r>
        <w:rPr/>
        <w:t>中国教育影视培训联盟评为中国</w:t>
      </w:r>
      <w:r>
        <w:rPr>
          <w:rFonts w:ascii="Times New Roman" w:hAnsi="Times New Roman" w:cs="Times New Roman" w:eastAsia="Times New Roman" w:hint="default"/>
        </w:rPr>
        <w:t>“</w:t>
      </w:r>
      <w:r>
        <w:rPr/>
        <w:t>最具品牌价值十大艺术教育机构</w:t>
      </w:r>
      <w:r>
        <w:rPr>
          <w:rFonts w:ascii="Times New Roman" w:hAnsi="Times New Roman" w:cs="Times New Roman" w:eastAsia="Times New Roman" w:hint="default"/>
        </w:rPr>
        <w:t>”</w:t>
      </w:r>
      <w:r>
        <w:rPr/>
        <w:t>，中教未 来（北京）文化传播有限公司被中国教育国际交流协会自费出国留学中介服务分会列入第二批留学服务行业白名单。</w:t>
      </w:r>
    </w:p>
    <w:p>
      <w:pPr>
        <w:pStyle w:val="BodyText"/>
        <w:spacing w:line="460" w:lineRule="auto" w:before="113"/>
        <w:ind w:right="189" w:firstLine="487"/>
        <w:jc w:val="both"/>
      </w:pPr>
      <w:r>
        <w:rPr>
          <w:spacing w:val="-1"/>
        </w:rPr>
        <w:t>报告期内，公司其他教育培训类业务开展顺利。其中，都快教育对夏令营主题、场地、课程、管理流程、价格、招生</w:t>
      </w:r>
      <w:r>
        <w:rPr/>
        <w:t> 政策、奖励制度、工作时间等各方面积极创新。夏令营招收营员近</w:t>
      </w:r>
      <w:r>
        <w:rPr>
          <w:rFonts w:ascii="Times New Roman" w:hAnsi="Times New Roman" w:cs="Times New Roman" w:eastAsia="Times New Roman" w:hint="default"/>
        </w:rPr>
        <w:t>2000</w:t>
      </w:r>
      <w:r>
        <w:rPr/>
        <w:t>人，实现营业收入</w:t>
      </w:r>
      <w:r>
        <w:rPr>
          <w:rFonts w:ascii="Times New Roman" w:hAnsi="Times New Roman" w:cs="Times New Roman" w:eastAsia="Times New Roman" w:hint="default"/>
        </w:rPr>
        <w:t>484</w:t>
      </w:r>
      <w:r>
        <w:rPr/>
        <w:t>万。富报传媒整合</w:t>
      </w:r>
      <w:r>
        <w:rPr>
          <w:rFonts w:ascii="Times New Roman" w:hAnsi="Times New Roman" w:cs="Times New Roman" w:eastAsia="Times New Roman" w:hint="default"/>
        </w:rPr>
        <w:t>“</w:t>
      </w:r>
      <w:r>
        <w:rPr/>
        <w:t>乐学富阳</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spacing w:val="-2"/>
        </w:rPr>
        <w:t>用户资源优势，推出冬令营、春令营、</w:t>
      </w:r>
      <w:r>
        <w:rPr>
          <w:rFonts w:ascii="Times New Roman" w:hAnsi="Times New Roman" w:cs="Times New Roman" w:eastAsia="Times New Roman" w:hint="default"/>
          <w:spacing w:val="-2"/>
        </w:rPr>
        <w:t>“</w:t>
      </w:r>
      <w:r>
        <w:rPr>
          <w:spacing w:val="-2"/>
        </w:rPr>
        <w:t>少年强</w:t>
      </w:r>
      <w:r>
        <w:rPr>
          <w:rFonts w:ascii="Times New Roman" w:hAnsi="Times New Roman" w:cs="Times New Roman" w:eastAsia="Times New Roman" w:hint="default"/>
          <w:spacing w:val="-2"/>
        </w:rPr>
        <w:t>”</w:t>
      </w:r>
      <w:r>
        <w:rPr>
          <w:spacing w:val="-2"/>
        </w:rPr>
        <w:t>主题夏令营以及定制活动，实施部分媒介素养课程，建设共享图书室，探索</w:t>
      </w:r>
      <w:r>
        <w:rPr>
          <w:spacing w:val="-45"/>
        </w:rPr>
        <w:t> </w:t>
      </w:r>
      <w:r>
        <w:rPr>
          <w:spacing w:val="-45"/>
        </w:rPr>
      </w:r>
      <w:r>
        <w:rPr/>
        <w:t>青少年培训项目。</w:t>
      </w:r>
      <w:r>
        <w:rPr>
          <w:rFonts w:ascii="Times New Roman" w:hAnsi="Times New Roman" w:cs="Times New Roman" w:eastAsia="Times New Roman" w:hint="default"/>
        </w:rPr>
        <w:t>2017</w:t>
      </w:r>
      <w:r>
        <w:rPr/>
        <w:t>年底取得政府同意建造幼儿园的批文，华媒优培富春园筹建工作正式启动。</w:t>
      </w:r>
    </w:p>
    <w:p>
      <w:pPr>
        <w:spacing w:line="518" w:lineRule="auto" w:before="74"/>
        <w:ind w:left="641" w:right="125" w:hanging="134"/>
        <w:jc w:val="left"/>
        <w:rPr>
          <w:rFonts w:ascii="宋体" w:hAnsi="宋体" w:cs="宋体" w:eastAsia="宋体" w:hint="default"/>
          <w:sz w:val="18"/>
          <w:szCs w:val="18"/>
        </w:rPr>
      </w:pPr>
      <w:r>
        <w:rPr>
          <w:rFonts w:ascii="宋体" w:hAnsi="宋体" w:cs="宋体" w:eastAsia="宋体" w:hint="default"/>
          <w:b/>
          <w:bCs/>
          <w:sz w:val="18"/>
          <w:szCs w:val="18"/>
        </w:rPr>
        <w:t>（二）户外（地铁）广告业务迅猛拓展</w:t>
      </w:r>
      <w:r>
        <w:rPr>
          <w:rFonts w:ascii="宋体" w:hAnsi="宋体" w:cs="宋体" w:eastAsia="宋体" w:hint="default"/>
          <w:b/>
          <w:bCs/>
          <w:spacing w:val="1"/>
          <w:w w:val="99"/>
          <w:sz w:val="18"/>
          <w:szCs w:val="18"/>
        </w:rPr>
        <w:t> </w:t>
      </w:r>
      <w:r>
        <w:rPr>
          <w:rFonts w:ascii="宋体" w:hAnsi="宋体" w:cs="宋体" w:eastAsia="宋体" w:hint="default"/>
          <w:spacing w:val="-1"/>
          <w:sz w:val="18"/>
          <w:szCs w:val="18"/>
        </w:rPr>
        <w:t>公司户外（地铁）广告业务全部由公司所属新三板创新层公司风盛股份（证券代码</w:t>
      </w:r>
      <w:r>
        <w:rPr>
          <w:rFonts w:ascii="Times New Roman" w:hAnsi="Times New Roman" w:cs="Times New Roman" w:eastAsia="Times New Roman" w:hint="default"/>
          <w:spacing w:val="-1"/>
          <w:sz w:val="18"/>
          <w:szCs w:val="18"/>
        </w:rPr>
        <w:t>838071</w:t>
      </w:r>
      <w:r>
        <w:rPr>
          <w:rFonts w:ascii="宋体" w:hAnsi="宋体" w:cs="宋体" w:eastAsia="宋体" w:hint="default"/>
          <w:spacing w:val="-1"/>
          <w:sz w:val="18"/>
          <w:szCs w:val="18"/>
        </w:rPr>
        <w:t>）运营。风盛股份整合旗下</w:t>
      </w:r>
    </w:p>
    <w:p>
      <w:pPr>
        <w:pStyle w:val="BodyText"/>
        <w:spacing w:line="222" w:lineRule="exact"/>
        <w:ind w:right="0"/>
        <w:jc w:val="left"/>
      </w:pPr>
      <w:r>
        <w:rPr/>
        <w:t>地铁媒体、城市户外媒体、阅报栏与公交站亭媒体三大资源平台，根据客户需求提供户外媒体广告传播服务以及媒体策划传</w:t>
      </w:r>
    </w:p>
    <w:p>
      <w:pPr>
        <w:spacing w:line="240" w:lineRule="auto" w:before="11"/>
        <w:rPr>
          <w:rFonts w:ascii="宋体" w:hAnsi="宋体" w:cs="宋体" w:eastAsia="宋体" w:hint="default"/>
          <w:sz w:val="17"/>
          <w:szCs w:val="17"/>
        </w:rPr>
      </w:pPr>
    </w:p>
    <w:p>
      <w:pPr>
        <w:pStyle w:val="BodyText"/>
        <w:spacing w:line="516" w:lineRule="auto"/>
        <w:ind w:left="641" w:right="113" w:hanging="488"/>
        <w:jc w:val="left"/>
      </w:pPr>
      <w:r>
        <w:rPr/>
        <w:t>播全案。通过布局优质户外媒体，发挥媒体资源优势，使客户的广告传播效果达到最大化。 报告期内，公司户外（地铁）广告业务实现营业收入</w:t>
      </w:r>
      <w:r>
        <w:rPr>
          <w:rFonts w:ascii="Times New Roman" w:hAnsi="Times New Roman" w:cs="Times New Roman" w:eastAsia="Times New Roman" w:hint="default"/>
        </w:rPr>
        <w:t>25,241.39</w:t>
      </w:r>
      <w:r>
        <w:rPr/>
        <w:t>万元，同比增长</w:t>
      </w:r>
      <w:r>
        <w:rPr>
          <w:rFonts w:ascii="Times New Roman" w:hAnsi="Times New Roman" w:cs="Times New Roman" w:eastAsia="Times New Roman" w:hint="default"/>
        </w:rPr>
        <w:t>70.53%</w:t>
      </w:r>
      <w:r>
        <w:rPr/>
        <w:t>，占公司营业总收入的</w:t>
      </w:r>
      <w:r>
        <w:rPr>
          <w:rFonts w:ascii="Times New Roman" w:hAnsi="Times New Roman" w:cs="Times New Roman" w:eastAsia="Times New Roman" w:hint="default"/>
        </w:rPr>
        <w:t>13.78%</w:t>
      </w:r>
      <w:r>
        <w:rPr/>
        <w:t>，</w:t>
      </w:r>
    </w:p>
    <w:p>
      <w:pPr>
        <w:pStyle w:val="BodyText"/>
        <w:spacing w:line="516" w:lineRule="auto"/>
        <w:ind w:left="641" w:right="162" w:hanging="488"/>
        <w:jc w:val="left"/>
      </w:pPr>
      <w:r>
        <w:rPr/>
        <w:t>经营权费有所增长，成本规模有所增加。 风盛股份经营规模和项目体量均同比上涨明显。报告期内，已取得杭州地铁</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4</w:t>
      </w:r>
      <w:r>
        <w:rPr>
          <w:rFonts w:ascii="Times New Roman" w:hAnsi="Times New Roman" w:cs="Times New Roman" w:eastAsia="Times New Roman" w:hint="default"/>
          <w:spacing w:val="26"/>
        </w:rPr>
        <w:t> </w:t>
      </w:r>
      <w:r>
        <w:rPr/>
        <w:t>号线语音广告、站内导向广告；</w:t>
      </w:r>
    </w:p>
    <w:p>
      <w:pPr>
        <w:pStyle w:val="BodyText"/>
        <w:spacing w:line="460" w:lineRule="auto"/>
        <w:ind w:right="189"/>
        <w:jc w:val="both"/>
      </w:pPr>
      <w:r>
        <w:rPr>
          <w:rFonts w:ascii="Times New Roman" w:hAnsi="Times New Roman" w:cs="Times New Roman" w:eastAsia="Times New Roman" w:hint="default"/>
        </w:rPr>
        <w:t>1 </w:t>
      </w:r>
      <w:r>
        <w:rPr/>
        <w:t>号线全线平面广告、列车广告、互动屏广告等各类地铁媒体资源；福州地铁</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号线语音广告、导向广告，以及杭州武林广 场地标建筑媒体国大城市广场</w:t>
      </w:r>
      <w:r>
        <w:rPr>
          <w:rFonts w:ascii="Times New Roman" w:hAnsi="Times New Roman" w:cs="Times New Roman" w:eastAsia="Times New Roman" w:hint="default"/>
        </w:rPr>
        <w:t>LED </w:t>
      </w:r>
      <w:r>
        <w:rPr/>
        <w:t>屏（大笨屏）；继续运维原有的各类阅报栏、公交站牌广告资源等。风盛股份通过对杭</w:t>
      </w:r>
      <w:r>
        <w:rPr>
          <w:spacing w:val="-79"/>
        </w:rPr>
        <w:t> </w:t>
      </w:r>
      <w:r>
        <w:rPr>
          <w:spacing w:val="-79"/>
        </w:rPr>
      </w:r>
      <w:r>
        <w:rPr>
          <w:spacing w:val="-2"/>
        </w:rPr>
        <w:t>州地铁一号线平面广告的成熟运营，经营工作深入开展，积极布局地铁媒体细分领域，不断完善地铁多元媒介传播平台，扩</w:t>
      </w:r>
      <w:r>
        <w:rPr>
          <w:spacing w:val="-66"/>
        </w:rPr>
        <w:t> </w:t>
      </w:r>
      <w:r>
        <w:rPr>
          <w:spacing w:val="-66"/>
        </w:rPr>
      </w:r>
      <w:r>
        <w:rPr/>
        <w:t>大经营规模。其中，地铁广告实现了营业收入</w:t>
      </w:r>
      <w:r>
        <w:rPr>
          <w:rFonts w:ascii="Times New Roman" w:hAnsi="Times New Roman" w:cs="Times New Roman" w:eastAsia="Times New Roman" w:hint="default"/>
        </w:rPr>
        <w:t>19,300.27</w:t>
      </w:r>
      <w:r>
        <w:rPr/>
        <w:t>万元，同比增长</w:t>
      </w:r>
      <w:r>
        <w:rPr>
          <w:rFonts w:ascii="Times New Roman" w:hAnsi="Times New Roman" w:cs="Times New Roman" w:eastAsia="Times New Roman" w:hint="default"/>
        </w:rPr>
        <w:t>142.74%</w:t>
      </w:r>
      <w:r>
        <w:rPr/>
        <w:t>。</w:t>
      </w:r>
    </w:p>
    <w:p>
      <w:pPr>
        <w:pStyle w:val="BodyText"/>
        <w:spacing w:line="465" w:lineRule="auto" w:before="74"/>
        <w:ind w:right="188" w:firstLine="487"/>
        <w:jc w:val="both"/>
      </w:pPr>
      <w:r>
        <w:rPr>
          <w:spacing w:val="-1"/>
        </w:rPr>
        <w:t>同时，依靠拥有的杭州国大城市广场</w:t>
      </w:r>
      <w:r>
        <w:rPr>
          <w:rFonts w:ascii="Times New Roman" w:hAnsi="Times New Roman" w:cs="Times New Roman" w:eastAsia="Times New Roman" w:hint="default"/>
          <w:spacing w:val="-1"/>
        </w:rPr>
        <w:t>LED</w:t>
      </w:r>
      <w:r>
        <w:rPr>
          <w:spacing w:val="-1"/>
        </w:rPr>
        <w:t>屏（大笨屏）项目和钱江新城公交候车亭项目等杭州</w:t>
      </w:r>
      <w:r>
        <w:rPr>
          <w:rFonts w:ascii="Times New Roman" w:hAnsi="Times New Roman" w:cs="Times New Roman" w:eastAsia="Times New Roman" w:hint="default"/>
          <w:spacing w:val="-1"/>
        </w:rPr>
        <w:t>CBD</w:t>
      </w:r>
      <w:r>
        <w:rPr>
          <w:spacing w:val="-1"/>
        </w:rPr>
        <w:t>核心区标杆性广告</w:t>
      </w:r>
      <w:r>
        <w:rPr/>
        <w:t> </w:t>
      </w:r>
      <w:r>
        <w:rPr>
          <w:spacing w:val="-2"/>
        </w:rPr>
        <w:t>载体，通过行业深耕、推广代理创新提高美誉度，促进了业务增长。同时，利用多元媒介传播平台，在项目策划领域的创新</w:t>
      </w:r>
      <w:r>
        <w:rPr>
          <w:spacing w:val="-68"/>
        </w:rPr>
        <w:t> </w:t>
      </w:r>
      <w:r>
        <w:rPr>
          <w:spacing w:val="-68"/>
        </w:rPr>
      </w:r>
      <w:r>
        <w:rPr/>
        <w:t>执行能力大增，提升了风盛股份的品牌形象，带动了广告投放。</w:t>
      </w:r>
    </w:p>
    <w:p>
      <w:pPr>
        <w:pStyle w:val="BodyText"/>
        <w:spacing w:line="518" w:lineRule="auto" w:before="103"/>
        <w:ind w:left="641" w:right="125" w:hanging="134"/>
        <w:jc w:val="left"/>
      </w:pPr>
      <w:r>
        <w:rPr>
          <w:rFonts w:ascii="宋体" w:hAnsi="宋体" w:cs="宋体" w:eastAsia="宋体" w:hint="default"/>
          <w:b/>
          <w:bCs/>
        </w:rPr>
        <w:t>（三）新媒体业务波动加剧</w:t>
      </w:r>
      <w:r>
        <w:rPr>
          <w:rFonts w:ascii="宋体" w:hAnsi="宋体" w:cs="宋体" w:eastAsia="宋体" w:hint="default"/>
          <w:b/>
          <w:bCs/>
          <w:w w:val="99"/>
        </w:rPr>
        <w:t> </w:t>
      </w:r>
      <w:r>
        <w:rPr/>
        <w:t>公司新媒体业务涵盖</w:t>
      </w:r>
      <w:r>
        <w:rPr>
          <w:rFonts w:ascii="Times New Roman" w:hAnsi="Times New Roman" w:cs="Times New Roman" w:eastAsia="Times New Roman" w:hint="default"/>
        </w:rPr>
        <w:t>web</w:t>
      </w:r>
      <w:r>
        <w:rPr/>
        <w:t>互联网站、移动互联网</w:t>
      </w:r>
      <w:r>
        <w:rPr>
          <w:rFonts w:ascii="Times New Roman" w:hAnsi="Times New Roman" w:cs="Times New Roman" w:eastAsia="Times New Roman" w:hint="default"/>
        </w:rPr>
        <w:t>APP</w:t>
      </w:r>
      <w:r>
        <w:rPr/>
        <w:t>、微信公众号和官方微博号、移动互联网视频内容的采集制作和</w:t>
      </w:r>
    </w:p>
    <w:p>
      <w:pPr>
        <w:pStyle w:val="BodyText"/>
        <w:spacing w:line="236" w:lineRule="exact"/>
        <w:ind w:right="125"/>
        <w:jc w:val="left"/>
      </w:pPr>
      <w:r>
        <w:rPr/>
        <w:t>分发、手机报等。杭州网、快房网和萧山网是公司</w:t>
      </w:r>
      <w:r>
        <w:rPr>
          <w:rFonts w:ascii="Times New Roman" w:hAnsi="Times New Roman" w:cs="Times New Roman" w:eastAsia="Times New Roman" w:hint="default"/>
        </w:rPr>
        <w:t>web</w:t>
      </w:r>
      <w:r>
        <w:rPr/>
        <w:t>网站、移动互联网产品和视频内容建设的主体，华媒信息传播主要负</w:t>
      </w:r>
    </w:p>
    <w:p>
      <w:pPr>
        <w:spacing w:line="240" w:lineRule="auto" w:before="9"/>
        <w:rPr>
          <w:rFonts w:ascii="宋体" w:hAnsi="宋体" w:cs="宋体" w:eastAsia="宋体" w:hint="default"/>
          <w:sz w:val="16"/>
          <w:szCs w:val="16"/>
        </w:rPr>
      </w:pPr>
    </w:p>
    <w:p>
      <w:pPr>
        <w:pStyle w:val="BodyText"/>
        <w:spacing w:line="477" w:lineRule="auto"/>
        <w:ind w:right="191"/>
        <w:jc w:val="both"/>
      </w:pPr>
      <w:r>
        <w:rPr>
          <w:spacing w:val="-2"/>
        </w:rPr>
        <w:t>责推进移动互联网技术平台的建设，快点传播主要负责公司移动互联网视频内容的采集制作分销。公司所属子公司的新媒体</w:t>
      </w:r>
      <w:r>
        <w:rPr>
          <w:spacing w:val="-64"/>
        </w:rPr>
        <w:t> </w:t>
      </w:r>
      <w:r>
        <w:rPr>
          <w:spacing w:val="-64"/>
        </w:rPr>
      </w:r>
      <w:r>
        <w:rPr/>
        <w:t>业务，继续和公司参股的十九楼进行良好合作，互为支持。</w:t>
      </w:r>
    </w:p>
    <w:p>
      <w:pPr>
        <w:pStyle w:val="BodyText"/>
        <w:spacing w:line="477" w:lineRule="auto" w:before="92"/>
        <w:ind w:right="169" w:firstLine="487"/>
        <w:jc w:val="both"/>
      </w:pPr>
      <w:r>
        <w:rPr>
          <w:spacing w:val="-1"/>
        </w:rPr>
        <w:t>报告期内，受相关行业政策调控的影响，公司新媒体业务有所下降。公司独立核算新媒体企业（含为移动运营商提供</w:t>
      </w:r>
      <w:r>
        <w:rPr/>
        <w:t> 视频信息服务的快点传播）的营业收入为</w:t>
      </w:r>
      <w:r>
        <w:rPr>
          <w:rFonts w:ascii="Times New Roman" w:hAnsi="Times New Roman" w:cs="Times New Roman" w:eastAsia="Times New Roman" w:hint="default"/>
        </w:rPr>
        <w:t>34,966.71</w:t>
      </w:r>
      <w:r>
        <w:rPr/>
        <w:t>万元，同比下降</w:t>
      </w:r>
      <w:r>
        <w:rPr>
          <w:rFonts w:ascii="Times New Roman" w:hAnsi="Times New Roman" w:cs="Times New Roman" w:eastAsia="Times New Roman" w:hint="default"/>
        </w:rPr>
        <w:t>7.90%</w:t>
      </w:r>
      <w:r>
        <w:rPr/>
        <w:t>，占公司营业总收入的</w:t>
      </w:r>
      <w:r>
        <w:rPr>
          <w:rFonts w:ascii="Times New Roman" w:hAnsi="Times New Roman" w:cs="Times New Roman" w:eastAsia="Times New Roman" w:hint="default"/>
        </w:rPr>
        <w:t>19.08%</w:t>
      </w:r>
      <w:r>
        <w:rPr/>
        <w:t>。加上户外（地铁）</w:t>
      </w:r>
    </w:p>
    <w:p>
      <w:pPr>
        <w:spacing w:after="0" w:line="477" w:lineRule="auto"/>
        <w:jc w:val="both"/>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87" w:lineRule="auto"/>
        <w:ind w:left="641" w:right="125" w:hanging="488"/>
        <w:jc w:val="left"/>
      </w:pPr>
      <w:r>
        <w:rPr/>
        <w:t>广告业务，合计营业收入占比</w:t>
      </w:r>
      <w:r>
        <w:rPr>
          <w:rFonts w:ascii="Times New Roman" w:hAnsi="Times New Roman" w:cs="Times New Roman" w:eastAsia="Times New Roman" w:hint="default"/>
        </w:rPr>
        <w:t>32.86%</w:t>
      </w:r>
      <w:r>
        <w:rPr/>
        <w:t>，已超过公司传统平面媒体广告营业收入的占比份额。 </w:t>
      </w:r>
      <w:r>
        <w:rPr>
          <w:spacing w:val="-1"/>
        </w:rPr>
        <w:t>报告期内，杭州网获得国家新闻出版广电总局颁发的移动通信网手机电视播控平台的接入许可，被认定为杭州市高新</w:t>
      </w:r>
    </w:p>
    <w:p>
      <w:pPr>
        <w:pStyle w:val="BodyText"/>
        <w:spacing w:line="463" w:lineRule="auto" w:before="47"/>
        <w:ind w:left="153" w:right="91"/>
        <w:jc w:val="left"/>
      </w:pPr>
      <w:r>
        <w:rPr/>
        <w:t>技术企业和浙江省科技型企业。全年加强策划，打造原创精品，充分发挥网络媒体的优势和特长，在网络宣传、对外传播、 媒体融合等方面积极探索，采用全景摄影技术进行现场视频直播、网络直播、图文</w:t>
      </w:r>
      <w:r>
        <w:rPr>
          <w:rFonts w:ascii="Times New Roman" w:hAnsi="Times New Roman" w:cs="Times New Roman" w:eastAsia="Times New Roman" w:hint="default"/>
        </w:rPr>
        <w:t>+</w:t>
      </w:r>
      <w:r>
        <w:rPr/>
        <w:t>短视频形式的原创报道、</w:t>
      </w:r>
      <w:r>
        <w:rPr>
          <w:rFonts w:ascii="Times New Roman" w:hAnsi="Times New Roman" w:cs="Times New Roman" w:eastAsia="Times New Roman" w:hint="default"/>
        </w:rPr>
        <w:t>H5</w:t>
      </w:r>
      <w:r>
        <w:rPr/>
        <w:t>作品等多种 </w:t>
      </w:r>
      <w:r>
        <w:rPr>
          <w:spacing w:val="-2"/>
        </w:rPr>
        <w:t>形式，优化自有渠道，拓展推广渠道。杭州网屡有创新。其中，小客车增量指标摇号直播，直播流量创历史新高，杭州网网</w:t>
      </w:r>
      <w:r>
        <w:rPr>
          <w:spacing w:val="-65"/>
        </w:rPr>
        <w:t> </w:t>
      </w:r>
      <w:r>
        <w:rPr>
          <w:spacing w:val="-65"/>
        </w:rPr>
      </w:r>
      <w:r>
        <w:rPr>
          <w:spacing w:val="-4"/>
        </w:rPr>
        <w:t>站和</w:t>
      </w:r>
      <w:r>
        <w:rPr>
          <w:rFonts w:ascii="Times New Roman" w:hAnsi="Times New Roman" w:cs="Times New Roman" w:eastAsia="Times New Roman" w:hint="default"/>
          <w:spacing w:val="-4"/>
        </w:rPr>
        <w:t>APP</w:t>
      </w:r>
      <w:r>
        <w:rPr>
          <w:spacing w:val="-4"/>
        </w:rPr>
        <w:t>的页面浏览量突破</w:t>
      </w:r>
      <w:r>
        <w:rPr>
          <w:rFonts w:ascii="Times New Roman" w:hAnsi="Times New Roman" w:cs="Times New Roman" w:eastAsia="Times New Roman" w:hint="default"/>
          <w:spacing w:val="-4"/>
        </w:rPr>
        <w:t>700</w:t>
      </w:r>
      <w:r>
        <w:rPr>
          <w:spacing w:val="-4"/>
        </w:rPr>
        <w:t>万。</w:t>
      </w:r>
      <w:r>
        <w:rPr>
          <w:rFonts w:ascii="Times New Roman" w:hAnsi="Times New Roman" w:cs="Times New Roman" w:eastAsia="Times New Roman" w:hint="default"/>
          <w:spacing w:val="-4"/>
        </w:rPr>
        <w:t>2017</w:t>
      </w:r>
      <w:r>
        <w:rPr>
          <w:spacing w:val="-4"/>
        </w:rPr>
        <w:t>年国庆黄金周期间，在今日头条媒体榜发布视频直播周榜和单场榜中，杭州网获得</w:t>
      </w:r>
      <w:r>
        <w:rPr>
          <w:rFonts w:ascii="Times New Roman" w:hAnsi="Times New Roman" w:cs="Times New Roman" w:eastAsia="Times New Roman" w:hint="default"/>
          <w:spacing w:val="-4"/>
        </w:rPr>
        <w:t>“</w:t>
      </w:r>
      <w:r>
        <w:rPr>
          <w:spacing w:val="-4"/>
        </w:rPr>
        <w:t>双</w:t>
      </w:r>
      <w:r>
        <w:rPr>
          <w:spacing w:val="-78"/>
        </w:rPr>
        <w:t> </w:t>
      </w:r>
      <w:r>
        <w:rPr/>
        <w:t>榜</w:t>
      </w:r>
      <w:r>
        <w:rPr>
          <w:rFonts w:ascii="Times New Roman" w:hAnsi="Times New Roman" w:cs="Times New Roman" w:eastAsia="Times New Roman" w:hint="default"/>
        </w:rPr>
        <w:t>”</w:t>
      </w:r>
      <w:r>
        <w:rPr/>
        <w:t>第三名。杭州网还对客户端内容团队、运营团队、技术团队加大投入，实现产品成功升级，全面优化内容更新、视觉设</w:t>
      </w:r>
      <w:r>
        <w:rPr>
          <w:spacing w:val="-77"/>
        </w:rPr>
        <w:t> </w:t>
      </w:r>
      <w:r>
        <w:rPr>
          <w:spacing w:val="-77"/>
        </w:rPr>
      </w:r>
      <w:r>
        <w:rPr>
          <w:spacing w:val="-2"/>
        </w:rPr>
        <w:t>计、功能开发、用户体验等。杭州网官方微信粉丝数突破</w:t>
      </w:r>
      <w:r>
        <w:rPr>
          <w:rFonts w:ascii="Times New Roman" w:hAnsi="Times New Roman" w:cs="Times New Roman" w:eastAsia="Times New Roman" w:hint="default"/>
          <w:spacing w:val="-2"/>
        </w:rPr>
        <w:t>70</w:t>
      </w:r>
      <w:r>
        <w:rPr>
          <w:spacing w:val="-2"/>
        </w:rPr>
        <w:t>万，在杭州本地媒体微信排行榜及网络传播全国城市新闻网站官</w:t>
      </w:r>
      <w:r>
        <w:rPr>
          <w:spacing w:val="-64"/>
        </w:rPr>
        <w:t> </w:t>
      </w:r>
      <w:r>
        <w:rPr>
          <w:spacing w:val="-64"/>
        </w:rPr>
      </w:r>
      <w:r>
        <w:rPr/>
        <w:t>微传播力排行榜，均保持在前十位。杭州网官方微博在网络传播杂志全国城市新闻网站微博传播影响力排行榜上位居第一。 </w:t>
      </w:r>
      <w:r>
        <w:rPr>
          <w:rFonts w:ascii="Times New Roman" w:hAnsi="Times New Roman" w:cs="Times New Roman" w:eastAsia="Times New Roman" w:hint="default"/>
        </w:rPr>
        <w:t>“</w:t>
      </w:r>
      <w:r>
        <w:rPr/>
        <w:t>杭网议事厅</w:t>
      </w:r>
      <w:r>
        <w:rPr>
          <w:rFonts w:ascii="Times New Roman" w:hAnsi="Times New Roman" w:cs="Times New Roman" w:eastAsia="Times New Roman" w:hint="default"/>
        </w:rPr>
        <w:t>”</w:t>
      </w:r>
      <w:r>
        <w:rPr/>
        <w:t>荣获</w:t>
      </w:r>
      <w:r>
        <w:rPr>
          <w:rFonts w:ascii="Times New Roman" w:hAnsi="Times New Roman" w:cs="Times New Roman" w:eastAsia="Times New Roman" w:hint="default"/>
        </w:rPr>
        <w:t>2016</w:t>
      </w:r>
      <w:r>
        <w:rPr/>
        <w:t>年全市党委系统信息工作社情民意直报点先进单位。</w:t>
      </w:r>
    </w:p>
    <w:p>
      <w:pPr>
        <w:pStyle w:val="BodyText"/>
        <w:spacing w:line="487" w:lineRule="auto" w:before="74"/>
        <w:ind w:left="641" w:right="182"/>
        <w:jc w:val="left"/>
      </w:pPr>
      <w:r>
        <w:rPr/>
        <w:t>报告期内，杭州网获得了</w:t>
      </w:r>
      <w:r>
        <w:rPr>
          <w:rFonts w:ascii="Times New Roman" w:hAnsi="Times New Roman" w:cs="Times New Roman" w:eastAsia="Times New Roman" w:hint="default"/>
        </w:rPr>
        <w:t>2022</w:t>
      </w:r>
      <w:r>
        <w:rPr/>
        <w:t>年第十九届亚运会组委会官网的建设和运维权，</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日，亚组委官网上线试运行。 </w:t>
      </w:r>
      <w:r>
        <w:rPr>
          <w:spacing w:val="-1"/>
        </w:rPr>
        <w:t>报告期内，受相关行业政策调控的影响，快房网营业收入同比下降</w:t>
      </w:r>
      <w:r>
        <w:rPr>
          <w:rFonts w:ascii="Times New Roman" w:hAnsi="Times New Roman" w:cs="Times New Roman" w:eastAsia="Times New Roman" w:hint="default"/>
          <w:spacing w:val="-1"/>
        </w:rPr>
        <w:t>35.49%</w:t>
      </w:r>
      <w:r>
        <w:rPr>
          <w:spacing w:val="-1"/>
        </w:rPr>
        <w:t>。快房公司大力推进新媒体全案业务等创新</w:t>
      </w:r>
    </w:p>
    <w:p>
      <w:pPr>
        <w:pStyle w:val="BodyText"/>
        <w:spacing w:line="460" w:lineRule="auto" w:before="13"/>
        <w:ind w:right="83"/>
        <w:jc w:val="left"/>
      </w:pPr>
      <w:r>
        <w:rPr>
          <w:spacing w:val="-2"/>
        </w:rPr>
        <w:t>手段，房产业务新增类全案模块，全年合作项目有中国交建旗下中交地产集团项目、绿城中国旗下绿城小镇集团项目、桃源</w:t>
      </w:r>
      <w:r>
        <w:rPr>
          <w:spacing w:val="-66"/>
        </w:rPr>
        <w:t> </w:t>
      </w:r>
      <w:r>
        <w:rPr>
          <w:spacing w:val="-66"/>
        </w:rPr>
      </w:r>
      <w:r>
        <w:rPr>
          <w:spacing w:val="-3"/>
        </w:rPr>
        <w:t>小镇项目、中南樾府整体项目、飞鸟客项目等。</w:t>
      </w:r>
      <w:r>
        <w:rPr>
          <w:rFonts w:ascii="Times New Roman" w:hAnsi="Times New Roman" w:cs="Times New Roman" w:eastAsia="Times New Roman" w:hint="default"/>
          <w:spacing w:val="-3"/>
        </w:rPr>
        <w:t>25</w:t>
      </w:r>
      <w:r>
        <w:rPr>
          <w:spacing w:val="-3"/>
        </w:rPr>
        <w:t>个项目结合国大城市广场</w:t>
      </w:r>
      <w:r>
        <w:rPr>
          <w:rFonts w:ascii="Times New Roman" w:hAnsi="Times New Roman" w:cs="Times New Roman" w:eastAsia="Times New Roman" w:hint="default"/>
          <w:spacing w:val="-3"/>
        </w:rPr>
        <w:t>K</w:t>
      </w:r>
      <w:r>
        <w:rPr>
          <w:spacing w:val="-3"/>
        </w:rPr>
        <w:t>次元未来馆的商务活动，进行投放及落地合作，</w:t>
      </w:r>
      <w:r>
        <w:rPr>
          <w:spacing w:val="-43"/>
        </w:rPr>
        <w:t> </w:t>
      </w:r>
      <w:r>
        <w:rPr>
          <w:spacing w:val="-43"/>
        </w:rPr>
      </w:r>
      <w:r>
        <w:rPr/>
        <w:t>从线下往线上引流，提高客户黏性，提升业务深度。做强自有资源平台，快房网、</w:t>
      </w:r>
      <w:r>
        <w:rPr>
          <w:rFonts w:ascii="Times New Roman" w:hAnsi="Times New Roman" w:cs="Times New Roman" w:eastAsia="Times New Roman" w:hint="default"/>
        </w:rPr>
        <w:t>Mymoney</w:t>
      </w:r>
      <w:r>
        <w:rPr/>
        <w:t>我的钱、爱购杭州、舌尖上的</w:t>
      </w:r>
      <w:r>
        <w:rPr>
          <w:spacing w:val="-29"/>
        </w:rPr>
        <w:t> </w:t>
      </w:r>
      <w:r>
        <w:rPr>
          <w:spacing w:val="-29"/>
        </w:rPr>
      </w:r>
      <w:r>
        <w:rPr/>
        <w:t>杭州、滨江生活圈等微信公众号拥有较高阅读率和活跃度，客户认知和区域影响力逐渐增强。</w:t>
      </w:r>
    </w:p>
    <w:p>
      <w:pPr>
        <w:pStyle w:val="BodyText"/>
        <w:spacing w:line="451" w:lineRule="auto" w:before="105"/>
        <w:ind w:right="83" w:firstLine="487"/>
        <w:jc w:val="left"/>
      </w:pPr>
      <w:r>
        <w:rPr>
          <w:spacing w:val="-3"/>
        </w:rPr>
        <w:t>快点传播继续拓展移动端视频推广、根据用户需求编辑内容和移动视频平台维护等业务，实现营业收入</w:t>
      </w:r>
      <w:r>
        <w:rPr>
          <w:rFonts w:ascii="Times New Roman" w:hAnsi="Times New Roman" w:cs="Times New Roman" w:eastAsia="Times New Roman" w:hint="default"/>
          <w:spacing w:val="-3"/>
        </w:rPr>
        <w:t>22,721.69</w:t>
      </w:r>
      <w:r>
        <w:rPr>
          <w:spacing w:val="-3"/>
        </w:rPr>
        <w:t>万元，</w:t>
      </w:r>
      <w:r>
        <w:rPr/>
        <w:t> 同比增长</w:t>
      </w:r>
      <w:r>
        <w:rPr>
          <w:rFonts w:ascii="Times New Roman" w:hAnsi="Times New Roman" w:cs="Times New Roman" w:eastAsia="Times New Roman" w:hint="default"/>
        </w:rPr>
        <w:t>7.83%</w:t>
      </w:r>
      <w:r>
        <w:rPr/>
        <w:t>。根据上市公司收购时的约定，快点传播已完成三年业绩承诺。</w:t>
      </w:r>
    </w:p>
    <w:p>
      <w:pPr>
        <w:pStyle w:val="BodyText"/>
        <w:spacing w:line="463" w:lineRule="auto" w:before="83"/>
        <w:ind w:right="90" w:firstLine="487"/>
        <w:jc w:val="left"/>
      </w:pPr>
      <w:r>
        <w:rPr/>
        <w:t>报告期内，萧山网继续巩固以部门、镇街、村网为核心的三级网，开拓新媒体增值服务；在手机萧山网基础上，推出 手机镇街网、手机部门网</w:t>
      </w:r>
      <w:r>
        <w:rPr>
          <w:rFonts w:ascii="Times New Roman" w:hAnsi="Times New Roman" w:cs="Times New Roman" w:eastAsia="Times New Roman" w:hint="default"/>
        </w:rPr>
        <w:t>10</w:t>
      </w:r>
      <w:r>
        <w:rPr/>
        <w:t>余个；上线萧网购；以大江东官网为依托，积极开拓平安大江东网、大江东全民读书节等项目； 推出</w:t>
      </w:r>
      <w:r>
        <w:rPr>
          <w:rFonts w:ascii="Times New Roman" w:hAnsi="Times New Roman" w:cs="Times New Roman" w:eastAsia="Times New Roman" w:hint="default"/>
        </w:rPr>
        <w:t>“</w:t>
      </w:r>
      <w:r>
        <w:rPr/>
        <w:t>萧山方言秀</w:t>
      </w:r>
      <w:r>
        <w:rPr>
          <w:rFonts w:ascii="Times New Roman" w:hAnsi="Times New Roman" w:cs="Times New Roman" w:eastAsia="Times New Roman" w:hint="default"/>
        </w:rPr>
        <w:t>”</w:t>
      </w:r>
      <w:r>
        <w:rPr/>
        <w:t>和《火星街坊》视频栏目，继续拓展政务类微信代维业务，已占据本地较大的市场份额。</w:t>
      </w:r>
    </w:p>
    <w:p>
      <w:pPr>
        <w:spacing w:line="518" w:lineRule="auto" w:before="72"/>
        <w:ind w:left="574" w:right="185" w:hanging="66"/>
        <w:jc w:val="left"/>
        <w:rPr>
          <w:rFonts w:ascii="宋体" w:hAnsi="宋体" w:cs="宋体" w:eastAsia="宋体" w:hint="default"/>
          <w:sz w:val="18"/>
          <w:szCs w:val="18"/>
        </w:rPr>
      </w:pPr>
      <w:r>
        <w:rPr>
          <w:rFonts w:ascii="宋体" w:hAnsi="宋体" w:cs="宋体" w:eastAsia="宋体" w:hint="default"/>
          <w:b/>
          <w:bCs/>
          <w:sz w:val="18"/>
          <w:szCs w:val="18"/>
        </w:rPr>
        <w:t>（四）广告和策划业务有所下降</w:t>
      </w:r>
      <w:r>
        <w:rPr>
          <w:rFonts w:ascii="宋体" w:hAnsi="宋体" w:cs="宋体" w:eastAsia="宋体" w:hint="default"/>
          <w:b/>
          <w:bCs/>
          <w:w w:val="99"/>
          <w:sz w:val="18"/>
          <w:szCs w:val="18"/>
        </w:rPr>
        <w:t> </w:t>
      </w:r>
      <w:r>
        <w:rPr>
          <w:rFonts w:ascii="宋体" w:hAnsi="宋体" w:cs="宋体" w:eastAsia="宋体" w:hint="default"/>
          <w:spacing w:val="-1"/>
          <w:sz w:val="18"/>
          <w:szCs w:val="18"/>
        </w:rPr>
        <w:t>公司</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月实施完成重大资产重组时，重组后的收购资产不包括报纸采编类资产。根据报刊行业采编与经营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两分</w:t>
      </w:r>
    </w:p>
    <w:p>
      <w:pPr>
        <w:pStyle w:val="BodyText"/>
        <w:spacing w:line="236" w:lineRule="exact"/>
        <w:ind w:right="0"/>
        <w:jc w:val="left"/>
      </w:pPr>
      <w:r>
        <w:rPr/>
        <w:t>开</w:t>
      </w:r>
      <w:r>
        <w:rPr>
          <w:rFonts w:ascii="Times New Roman" w:hAnsi="Times New Roman" w:cs="Times New Roman" w:eastAsia="Times New Roman" w:hint="default"/>
        </w:rPr>
        <w:t>”</w:t>
      </w:r>
      <w:r>
        <w:rPr/>
        <w:t>的政策，杭州日报社及其他相关</w:t>
      </w:r>
      <w:r>
        <w:rPr>
          <w:rFonts w:ascii="Times New Roman" w:hAnsi="Times New Roman" w:cs="Times New Roman" w:eastAsia="Times New Roman" w:hint="default"/>
        </w:rPr>
        <w:t>7</w:t>
      </w:r>
      <w:r>
        <w:rPr/>
        <w:t>家报社，与公司购买资产范围内各相关报刊经营公司签订了《授权经营协议》和《收入</w:t>
      </w:r>
    </w:p>
    <w:p>
      <w:pPr>
        <w:spacing w:line="240" w:lineRule="auto" w:before="9"/>
        <w:rPr>
          <w:rFonts w:ascii="宋体" w:hAnsi="宋体" w:cs="宋体" w:eastAsia="宋体" w:hint="default"/>
          <w:sz w:val="16"/>
          <w:szCs w:val="16"/>
        </w:rPr>
      </w:pPr>
    </w:p>
    <w:p>
      <w:pPr>
        <w:pStyle w:val="BodyText"/>
        <w:spacing w:line="451" w:lineRule="auto"/>
        <w:ind w:right="125"/>
        <w:jc w:val="left"/>
      </w:pPr>
      <w:r>
        <w:rPr>
          <w:spacing w:val="-1"/>
        </w:rPr>
        <w:t>分成协议》，上市公司负责经营广告、发行、印刷和新媒体等业务。根据协议，上市公司每年共需支付保底采编费用</w:t>
      </w:r>
      <w:r>
        <w:rPr>
          <w:rFonts w:ascii="Times New Roman" w:hAnsi="Times New Roman" w:cs="Times New Roman" w:eastAsia="Times New Roman" w:hint="default"/>
          <w:spacing w:val="-1"/>
        </w:rPr>
        <w:t>20,741</w:t>
      </w:r>
      <w:r>
        <w:rPr>
          <w:rFonts w:ascii="Times New Roman" w:hAnsi="Times New Roman" w:cs="Times New Roman" w:eastAsia="Times New Roman" w:hint="default"/>
          <w:spacing w:val="-25"/>
        </w:rPr>
        <w:t> </w:t>
      </w:r>
      <w:r>
        <w:rPr/>
        <w:t>万元，为公司所属各传媒公司主要成本项目。</w:t>
      </w:r>
    </w:p>
    <w:p>
      <w:pPr>
        <w:pStyle w:val="BodyText"/>
        <w:spacing w:line="477" w:lineRule="auto" w:before="113"/>
        <w:ind w:right="85" w:firstLine="417"/>
        <w:jc w:val="left"/>
      </w:pPr>
      <w:r>
        <w:rPr>
          <w:spacing w:val="-1"/>
        </w:rPr>
        <w:t>报告期内，公司平面媒体的订户数有所下降，发行收入和广告收入同步下跌。为此，各级公司积极推进会展策划活动，</w:t>
      </w:r>
      <w:r>
        <w:rPr/>
        <w:t> 以会展活动带动广告投放，发挥各业务线综合协同效应，放缓了广告和策划业务的整体降幅。</w:t>
      </w:r>
    </w:p>
    <w:p>
      <w:pPr>
        <w:pStyle w:val="BodyText"/>
        <w:spacing w:line="240" w:lineRule="auto" w:before="94"/>
        <w:ind w:left="571" w:right="0"/>
        <w:jc w:val="left"/>
      </w:pPr>
      <w:r>
        <w:rPr>
          <w:spacing w:val="-3"/>
        </w:rPr>
        <w:t>报告期内，公司平面媒体广告和活动策划等实现营业收入</w:t>
      </w:r>
      <w:r>
        <w:rPr>
          <w:rFonts w:ascii="Times New Roman" w:hAnsi="Times New Roman" w:cs="Times New Roman" w:eastAsia="Times New Roman" w:hint="default"/>
          <w:spacing w:val="-3"/>
        </w:rPr>
        <w:t>52,570.61</w:t>
      </w:r>
      <w:r>
        <w:rPr>
          <w:spacing w:val="-3"/>
        </w:rPr>
        <w:t>万元，同比下降</w:t>
      </w:r>
      <w:r>
        <w:rPr>
          <w:rFonts w:ascii="Times New Roman" w:hAnsi="Times New Roman" w:cs="Times New Roman" w:eastAsia="Times New Roman" w:hint="default"/>
          <w:spacing w:val="-3"/>
        </w:rPr>
        <w:t>7.92%</w:t>
      </w:r>
      <w:r>
        <w:rPr>
          <w:spacing w:val="-3"/>
        </w:rPr>
        <w:t>，占公司营业总收入的</w:t>
      </w:r>
      <w:r>
        <w:rPr>
          <w:rFonts w:ascii="Times New Roman" w:hAnsi="Times New Roman" w:cs="Times New Roman" w:eastAsia="Times New Roman" w:hint="default"/>
          <w:spacing w:val="-3"/>
        </w:rPr>
        <w:t>28.69%</w:t>
      </w:r>
      <w:r>
        <w:rPr>
          <w:spacing w:val="-3"/>
        </w:rPr>
        <w:t>。</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6" w:lineRule="auto"/>
        <w:ind w:left="153" w:right="111" w:firstLine="417"/>
        <w:jc w:val="left"/>
      </w:pPr>
      <w:r>
        <w:rPr/>
        <w:t>杭报传媒发挥品牌优势，稳守主业，积极拓展宣传平台、会展活动平台和创投孵化平台。策划举办</w:t>
      </w:r>
      <w:r>
        <w:rPr>
          <w:rFonts w:ascii="Times New Roman" w:hAnsi="Times New Roman" w:cs="Times New Roman" w:eastAsia="Times New Roman" w:hint="default"/>
        </w:rPr>
        <w:t>2017</w:t>
      </w:r>
      <w:r>
        <w:rPr/>
        <w:t>杭州本土房企 战略论坛、</w:t>
      </w:r>
      <w:r>
        <w:rPr>
          <w:rFonts w:ascii="Times New Roman" w:hAnsi="Times New Roman" w:cs="Times New Roman" w:eastAsia="Times New Roman" w:hint="default"/>
        </w:rPr>
        <w:t>“</w:t>
      </w:r>
      <w:r>
        <w:rPr/>
        <w:t>我为杭州建好房</w:t>
      </w:r>
      <w:r>
        <w:rPr>
          <w:rFonts w:ascii="Times New Roman" w:hAnsi="Times New Roman" w:cs="Times New Roman" w:eastAsia="Times New Roman" w:hint="default"/>
        </w:rPr>
        <w:t>”</w:t>
      </w:r>
      <w:r>
        <w:rPr/>
        <w:t>活动，撬动房产商的投放需求；发挥</w:t>
      </w:r>
      <w:r>
        <w:rPr>
          <w:rFonts w:ascii="Times New Roman" w:hAnsi="Times New Roman" w:cs="Times New Roman" w:eastAsia="Times New Roman" w:hint="default"/>
        </w:rPr>
        <w:t>“</w:t>
      </w:r>
      <w:r>
        <w:rPr/>
        <w:t>中国新主流媒体汽车联盟</w:t>
      </w:r>
      <w:r>
        <w:rPr>
          <w:rFonts w:ascii="Times New Roman" w:hAnsi="Times New Roman" w:cs="Times New Roman" w:eastAsia="Times New Roman" w:hint="default"/>
        </w:rPr>
        <w:t>”</w:t>
      </w:r>
      <w:r>
        <w:rPr/>
        <w:t>秘书长单位的影响力，整合资 源，拓展汽车行业线下活动，通过白马湖车展特刊、上海车展特刊、</w:t>
      </w:r>
      <w:r>
        <w:rPr>
          <w:rFonts w:ascii="Times New Roman" w:hAnsi="Times New Roman" w:cs="Times New Roman" w:eastAsia="Times New Roman" w:hint="default"/>
        </w:rPr>
        <w:t>3.15</w:t>
      </w:r>
      <w:r>
        <w:rPr/>
        <w:t>特刊、各品牌试驾会等在增加营收同时提升业内品 </w:t>
      </w:r>
      <w:r>
        <w:rPr>
          <w:spacing w:val="-2"/>
        </w:rPr>
        <w:t>牌影响力；策划执行广场舞大赛、云金融特刊等有影响力的活动和专刊，带动广告投放。连续执行、举办电商博览会、儿童</w:t>
      </w:r>
      <w:r>
        <w:rPr>
          <w:spacing w:val="-68"/>
        </w:rPr>
        <w:t> </w:t>
      </w:r>
      <w:r>
        <w:rPr>
          <w:spacing w:val="-68"/>
        </w:rPr>
      </w:r>
      <w:r>
        <w:rPr/>
        <w:t>博览会、红木展、老年博览会等品牌会展，推出</w:t>
      </w:r>
      <w:r>
        <w:rPr>
          <w:rFonts w:ascii="Times New Roman" w:hAnsi="Times New Roman" w:cs="Times New Roman" w:eastAsia="Times New Roman" w:hint="default"/>
        </w:rPr>
        <w:t>“</w:t>
      </w:r>
      <w:r>
        <w:rPr/>
        <w:t>万物生长大会</w:t>
      </w:r>
      <w:r>
        <w:rPr>
          <w:rFonts w:ascii="Times New Roman" w:hAnsi="Times New Roman" w:cs="Times New Roman" w:eastAsia="Times New Roman" w:hint="default"/>
        </w:rPr>
        <w:t>”</w:t>
      </w:r>
      <w:r>
        <w:rPr/>
        <w:t>等创投类品牌论坛，策划举办</w:t>
      </w:r>
      <w:r>
        <w:rPr>
          <w:rFonts w:ascii="Times New Roman" w:hAnsi="Times New Roman" w:cs="Times New Roman" w:eastAsia="Times New Roman" w:hint="default"/>
        </w:rPr>
        <w:t>2017</w:t>
      </w:r>
      <w:r>
        <w:rPr/>
        <w:t>杭州本土房企战略论坛。 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月举办的</w:t>
      </w:r>
      <w:r>
        <w:rPr>
          <w:rFonts w:ascii="Times New Roman" w:hAnsi="Times New Roman" w:cs="Times New Roman" w:eastAsia="Times New Roman" w:hint="default"/>
        </w:rPr>
        <w:t>2016</w:t>
      </w:r>
      <w:r>
        <w:rPr/>
        <w:t>年浙江省会展行业协会年会上，杭报传媒被评为</w:t>
      </w:r>
      <w:r>
        <w:rPr>
          <w:rFonts w:ascii="Times New Roman" w:hAnsi="Times New Roman" w:cs="Times New Roman" w:eastAsia="Times New Roman" w:hint="default"/>
        </w:rPr>
        <w:t>“</w:t>
      </w:r>
      <w:r>
        <w:rPr/>
        <w:t>浙江省会展行业优秀会展服务机构</w:t>
      </w:r>
      <w:r>
        <w:rPr>
          <w:rFonts w:ascii="Times New Roman" w:hAnsi="Times New Roman" w:cs="Times New Roman" w:eastAsia="Times New Roman" w:hint="default"/>
        </w:rPr>
        <w:t>”</w:t>
      </w:r>
      <w:r>
        <w:rPr/>
        <w:t>，红木展被评</w:t>
      </w:r>
      <w:r>
        <w:rPr>
          <w:spacing w:val="-70"/>
        </w:rPr>
        <w:t> </w:t>
      </w:r>
      <w:r>
        <w:rPr>
          <w:spacing w:val="-70"/>
        </w:rPr>
      </w:r>
      <w:r>
        <w:rPr/>
        <w:t>为</w:t>
      </w:r>
      <w:r>
        <w:rPr>
          <w:rFonts w:ascii="Times New Roman" w:hAnsi="Times New Roman" w:cs="Times New Roman" w:eastAsia="Times New Roman" w:hint="default"/>
        </w:rPr>
        <w:t>“</w:t>
      </w:r>
      <w:r>
        <w:rPr/>
        <w:t>浙江省会展行业优秀品牌会展项目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t>电商博览会荣获中国会展行业年会颁发的</w:t>
      </w:r>
      <w:r>
        <w:rPr>
          <w:rFonts w:ascii="Times New Roman" w:hAnsi="Times New Roman" w:cs="Times New Roman" w:eastAsia="Times New Roman" w:hint="default"/>
        </w:rPr>
        <w:t>“2017</w:t>
      </w:r>
      <w:r>
        <w:rPr/>
        <w:t>年度中国十佳专业展览会</w:t>
      </w:r>
      <w:r>
        <w:rPr>
          <w:rFonts w:ascii="Times New Roman" w:hAnsi="Times New Roman" w:cs="Times New Roman" w:eastAsia="Times New Roman" w:hint="default"/>
        </w:rPr>
        <w:t>”</w:t>
      </w:r>
      <w:r>
        <w:rPr/>
        <w:t>。</w:t>
      </w:r>
    </w:p>
    <w:p>
      <w:pPr>
        <w:pStyle w:val="BodyText"/>
        <w:spacing w:line="460" w:lineRule="auto" w:before="78"/>
        <w:ind w:right="188" w:firstLine="417"/>
        <w:jc w:val="both"/>
      </w:pPr>
      <w:r>
        <w:rPr/>
        <w:t>都快控股针对市场需求，为客户提供策略制订、方案策划、内容生产、线下活动组织等媒体宣传全产业链优质服务，</w:t>
      </w:r>
      <w:r>
        <w:rPr>
          <w:spacing w:val="1"/>
        </w:rPr>
        <w:t> </w:t>
      </w:r>
      <w:r>
        <w:rPr>
          <w:spacing w:val="-1"/>
        </w:rPr>
        <w:t>面向客户需求，提供全案宣传推广服务。策划举办</w:t>
      </w:r>
      <w:r>
        <w:rPr>
          <w:rFonts w:ascii="Times New Roman" w:hAnsi="Times New Roman" w:cs="Times New Roman" w:eastAsia="Times New Roman" w:hint="default"/>
          <w:spacing w:val="-1"/>
        </w:rPr>
        <w:t>“</w:t>
      </w:r>
      <w:r>
        <w:rPr>
          <w:spacing w:val="-1"/>
        </w:rPr>
        <w:t>未来生活节</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未来已来</w:t>
      </w:r>
      <w:r>
        <w:rPr>
          <w:rFonts w:ascii="Times New Roman" w:hAnsi="Times New Roman" w:cs="Times New Roman" w:eastAsia="Times New Roman" w:hint="default"/>
          <w:spacing w:val="-1"/>
        </w:rPr>
        <w:t>”</w:t>
      </w:r>
      <w:r>
        <w:rPr>
          <w:spacing w:val="-1"/>
        </w:rPr>
        <w:t>全球人工智能高峰论坛、</w:t>
      </w:r>
      <w:r>
        <w:rPr>
          <w:rFonts w:ascii="Times New Roman" w:hAnsi="Times New Roman" w:cs="Times New Roman" w:eastAsia="Times New Roman" w:hint="default"/>
          <w:spacing w:val="-1"/>
        </w:rPr>
        <w:t>“</w:t>
      </w:r>
      <w:r>
        <w:rPr>
          <w:spacing w:val="-1"/>
        </w:rPr>
        <w:t>拥江发展</w:t>
      </w:r>
      <w:r>
        <w:rPr>
          <w:rFonts w:ascii="Times New Roman" w:hAnsi="Times New Roman" w:cs="Times New Roman" w:eastAsia="Times New Roman" w:hint="default"/>
          <w:spacing w:val="-1"/>
        </w:rPr>
        <w:t>”</w:t>
      </w:r>
      <w:r>
        <w:rPr>
          <w:spacing w:val="-1"/>
        </w:rPr>
        <w:t>战略全国</w:t>
      </w:r>
      <w:r>
        <w:rPr>
          <w:spacing w:val="-57"/>
        </w:rPr>
        <w:t> </w:t>
      </w:r>
      <w:r>
        <w:rPr>
          <w:spacing w:val="-57"/>
        </w:rPr>
      </w:r>
      <w:r>
        <w:rPr>
          <w:spacing w:val="-2"/>
        </w:rPr>
        <w:t>研讨会，在文博会期间推出中国</w:t>
      </w:r>
      <w:r>
        <w:rPr>
          <w:rFonts w:ascii="Times New Roman" w:hAnsi="Times New Roman" w:cs="Times New Roman" w:eastAsia="Times New Roman" w:hint="default"/>
          <w:spacing w:val="-2"/>
        </w:rPr>
        <w:t>——</w:t>
      </w:r>
      <w:r>
        <w:rPr>
          <w:spacing w:val="-2"/>
        </w:rPr>
        <w:t>中东欧文化艺术交流展；创新西湖音乐节、杭州艺博会、市民摄影节、工艺美术精品展</w:t>
      </w:r>
      <w:r>
        <w:rPr>
          <w:spacing w:val="-66"/>
        </w:rPr>
        <w:t> </w:t>
      </w:r>
      <w:r>
        <w:rPr>
          <w:spacing w:val="-66"/>
        </w:rPr>
      </w:r>
      <w:r>
        <w:rPr/>
        <w:t>等。</w:t>
      </w:r>
    </w:p>
    <w:p>
      <w:pPr>
        <w:pStyle w:val="BodyText"/>
        <w:spacing w:line="451" w:lineRule="auto" w:before="106"/>
        <w:ind w:right="169" w:firstLine="417"/>
        <w:jc w:val="both"/>
      </w:pPr>
      <w:r>
        <w:rPr/>
        <w:t>每日传媒围绕</w:t>
      </w:r>
      <w:r>
        <w:rPr>
          <w:rFonts w:ascii="Times New Roman" w:hAnsi="Times New Roman" w:cs="Times New Roman" w:eastAsia="Times New Roman" w:hint="default"/>
        </w:rPr>
        <w:t>“</w:t>
      </w:r>
      <w:r>
        <w:rPr/>
        <w:t>创业服务、教育培训、理财服务、老年服务</w:t>
      </w:r>
      <w:r>
        <w:rPr>
          <w:rFonts w:ascii="Times New Roman" w:hAnsi="Times New Roman" w:cs="Times New Roman" w:eastAsia="Times New Roman" w:hint="default"/>
        </w:rPr>
        <w:t>”</w:t>
      </w:r>
      <w:r>
        <w:rPr/>
        <w:t>四大板块，构建和运营</w:t>
      </w:r>
      <w:r>
        <w:rPr>
          <w:rFonts w:ascii="Times New Roman" w:hAnsi="Times New Roman" w:cs="Times New Roman" w:eastAsia="Times New Roman" w:hint="default"/>
        </w:rPr>
        <w:t>“</w:t>
      </w:r>
      <w:r>
        <w:rPr/>
        <w:t>创业、培训、理财、老年、匠人、 </w:t>
      </w:r>
      <w:r>
        <w:rPr>
          <w:spacing w:val="-1"/>
        </w:rPr>
        <w:t>食堂、消费</w:t>
      </w:r>
      <w:r>
        <w:rPr>
          <w:rFonts w:ascii="Times New Roman" w:hAnsi="Times New Roman" w:cs="Times New Roman" w:eastAsia="Times New Roman" w:hint="default"/>
          <w:spacing w:val="-1"/>
        </w:rPr>
        <w:t>”</w:t>
      </w:r>
      <w:r>
        <w:rPr>
          <w:spacing w:val="-1"/>
        </w:rPr>
        <w:t>等细分圈层，继续做强古玩展、杭商新势大会等展会。以商报报庆为契机，推出了</w:t>
      </w:r>
      <w:r>
        <w:rPr>
          <w:rFonts w:ascii="Times New Roman" w:hAnsi="Times New Roman" w:cs="Times New Roman" w:eastAsia="Times New Roman" w:hint="default"/>
          <w:spacing w:val="-1"/>
        </w:rPr>
        <w:t>“</w:t>
      </w:r>
      <w:r>
        <w:rPr>
          <w:spacing w:val="-1"/>
        </w:rPr>
        <w:t>商报</w:t>
      </w:r>
      <w:r>
        <w:rPr>
          <w:rFonts w:ascii="Times New Roman" w:hAnsi="Times New Roman" w:cs="Times New Roman" w:eastAsia="Times New Roman" w:hint="default"/>
          <w:spacing w:val="-1"/>
        </w:rPr>
        <w:t>15</w:t>
      </w:r>
      <w:r>
        <w:rPr>
          <w:spacing w:val="-1"/>
        </w:rPr>
        <w:t>周年庆</w:t>
      </w:r>
      <w:r>
        <w:rPr>
          <w:rFonts w:ascii="Times New Roman" w:hAnsi="Times New Roman" w:cs="Times New Roman" w:eastAsia="Times New Roman" w:hint="default"/>
          <w:spacing w:val="-1"/>
        </w:rPr>
        <w:t>•</w:t>
      </w:r>
      <w:r>
        <w:rPr>
          <w:spacing w:val="-1"/>
        </w:rPr>
        <w:t>大潮起</w:t>
      </w:r>
      <w:r>
        <w:rPr>
          <w:rFonts w:ascii="Times New Roman" w:hAnsi="Times New Roman" w:cs="Times New Roman" w:eastAsia="Times New Roman" w:hint="default"/>
          <w:spacing w:val="-1"/>
        </w:rPr>
        <w:t>”</w:t>
      </w:r>
      <w:r>
        <w:rPr>
          <w:spacing w:val="-1"/>
        </w:rPr>
        <w:t>系列</w:t>
      </w:r>
      <w:r>
        <w:rPr>
          <w:spacing w:val="-62"/>
        </w:rPr>
        <w:t> </w:t>
      </w:r>
      <w:r>
        <w:rPr>
          <w:spacing w:val="-3"/>
        </w:rPr>
        <w:t>策划，聚合了杭州</w:t>
      </w:r>
      <w:r>
        <w:rPr>
          <w:rFonts w:ascii="Times New Roman" w:hAnsi="Times New Roman" w:cs="Times New Roman" w:eastAsia="Times New Roman" w:hint="default"/>
          <w:spacing w:val="-3"/>
        </w:rPr>
        <w:t>60</w:t>
      </w:r>
      <w:r>
        <w:rPr>
          <w:spacing w:val="-3"/>
        </w:rPr>
        <w:t>多家品牌商加盟，通过微信、纸媒、杂志、户外屏等多种形式的传播。与嘉里中心、网易等联手举办</w:t>
      </w:r>
      <w:r>
        <w:rPr>
          <w:rFonts w:ascii="Times New Roman" w:hAnsi="Times New Roman" w:cs="Times New Roman" w:eastAsia="Times New Roman" w:hint="default"/>
          <w:spacing w:val="-3"/>
        </w:rPr>
        <w:t>“</w:t>
      </w:r>
      <w:r>
        <w:rPr>
          <w:spacing w:val="-3"/>
        </w:rPr>
        <w:t>杭</w:t>
      </w:r>
      <w:r>
        <w:rPr>
          <w:spacing w:val="-85"/>
        </w:rPr>
        <w:t> </w:t>
      </w:r>
      <w:r>
        <w:rPr>
          <w:spacing w:val="-1"/>
        </w:rPr>
        <w:t>州匠人市集</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杭州匠人节</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杭州匠人手作铺子</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树的</w:t>
      </w:r>
      <w:r>
        <w:rPr>
          <w:rFonts w:ascii="Times New Roman" w:hAnsi="Times New Roman" w:cs="Times New Roman" w:eastAsia="Times New Roman" w:hint="default"/>
          <w:spacing w:val="-1"/>
        </w:rPr>
        <w:t>N</w:t>
      </w:r>
      <w:r>
        <w:rPr>
          <w:spacing w:val="-1"/>
        </w:rPr>
        <w:t>次方</w:t>
      </w:r>
      <w:r>
        <w:rPr>
          <w:rFonts w:ascii="Times New Roman" w:hAnsi="Times New Roman" w:cs="Times New Roman" w:eastAsia="Times New Roman" w:hint="default"/>
          <w:spacing w:val="-1"/>
        </w:rPr>
        <w:t>”</w:t>
      </w:r>
      <w:r>
        <w:rPr>
          <w:spacing w:val="-1"/>
        </w:rPr>
        <w:t>公益平台等，在杭州图书馆举办</w:t>
      </w:r>
      <w:r>
        <w:rPr>
          <w:rFonts w:ascii="Times New Roman" w:hAnsi="Times New Roman" w:cs="Times New Roman" w:eastAsia="Times New Roman" w:hint="default"/>
          <w:spacing w:val="-1"/>
        </w:rPr>
        <w:t>“</w:t>
      </w:r>
      <w:r>
        <w:rPr>
          <w:spacing w:val="-1"/>
        </w:rPr>
        <w:t>繁花</w:t>
      </w:r>
      <w:r>
        <w:rPr>
          <w:rFonts w:ascii="Times New Roman" w:hAnsi="Times New Roman" w:cs="Times New Roman" w:eastAsia="Times New Roman" w:hint="default"/>
          <w:spacing w:val="-1"/>
        </w:rPr>
        <w:t>”</w:t>
      </w:r>
      <w:r>
        <w:rPr>
          <w:spacing w:val="-1"/>
        </w:rPr>
        <w:t>大展，成为中东欧</w:t>
      </w:r>
      <w:r>
        <w:rPr>
          <w:spacing w:val="-70"/>
        </w:rPr>
        <w:t> </w:t>
      </w:r>
      <w:r>
        <w:rPr>
          <w:spacing w:val="-70"/>
        </w:rPr>
      </w:r>
      <w:r>
        <w:rPr>
          <w:rFonts w:ascii="Times New Roman" w:hAnsi="Times New Roman" w:cs="Times New Roman" w:eastAsia="Times New Roman" w:hint="default"/>
        </w:rPr>
        <w:t>16</w:t>
      </w:r>
      <w:r>
        <w:rPr/>
        <w:t>国文化部长到杭的参观首展。</w:t>
      </w:r>
    </w:p>
    <w:p>
      <w:pPr>
        <w:pStyle w:val="BodyText"/>
        <w:spacing w:line="463" w:lineRule="auto" w:before="82"/>
        <w:ind w:right="85" w:firstLine="417"/>
        <w:jc w:val="left"/>
      </w:pPr>
      <w:r>
        <w:rPr>
          <w:spacing w:val="-1"/>
        </w:rPr>
        <w:t>萧报传媒紧抓社群营销，提升策展能力，以活动带动广告经营，加大拓展政府服务外包项目，提升非报产业营业收入。</w:t>
      </w:r>
      <w:r>
        <w:rPr/>
        <w:t> 与区域内</w:t>
      </w:r>
      <w:r>
        <w:rPr>
          <w:rFonts w:ascii="Times New Roman" w:hAnsi="Times New Roman" w:cs="Times New Roman" w:eastAsia="Times New Roman" w:hint="default"/>
        </w:rPr>
        <w:t>30</w:t>
      </w:r>
      <w:r>
        <w:rPr/>
        <w:t>余家单位签订了全年广告合同，新开发了钱江世纪城、浦阳、蜀山等镇街部门合作领域。推出</w:t>
      </w:r>
      <w:r>
        <w:rPr>
          <w:rFonts w:ascii="Times New Roman" w:hAnsi="Times New Roman" w:cs="Times New Roman" w:eastAsia="Times New Roman" w:hint="default"/>
        </w:rPr>
        <w:t>“</w:t>
      </w:r>
      <w:r>
        <w:rPr/>
        <w:t>萧山新腾飞</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我为家乡点赞</w:t>
      </w:r>
      <w:r>
        <w:rPr>
          <w:rFonts w:ascii="Times New Roman" w:hAnsi="Times New Roman" w:cs="Times New Roman" w:eastAsia="Times New Roman" w:hint="default"/>
        </w:rPr>
        <w:t>”</w:t>
      </w:r>
      <w:r>
        <w:rPr/>
        <w:t>年中特别策划宣传活动、全媒体营销活动，带动了近半年的营业收入增长。主办承办春季、秋季婚博会、第</w:t>
      </w:r>
      <w:r>
        <w:rPr>
          <w:spacing w:val="-77"/>
        </w:rPr>
        <w:t> </w:t>
      </w:r>
      <w:r>
        <w:rPr>
          <w:spacing w:val="-77"/>
        </w:rPr>
      </w:r>
      <w:r>
        <w:rPr>
          <w:spacing w:val="-2"/>
        </w:rPr>
        <w:t>二届中国（杭州）传媒创新合作项目交流大会、中国编辑学会报纸编辑专业委员会成立大会等活动，有效稳固了传媒市场地</w:t>
      </w:r>
      <w:r>
        <w:rPr>
          <w:spacing w:val="-66"/>
        </w:rPr>
        <w:t> </w:t>
      </w:r>
      <w:r>
        <w:rPr>
          <w:spacing w:val="-66"/>
        </w:rPr>
      </w:r>
      <w:r>
        <w:rPr/>
        <w:t>位。</w:t>
      </w:r>
    </w:p>
    <w:p>
      <w:pPr>
        <w:pStyle w:val="BodyText"/>
        <w:spacing w:line="451" w:lineRule="auto" w:before="103"/>
        <w:ind w:right="187" w:firstLine="420"/>
        <w:jc w:val="both"/>
      </w:pPr>
      <w:r>
        <w:rPr/>
        <w:t>富报传媒在区域政务资源运营上持续拓展，进一步打造独家优质专项内容定制服务。举办杭州（富阳）</w:t>
      </w:r>
      <w:r>
        <w:rPr>
          <w:rFonts w:ascii="Times New Roman" w:hAnsi="Times New Roman" w:cs="Times New Roman" w:eastAsia="Times New Roman" w:hint="default"/>
        </w:rPr>
        <w:t>“</w:t>
      </w:r>
      <w:r>
        <w:rPr/>
        <w:t>拥江发展</w:t>
      </w:r>
      <w:r>
        <w:rPr>
          <w:spacing w:val="25"/>
        </w:rPr>
        <w:t> </w:t>
      </w:r>
      <w:r>
        <w:rPr/>
        <w:t>产</w:t>
      </w:r>
      <w:r>
        <w:rPr/>
        <w:t> 城融合</w:t>
      </w:r>
      <w:r>
        <w:rPr>
          <w:rFonts w:ascii="Times New Roman" w:hAnsi="Times New Roman" w:cs="Times New Roman" w:eastAsia="Times New Roman" w:hint="default"/>
        </w:rPr>
        <w:t>”</w:t>
      </w:r>
      <w:r>
        <w:rPr/>
        <w:t>高峰论坛暨</w:t>
      </w:r>
      <w:r>
        <w:rPr>
          <w:rFonts w:ascii="Times New Roman" w:hAnsi="Times New Roman" w:cs="Times New Roman" w:eastAsia="Times New Roman" w:hint="default"/>
        </w:rPr>
        <w:t>“</w:t>
      </w:r>
      <w:r>
        <w:rPr/>
        <w:t>新富阳新机会</w:t>
      </w:r>
      <w:r>
        <w:rPr>
          <w:rFonts w:ascii="Times New Roman" w:hAnsi="Times New Roman" w:cs="Times New Roman" w:eastAsia="Times New Roman" w:hint="default"/>
        </w:rPr>
        <w:t>”</w:t>
      </w:r>
      <w:r>
        <w:rPr/>
        <w:t>系列推介活动，全案策划执行</w:t>
      </w:r>
      <w:r>
        <w:rPr>
          <w:rFonts w:ascii="Times New Roman" w:hAnsi="Times New Roman" w:cs="Times New Roman" w:eastAsia="Times New Roman" w:hint="default"/>
        </w:rPr>
        <w:t>2017</w:t>
      </w:r>
      <w:r>
        <w:rPr/>
        <w:t>中国（杭州）乡村振兴暨三美建设论坛等，完成四十</w:t>
      </w:r>
      <w:r>
        <w:rPr>
          <w:spacing w:val="-59"/>
        </w:rPr>
        <w:t> </w:t>
      </w:r>
      <w:r>
        <w:rPr>
          <w:spacing w:val="-59"/>
        </w:rPr>
      </w:r>
      <w:r>
        <w:rPr/>
        <w:t>余个客户专属定制综合服务活动。</w:t>
      </w:r>
    </w:p>
    <w:p>
      <w:pPr>
        <w:pStyle w:val="BodyText"/>
        <w:spacing w:line="451" w:lineRule="auto" w:before="113"/>
        <w:ind w:right="187" w:firstLine="556"/>
        <w:jc w:val="both"/>
      </w:pPr>
      <w:r>
        <w:rPr>
          <w:spacing w:val="-1"/>
        </w:rPr>
        <w:t>报告期内，公司参股的文交所承办了</w:t>
      </w:r>
      <w:r>
        <w:rPr>
          <w:rFonts w:ascii="Times New Roman" w:hAnsi="Times New Roman" w:cs="Times New Roman" w:eastAsia="Times New Roman" w:hint="default"/>
          <w:spacing w:val="-1"/>
        </w:rPr>
        <w:t>“2017</w:t>
      </w:r>
      <w:r>
        <w:rPr>
          <w:spacing w:val="-1"/>
        </w:rPr>
        <w:t>杭州第三届版权合作与交易大会</w:t>
      </w:r>
      <w:r>
        <w:rPr>
          <w:rFonts w:ascii="Times New Roman" w:hAnsi="Times New Roman" w:cs="Times New Roman" w:eastAsia="Times New Roman" w:hint="default"/>
          <w:spacing w:val="-1"/>
        </w:rPr>
        <w:t>”</w:t>
      </w:r>
      <w:r>
        <w:rPr>
          <w:spacing w:val="-1"/>
        </w:rPr>
        <w:t>，聚焦网文热点，现场成交</w:t>
      </w:r>
      <w:r>
        <w:rPr>
          <w:rFonts w:ascii="Times New Roman" w:hAnsi="Times New Roman" w:cs="Times New Roman" w:eastAsia="Times New Roman" w:hint="default"/>
          <w:spacing w:val="-1"/>
        </w:rPr>
        <w:t>1.35</w:t>
      </w:r>
      <w:r>
        <w:rPr>
          <w:spacing w:val="-1"/>
        </w:rPr>
        <w:t>亿；与中</w:t>
      </w:r>
      <w:r>
        <w:rPr/>
        <w:t> 国版权保护中心合作，承办</w:t>
      </w:r>
      <w:r>
        <w:rPr>
          <w:rFonts w:ascii="Times New Roman" w:hAnsi="Times New Roman" w:cs="Times New Roman" w:eastAsia="Times New Roman" w:hint="default"/>
        </w:rPr>
        <w:t>“</w:t>
      </w:r>
      <w:r>
        <w:rPr/>
        <w:t>第八届全国版权经纪人培训班</w:t>
      </w:r>
      <w:r>
        <w:rPr>
          <w:rFonts w:ascii="Times New Roman" w:hAnsi="Times New Roman" w:cs="Times New Roman" w:eastAsia="Times New Roman" w:hint="default"/>
        </w:rPr>
        <w:t>”</w:t>
      </w:r>
      <w:r>
        <w:rPr/>
        <w:t>，开展版权领域专业人才培训；承办</w:t>
      </w:r>
      <w:r>
        <w:rPr>
          <w:rFonts w:ascii="Times New Roman" w:hAnsi="Times New Roman" w:cs="Times New Roman" w:eastAsia="Times New Roman" w:hint="default"/>
        </w:rPr>
        <w:t>“</w:t>
      </w:r>
      <w:r>
        <w:rPr/>
        <w:t>第三届华媒杯青年创新创</w:t>
      </w:r>
      <w:r>
        <w:rPr>
          <w:spacing w:val="-58"/>
        </w:rPr>
        <w:t> </w:t>
      </w:r>
      <w:r>
        <w:rPr>
          <w:spacing w:val="-58"/>
        </w:rPr>
      </w:r>
      <w:r>
        <w:rPr/>
        <w:t>业大会</w:t>
      </w:r>
      <w:r>
        <w:rPr>
          <w:rFonts w:ascii="Times New Roman" w:hAnsi="Times New Roman" w:cs="Times New Roman" w:eastAsia="Times New Roman" w:hint="default"/>
        </w:rPr>
        <w:t>”</w:t>
      </w:r>
      <w:r>
        <w:rPr/>
        <w:t>；主办</w:t>
      </w:r>
      <w:r>
        <w:rPr>
          <w:rFonts w:ascii="Times New Roman" w:hAnsi="Times New Roman" w:cs="Times New Roman" w:eastAsia="Times New Roman" w:hint="default"/>
        </w:rPr>
        <w:t>“</w:t>
      </w:r>
      <w:r>
        <w:rPr/>
        <w:t>悦古禧心</w:t>
      </w:r>
      <w:r>
        <w:rPr>
          <w:rFonts w:ascii="Times New Roman" w:hAnsi="Times New Roman" w:cs="Times New Roman" w:eastAsia="Times New Roman" w:hint="default"/>
        </w:rPr>
        <w:t>”</w:t>
      </w:r>
      <w:r>
        <w:rPr/>
        <w:t>文化雅集活动等一系列多领域、多层面的文化活动。</w:t>
      </w:r>
    </w:p>
    <w:p>
      <w:pPr>
        <w:spacing w:line="518" w:lineRule="auto" w:before="82"/>
        <w:ind w:left="574" w:right="1290" w:hanging="66"/>
        <w:jc w:val="left"/>
        <w:rPr>
          <w:rFonts w:ascii="宋体" w:hAnsi="宋体" w:cs="宋体" w:eastAsia="宋体" w:hint="default"/>
          <w:sz w:val="18"/>
          <w:szCs w:val="18"/>
        </w:rPr>
      </w:pPr>
      <w:r>
        <w:rPr>
          <w:rFonts w:ascii="宋体" w:hAnsi="宋体" w:cs="宋体" w:eastAsia="宋体" w:hint="default"/>
          <w:b/>
          <w:bCs/>
          <w:sz w:val="18"/>
          <w:szCs w:val="18"/>
        </w:rPr>
        <w:t>（五）印刷业务成本剧增</w:t>
      </w:r>
      <w:r>
        <w:rPr>
          <w:rFonts w:ascii="宋体" w:hAnsi="宋体" w:cs="宋体" w:eastAsia="宋体" w:hint="default"/>
          <w:b/>
          <w:bCs/>
          <w:spacing w:val="1"/>
          <w:w w:val="99"/>
          <w:sz w:val="18"/>
          <w:szCs w:val="18"/>
        </w:rPr>
        <w:t> </w:t>
      </w:r>
      <w:r>
        <w:rPr>
          <w:rFonts w:ascii="宋体" w:hAnsi="宋体" w:cs="宋体" w:eastAsia="宋体" w:hint="default"/>
          <w:sz w:val="18"/>
          <w:szCs w:val="18"/>
        </w:rPr>
        <w:t>公司印刷业务，由报业印刷、商业包装印刷、印刷材料销售、网络印刷等构成，主要由盛元印务负责。</w:t>
      </w:r>
    </w:p>
    <w:p>
      <w:pPr>
        <w:spacing w:after="0" w:line="518"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left="153" w:right="100" w:firstLine="487"/>
        <w:jc w:val="left"/>
      </w:pPr>
      <w:r>
        <w:rPr/>
        <w:t>报告期内，公司印刷业中非报业收入占整个印刷业收入的比例为</w:t>
      </w:r>
      <w:r>
        <w:rPr>
          <w:rFonts w:ascii="Times New Roman" w:hAnsi="Times New Roman" w:cs="Times New Roman" w:eastAsia="Times New Roman" w:hint="default"/>
        </w:rPr>
        <w:t>64.83%</w:t>
      </w:r>
      <w:r>
        <w:rPr/>
        <w:t>，收入结构进一步优化。其中，对外商业印刷 收入为</w:t>
      </w:r>
      <w:r>
        <w:rPr>
          <w:rFonts w:ascii="Times New Roman" w:hAnsi="Times New Roman" w:cs="Times New Roman" w:eastAsia="Times New Roman" w:hint="default"/>
        </w:rPr>
        <w:t>18,172.03</w:t>
      </w:r>
      <w:r>
        <w:rPr/>
        <w:t>万元，占营业总收入的</w:t>
      </w:r>
      <w:r>
        <w:rPr>
          <w:rFonts w:ascii="Times New Roman" w:hAnsi="Times New Roman" w:cs="Times New Roman" w:eastAsia="Times New Roman" w:hint="default"/>
        </w:rPr>
        <w:t>9.92%</w:t>
      </w:r>
      <w:r>
        <w:rPr/>
        <w:t>。报告期内，商业印刷市场竞争激烈，印刷业务营业收入同比有所下滑，同时 </w:t>
      </w:r>
      <w:r>
        <w:rPr>
          <w:spacing w:val="-4"/>
        </w:rPr>
        <w:t>纸张等大宗物资价格持续上涨，新闻纸、包装用纸和其他印刷用纸全面涨价。其中新闻纸涨幅</w:t>
      </w:r>
      <w:r>
        <w:rPr>
          <w:rFonts w:ascii="Times New Roman" w:hAnsi="Times New Roman" w:cs="Times New Roman" w:eastAsia="Times New Roman" w:hint="default"/>
          <w:spacing w:val="-4"/>
        </w:rPr>
        <w:t>25-35%</w:t>
      </w:r>
      <w:r>
        <w:rPr>
          <w:spacing w:val="-4"/>
        </w:rPr>
        <w:t>，包装用纸涨幅</w:t>
      </w:r>
      <w:r>
        <w:rPr>
          <w:rFonts w:ascii="Times New Roman" w:hAnsi="Times New Roman" w:cs="Times New Roman" w:eastAsia="Times New Roman" w:hint="default"/>
          <w:spacing w:val="-4"/>
        </w:rPr>
        <w:t>30-40%</w:t>
      </w:r>
      <w:r>
        <w:rPr>
          <w:spacing w:val="-4"/>
        </w:rPr>
        <w:t>，</w:t>
      </w:r>
      <w:r>
        <w:rPr>
          <w:spacing w:val="-80"/>
        </w:rPr>
        <w:t> </w:t>
      </w:r>
      <w:r>
        <w:rPr/>
        <w:t>成本大幅增加，报告期内尚未实现盈利。</w:t>
      </w:r>
    </w:p>
    <w:p>
      <w:pPr>
        <w:pStyle w:val="BodyText"/>
        <w:spacing w:line="451" w:lineRule="auto" w:before="112"/>
        <w:ind w:left="153" w:right="187" w:firstLine="487"/>
        <w:jc w:val="both"/>
      </w:pPr>
      <w:r>
        <w:rPr>
          <w:spacing w:val="2"/>
        </w:rPr>
        <w:t>盛元印务已通过国家绿色印刷认证企业、</w:t>
      </w:r>
      <w:r>
        <w:rPr>
          <w:rFonts w:ascii="Times New Roman" w:hAnsi="Times New Roman" w:cs="Times New Roman" w:eastAsia="Times New Roman" w:hint="default"/>
          <w:spacing w:val="2"/>
        </w:rPr>
        <w:t>G7</w:t>
      </w:r>
      <w:r>
        <w:rPr>
          <w:spacing w:val="2"/>
        </w:rPr>
        <w:t>国际质量认证、环保部环境标志绿色印刷认证、</w:t>
      </w:r>
      <w:r>
        <w:rPr>
          <w:rFonts w:ascii="Times New Roman" w:hAnsi="Times New Roman" w:cs="Times New Roman" w:eastAsia="Times New Roman" w:hint="default"/>
          <w:spacing w:val="2"/>
        </w:rPr>
        <w:t>ISO9000</w:t>
      </w:r>
      <w:r>
        <w:rPr>
          <w:spacing w:val="2"/>
        </w:rPr>
        <w:t>、</w:t>
      </w:r>
      <w:r>
        <w:rPr>
          <w:rFonts w:ascii="Times New Roman" w:hAnsi="Times New Roman" w:cs="Times New Roman" w:eastAsia="Times New Roman" w:hint="default"/>
          <w:spacing w:val="2"/>
        </w:rPr>
        <w:t>ISO14000</w:t>
      </w:r>
      <w:r>
        <w:rPr>
          <w:spacing w:val="2"/>
        </w:rPr>
        <w:t>、</w:t>
      </w:r>
      <w:r>
        <w:rPr/>
        <w:t> </w:t>
      </w:r>
      <w:r>
        <w:rPr>
          <w:rFonts w:ascii="Times New Roman" w:hAnsi="Times New Roman" w:cs="Times New Roman" w:eastAsia="Times New Roman" w:hint="default"/>
        </w:rPr>
        <w:t>OHS18000</w:t>
      </w:r>
      <w:r>
        <w:rPr/>
        <w:t>认证、</w:t>
      </w:r>
      <w:r>
        <w:rPr>
          <w:rFonts w:ascii="Times New Roman" w:hAnsi="Times New Roman" w:cs="Times New Roman" w:eastAsia="Times New Roman" w:hint="default"/>
        </w:rPr>
        <w:t>FSC</w:t>
      </w:r>
      <w:r>
        <w:rPr/>
        <w:t>森林认等国际级的认证年审，搭建了印企生产经营标准化建设。作为首批国家印刷示范企业、中央、</w:t>
      </w:r>
      <w:r>
        <w:rPr>
          <w:spacing w:val="-56"/>
        </w:rPr>
        <w:t> </w:t>
      </w:r>
      <w:r>
        <w:rPr>
          <w:spacing w:val="-56"/>
        </w:rPr>
      </w:r>
      <w:r>
        <w:rPr/>
        <w:t>省和市三级政府机关印刷定点服务供应商，公司</w:t>
      </w:r>
      <w:r>
        <w:rPr>
          <w:rFonts w:ascii="Times New Roman" w:hAnsi="Times New Roman" w:cs="Times New Roman" w:eastAsia="Times New Roman" w:hint="default"/>
        </w:rPr>
        <w:t>2017</w:t>
      </w:r>
      <w:r>
        <w:rPr/>
        <w:t>年持续位列</w:t>
      </w:r>
      <w:r>
        <w:rPr>
          <w:rFonts w:ascii="Times New Roman" w:hAnsi="Times New Roman" w:cs="Times New Roman" w:eastAsia="Times New Roman" w:hint="default"/>
        </w:rPr>
        <w:t>“</w:t>
      </w:r>
      <w:r>
        <w:rPr/>
        <w:t>中国印刷企业百强</w:t>
      </w:r>
      <w:r>
        <w:rPr>
          <w:rFonts w:ascii="Times New Roman" w:hAnsi="Times New Roman" w:cs="Times New Roman" w:eastAsia="Times New Roman" w:hint="default"/>
        </w:rPr>
        <w:t>”</w:t>
      </w:r>
      <w:r>
        <w:rPr/>
        <w:t>排行榜，获得中国报业协会授予</w:t>
      </w:r>
      <w:r>
        <w:rPr>
          <w:rFonts w:ascii="Times New Roman" w:hAnsi="Times New Roman" w:cs="Times New Roman" w:eastAsia="Times New Roman" w:hint="default"/>
        </w:rPr>
        <w:t>“</w:t>
      </w:r>
      <w:r>
        <w:rPr/>
        <w:t>精品</w:t>
      </w:r>
      <w:r>
        <w:rPr>
          <w:spacing w:val="-60"/>
        </w:rPr>
        <w:t> </w:t>
      </w:r>
      <w:r>
        <w:rPr/>
        <w:t>报</w:t>
      </w:r>
      <w:r>
        <w:rPr>
          <w:rFonts w:ascii="Times New Roman" w:hAnsi="Times New Roman" w:cs="Times New Roman" w:eastAsia="Times New Roman" w:hint="default"/>
        </w:rPr>
        <w:t>”</w:t>
      </w:r>
      <w:r>
        <w:rPr/>
        <w:t>荣誉称号及浙江省印刷协会首届</w:t>
      </w:r>
      <w:r>
        <w:rPr>
          <w:rFonts w:ascii="Times New Roman" w:hAnsi="Times New Roman" w:cs="Times New Roman" w:eastAsia="Times New Roman" w:hint="default"/>
        </w:rPr>
        <w:t>“</w:t>
      </w:r>
      <w:r>
        <w:rPr/>
        <w:t>之江印艺大奖</w:t>
      </w:r>
      <w:r>
        <w:rPr>
          <w:rFonts w:ascii="Times New Roman" w:hAnsi="Times New Roman" w:cs="Times New Roman" w:eastAsia="Times New Roman" w:hint="default"/>
        </w:rPr>
        <w:t>”</w:t>
      </w:r>
      <w:r>
        <w:rPr/>
        <w:t>铜奖，巩固了盛元在业内综合实力，同时提高市场竞争能力。</w:t>
      </w:r>
    </w:p>
    <w:p>
      <w:pPr>
        <w:pStyle w:val="BodyText"/>
        <w:spacing w:line="516" w:lineRule="auto" w:before="83"/>
        <w:ind w:left="571" w:right="125" w:hanging="64"/>
        <w:jc w:val="left"/>
      </w:pPr>
      <w:r>
        <w:rPr>
          <w:rFonts w:ascii="宋体" w:hAnsi="宋体" w:cs="宋体" w:eastAsia="宋体" w:hint="default"/>
          <w:b/>
          <w:bCs/>
        </w:rPr>
        <w:t>（六）报刊发行和配送业务持续转型</w:t>
      </w:r>
      <w:r>
        <w:rPr>
          <w:rFonts w:ascii="宋体" w:hAnsi="宋体" w:cs="宋体" w:eastAsia="宋体" w:hint="default"/>
          <w:b/>
          <w:bCs/>
          <w:w w:val="99"/>
        </w:rPr>
        <w:t> </w:t>
      </w:r>
      <w:r>
        <w:rPr/>
        <w:t>公司报刊发行和配送业务由报纸发行投递和物流配送构成，主要由每日送负责运营。 受公司平面媒体的订户数下降影响，报刊发行实现营业收入</w:t>
      </w:r>
      <w:r>
        <w:rPr>
          <w:rFonts w:ascii="Times New Roman" w:hAnsi="Times New Roman" w:cs="Times New Roman" w:eastAsia="Times New Roman" w:hint="default"/>
        </w:rPr>
        <w:t>18,989.37</w:t>
      </w:r>
      <w:r>
        <w:rPr/>
        <w:t>万元，同比下降</w:t>
      </w:r>
      <w:r>
        <w:rPr>
          <w:rFonts w:ascii="Times New Roman" w:hAnsi="Times New Roman" w:cs="Times New Roman" w:eastAsia="Times New Roman" w:hint="default"/>
        </w:rPr>
        <w:t>7.46%</w:t>
      </w:r>
      <w:r>
        <w:rPr/>
        <w:t>；物流配送竞争激烈，实</w:t>
      </w:r>
    </w:p>
    <w:p>
      <w:pPr>
        <w:pStyle w:val="BodyText"/>
        <w:spacing w:line="489" w:lineRule="auto"/>
        <w:ind w:left="641" w:right="125" w:hanging="488"/>
        <w:jc w:val="left"/>
      </w:pPr>
      <w:r>
        <w:rPr/>
        <w:t>现营业收入</w:t>
      </w:r>
      <w:r>
        <w:rPr>
          <w:rFonts w:ascii="Times New Roman" w:hAnsi="Times New Roman" w:cs="Times New Roman" w:eastAsia="Times New Roman" w:hint="default"/>
        </w:rPr>
        <w:t>1,812.35</w:t>
      </w:r>
      <w:r>
        <w:rPr/>
        <w:t>万元，同比下降</w:t>
      </w:r>
      <w:r>
        <w:rPr>
          <w:rFonts w:ascii="Times New Roman" w:hAnsi="Times New Roman" w:cs="Times New Roman" w:eastAsia="Times New Roman" w:hint="default"/>
        </w:rPr>
        <w:t>59.23%</w:t>
      </w:r>
      <w:r>
        <w:rPr/>
        <w:t>，合计占公司营业总收入的</w:t>
      </w:r>
      <w:r>
        <w:rPr>
          <w:rFonts w:ascii="Times New Roman" w:hAnsi="Times New Roman" w:cs="Times New Roman" w:eastAsia="Times New Roman" w:hint="default"/>
        </w:rPr>
        <w:t>11.35%</w:t>
      </w:r>
      <w:r>
        <w:rPr/>
        <w:t>。 </w:t>
      </w:r>
      <w:r>
        <w:rPr>
          <w:spacing w:val="-1"/>
        </w:rPr>
        <w:t>报告期内，每日送继续优化发行结构，提高发行效益，报刊发行的营业收入同比</w:t>
      </w:r>
      <w:r>
        <w:rPr>
          <w:rFonts w:ascii="Times New Roman" w:hAnsi="Times New Roman" w:cs="Times New Roman" w:eastAsia="Times New Roman" w:hint="default"/>
          <w:spacing w:val="-1"/>
        </w:rPr>
        <w:t>2016</w:t>
      </w:r>
      <w:r>
        <w:rPr>
          <w:spacing w:val="-1"/>
        </w:rPr>
        <w:t>年有所回升，但发行成本同步攀</w:t>
      </w:r>
    </w:p>
    <w:p>
      <w:pPr>
        <w:pStyle w:val="BodyText"/>
        <w:spacing w:line="487" w:lineRule="auto" w:before="12"/>
        <w:ind w:left="641" w:right="125" w:hanging="488"/>
        <w:jc w:val="left"/>
      </w:pPr>
      <w:r>
        <w:rPr/>
        <w:t>升。因报纸订阅价格提高，征订数量增加，预计</w:t>
      </w:r>
      <w:r>
        <w:rPr>
          <w:rFonts w:ascii="Times New Roman" w:hAnsi="Times New Roman" w:cs="Times New Roman" w:eastAsia="Times New Roman" w:hint="default"/>
        </w:rPr>
        <w:t>2018</w:t>
      </w:r>
      <w:r>
        <w:rPr/>
        <w:t>年度报刊发行业务收入将有较大提高。 </w:t>
      </w:r>
      <w:r>
        <w:rPr>
          <w:spacing w:val="-1"/>
        </w:rPr>
        <w:t>围绕</w:t>
      </w:r>
      <w:r>
        <w:rPr>
          <w:rFonts w:ascii="Times New Roman" w:hAnsi="Times New Roman" w:cs="Times New Roman" w:eastAsia="Times New Roman" w:hint="default"/>
          <w:spacing w:val="-1"/>
        </w:rPr>
        <w:t>“</w:t>
      </w:r>
      <w:r>
        <w:rPr>
          <w:spacing w:val="-1"/>
        </w:rPr>
        <w:t>同城配送专家、本地生活助手</w:t>
      </w:r>
      <w:r>
        <w:rPr>
          <w:rFonts w:ascii="Times New Roman" w:hAnsi="Times New Roman" w:cs="Times New Roman" w:eastAsia="Times New Roman" w:hint="default"/>
          <w:spacing w:val="-1"/>
        </w:rPr>
        <w:t>”</w:t>
      </w:r>
      <w:r>
        <w:rPr>
          <w:spacing w:val="-1"/>
        </w:rPr>
        <w:t>目标，协同推进电商物流、生活物流和信息物流发展，每日送加快向现代物流服</w:t>
      </w:r>
    </w:p>
    <w:p>
      <w:pPr>
        <w:pStyle w:val="BodyText"/>
        <w:spacing w:line="456" w:lineRule="auto" w:before="13"/>
        <w:ind w:left="153" w:right="188"/>
        <w:jc w:val="both"/>
      </w:pPr>
      <w:r>
        <w:rPr>
          <w:spacing w:val="-2"/>
        </w:rPr>
        <w:t>务业转型。在分发、运输、处理、投递等环节上持续改进，通过加强现场作业管理等方式提高时效；通过段道调整等手段管</w:t>
      </w:r>
      <w:r>
        <w:rPr>
          <w:spacing w:val="-67"/>
        </w:rPr>
        <w:t> </w:t>
      </w:r>
      <w:r>
        <w:rPr>
          <w:spacing w:val="-67"/>
        </w:rPr>
      </w:r>
      <w:r>
        <w:rPr/>
        <w:t>控物流配送的成本。生活物流以鲜花配送为突破口，切入城市生活服务。合作</w:t>
      </w:r>
      <w:r>
        <w:rPr>
          <w:rFonts w:ascii="Times New Roman" w:hAnsi="Times New Roman" w:cs="Times New Roman" w:eastAsia="Times New Roman" w:hint="default"/>
        </w:rPr>
        <w:t>“</w:t>
      </w:r>
      <w:r>
        <w:rPr/>
        <w:t>花</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花点时间</w:t>
      </w:r>
      <w:r>
        <w:rPr>
          <w:rFonts w:ascii="Times New Roman" w:hAnsi="Times New Roman" w:cs="Times New Roman" w:eastAsia="Times New Roman" w:hint="default"/>
        </w:rPr>
        <w:t>”</w:t>
      </w:r>
      <w:r>
        <w:rPr/>
        <w:t>，增加节日营销、微信营</w:t>
      </w:r>
      <w:r>
        <w:rPr>
          <w:spacing w:val="-62"/>
        </w:rPr>
        <w:t> </w:t>
      </w:r>
      <w:r>
        <w:rPr>
          <w:spacing w:val="-62"/>
        </w:rPr>
      </w:r>
      <w:r>
        <w:rPr/>
        <w:t>销，在配送范围和单量均有突破。</w:t>
      </w:r>
      <w:r>
        <w:rPr>
          <w:rFonts w:ascii="Times New Roman" w:hAnsi="Times New Roman" w:cs="Times New Roman" w:eastAsia="Times New Roman" w:hint="default"/>
        </w:rPr>
        <w:t>“</w:t>
      </w:r>
      <w:r>
        <w:rPr/>
        <w:t>花</w:t>
      </w:r>
      <w:r>
        <w:rPr>
          <w:rFonts w:ascii="Times New Roman" w:hAnsi="Times New Roman" w:cs="Times New Roman" w:eastAsia="Times New Roman" w:hint="default"/>
        </w:rPr>
        <w:t>+”</w:t>
      </w:r>
      <w:r>
        <w:rPr/>
        <w:t>业务启动浙江全境配送。与菜鸟网络、银泰商城合作</w:t>
      </w:r>
      <w:r>
        <w:rPr>
          <w:rFonts w:ascii="Times New Roman" w:hAnsi="Times New Roman" w:cs="Times New Roman" w:eastAsia="Times New Roman" w:hint="default"/>
        </w:rPr>
        <w:t>“</w:t>
      </w:r>
      <w:r>
        <w:rPr/>
        <w:t>定时达</w:t>
      </w:r>
      <w:r>
        <w:rPr>
          <w:rFonts w:ascii="Times New Roman" w:hAnsi="Times New Roman" w:cs="Times New Roman" w:eastAsia="Times New Roman" w:hint="default"/>
        </w:rPr>
        <w:t>”</w:t>
      </w:r>
      <w:r>
        <w:rPr/>
        <w:t>项目，试水阿里新零</w:t>
      </w:r>
      <w:r>
        <w:rPr>
          <w:spacing w:val="-61"/>
        </w:rPr>
        <w:t> </w:t>
      </w:r>
      <w:r>
        <w:rPr>
          <w:spacing w:val="-61"/>
        </w:rPr>
      </w:r>
      <w:r>
        <w:rPr>
          <w:spacing w:val="-2"/>
        </w:rPr>
        <w:t>售，拓展菜鸟系同城配业务；与杭州爱卿科技拓展</w:t>
      </w:r>
      <w:r>
        <w:rPr>
          <w:rFonts w:ascii="Times New Roman" w:hAnsi="Times New Roman" w:cs="Times New Roman" w:eastAsia="Times New Roman" w:hint="default"/>
          <w:spacing w:val="-2"/>
        </w:rPr>
        <w:t>“</w:t>
      </w:r>
      <w:r>
        <w:rPr>
          <w:spacing w:val="-2"/>
        </w:rPr>
        <w:t>共享机器人</w:t>
      </w:r>
      <w:r>
        <w:rPr>
          <w:rFonts w:ascii="Times New Roman" w:hAnsi="Times New Roman" w:cs="Times New Roman" w:eastAsia="Times New Roman" w:hint="default"/>
          <w:spacing w:val="-2"/>
        </w:rPr>
        <w:t>”</w:t>
      </w:r>
      <w:r>
        <w:rPr>
          <w:spacing w:val="-2"/>
        </w:rPr>
        <w:t>租赁平台，在市场推广、配送服务等方面合作。电商物流签</w:t>
      </w:r>
      <w:r>
        <w:rPr>
          <w:spacing w:val="-42"/>
        </w:rPr>
        <w:t> </w:t>
      </w:r>
      <w:r>
        <w:rPr>
          <w:spacing w:val="-42"/>
        </w:rPr>
      </w:r>
      <w:r>
        <w:rPr/>
        <w:t>约京东配送，承接</w:t>
      </w:r>
      <w:r>
        <w:rPr>
          <w:rFonts w:ascii="Times New Roman" w:hAnsi="Times New Roman" w:cs="Times New Roman" w:eastAsia="Times New Roman" w:hint="default"/>
        </w:rPr>
        <w:t>“</w:t>
      </w:r>
      <w:r>
        <w:rPr/>
        <w:t>益草坊</w:t>
      </w:r>
      <w:r>
        <w:rPr>
          <w:rFonts w:ascii="Times New Roman" w:hAnsi="Times New Roman" w:cs="Times New Roman" w:eastAsia="Times New Roman" w:hint="default"/>
        </w:rPr>
        <w:t>”</w:t>
      </w:r>
      <w:r>
        <w:rPr/>
        <w:t>中药配送、</w:t>
      </w:r>
      <w:r>
        <w:rPr>
          <w:rFonts w:ascii="Times New Roman" w:hAnsi="Times New Roman" w:cs="Times New Roman" w:eastAsia="Times New Roman" w:hint="default"/>
        </w:rPr>
        <w:t>“</w:t>
      </w:r>
      <w:r>
        <w:rPr/>
        <w:t>果小七</w:t>
      </w:r>
      <w:r>
        <w:rPr>
          <w:rFonts w:ascii="Times New Roman" w:hAnsi="Times New Roman" w:cs="Times New Roman" w:eastAsia="Times New Roman" w:hint="default"/>
        </w:rPr>
        <w:t>”</w:t>
      </w:r>
      <w:r>
        <w:rPr/>
        <w:t>水果配送。配送量提升明显，</w:t>
      </w:r>
      <w:r>
        <w:rPr>
          <w:rFonts w:ascii="Times New Roman" w:hAnsi="Times New Roman" w:cs="Times New Roman" w:eastAsia="Times New Roman" w:hint="default"/>
        </w:rPr>
        <w:t>“6.18”</w:t>
      </w:r>
      <w:r>
        <w:rPr/>
        <w:t>、</w:t>
      </w:r>
      <w:r>
        <w:rPr>
          <w:rFonts w:ascii="Times New Roman" w:hAnsi="Times New Roman" w:cs="Times New Roman" w:eastAsia="Times New Roman" w:hint="default"/>
        </w:rPr>
        <w:t>“11.11”</w:t>
      </w:r>
      <w:r>
        <w:rPr/>
        <w:t>期间，实现有效协同、平稳度 峰，获得电商用户好评。</w:t>
      </w:r>
    </w:p>
    <w:p>
      <w:pPr>
        <w:spacing w:line="518" w:lineRule="auto" w:before="109"/>
        <w:ind w:left="641" w:right="125" w:hanging="134"/>
        <w:jc w:val="left"/>
        <w:rPr>
          <w:rFonts w:ascii="宋体" w:hAnsi="宋体" w:cs="宋体" w:eastAsia="宋体" w:hint="default"/>
          <w:sz w:val="18"/>
          <w:szCs w:val="18"/>
        </w:rPr>
      </w:pPr>
      <w:r>
        <w:rPr>
          <w:rFonts w:ascii="宋体" w:hAnsi="宋体" w:cs="宋体" w:eastAsia="宋体" w:hint="default"/>
          <w:b/>
          <w:bCs/>
          <w:sz w:val="18"/>
          <w:szCs w:val="18"/>
        </w:rPr>
        <w:t>（七）文创园区和文创金融产业顺利推进</w:t>
      </w:r>
      <w:r>
        <w:rPr>
          <w:rFonts w:ascii="宋体" w:hAnsi="宋体" w:cs="宋体" w:eastAsia="宋体" w:hint="default"/>
          <w:b/>
          <w:bCs/>
          <w:w w:val="99"/>
          <w:sz w:val="18"/>
          <w:szCs w:val="18"/>
        </w:rPr>
        <w:t> </w:t>
      </w:r>
      <w:r>
        <w:rPr>
          <w:rFonts w:ascii="宋体" w:hAnsi="宋体" w:cs="宋体" w:eastAsia="宋体" w:hint="default"/>
          <w:sz w:val="18"/>
          <w:szCs w:val="18"/>
        </w:rPr>
        <w:t>报告期内，公司参股的华媒科创园被认定为</w:t>
      </w:r>
      <w:r>
        <w:rPr>
          <w:rFonts w:ascii="Times New Roman" w:hAnsi="Times New Roman" w:cs="Times New Roman" w:eastAsia="Times New Roman" w:hint="default"/>
          <w:sz w:val="18"/>
          <w:szCs w:val="18"/>
        </w:rPr>
        <w:t>2017</w:t>
      </w:r>
      <w:r>
        <w:rPr>
          <w:rFonts w:ascii="宋体" w:hAnsi="宋体" w:cs="宋体" w:eastAsia="宋体" w:hint="default"/>
          <w:sz w:val="18"/>
          <w:szCs w:val="18"/>
        </w:rPr>
        <w:t>年杭州市市级科技企业孵化器。园区旨在打造成为</w:t>
      </w:r>
      <w:r>
        <w:rPr>
          <w:rFonts w:ascii="Times New Roman" w:hAnsi="Times New Roman" w:cs="Times New Roman" w:eastAsia="Times New Roman" w:hint="default"/>
          <w:sz w:val="18"/>
          <w:szCs w:val="18"/>
        </w:rPr>
        <w:t>“</w:t>
      </w:r>
      <w:r>
        <w:rPr>
          <w:rFonts w:ascii="宋体" w:hAnsi="宋体" w:cs="宋体" w:eastAsia="宋体" w:hint="default"/>
          <w:sz w:val="18"/>
          <w:szCs w:val="18"/>
        </w:rPr>
        <w:t>科技创新、互联</w:t>
      </w:r>
    </w:p>
    <w:p>
      <w:pPr>
        <w:pStyle w:val="BodyText"/>
        <w:spacing w:line="237" w:lineRule="exact"/>
        <w:ind w:right="0"/>
        <w:jc w:val="both"/>
      </w:pPr>
      <w:r>
        <w:rPr/>
        <w:t>网</w:t>
      </w:r>
      <w:r>
        <w:rPr>
          <w:rFonts w:ascii="Times New Roman" w:hAnsi="Times New Roman" w:cs="Times New Roman" w:eastAsia="Times New Roman" w:hint="default"/>
        </w:rPr>
        <w:t>+”</w:t>
      </w:r>
      <w:r>
        <w:rPr/>
        <w:t>（重点招引电子商务、文化创意、智能硬件项目）创新创业产业园，以园区为载体，以创新服务为支撑，汇聚产业链上</w:t>
      </w:r>
    </w:p>
    <w:p>
      <w:pPr>
        <w:spacing w:line="240" w:lineRule="auto" w:before="9"/>
        <w:rPr>
          <w:rFonts w:ascii="宋体" w:hAnsi="宋体" w:cs="宋体" w:eastAsia="宋体" w:hint="default"/>
          <w:sz w:val="16"/>
          <w:szCs w:val="16"/>
        </w:rPr>
      </w:pPr>
    </w:p>
    <w:p>
      <w:pPr>
        <w:pStyle w:val="BodyText"/>
        <w:spacing w:line="451" w:lineRule="auto"/>
        <w:ind w:right="186"/>
        <w:jc w:val="both"/>
      </w:pPr>
      <w:r>
        <w:rPr/>
        <w:t>下游企业，形成产业生态。截至报告期末，已签约企业</w:t>
      </w:r>
      <w:r>
        <w:rPr>
          <w:rFonts w:ascii="Times New Roman" w:hAnsi="Times New Roman" w:cs="Times New Roman" w:eastAsia="Times New Roman" w:hint="default"/>
        </w:rPr>
        <w:t>115</w:t>
      </w:r>
      <w:r>
        <w:rPr/>
        <w:t>家，入驻或装修进程中的</w:t>
      </w:r>
      <w:r>
        <w:rPr>
          <w:rFonts w:ascii="Times New Roman" w:hAnsi="Times New Roman" w:cs="Times New Roman" w:eastAsia="Times New Roman" w:hint="default"/>
        </w:rPr>
        <w:t>7</w:t>
      </w:r>
      <w:r>
        <w:rPr/>
        <w:t>家，入驻手续办理中的</w:t>
      </w:r>
      <w:r>
        <w:rPr>
          <w:rFonts w:ascii="Times New Roman" w:hAnsi="Times New Roman" w:cs="Times New Roman" w:eastAsia="Times New Roman" w:hint="default"/>
        </w:rPr>
        <w:t>3</w:t>
      </w:r>
      <w:r>
        <w:rPr/>
        <w:t>家，完成园区</w:t>
      </w:r>
      <w:r>
        <w:rPr>
          <w:spacing w:val="-83"/>
        </w:rPr>
        <w:t> </w:t>
      </w:r>
      <w:r>
        <w:rPr>
          <w:spacing w:val="-83"/>
        </w:rPr>
      </w:r>
      <w:r>
        <w:rPr>
          <w:rFonts w:ascii="Times New Roman" w:hAnsi="Times New Roman" w:cs="Times New Roman" w:eastAsia="Times New Roman" w:hint="default"/>
        </w:rPr>
        <w:t>100%</w:t>
      </w:r>
      <w:r>
        <w:rPr/>
        <w:t>满租，运营情况良好。阿里巴巴创新中心已入驻华媒科创园，由杭州经济技术开发区管理委员会、阿里云与良仓加速</w:t>
      </w:r>
      <w:r>
        <w:rPr>
          <w:spacing w:val="-56"/>
        </w:rPr>
        <w:t> </w:t>
      </w:r>
      <w:r>
        <w:rPr>
          <w:spacing w:val="-56"/>
        </w:rPr>
      </w:r>
      <w:r>
        <w:rPr/>
        <w:t>器共同打造的创业平台和众创空间。莱茵运动生活</w:t>
      </w:r>
      <w:r>
        <w:rPr>
          <w:rFonts w:ascii="Times New Roman" w:hAnsi="Times New Roman" w:cs="Times New Roman" w:eastAsia="Times New Roman" w:hint="default"/>
        </w:rPr>
        <w:t>Mall</w:t>
      </w:r>
      <w:r>
        <w:rPr/>
        <w:t>、</w:t>
      </w:r>
      <w:r>
        <w:rPr>
          <w:rFonts w:ascii="Times New Roman" w:hAnsi="Times New Roman" w:cs="Times New Roman" w:eastAsia="Times New Roman" w:hint="default"/>
        </w:rPr>
        <w:t>ofo</w:t>
      </w:r>
      <w:r>
        <w:rPr/>
        <w:t>共享单车华媒科创园站牌、万马新能源充电桩等已入驻。举办</w:t>
      </w:r>
      <w:r>
        <w:rPr>
          <w:spacing w:val="-43"/>
        </w:rPr>
        <w:t> </w:t>
      </w:r>
      <w:r>
        <w:rPr>
          <w:spacing w:val="-43"/>
        </w:rPr>
      </w:r>
      <w:r>
        <w:rPr/>
        <w:t>华媒控股第三届创新创业大赛、浙江好项目杭州赛区富春硅谷杯海选等活动。</w:t>
      </w:r>
    </w:p>
    <w:p>
      <w:pPr>
        <w:pStyle w:val="BodyText"/>
        <w:spacing w:line="240" w:lineRule="auto" w:before="112"/>
        <w:ind w:left="641" w:right="83"/>
        <w:jc w:val="left"/>
      </w:pPr>
      <w:r>
        <w:rPr/>
        <w:t>公司参股并负责管理的杭州文交所，是国有综合性文化产权交易服务机构，为国有、非国有及个人提供资产转让、租</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3" w:lineRule="auto"/>
        <w:ind w:left="153" w:right="188"/>
        <w:jc w:val="both"/>
      </w:pPr>
      <w:r>
        <w:rPr>
          <w:spacing w:val="-2"/>
        </w:rPr>
        <w:t>赁、股权转让等一站式全方位服务。报告期内，杭州文交所搭建了产权交易平台、电子交易平台、艺术品流转平台，初步形</w:t>
      </w:r>
      <w:r>
        <w:rPr>
          <w:spacing w:val="-68"/>
        </w:rPr>
        <w:t> </w:t>
      </w:r>
      <w:r>
        <w:rPr>
          <w:spacing w:val="-68"/>
        </w:rPr>
      </w:r>
      <w:r>
        <w:rPr>
          <w:spacing w:val="-2"/>
        </w:rPr>
        <w:t>成业务矩阵。杭州文交所成为阿里巴巴集团旗下资产处置平台全国首批授权服务机构，提升了业务规模和影响力。</w:t>
      </w:r>
      <w:r>
        <w:rPr>
          <w:rFonts w:ascii="Times New Roman" w:hAnsi="Times New Roman" w:cs="Times New Roman" w:eastAsia="Times New Roman" w:hint="default"/>
          <w:spacing w:val="-2"/>
        </w:rPr>
        <w:t>2017</w:t>
      </w:r>
      <w:r>
        <w:rPr>
          <w:spacing w:val="-2"/>
        </w:rPr>
        <w:t>年共</w:t>
      </w:r>
      <w:r>
        <w:rPr>
          <w:spacing w:val="-62"/>
        </w:rPr>
        <w:t> </w:t>
      </w:r>
      <w:r>
        <w:rPr>
          <w:spacing w:val="-2"/>
        </w:rPr>
        <w:t>完成房产转让项目</w:t>
      </w:r>
      <w:r>
        <w:rPr>
          <w:rFonts w:ascii="Times New Roman" w:hAnsi="Times New Roman" w:cs="Times New Roman" w:eastAsia="Times New Roman" w:hint="default"/>
          <w:spacing w:val="-2"/>
        </w:rPr>
        <w:t>7</w:t>
      </w:r>
      <w:r>
        <w:rPr>
          <w:spacing w:val="-2"/>
        </w:rPr>
        <w:t>个，出租项目</w:t>
      </w:r>
      <w:r>
        <w:rPr>
          <w:rFonts w:ascii="Times New Roman" w:hAnsi="Times New Roman" w:cs="Times New Roman" w:eastAsia="Times New Roman" w:hint="default"/>
          <w:spacing w:val="-2"/>
        </w:rPr>
        <w:t>5</w:t>
      </w:r>
      <w:r>
        <w:rPr>
          <w:spacing w:val="-2"/>
        </w:rPr>
        <w:t>个，股权转让项目</w:t>
      </w:r>
      <w:r>
        <w:rPr>
          <w:rFonts w:ascii="Times New Roman" w:hAnsi="Times New Roman" w:cs="Times New Roman" w:eastAsia="Times New Roman" w:hint="default"/>
          <w:spacing w:val="-2"/>
        </w:rPr>
        <w:t>4</w:t>
      </w:r>
      <w:r>
        <w:rPr>
          <w:spacing w:val="-2"/>
        </w:rPr>
        <w:t>个，总成交额突破</w:t>
      </w:r>
      <w:r>
        <w:rPr>
          <w:rFonts w:ascii="Times New Roman" w:hAnsi="Times New Roman" w:cs="Times New Roman" w:eastAsia="Times New Roman" w:hint="default"/>
          <w:spacing w:val="-2"/>
        </w:rPr>
        <w:t>2</w:t>
      </w:r>
      <w:r>
        <w:rPr>
          <w:spacing w:val="-2"/>
        </w:rPr>
        <w:t>亿元。文化艺术品线上交易平台</w:t>
      </w:r>
      <w:r>
        <w:rPr>
          <w:rFonts w:ascii="Times New Roman" w:hAnsi="Times New Roman" w:cs="Times New Roman" w:eastAsia="Times New Roman" w:hint="default"/>
          <w:spacing w:val="-2"/>
        </w:rPr>
        <w:t>“</w:t>
      </w:r>
      <w:r>
        <w:rPr>
          <w:spacing w:val="-2"/>
        </w:rPr>
        <w:t>融艺宝</w:t>
      </w:r>
      <w:r>
        <w:rPr>
          <w:rFonts w:ascii="Times New Roman" w:hAnsi="Times New Roman" w:cs="Times New Roman" w:eastAsia="Times New Roman" w:hint="default"/>
          <w:spacing w:val="-2"/>
        </w:rPr>
        <w:t>”</w:t>
      </w:r>
      <w:r>
        <w:rPr>
          <w:spacing w:val="-2"/>
        </w:rPr>
        <w:t>上线内测</w:t>
      </w:r>
      <w:r>
        <w:rPr>
          <w:spacing w:val="-41"/>
        </w:rPr>
        <w:t> </w:t>
      </w:r>
      <w:r>
        <w:rPr/>
        <w:t>并正式运营，全面实行</w:t>
      </w:r>
      <w:r>
        <w:rPr>
          <w:rFonts w:ascii="Times New Roman" w:hAnsi="Times New Roman" w:cs="Times New Roman" w:eastAsia="Times New Roman" w:hint="default"/>
        </w:rPr>
        <w:t>“</w:t>
      </w:r>
      <w:r>
        <w:rPr/>
        <w:t>线上</w:t>
      </w:r>
      <w:r>
        <w:rPr>
          <w:rFonts w:ascii="Times New Roman" w:hAnsi="Times New Roman" w:cs="Times New Roman" w:eastAsia="Times New Roman" w:hint="default"/>
        </w:rPr>
        <w:t>+</w:t>
      </w:r>
      <w:r>
        <w:rPr/>
        <w:t>线下</w:t>
      </w:r>
      <w:r>
        <w:rPr>
          <w:rFonts w:ascii="Times New Roman" w:hAnsi="Times New Roman" w:cs="Times New Roman" w:eastAsia="Times New Roman" w:hint="default"/>
        </w:rPr>
        <w:t>”</w:t>
      </w:r>
      <w:r>
        <w:rPr/>
        <w:t>运营模式，将市场内各类流动要素进行组合和重新配置，通过文化类产品标准化、批量</w:t>
      </w:r>
      <w:r>
        <w:rPr>
          <w:spacing w:val="-79"/>
        </w:rPr>
        <w:t> </w:t>
      </w:r>
      <w:r>
        <w:rPr>
          <w:spacing w:val="-79"/>
        </w:rPr>
      </w:r>
      <w:r>
        <w:rPr>
          <w:spacing w:val="-2"/>
        </w:rPr>
        <w:t>化的交易，活跃市场，反哺实业，为非遗产品、传统文化的继承和发扬做出努力。艺术品流转平台已经形成线上线下互动态</w:t>
      </w:r>
      <w:r>
        <w:rPr>
          <w:spacing w:val="-66"/>
        </w:rPr>
        <w:t> </w:t>
      </w:r>
      <w:r>
        <w:rPr>
          <w:spacing w:val="-66"/>
        </w:rPr>
      </w:r>
      <w:r>
        <w:rPr/>
        <w:t>势，线上依托淘宝拍卖平台，完成</w:t>
      </w:r>
      <w:r>
        <w:rPr>
          <w:rFonts w:ascii="Times New Roman" w:hAnsi="Times New Roman" w:cs="Times New Roman" w:eastAsia="Times New Roman" w:hint="default"/>
        </w:rPr>
        <w:t>“</w:t>
      </w:r>
      <w:r>
        <w:rPr/>
        <w:t>生机勃勃铜器专场</w:t>
      </w:r>
      <w:r>
        <w:rPr>
          <w:rFonts w:ascii="Times New Roman" w:hAnsi="Times New Roman" w:cs="Times New Roman" w:eastAsia="Times New Roman" w:hint="default"/>
        </w:rPr>
        <w:t>”“</w:t>
      </w:r>
      <w:r>
        <w:rPr/>
        <w:t>老器新生金缮专场</w:t>
      </w:r>
      <w:r>
        <w:rPr>
          <w:rFonts w:ascii="Times New Roman" w:hAnsi="Times New Roman" w:cs="Times New Roman" w:eastAsia="Times New Roman" w:hint="default"/>
        </w:rPr>
        <w:t>”“</w:t>
      </w:r>
      <w:r>
        <w:rPr/>
        <w:t>雅韵古琴专场</w:t>
      </w:r>
      <w:r>
        <w:rPr>
          <w:rFonts w:ascii="Times New Roman" w:hAnsi="Times New Roman" w:cs="Times New Roman" w:eastAsia="Times New Roman" w:hint="default"/>
        </w:rPr>
        <w:t>”“</w:t>
      </w:r>
      <w:r>
        <w:rPr/>
        <w:t>堪玩鸡血石专场</w:t>
      </w:r>
      <w:r>
        <w:rPr>
          <w:rFonts w:ascii="Times New Roman" w:hAnsi="Times New Roman" w:cs="Times New Roman" w:eastAsia="Times New Roman" w:hint="default"/>
        </w:rPr>
        <w:t>”</w:t>
      </w:r>
      <w:r>
        <w:rPr/>
        <w:t>等专场拍卖， </w:t>
      </w:r>
      <w:r>
        <w:rPr>
          <w:spacing w:val="-2"/>
        </w:rPr>
        <w:t>线下依托公司广泛的艺术家资源和强大的设计能力，开发文化礼品系列产品，并注册运营礼品小店。本报告期，文交所贡献</w:t>
      </w:r>
      <w:r>
        <w:rPr>
          <w:spacing w:val="-66"/>
        </w:rPr>
        <w:t> </w:t>
      </w:r>
      <w:r>
        <w:rPr>
          <w:spacing w:val="-66"/>
        </w:rPr>
      </w:r>
      <w:r>
        <w:rPr/>
        <w:t>投资收益</w:t>
      </w:r>
      <w:r>
        <w:rPr>
          <w:rFonts w:ascii="Times New Roman" w:hAnsi="Times New Roman" w:cs="Times New Roman" w:eastAsia="Times New Roman" w:hint="default"/>
        </w:rPr>
        <w:t>110.79</w:t>
      </w:r>
      <w:r>
        <w:rPr/>
        <w:t>万元，同比上涨</w:t>
      </w:r>
      <w:r>
        <w:rPr>
          <w:rFonts w:ascii="Times New Roman" w:hAnsi="Times New Roman" w:cs="Times New Roman" w:eastAsia="Times New Roman" w:hint="default"/>
        </w:rPr>
        <w:t>6.47%</w:t>
      </w:r>
      <w:r>
        <w:rPr/>
        <w:t>。</w:t>
      </w:r>
    </w:p>
    <w:p>
      <w:pPr>
        <w:pStyle w:val="BodyText"/>
        <w:spacing w:line="518" w:lineRule="auto" w:before="72"/>
        <w:ind w:left="641" w:right="83" w:firstLine="69"/>
        <w:jc w:val="left"/>
      </w:pPr>
      <w:r>
        <w:rPr>
          <w:rFonts w:ascii="宋体" w:hAnsi="宋体" w:cs="宋体" w:eastAsia="宋体" w:hint="default"/>
          <w:b/>
          <w:bCs/>
        </w:rPr>
        <w:t>（八）资本运作有序进行</w:t>
      </w:r>
      <w:r>
        <w:rPr>
          <w:rFonts w:ascii="宋体" w:hAnsi="宋体" w:cs="宋体" w:eastAsia="宋体" w:hint="default"/>
          <w:b/>
          <w:bCs/>
          <w:spacing w:val="1"/>
          <w:w w:val="99"/>
        </w:rPr>
        <w:t> </w:t>
      </w:r>
      <w:r>
        <w:rPr>
          <w:spacing w:val="-3"/>
        </w:rPr>
        <w:t>报告期内，公司投资设立浙江华媒实业有限公司，已办理完毕工商注册手续，并成功竞得大江东某地块的土地使用权。</w:t>
      </w:r>
      <w:r>
        <w:rPr>
          <w:spacing w:val="-54"/>
        </w:rPr>
        <w:t> </w:t>
      </w:r>
      <w:r>
        <w:rPr>
          <w:spacing w:val="-54"/>
        </w:rPr>
      </w:r>
      <w:r>
        <w:rPr/>
        <w:t>公司投资设立的浙江弘致投资管理有限公司（公告暂定名：华媒中南投资管理有限公司）、浙江华媒教育科技有限公</w:t>
      </w:r>
    </w:p>
    <w:p>
      <w:pPr>
        <w:pStyle w:val="BodyText"/>
        <w:spacing w:line="516" w:lineRule="auto" w:before="25"/>
        <w:ind w:left="641" w:right="83" w:hanging="488"/>
        <w:jc w:val="left"/>
      </w:pPr>
      <w:r>
        <w:rPr/>
        <w:t>司已办理完毕工商注册手续。 </w:t>
      </w:r>
      <w:r>
        <w:rPr>
          <w:spacing w:val="-3"/>
        </w:rPr>
        <w:t>华媒教育收购了杭州萧山萧报教育咨询有限公司、杭州华媒企业管理有限公司（原名：浙江世文教育科技有限公司），</w:t>
      </w:r>
    </w:p>
    <w:p>
      <w:pPr>
        <w:pStyle w:val="BodyText"/>
        <w:spacing w:line="516" w:lineRule="auto" w:before="26"/>
        <w:ind w:left="641" w:right="125" w:hanging="488"/>
        <w:jc w:val="left"/>
      </w:pPr>
      <w:r>
        <w:rPr/>
        <w:t>已办理完毕工商变更登记手续。 </w:t>
      </w:r>
      <w:r>
        <w:rPr>
          <w:spacing w:val="-1"/>
        </w:rPr>
        <w:t>杭报传媒所属创投孵化项目</w:t>
      </w:r>
      <w:r>
        <w:rPr>
          <w:rFonts w:ascii="Times New Roman" w:hAnsi="Times New Roman" w:cs="Times New Roman" w:eastAsia="Times New Roman" w:hint="default"/>
          <w:spacing w:val="-1"/>
        </w:rPr>
        <w:t>“</w:t>
      </w:r>
      <w:r>
        <w:rPr>
          <w:spacing w:val="-1"/>
        </w:rPr>
        <w:t>第七空间</w:t>
      </w:r>
      <w:r>
        <w:rPr>
          <w:rFonts w:ascii="Times New Roman" w:hAnsi="Times New Roman" w:cs="Times New Roman" w:eastAsia="Times New Roman" w:hint="default"/>
          <w:spacing w:val="-1"/>
        </w:rPr>
        <w:t>”</w:t>
      </w:r>
      <w:r>
        <w:rPr>
          <w:spacing w:val="-1"/>
        </w:rPr>
        <w:t>已成功引进创业团队五十余个，其中</w:t>
      </w:r>
      <w:r>
        <w:rPr>
          <w:rFonts w:ascii="Times New Roman" w:hAnsi="Times New Roman" w:cs="Times New Roman" w:eastAsia="Times New Roman" w:hint="default"/>
          <w:spacing w:val="-1"/>
        </w:rPr>
        <w:t>2017</w:t>
      </w:r>
      <w:r>
        <w:rPr>
          <w:spacing w:val="-1"/>
        </w:rPr>
        <w:t>年新引进项目</w:t>
      </w:r>
      <w:r>
        <w:rPr>
          <w:rFonts w:ascii="Times New Roman" w:hAnsi="Times New Roman" w:cs="Times New Roman" w:eastAsia="Times New Roman" w:hint="default"/>
          <w:spacing w:val="-1"/>
        </w:rPr>
        <w:t>15</w:t>
      </w:r>
      <w:r>
        <w:rPr>
          <w:spacing w:val="-1"/>
        </w:rPr>
        <w:t>个。在</w:t>
      </w:r>
      <w:r>
        <w:rPr>
          <w:rFonts w:ascii="Times New Roman" w:hAnsi="Times New Roman" w:cs="Times New Roman" w:eastAsia="Times New Roman" w:hint="default"/>
          <w:spacing w:val="-1"/>
        </w:rPr>
        <w:t>2016</w:t>
      </w:r>
      <w:r>
        <w:rPr>
          <w:spacing w:val="-1"/>
        </w:rPr>
        <w:t>年成功通</w:t>
      </w:r>
    </w:p>
    <w:p>
      <w:pPr>
        <w:pStyle w:val="BodyText"/>
        <w:spacing w:line="487" w:lineRule="auto"/>
        <w:ind w:left="641" w:right="99" w:hanging="488"/>
        <w:jc w:val="left"/>
      </w:pPr>
      <w:r>
        <w:rPr/>
        <w:t>过国家级众创空间备案后，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w:t>
      </w:r>
      <w:r>
        <w:rPr/>
        <w:t>第七空间</w:t>
      </w:r>
      <w:r>
        <w:rPr>
          <w:rFonts w:ascii="Times New Roman" w:hAnsi="Times New Roman" w:cs="Times New Roman" w:eastAsia="Times New Roman" w:hint="default"/>
        </w:rPr>
        <w:t>”</w:t>
      </w:r>
      <w:r>
        <w:rPr/>
        <w:t>被评为省级优秀众创空间。 </w:t>
      </w:r>
      <w:r>
        <w:rPr>
          <w:spacing w:val="-2"/>
        </w:rPr>
        <w:t>公司收购了的华泰一媒</w:t>
      </w:r>
      <w:r>
        <w:rPr>
          <w:rFonts w:ascii="Times New Roman" w:hAnsi="Times New Roman" w:cs="Times New Roman" w:eastAsia="Times New Roman" w:hint="default"/>
          <w:spacing w:val="-2"/>
        </w:rPr>
        <w:t>49%</w:t>
      </w:r>
      <w:r>
        <w:rPr>
          <w:spacing w:val="-2"/>
        </w:rPr>
        <w:t>股权。华泰一媒成为公司全资子公司，目前主要开展新闻版权维护和自媒体平台交易业务，</w:t>
      </w:r>
    </w:p>
    <w:p>
      <w:pPr>
        <w:pStyle w:val="BodyText"/>
        <w:spacing w:line="240" w:lineRule="auto" w:before="14"/>
        <w:ind w:right="125"/>
        <w:jc w:val="left"/>
      </w:pPr>
      <w:r>
        <w:rPr/>
        <w:t>发展势头良好。</w:t>
      </w:r>
    </w:p>
    <w:p>
      <w:pPr>
        <w:spacing w:line="240" w:lineRule="auto" w:before="9"/>
        <w:rPr>
          <w:rFonts w:ascii="宋体" w:hAnsi="宋体" w:cs="宋体" w:eastAsia="宋体" w:hint="default"/>
          <w:sz w:val="20"/>
          <w:szCs w:val="20"/>
        </w:rPr>
      </w:pPr>
    </w:p>
    <w:p>
      <w:pPr>
        <w:pStyle w:val="BodyText"/>
        <w:spacing w:line="477" w:lineRule="auto"/>
        <w:ind w:right="125" w:firstLine="487"/>
        <w:jc w:val="left"/>
      </w:pPr>
      <w:r>
        <w:rPr>
          <w:spacing w:val="-1"/>
        </w:rPr>
        <w:t>报告期内，因精典博维业务变化，同时为避免控股股东与上市公司潜在的同业竞争，帮助精典博维突破业务瓶颈以取</w:t>
      </w:r>
      <w:r>
        <w:rPr/>
        <w:t> 得更好发展的可能，公司将持股</w:t>
      </w:r>
      <w:r>
        <w:rPr>
          <w:rFonts w:ascii="Times New Roman" w:hAnsi="Times New Roman" w:cs="Times New Roman" w:eastAsia="Times New Roman" w:hint="default"/>
        </w:rPr>
        <w:t>35%</w:t>
      </w:r>
      <w:r>
        <w:rPr/>
        <w:t>的精典博维股权全部转让给浙江华朗实业有限公司。</w:t>
      </w:r>
    </w:p>
    <w:p>
      <w:pPr>
        <w:pStyle w:val="BodyText"/>
        <w:spacing w:line="451" w:lineRule="auto" w:before="61"/>
        <w:ind w:right="173" w:firstLine="487"/>
        <w:jc w:val="left"/>
      </w:pPr>
      <w:r>
        <w:rPr/>
        <w:t>杭州网挂牌转让了快点传播</w:t>
      </w:r>
      <w:r>
        <w:rPr>
          <w:rFonts w:ascii="Times New Roman" w:hAnsi="Times New Roman" w:cs="Times New Roman" w:eastAsia="Times New Roman" w:hint="default"/>
        </w:rPr>
        <w:t>12%</w:t>
      </w:r>
      <w:r>
        <w:rPr/>
        <w:t>股权，已办理完毕工商变更登记手续，同时根据相应的会计政策改由权益法进行会计 核算。</w:t>
      </w:r>
    </w:p>
    <w:p>
      <w:pPr>
        <w:pStyle w:val="BodyText"/>
        <w:spacing w:line="451" w:lineRule="auto" w:before="112"/>
        <w:ind w:right="125" w:firstLine="487"/>
        <w:jc w:val="left"/>
      </w:pPr>
      <w:r>
        <w:rPr>
          <w:spacing w:val="-4"/>
        </w:rPr>
        <w:t>由于华媒金晟募集资金规模未达预期，同时公司发展战略调整，华媒投资和华媒传播转让了各自所持华媒金晟合计</w:t>
      </w:r>
      <w:r>
        <w:rPr>
          <w:rFonts w:ascii="Times New Roman" w:hAnsi="Times New Roman" w:cs="Times New Roman" w:eastAsia="Times New Roman" w:hint="default"/>
          <w:spacing w:val="-4"/>
        </w:rPr>
        <w:t>50%</w:t>
      </w:r>
      <w:r>
        <w:rPr>
          <w:rFonts w:ascii="Times New Roman" w:hAnsi="Times New Roman" w:cs="Times New Roman" w:eastAsia="Times New Roman" w:hint="default"/>
        </w:rPr>
        <w:t> </w:t>
      </w:r>
      <w:r>
        <w:rPr/>
        <w:t>股权，已办理完毕工商变更登记手续。</w:t>
      </w:r>
    </w:p>
    <w:p>
      <w:pPr>
        <w:pStyle w:val="BodyText"/>
        <w:spacing w:line="477" w:lineRule="auto" w:before="112"/>
        <w:ind w:right="125" w:firstLine="487"/>
        <w:jc w:val="left"/>
      </w:pPr>
      <w:r>
        <w:rPr>
          <w:spacing w:val="-1"/>
        </w:rPr>
        <w:t>公司的定向增发工作，由于相关政策变动以及二级市场波动等各方面原因，公司对定向增发工作的相关方案论证情况</w:t>
      </w:r>
      <w:r>
        <w:rPr/>
        <w:t> 未达预期，同时公司已启动公司债和超短期融资券的注册工作。经谨慎研究决定终止本次定向增发。</w:t>
      </w:r>
    </w:p>
    <w:p>
      <w:pPr>
        <w:spacing w:after="0" w:line="477" w:lineRule="auto"/>
        <w:jc w:val="left"/>
        <w:sectPr>
          <w:pgSz w:w="11910" w:h="16840"/>
          <w:pgMar w:header="747"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4" w:right="54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4"/>
        <w:gridCol w:w="1598"/>
        <w:gridCol w:w="1586"/>
        <w:gridCol w:w="1599"/>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7" w:hRule="exact"/>
        </w:trPr>
        <w:tc>
          <w:tcPr>
            <w:tcW w:w="1596" w:type="dxa"/>
            <w:vMerge w:val="restart"/>
            <w:tcBorders>
              <w:top w:val="nil" w:sz="6" w:space="0" w:color="auto"/>
              <w:left w:val="single" w:sz="4" w:space="0" w:color="000000"/>
              <w:right w:val="single" w:sz="4" w:space="0" w:color="000000"/>
            </w:tcBorders>
            <w:shd w:val="clear" w:color="auto" w:fill="D3D3D3"/>
          </w:tcPr>
          <w:p>
            <w:pPr/>
          </w:p>
        </w:tc>
        <w:tc>
          <w:tcPr>
            <w:tcW w:w="3188" w:type="dxa"/>
            <w:gridSpan w:val="2"/>
            <w:vMerge/>
            <w:tcBorders>
              <w:left w:val="single" w:sz="4" w:space="0" w:color="000000"/>
              <w:bottom w:val="single" w:sz="4" w:space="0" w:color="000000"/>
              <w:right w:val="single" w:sz="4" w:space="0" w:color="000000"/>
            </w:tcBorders>
            <w:shd w:val="clear" w:color="auto" w:fill="D3D3D3"/>
          </w:tcPr>
          <w:p>
            <w:pPr/>
          </w:p>
        </w:tc>
        <w:tc>
          <w:tcPr>
            <w:tcW w:w="3184" w:type="dxa"/>
            <w:gridSpan w:val="2"/>
            <w:vMerge/>
            <w:tcBorders>
              <w:left w:val="single" w:sz="4" w:space="0" w:color="000000"/>
              <w:bottom w:val="single" w:sz="4" w:space="0" w:color="000000"/>
              <w:right w:val="single" w:sz="4" w:space="0" w:color="000000"/>
            </w:tcBorders>
            <w:shd w:val="clear" w:color="auto" w:fill="D3D3D3"/>
          </w:tcPr>
          <w:p>
            <w:pPr/>
          </w:p>
        </w:tc>
        <w:tc>
          <w:tcPr>
            <w:tcW w:w="159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8" w:type="dxa"/>
            <w:vMerge/>
            <w:tcBorders>
              <w:left w:val="single" w:sz="4" w:space="0" w:color="000000"/>
              <w:bottom w:val="single" w:sz="4" w:space="0" w:color="000000"/>
              <w:right w:val="single" w:sz="4" w:space="0" w:color="000000"/>
            </w:tcBorders>
            <w:shd w:val="clear" w:color="auto" w:fill="D3D3D3"/>
          </w:tcPr>
          <w:p>
            <w:pPr/>
          </w:p>
        </w:tc>
        <w:tc>
          <w:tcPr>
            <w:tcW w:w="1586" w:type="dxa"/>
            <w:vMerge/>
            <w:tcBorders>
              <w:left w:val="single" w:sz="4" w:space="0" w:color="000000"/>
              <w:bottom w:val="single" w:sz="4" w:space="0" w:color="000000"/>
              <w:right w:val="single" w:sz="4" w:space="0" w:color="000000"/>
            </w:tcBorders>
            <w:shd w:val="clear" w:color="auto" w:fill="D3D3D3"/>
          </w:tcPr>
          <w:p>
            <w:pPr/>
          </w:p>
        </w:tc>
        <w:tc>
          <w:tcPr>
            <w:tcW w:w="159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1,832,268,001.47</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1,832,144,605.06</w:t>
            </w:r>
          </w:p>
        </w:tc>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525,706,063.76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570,923,391.92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31.16%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新媒体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122,450,205.10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168,963,635.28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9.22%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户外广告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252,413,913.61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148,021,605.53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8.08%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报刊及发行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189,893,737.81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205,593,710.30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11.22%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181,720,326.32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191,041,390.67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10.43%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227,216,921.42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210,714,234.62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212,887,357.90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139,604,050.97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7.62%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75,165,575.70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130,874,958.68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7.14%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18,123,483.00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44,455,357.94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2.43%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26,690,416.85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21,952,269.15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21.58%</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525,706,063.76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570,923,391.92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31.16%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新媒体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122,450,205.10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168,963,635.28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9.22%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户外广告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252,413,913.61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148,021,605.53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8.08%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报刊及发行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189,893,737.81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205,593,710.30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11.22%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181,720,326.32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191,041,390.67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10.43%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227,216,921.42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210,714,234.62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212,887,357.90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139,604,050.97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7.62%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75,165,575.70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130,874,958.68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7.14%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18,123,483.00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44,455,357.94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2.43%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26,690,416.85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21,952,269.15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21.58%</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1,832,268,001.47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7" w:right="0"/>
              <w:jc w:val="lef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1,832,144,605.06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6" w:right="0"/>
              <w:jc w:val="lef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80" w:left="980" w:right="980"/>
          <w:cols w:num="2" w:equalWidth="0">
            <w:col w:w="3215" w:space="5704"/>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525,706,063.76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348,276,638.07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新媒体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122,450,205.10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86,924,621.10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户外广告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252,413,913.61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204,473,648.43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报刊及发行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189,893,737.81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190,416,599.30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227,216,921.42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158,714,760.54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212,887,357.90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78,489,957.56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101.77%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-9.01%</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525,706,063.76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348,276,638.07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新媒体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122,450,205.10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86,924,621.10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户外广告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252,413,913.61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204,473,648.43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报刊及发行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189,893,737.81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190,416,599.30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227,216,921.42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158,714,760.54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212,887,357.90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78,489,957.56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101.77%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-9.01%</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1,832,268,001.47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1,368,394,473.46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w:t>
            </w:r>
          </w:p>
        </w:tc>
      </w:tr>
    </w:tbl>
    <w:p>
      <w:pPr>
        <w:pStyle w:val="BodyText"/>
        <w:spacing w:line="240" w:lineRule="auto" w:before="51"/>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行业和产品分类</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广告及策划业</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348,276,638.07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307,597,209.39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新媒体</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86,924,621.10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108,218,064.39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户外广告</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204,473,648.43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120,311,696.41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报刊及发行</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190,416,599.30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182,525,178.37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199,018,442.57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199,977,602.97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158,714,760.54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149,834,178.89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78,489,957.56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38,900,643.20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101.77%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70,385,813.52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117,587,742.49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物流服务</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15,606,099.10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30,532,704.65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16,087,893.27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8,338,187.35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92.94%</w:t>
            </w:r>
          </w:p>
        </w:tc>
      </w:tr>
    </w:tbl>
    <w:p>
      <w:pPr>
        <w:pStyle w:val="BodyText"/>
        <w:spacing w:line="240" w:lineRule="auto" w:before="51"/>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广告及策划业</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348,276,638.07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307,597,209.39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新媒体</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86,924,621.10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108,218,064.39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户外广告</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204,473,648.43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120,311,696.41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报刊及发行</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190,416,599.30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182,525,178.37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199,018,442.57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199,977,602.97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158,714,760.54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149,834,178.89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78,489,957.56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38,900,643.20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101.77%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70,385,813.52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117,587,742.49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物流服务</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15,606,099.10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30,532,704.65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16,087,893.27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8,338,187.35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92.94%</w:t>
            </w:r>
          </w:p>
        </w:tc>
      </w:tr>
    </w:tbl>
    <w:p>
      <w:pPr>
        <w:pStyle w:val="BodyText"/>
        <w:spacing w:line="240" w:lineRule="auto" w:before="51"/>
        <w:ind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0" w:lineRule="auto" w:before="102"/>
        <w:ind w:right="0" w:firstLine="480"/>
        <w:jc w:val="left"/>
      </w:pPr>
      <w:r>
        <w:rPr/>
        <w:t>本公司</w:t>
      </w:r>
      <w:r>
        <w:rPr>
          <w:rFonts w:ascii="Times New Roman" w:hAnsi="Times New Roman" w:cs="Times New Roman" w:eastAsia="Times New Roman" w:hint="default"/>
        </w:rPr>
        <w:t>2017</w:t>
      </w:r>
      <w:r>
        <w:rPr/>
        <w:t>年度纳入合并范围的二级子公司共</w:t>
      </w:r>
      <w:r>
        <w:rPr>
          <w:rFonts w:ascii="Times New Roman" w:hAnsi="Times New Roman" w:cs="Times New Roman" w:eastAsia="Times New Roman" w:hint="default"/>
        </w:rPr>
        <w:t>15</w:t>
      </w:r>
      <w:r>
        <w:rPr/>
        <w:t>户，详见本附注八</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。本公司本年度合并范围比 上年度增加</w:t>
      </w:r>
      <w:r>
        <w:rPr>
          <w:rFonts w:ascii="Times New Roman" w:hAnsi="Times New Roman" w:cs="Times New Roman" w:eastAsia="Times New Roman" w:hint="default"/>
        </w:rPr>
        <w:t>1</w:t>
      </w:r>
      <w:r>
        <w:rPr/>
        <w:t>户二级子公司，详见本附注七</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after="0" w:line="30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232,263,088.96</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12.68%</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9"/>
        <w:gridCol w:w="3312"/>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73,879,062.44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4.03%</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65,455,500.44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3.57%</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49,000,841.91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2.67%</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23,640,208.57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20,287,475.60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232,263,088.96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12.68%</w:t>
            </w:r>
          </w:p>
        </w:tc>
      </w:tr>
    </w:tbl>
    <w:p>
      <w:pPr>
        <w:pStyle w:val="BodyText"/>
        <w:spacing w:line="240" w:lineRule="auto" w:before="51"/>
        <w:ind w:right="0"/>
        <w:jc w:val="left"/>
      </w:pPr>
      <w:r>
        <w:rPr/>
        <w:t>主要客户其他情况说明</w:t>
      </w:r>
    </w:p>
    <w:p>
      <w:pPr>
        <w:pStyle w:val="BodyText"/>
        <w:spacing w:line="340" w:lineRule="auto" w:before="116"/>
        <w:ind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266,876,748.86</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19.50%</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68"/>
        <w:gridCol w:w="2333"/>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116,369,849.11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51,813,522.21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49,159,284.33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25,853,299.72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23,680,793.49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w:t>
            </w:r>
          </w:p>
        </w:tc>
        <w:tc>
          <w:tcPr>
            <w:tcW w:w="233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266,876,748.86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19.50%</w:t>
            </w:r>
          </w:p>
        </w:tc>
      </w:tr>
    </w:tbl>
    <w:p>
      <w:pPr>
        <w:pStyle w:val="BodyText"/>
        <w:spacing w:line="240" w:lineRule="auto" w:before="51"/>
        <w:ind w:right="0"/>
        <w:jc w:val="left"/>
      </w:pPr>
      <w:r>
        <w:rPr/>
        <w:t>主要供应商其他情况说明</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7"/>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left="490" w:right="0"/>
              <w:jc w:val="left"/>
              <w:rPr>
                <w:rFonts w:ascii="Times New Roman" w:hAnsi="Times New Roman" w:cs="Times New Roman" w:eastAsia="Times New Roman" w:hint="default"/>
                <w:sz w:val="18"/>
                <w:szCs w:val="18"/>
              </w:rPr>
            </w:pPr>
            <w:r>
              <w:rPr>
                <w:rFonts w:ascii="Times New Roman"/>
                <w:sz w:val="18"/>
              </w:rPr>
              <w:t>115,133,381.95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5" w:right="0"/>
              <w:jc w:val="left"/>
              <w:rPr>
                <w:rFonts w:ascii="Times New Roman" w:hAnsi="Times New Roman" w:cs="Times New Roman" w:eastAsia="Times New Roman" w:hint="default"/>
                <w:sz w:val="18"/>
                <w:szCs w:val="18"/>
              </w:rPr>
            </w:pPr>
            <w:r>
              <w:rPr>
                <w:rFonts w:ascii="Times New Roman"/>
                <w:sz w:val="18"/>
              </w:rPr>
              <w:t>115,025,437.45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0.09%</w:t>
            </w:r>
          </w:p>
        </w:tc>
        <w:tc>
          <w:tcPr>
            <w:tcW w:w="291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left="484" w:right="0"/>
              <w:jc w:val="left"/>
              <w:rPr>
                <w:rFonts w:ascii="Times New Roman" w:hAnsi="Times New Roman" w:cs="Times New Roman" w:eastAsia="Times New Roman" w:hint="default"/>
                <w:sz w:val="18"/>
                <w:szCs w:val="18"/>
              </w:rPr>
            </w:pPr>
            <w:r>
              <w:rPr>
                <w:rFonts w:ascii="Times New Roman"/>
                <w:sz w:val="18"/>
              </w:rPr>
              <w:t>181,046,944.41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9" w:right="0"/>
              <w:jc w:val="left"/>
              <w:rPr>
                <w:rFonts w:ascii="Times New Roman" w:hAnsi="Times New Roman" w:cs="Times New Roman" w:eastAsia="Times New Roman" w:hint="default"/>
                <w:sz w:val="18"/>
                <w:szCs w:val="18"/>
              </w:rPr>
            </w:pPr>
            <w:r>
              <w:rPr>
                <w:rFonts w:ascii="Times New Roman"/>
                <w:sz w:val="18"/>
              </w:rPr>
              <w:t>149,302,932.62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21.26%</w:t>
            </w:r>
          </w:p>
        </w:tc>
        <w:tc>
          <w:tcPr>
            <w:tcW w:w="291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62" w:hRule="exact"/>
        </w:trPr>
        <w:tc>
          <w:tcPr>
            <w:tcW w:w="1892" w:type="dxa"/>
            <w:tcBorders>
              <w:top w:val="single" w:sz="4" w:space="0" w:color="000000"/>
              <w:left w:val="single" w:sz="4" w:space="0" w:color="000000"/>
              <w:bottom w:val="nil" w:sz="6" w:space="0" w:color="auto"/>
              <w:right w:val="single" w:sz="4" w:space="0" w:color="000000"/>
            </w:tcBorders>
            <w:shd w:val="clear" w:color="auto" w:fill="D3D3D3"/>
          </w:tcPr>
          <w:p>
            <w:pPr/>
          </w:p>
        </w:tc>
        <w:tc>
          <w:tcPr>
            <w:tcW w:w="1649" w:type="dxa"/>
            <w:vMerge w:val="restart"/>
            <w:tcBorders>
              <w:top w:val="single" w:sz="4" w:space="0" w:color="000000"/>
              <w:left w:val="single" w:sz="10" w:space="0" w:color="D3D3D3"/>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1,024,436.28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-5,439,766.63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118.83%</w:t>
            </w:r>
          </w:p>
        </w:tc>
        <w:tc>
          <w:tcPr>
            <w:tcW w:w="2917"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2"/>
              <w:ind w:left="22" w:right="92" w:firstLine="90"/>
              <w:jc w:val="left"/>
              <w:rPr>
                <w:rFonts w:ascii="宋体" w:hAnsi="宋体" w:cs="宋体" w:eastAsia="宋体" w:hint="default"/>
                <w:sz w:val="18"/>
                <w:szCs w:val="18"/>
              </w:rPr>
            </w:pPr>
            <w:r>
              <w:rPr>
                <w:rFonts w:ascii="宋体" w:hAnsi="宋体" w:cs="宋体" w:eastAsia="宋体" w:hint="default"/>
                <w:sz w:val="18"/>
                <w:szCs w:val="18"/>
              </w:rPr>
              <w:t>主要系本年度借款利息支出增加所 致。</w:t>
            </w:r>
          </w:p>
        </w:tc>
      </w:tr>
      <w:tr>
        <w:trPr>
          <w:trHeight w:val="391" w:hRule="exact"/>
        </w:trPr>
        <w:tc>
          <w:tcPr>
            <w:tcW w:w="18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3D3D3"/>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shd w:val="clear" w:color="auto" w:fill="C7EDCC"/>
          </w:tcPr>
          <w:p>
            <w:pPr/>
          </w:p>
        </w:tc>
      </w:tr>
      <w:tr>
        <w:trPr>
          <w:trHeight w:val="162" w:hRule="exact"/>
        </w:trPr>
        <w:tc>
          <w:tcPr>
            <w:tcW w:w="1892" w:type="dxa"/>
            <w:tcBorders>
              <w:top w:val="nil" w:sz="6" w:space="0" w:color="auto"/>
              <w:left w:val="single" w:sz="4" w:space="0" w:color="000000"/>
              <w:bottom w:val="single" w:sz="4" w:space="0" w:color="000000"/>
              <w:right w:val="single" w:sz="4" w:space="0" w:color="000000"/>
            </w:tcBorders>
            <w:shd w:val="clear" w:color="auto" w:fill="D3D3D3"/>
          </w:tcPr>
          <w:p>
            <w:pPr/>
          </w:p>
        </w:tc>
        <w:tc>
          <w:tcPr>
            <w:tcW w:w="1649" w:type="dxa"/>
            <w:vMerge/>
            <w:tcBorders>
              <w:left w:val="single" w:sz="10" w:space="0" w:color="D3D3D3"/>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shd w:val="clear" w:color="auto" w:fill="C7EDCC"/>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280" w:lineRule="auto" w:before="85"/>
        <w:ind w:right="187" w:firstLine="399"/>
        <w:jc w:val="both"/>
      </w:pPr>
      <w:r>
        <w:rPr>
          <w:rFonts w:ascii="Times New Roman" w:hAnsi="Times New Roman" w:cs="Times New Roman" w:eastAsia="Times New Roman" w:hint="default"/>
          <w:spacing w:val="-1"/>
        </w:rPr>
        <w:t>2017</w:t>
      </w:r>
      <w:r>
        <w:rPr>
          <w:spacing w:val="-1"/>
        </w:rPr>
        <w:t>年，中教未来及其所属公司研发了</w:t>
      </w:r>
      <w:r>
        <w:rPr>
          <w:rFonts w:ascii="Times New Roman" w:hAnsi="Times New Roman" w:cs="Times New Roman" w:eastAsia="Times New Roman" w:hint="default"/>
          <w:spacing w:val="-1"/>
        </w:rPr>
        <w:t>12</w:t>
      </w:r>
      <w:r>
        <w:rPr>
          <w:spacing w:val="-1"/>
        </w:rPr>
        <w:t>个项目，分别涉及：智能教育信息化资源管理系统、教育咨讯业</w:t>
      </w:r>
      <w:r>
        <w:rPr>
          <w:w w:val="100"/>
        </w:rPr>
        <w:t> </w:t>
      </w:r>
      <w:r>
        <w:rPr>
          <w:spacing w:val="-1"/>
        </w:rPr>
        <w:t>务综合管理系统、教务教学管理平台等教育管理平台，在线学习平台等教学平台，云计算创新实验室等高校合</w:t>
      </w:r>
      <w:r>
        <w:rPr>
          <w:spacing w:val="-63"/>
        </w:rPr>
        <w:t> </w:t>
      </w:r>
      <w:r>
        <w:rPr>
          <w:spacing w:val="-63"/>
        </w:rPr>
      </w:r>
      <w:r>
        <w:rPr>
          <w:spacing w:val="-1"/>
        </w:rPr>
        <w:t>作平台等。截至报告期末，上述项目均已研发完毕。上述项目的研发有助于提升公司教学软实力，加强信息化</w:t>
      </w:r>
      <w:r>
        <w:rPr>
          <w:spacing w:val="-63"/>
        </w:rPr>
        <w:t> </w:t>
      </w:r>
      <w:r>
        <w:rPr>
          <w:spacing w:val="-63"/>
        </w:rPr>
      </w:r>
      <w:r>
        <w:rPr/>
        <w:t>管理，推动教学管理电子化进程，降低教学成本，提升工作效率，突破区域限制等。</w:t>
      </w:r>
    </w:p>
    <w:p>
      <w:pPr>
        <w:pStyle w:val="BodyText"/>
        <w:spacing w:line="240" w:lineRule="auto" w:before="72"/>
        <w:ind w:right="0"/>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2"/>
        <w:gridCol w:w="2392"/>
      </w:tblGrid>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22,083,089.25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16,967,751.52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30.15%</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6,411,072.35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7,031,106.21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-8.82%</w:t>
            </w:r>
          </w:p>
        </w:tc>
      </w:tr>
      <w:tr>
        <w:trPr>
          <w:trHeight w:val="714"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-7.80%</w:t>
            </w:r>
          </w:p>
        </w:tc>
      </w:tr>
    </w:tbl>
    <w:p>
      <w:pPr>
        <w:pStyle w:val="BodyText"/>
        <w:spacing w:line="240" w:lineRule="auto" w:before="51"/>
        <w:ind w:right="0"/>
        <w:jc w:val="left"/>
      </w:pPr>
      <w:r>
        <w:rPr/>
        <w:t>研发投入总额占营业收入的比重较上年发生显著变化的原因</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4"/>
        <w:gridCol w:w="1819"/>
        <w:gridCol w:w="2392"/>
        <w:gridCol w:w="2392"/>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2,072,189,953.40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2,011,228,299.63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1,886,944,444.76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1,721,271,612.58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9.63%</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185,245,508.64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289,956,687.05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-36.11%</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437,521,704.73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134,465,107.01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77"/>
        <w:gridCol w:w="1807"/>
        <w:gridCol w:w="2392"/>
        <w:gridCol w:w="2392"/>
      </w:tblGrid>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713,822,081.86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480,837,495.11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48.45%</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-276,300,377.13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-346,372,388.10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20.23%</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393,213,479.00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53,100,000.01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640.52%</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347,910,038.99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106,793,580.32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225.78%</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45,303,440.01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-53,693,580.31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184.37%</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-45,751,428.48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-110,109,281.36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-58.45%</w:t>
            </w:r>
          </w:p>
        </w:tc>
      </w:tr>
    </w:tbl>
    <w:p>
      <w:pPr>
        <w:pStyle w:val="BodyText"/>
        <w:spacing w:line="240" w:lineRule="auto" w:before="51"/>
        <w:ind w:right="0"/>
        <w:jc w:val="left"/>
      </w:pPr>
      <w:r>
        <w:rPr/>
        <w:t>相关数据同比发生重大变动的主要影响因素说明</w:t>
      </w:r>
    </w:p>
    <w:p>
      <w:pPr>
        <w:pStyle w:val="BodyText"/>
        <w:spacing w:line="338" w:lineRule="auto" w:before="117"/>
        <w:ind w:right="32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报告期内公司经营活动产生的现金净流量与本年度净利润存在重大差异的原因说明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23"/>
        <w:gridCol w:w="1313"/>
        <w:gridCol w:w="1417"/>
        <w:gridCol w:w="3685"/>
        <w:gridCol w:w="163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0"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8" w:hRule="exact"/>
        </w:trPr>
        <w:tc>
          <w:tcPr>
            <w:tcW w:w="1523" w:type="dxa"/>
            <w:tcBorders>
              <w:top w:val="single" w:sz="4" w:space="0" w:color="000000"/>
              <w:left w:val="single" w:sz="4" w:space="0" w:color="000000"/>
              <w:bottom w:val="nil" w:sz="6" w:space="0" w:color="auto"/>
              <w:right w:val="single" w:sz="4" w:space="0" w:color="000000"/>
            </w:tcBorders>
            <w:shd w:val="clear" w:color="auto" w:fill="D3D3D3"/>
          </w:tcPr>
          <w:p>
            <w:pPr/>
          </w:p>
        </w:tc>
        <w:tc>
          <w:tcPr>
            <w:tcW w:w="1313"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368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主要系原持有上海合印科技股份有限公司的股</w:t>
            </w:r>
          </w:p>
        </w:tc>
        <w:tc>
          <w:tcPr>
            <w:tcW w:w="1630" w:type="dxa"/>
            <w:vMerge w:val="restart"/>
            <w:tcBorders>
              <w:top w:val="single" w:sz="4" w:space="0" w:color="000000"/>
              <w:left w:val="single" w:sz="4" w:space="0" w:color="000000"/>
              <w:right w:val="single" w:sz="4" w:space="0" w:color="000000"/>
            </w:tcBorders>
            <w:shd w:val="clear" w:color="auto" w:fill="C7EDCC"/>
          </w:tcPr>
          <w:p>
            <w:pPr/>
          </w:p>
        </w:tc>
      </w:tr>
      <w:tr>
        <w:trPr>
          <w:trHeight w:val="391" w:hRule="exact"/>
        </w:trPr>
        <w:tc>
          <w:tcPr>
            <w:tcW w:w="152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313" w:type="dxa"/>
            <w:tcBorders>
              <w:top w:val="nil" w:sz="6" w:space="0" w:color="auto"/>
              <w:left w:val="single" w:sz="9" w:space="0" w:color="D3D3D3"/>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76,216,005.97</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34.58%</w:t>
            </w:r>
          </w:p>
        </w:tc>
        <w:tc>
          <w:tcPr>
            <w:tcW w:w="36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权，改变持有目的从长期股权投资转入可供出</w:t>
            </w:r>
          </w:p>
        </w:tc>
        <w:tc>
          <w:tcPr>
            <w:tcW w:w="1630" w:type="dxa"/>
            <w:vMerge/>
            <w:tcBorders>
              <w:left w:val="single" w:sz="4" w:space="0" w:color="000000"/>
              <w:right w:val="single" w:sz="4" w:space="0" w:color="000000"/>
            </w:tcBorders>
            <w:shd w:val="clear" w:color="auto" w:fill="C7EDCC"/>
          </w:tcPr>
          <w:p>
            <w:pPr/>
          </w:p>
        </w:tc>
      </w:tr>
      <w:tr>
        <w:trPr>
          <w:trHeight w:val="317" w:hRule="exact"/>
        </w:trPr>
        <w:tc>
          <w:tcPr>
            <w:tcW w:w="1523"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3"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368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22" w:lineRule="exact"/>
              <w:ind w:left="22" w:right="0"/>
              <w:jc w:val="left"/>
              <w:rPr>
                <w:rFonts w:ascii="宋体" w:hAnsi="宋体" w:cs="宋体" w:eastAsia="宋体" w:hint="default"/>
                <w:sz w:val="18"/>
                <w:szCs w:val="18"/>
              </w:rPr>
            </w:pPr>
            <w:r>
              <w:rPr>
                <w:rFonts w:ascii="宋体" w:hAnsi="宋体" w:cs="宋体" w:eastAsia="宋体" w:hint="default"/>
                <w:sz w:val="18"/>
                <w:szCs w:val="18"/>
              </w:rPr>
              <w:t>售金融资产，持有股权增值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c>
        <w:tc>
          <w:tcPr>
            <w:tcW w:w="1630"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31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105,622.40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0.05%</w:t>
            </w:r>
          </w:p>
        </w:tc>
        <w:tc>
          <w:tcPr>
            <w:tcW w:w="368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31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16,477,859.05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7.48%</w:t>
            </w:r>
          </w:p>
        </w:tc>
        <w:tc>
          <w:tcPr>
            <w:tcW w:w="368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1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3,628,339.97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w:t>
            </w:r>
          </w:p>
        </w:tc>
        <w:tc>
          <w:tcPr>
            <w:tcW w:w="368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31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3,796,197.70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w:t>
            </w:r>
          </w:p>
        </w:tc>
        <w:tc>
          <w:tcPr>
            <w:tcW w:w="368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411"/>
        <w:gridCol w:w="1502"/>
        <w:gridCol w:w="1433"/>
        <w:gridCol w:w="1492"/>
        <w:gridCol w:w="1433"/>
        <w:gridCol w:w="979"/>
        <w:gridCol w:w="1421"/>
      </w:tblGrid>
      <w:tr>
        <w:trPr>
          <w:trHeight w:val="206" w:hRule="exact"/>
        </w:trPr>
        <w:tc>
          <w:tcPr>
            <w:tcW w:w="1411" w:type="dxa"/>
            <w:tcBorders>
              <w:top w:val="single" w:sz="4" w:space="0" w:color="000000"/>
              <w:left w:val="single" w:sz="4" w:space="0" w:color="000000"/>
              <w:bottom w:val="nil" w:sz="6" w:space="0" w:color="auto"/>
              <w:right w:val="single" w:sz="4" w:space="0" w:color="000000"/>
            </w:tcBorders>
            <w:shd w:val="clear" w:color="auto" w:fill="D3D3D3"/>
          </w:tcPr>
          <w:p>
            <w:pPr/>
          </w:p>
        </w:tc>
        <w:tc>
          <w:tcPr>
            <w:tcW w:w="293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9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7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2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1411" w:type="dxa"/>
            <w:vMerge w:val="restart"/>
            <w:tcBorders>
              <w:top w:val="nil" w:sz="6" w:space="0" w:color="auto"/>
              <w:left w:val="single" w:sz="4" w:space="0" w:color="000000"/>
              <w:right w:val="single" w:sz="4" w:space="0" w:color="000000"/>
            </w:tcBorders>
            <w:shd w:val="clear" w:color="auto" w:fill="D3D3D3"/>
          </w:tcPr>
          <w:p>
            <w:pPr/>
          </w:p>
        </w:tc>
        <w:tc>
          <w:tcPr>
            <w:tcW w:w="2935" w:type="dxa"/>
            <w:gridSpan w:val="2"/>
            <w:vMerge/>
            <w:tcBorders>
              <w:left w:val="single" w:sz="4" w:space="0" w:color="000000"/>
              <w:bottom w:val="single" w:sz="4" w:space="0" w:color="000000"/>
              <w:right w:val="single" w:sz="4" w:space="0" w:color="000000"/>
            </w:tcBorders>
            <w:shd w:val="clear" w:color="auto" w:fill="D3D3D3"/>
          </w:tcPr>
          <w:p>
            <w:pPr/>
          </w:p>
        </w:tc>
        <w:tc>
          <w:tcPr>
            <w:tcW w:w="2924" w:type="dxa"/>
            <w:gridSpan w:val="2"/>
            <w:vMerge/>
            <w:tcBorders>
              <w:left w:val="single" w:sz="4" w:space="0" w:color="000000"/>
              <w:bottom w:val="single" w:sz="4" w:space="0" w:color="000000"/>
              <w:right w:val="single" w:sz="4" w:space="0" w:color="000000"/>
            </w:tcBorders>
            <w:shd w:val="clear" w:color="auto" w:fill="D3D3D3"/>
          </w:tcPr>
          <w:p>
            <w:pPr/>
          </w:p>
        </w:tc>
        <w:tc>
          <w:tcPr>
            <w:tcW w:w="9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42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7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7" w:hRule="exact"/>
        </w:trPr>
        <w:tc>
          <w:tcPr>
            <w:tcW w:w="1411" w:type="dxa"/>
            <w:vMerge/>
            <w:tcBorders>
              <w:left w:val="single" w:sz="4" w:space="0" w:color="000000"/>
              <w:bottom w:val="nil" w:sz="6" w:space="0" w:color="auto"/>
              <w:right w:val="single" w:sz="4" w:space="0" w:color="000000"/>
            </w:tcBorders>
            <w:shd w:val="clear" w:color="auto" w:fill="D3D3D3"/>
          </w:tcPr>
          <w:p>
            <w:pPr/>
          </w:p>
        </w:tc>
        <w:tc>
          <w:tcPr>
            <w:tcW w:w="15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71"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71"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79" w:type="dxa"/>
            <w:vMerge/>
            <w:tcBorders>
              <w:left w:val="single" w:sz="4" w:space="0" w:color="000000"/>
              <w:bottom w:val="nil" w:sz="6" w:space="0" w:color="auto"/>
              <w:right w:val="single" w:sz="4" w:space="0" w:color="000000"/>
            </w:tcBorders>
            <w:shd w:val="clear" w:color="auto" w:fill="D3D3D3"/>
          </w:tcPr>
          <w:p>
            <w:pPr/>
          </w:p>
        </w:tc>
        <w:tc>
          <w:tcPr>
            <w:tcW w:w="1421" w:type="dxa"/>
            <w:vMerge/>
            <w:tcBorders>
              <w:left w:val="single" w:sz="4" w:space="0" w:color="000000"/>
              <w:bottom w:val="nil" w:sz="6" w:space="0" w:color="auto"/>
              <w:right w:val="single" w:sz="4" w:space="0" w:color="000000"/>
            </w:tcBorders>
            <w:shd w:val="clear" w:color="auto" w:fill="D3D3D3"/>
          </w:tcPr>
          <w:p>
            <w:pPr/>
          </w:p>
        </w:tc>
      </w:tr>
      <w:tr>
        <w:trPr>
          <w:trHeight w:val="205" w:hRule="exact"/>
        </w:trPr>
        <w:tc>
          <w:tcPr>
            <w:tcW w:w="1411" w:type="dxa"/>
            <w:tcBorders>
              <w:top w:val="nil" w:sz="6" w:space="0" w:color="auto"/>
              <w:left w:val="single" w:sz="4" w:space="0" w:color="000000"/>
              <w:bottom w:val="single" w:sz="4" w:space="0" w:color="000000"/>
              <w:right w:val="single" w:sz="4" w:space="0" w:color="000000"/>
            </w:tcBorders>
            <w:shd w:val="clear" w:color="auto" w:fill="D3D3D3"/>
          </w:tcPr>
          <w:p>
            <w:pPr/>
          </w:p>
        </w:tc>
        <w:tc>
          <w:tcPr>
            <w:tcW w:w="1502" w:type="dxa"/>
            <w:vMerge/>
            <w:tcBorders>
              <w:left w:val="single" w:sz="4" w:space="0" w:color="000000"/>
              <w:bottom w:val="single" w:sz="4" w:space="0" w:color="000000"/>
              <w:right w:val="single" w:sz="4" w:space="0" w:color="000000"/>
            </w:tcBorders>
            <w:shd w:val="clear" w:color="auto" w:fill="D3D3D3"/>
          </w:tcPr>
          <w:p>
            <w:pPr/>
          </w:p>
        </w:tc>
        <w:tc>
          <w:tcPr>
            <w:tcW w:w="1433" w:type="dxa"/>
            <w:vMerge/>
            <w:tcBorders>
              <w:left w:val="single" w:sz="4" w:space="0" w:color="000000"/>
              <w:bottom w:val="single" w:sz="4" w:space="0" w:color="000000"/>
              <w:right w:val="single" w:sz="4" w:space="0" w:color="000000"/>
            </w:tcBorders>
            <w:shd w:val="clear" w:color="auto" w:fill="D3D3D3"/>
          </w:tcPr>
          <w:p>
            <w:pPr/>
          </w:p>
        </w:tc>
        <w:tc>
          <w:tcPr>
            <w:tcW w:w="1492" w:type="dxa"/>
            <w:vMerge/>
            <w:tcBorders>
              <w:left w:val="single" w:sz="4" w:space="0" w:color="000000"/>
              <w:bottom w:val="single" w:sz="4" w:space="0" w:color="000000"/>
              <w:right w:val="single" w:sz="4" w:space="0" w:color="000000"/>
            </w:tcBorders>
            <w:shd w:val="clear" w:color="auto" w:fill="D3D3D3"/>
          </w:tcPr>
          <w:p>
            <w:pPr/>
          </w:p>
        </w:tc>
        <w:tc>
          <w:tcPr>
            <w:tcW w:w="1433" w:type="dxa"/>
            <w:vMerge/>
            <w:tcBorders>
              <w:left w:val="single" w:sz="4" w:space="0" w:color="000000"/>
              <w:bottom w:val="single" w:sz="4" w:space="0" w:color="000000"/>
              <w:right w:val="single" w:sz="4" w:space="0" w:color="000000"/>
            </w:tcBorders>
            <w:shd w:val="clear" w:color="auto" w:fill="D3D3D3"/>
          </w:tcPr>
          <w:p>
            <w:pPr/>
          </w:p>
        </w:tc>
        <w:tc>
          <w:tcPr>
            <w:tcW w:w="97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21"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4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831,552,890.63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25.98%</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785,207,376.69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26.44%</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-0.46%</w:t>
            </w:r>
          </w:p>
        </w:tc>
        <w:tc>
          <w:tcPr>
            <w:tcW w:w="1421"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4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363,372,009.84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11.35%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523,089,136.95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17.61%</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-6.26%</w:t>
            </w:r>
          </w:p>
        </w:tc>
        <w:tc>
          <w:tcPr>
            <w:tcW w:w="1421"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4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31,434,880.24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0.98%</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33,196,957.22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1.12%</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-0.14%</w:t>
            </w:r>
          </w:p>
        </w:tc>
        <w:tc>
          <w:tcPr>
            <w:tcW w:w="1421"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4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533,354,473.67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16.66%</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355,391,846.54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11.97%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4.69%</w:t>
            </w:r>
          </w:p>
        </w:tc>
        <w:tc>
          <w:tcPr>
            <w:tcW w:w="1421"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4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233,048,360.22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7.28%</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234,562,796.74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-0.62%</w:t>
            </w:r>
          </w:p>
        </w:tc>
        <w:tc>
          <w:tcPr>
            <w:tcW w:w="1421"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3" w:hRule="exact"/>
        </w:trPr>
        <w:tc>
          <w:tcPr>
            <w:tcW w:w="14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02" w:type="dxa"/>
            <w:tcBorders>
              <w:top w:val="single" w:sz="4" w:space="0" w:color="000000"/>
              <w:left w:val="single" w:sz="13" w:space="0" w:color="D3D3D3"/>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29,126.21</w:t>
            </w:r>
          </w:p>
        </w:tc>
        <w:tc>
          <w:tcPr>
            <w:tcW w:w="1433"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422"/>
        <w:gridCol w:w="1502"/>
        <w:gridCol w:w="1433"/>
        <w:gridCol w:w="1492"/>
        <w:gridCol w:w="1433"/>
        <w:gridCol w:w="979"/>
        <w:gridCol w:w="1421"/>
      </w:tblGrid>
      <w:tr>
        <w:trPr>
          <w:trHeight w:val="402" w:hRule="exact"/>
        </w:trPr>
        <w:tc>
          <w:tcPr>
            <w:tcW w:w="1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190,450,000.00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25,600,000.00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0.86%</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w:t>
            </w:r>
          </w:p>
        </w:tc>
        <w:tc>
          <w:tcPr>
            <w:tcW w:w="1421"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47,630,000.00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w:t>
            </w:r>
          </w:p>
        </w:tc>
        <w:tc>
          <w:tcPr>
            <w:tcW w:w="1421"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53" w:right="0" w:firstLine="480"/>
        <w:jc w:val="left"/>
      </w:pPr>
      <w:r>
        <w:rPr/>
        <w:t>银行存款年末余额中</w:t>
      </w:r>
      <w:r>
        <w:rPr>
          <w:rFonts w:ascii="Times New Roman" w:hAnsi="Times New Roman" w:cs="Times New Roman" w:eastAsia="Times New Roman" w:hint="default"/>
        </w:rPr>
        <w:t>60,000,000.00</w:t>
      </w:r>
      <w:r>
        <w:rPr/>
        <w:t>元系本公司向银行购买的不能提前终止的结构性存款，</w:t>
      </w:r>
      <w:r>
        <w:rPr>
          <w:rFonts w:ascii="Times New Roman" w:hAnsi="Times New Roman" w:cs="Times New Roman" w:eastAsia="Times New Roman" w:hint="default"/>
        </w:rPr>
        <w:t>20,000,000.00</w:t>
      </w:r>
      <w:r>
        <w:rPr/>
        <w:t>元系本公司不 能随时支取的定期存款；其他货币资金年末余额中</w:t>
      </w:r>
      <w:r>
        <w:rPr>
          <w:rFonts w:ascii="Times New Roman" w:hAnsi="Times New Roman" w:cs="Times New Roman" w:eastAsia="Times New Roman" w:hint="default"/>
        </w:rPr>
        <w:t>20,197,201.80</w:t>
      </w:r>
      <w:r>
        <w:rPr/>
        <w:t>元系银行承兑汇票保证金存款。</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r>
        <w:rPr/>
        <w:t>五、投资状况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256,317,900.00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553,275,450.00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04"/>
        <w:gridCol w:w="289"/>
        <w:gridCol w:w="290"/>
        <w:gridCol w:w="1181"/>
        <w:gridCol w:w="709"/>
        <w:gridCol w:w="544"/>
        <w:gridCol w:w="1276"/>
        <w:gridCol w:w="290"/>
        <w:gridCol w:w="289"/>
        <w:gridCol w:w="453"/>
        <w:gridCol w:w="1001"/>
        <w:gridCol w:w="1015"/>
        <w:gridCol w:w="289"/>
        <w:gridCol w:w="529"/>
        <w:gridCol w:w="805"/>
      </w:tblGrid>
      <w:tr>
        <w:trPr>
          <w:trHeight w:val="1690" w:hRule="exact"/>
        </w:trPr>
        <w:tc>
          <w:tcPr>
            <w:tcW w:w="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76" w:right="77"/>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2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49" w:right="48"/>
              <w:jc w:val="both"/>
              <w:rPr>
                <w:rFonts w:ascii="宋体" w:hAnsi="宋体" w:cs="宋体" w:eastAsia="宋体" w:hint="default"/>
                <w:sz w:val="18"/>
                <w:szCs w:val="18"/>
              </w:rPr>
            </w:pPr>
            <w:r>
              <w:rPr>
                <w:rFonts w:ascii="宋体" w:hAnsi="宋体" w:cs="宋体" w:eastAsia="宋体" w:hint="default"/>
                <w:sz w:val="18"/>
                <w:szCs w:val="18"/>
              </w:rPr>
              <w:t>主 要 业 务</w:t>
            </w:r>
          </w:p>
        </w:tc>
        <w:tc>
          <w:tcPr>
            <w:tcW w:w="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50" w:right="48"/>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4"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4" w:lineRule="auto"/>
              <w:ind w:left="86" w:right="8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49" w:right="49"/>
              <w:jc w:val="both"/>
              <w:rPr>
                <w:rFonts w:ascii="宋体" w:hAnsi="宋体" w:cs="宋体" w:eastAsia="宋体" w:hint="default"/>
                <w:sz w:val="18"/>
                <w:szCs w:val="18"/>
              </w:rPr>
            </w:pPr>
            <w:r>
              <w:rPr>
                <w:rFonts w:ascii="宋体" w:hAnsi="宋体" w:cs="宋体" w:eastAsia="宋体" w:hint="default"/>
                <w:sz w:val="18"/>
                <w:szCs w:val="18"/>
              </w:rPr>
              <w:t>投 资 期 限</w:t>
            </w:r>
          </w:p>
        </w:tc>
        <w:tc>
          <w:tcPr>
            <w:tcW w:w="2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49" w:right="48"/>
              <w:jc w:val="both"/>
              <w:rPr>
                <w:rFonts w:ascii="宋体" w:hAnsi="宋体" w:cs="宋体" w:eastAsia="宋体" w:hint="default"/>
                <w:sz w:val="18"/>
                <w:szCs w:val="18"/>
              </w:rPr>
            </w:pPr>
            <w:r>
              <w:rPr>
                <w:rFonts w:ascii="宋体" w:hAnsi="宋体" w:cs="宋体" w:eastAsia="宋体" w:hint="default"/>
                <w:sz w:val="18"/>
                <w:szCs w:val="18"/>
              </w:rPr>
              <w:t>产 品 类 型</w:t>
            </w:r>
          </w:p>
        </w:tc>
        <w:tc>
          <w:tcPr>
            <w:tcW w:w="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40" w:right="40"/>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预计收益</w:t>
            </w:r>
          </w:p>
        </w:tc>
        <w:tc>
          <w:tcPr>
            <w:tcW w:w="10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4" w:lineRule="auto"/>
              <w:ind w:left="411" w:right="53"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2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49" w:right="48"/>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4" w:lineRule="auto"/>
              <w:ind w:left="80" w:right="77"/>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30" w:hRule="exact"/>
        </w:trPr>
        <w:tc>
          <w:tcPr>
            <w:tcW w:w="7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2" w:right="23"/>
              <w:jc w:val="left"/>
              <w:rPr>
                <w:rFonts w:ascii="宋体" w:hAnsi="宋体" w:cs="宋体" w:eastAsia="宋体" w:hint="default"/>
                <w:sz w:val="18"/>
                <w:szCs w:val="18"/>
              </w:rPr>
            </w:pPr>
            <w:r>
              <w:rPr>
                <w:rFonts w:ascii="宋体" w:hAnsi="宋体" w:cs="宋体" w:eastAsia="宋体" w:hint="default"/>
                <w:sz w:val="18"/>
                <w:szCs w:val="18"/>
              </w:rPr>
              <w:t>布朗睿 智（北 </w:t>
            </w:r>
            <w:r>
              <w:rPr>
                <w:rFonts w:ascii="宋体" w:hAnsi="宋体" w:cs="宋体" w:eastAsia="宋体" w:hint="default"/>
                <w:spacing w:val="-18"/>
                <w:sz w:val="18"/>
                <w:szCs w:val="18"/>
              </w:rPr>
              <w:t>京）国际</w:t>
            </w:r>
            <w:r>
              <w:rPr>
                <w:rFonts w:ascii="宋体" w:hAnsi="宋体" w:cs="宋体" w:eastAsia="宋体" w:hint="default"/>
                <w:sz w:val="18"/>
                <w:szCs w:val="18"/>
              </w:rPr>
              <w:t> 教育科 技有限 公司</w:t>
            </w:r>
          </w:p>
        </w:tc>
        <w:tc>
          <w:tcPr>
            <w:tcW w:w="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4" w:lineRule="auto"/>
              <w:ind w:left="22" w:right="74"/>
              <w:jc w:val="left"/>
              <w:rPr>
                <w:rFonts w:ascii="宋体" w:hAnsi="宋体" w:cs="宋体" w:eastAsia="宋体" w:hint="default"/>
                <w:sz w:val="18"/>
                <w:szCs w:val="18"/>
              </w:rPr>
            </w:pPr>
            <w:r>
              <w:rPr>
                <w:rFonts w:ascii="宋体" w:hAnsi="宋体" w:cs="宋体" w:eastAsia="宋体" w:hint="default"/>
                <w:sz w:val="18"/>
                <w:szCs w:val="18"/>
              </w:rPr>
              <w:t>教 育</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4" w:lineRule="auto"/>
              <w:ind w:left="23" w:right="74"/>
              <w:jc w:val="left"/>
              <w:rPr>
                <w:rFonts w:ascii="宋体" w:hAnsi="宋体" w:cs="宋体" w:eastAsia="宋体" w:hint="default"/>
                <w:sz w:val="18"/>
                <w:szCs w:val="18"/>
              </w:rPr>
            </w:pPr>
            <w:r>
              <w:rPr>
                <w:rFonts w:ascii="宋体" w:hAnsi="宋体" w:cs="宋体" w:eastAsia="宋体" w:hint="default"/>
                <w:sz w:val="18"/>
                <w:szCs w:val="18"/>
              </w:rPr>
              <w:t>收 购</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104,929,600.00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z w:val="18"/>
              </w:rPr>
              <w:t>30.00%</w:t>
            </w:r>
          </w:p>
        </w:tc>
        <w:tc>
          <w:tcPr>
            <w:tcW w:w="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22" w:right="-29"/>
              <w:jc w:val="left"/>
              <w:rPr>
                <w:rFonts w:ascii="宋体" w:hAnsi="宋体" w:cs="宋体" w:eastAsia="宋体" w:hint="default"/>
                <w:sz w:val="18"/>
                <w:szCs w:val="18"/>
              </w:rPr>
            </w:pPr>
            <w:r>
              <w:rPr>
                <w:rFonts w:ascii="宋体" w:hAnsi="宋体" w:cs="宋体" w:eastAsia="宋体" w:hint="default"/>
                <w:sz w:val="18"/>
                <w:szCs w:val="18"/>
              </w:rPr>
              <w:t>自有 资金、 并购 贷款</w:t>
            </w:r>
          </w:p>
        </w:tc>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10"/>
              <w:jc w:val="both"/>
              <w:rPr>
                <w:rFonts w:ascii="宋体" w:hAnsi="宋体" w:cs="宋体" w:eastAsia="宋体" w:hint="default"/>
                <w:sz w:val="18"/>
                <w:szCs w:val="18"/>
              </w:rPr>
            </w:pPr>
            <w:r>
              <w:rPr>
                <w:rFonts w:ascii="宋体" w:hAnsi="宋体" w:cs="宋体" w:eastAsia="宋体" w:hint="default"/>
                <w:sz w:val="18"/>
                <w:szCs w:val="18"/>
              </w:rPr>
              <w:t>宁波翰材教育 产业股权投资 中心</w:t>
            </w:r>
            <w:r>
              <w:rPr>
                <w:rFonts w:ascii="Times New Roman" w:hAnsi="Times New Roman" w:cs="Times New Roman" w:eastAsia="Times New Roman" w:hint="default"/>
                <w:sz w:val="18"/>
                <w:szCs w:val="18"/>
              </w:rPr>
              <w:t>/</w:t>
            </w:r>
            <w:r>
              <w:rPr>
                <w:rFonts w:ascii="宋体" w:hAnsi="宋体" w:cs="宋体" w:eastAsia="宋体" w:hint="default"/>
                <w:sz w:val="18"/>
                <w:szCs w:val="18"/>
              </w:rPr>
              <w:t>中教未来 国际教育科技</w:t>
            </w:r>
          </w:p>
          <w:p>
            <w:pPr>
              <w:pStyle w:val="TableParagraph"/>
              <w:spacing w:line="240" w:lineRule="exact"/>
              <w:ind w:left="22" w:right="20"/>
              <w:jc w:val="left"/>
              <w:rPr>
                <w:rFonts w:ascii="宋体" w:hAnsi="宋体" w:cs="宋体" w:eastAsia="宋体" w:hint="default"/>
                <w:sz w:val="18"/>
                <w:szCs w:val="18"/>
              </w:rPr>
            </w:pPr>
            <w:r>
              <w:rPr>
                <w:rFonts w:ascii="宋体" w:hAnsi="宋体" w:cs="宋体" w:eastAsia="宋体" w:hint="default"/>
                <w:spacing w:val="-6"/>
                <w:sz w:val="18"/>
                <w:szCs w:val="18"/>
              </w:rPr>
              <w:t>（北京）有限公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宁波高新区 尚兆教育科技 发展有限公司</w:t>
            </w:r>
          </w:p>
        </w:tc>
        <w:tc>
          <w:tcPr>
            <w:tcW w:w="2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22" w:right="74"/>
              <w:jc w:val="both"/>
              <w:rPr>
                <w:rFonts w:ascii="宋体" w:hAnsi="宋体" w:cs="宋体" w:eastAsia="宋体" w:hint="default"/>
                <w:sz w:val="18"/>
                <w:szCs w:val="18"/>
              </w:rPr>
            </w:pPr>
            <w:r>
              <w:rPr>
                <w:rFonts w:ascii="宋体" w:hAnsi="宋体" w:cs="宋体" w:eastAsia="宋体" w:hint="default"/>
                <w:sz w:val="18"/>
                <w:szCs w:val="18"/>
              </w:rPr>
              <w:t>图 书 销 售</w:t>
            </w:r>
          </w:p>
        </w:tc>
        <w:tc>
          <w:tcPr>
            <w:tcW w:w="4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4" w:lineRule="auto"/>
              <w:ind w:left="22" w:right="58"/>
              <w:jc w:val="both"/>
              <w:rPr>
                <w:rFonts w:ascii="宋体" w:hAnsi="宋体" w:cs="宋体" w:eastAsia="宋体" w:hint="default"/>
                <w:sz w:val="18"/>
                <w:szCs w:val="18"/>
              </w:rPr>
            </w:pPr>
            <w:r>
              <w:rPr>
                <w:rFonts w:ascii="宋体" w:hAnsi="宋体" w:cs="宋体" w:eastAsia="宋体" w:hint="default"/>
                <w:sz w:val="18"/>
                <w:szCs w:val="18"/>
              </w:rPr>
              <w:t>已交 割完 毕</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 w:right="0"/>
              <w:jc w:val="center"/>
              <w:rPr>
                <w:rFonts w:ascii="Times New Roman" w:hAnsi="Times New Roman" w:cs="Times New Roman" w:eastAsia="Times New Roman" w:hint="default"/>
                <w:sz w:val="18"/>
                <w:szCs w:val="18"/>
              </w:rPr>
            </w:pPr>
            <w:r>
              <w:rPr>
                <w:rFonts w:ascii="Times New Roman"/>
                <w:sz w:val="18"/>
              </w:rPr>
              <w:t>4,181,264.36</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14" w:right="0"/>
              <w:jc w:val="center"/>
              <w:rPr>
                <w:rFonts w:ascii="Times New Roman" w:hAnsi="Times New Roman" w:cs="Times New Roman" w:eastAsia="Times New Roman" w:hint="default"/>
                <w:sz w:val="18"/>
                <w:szCs w:val="18"/>
              </w:rPr>
            </w:pPr>
            <w:r>
              <w:rPr>
                <w:rFonts w:ascii="Times New Roman"/>
                <w:sz w:val="18"/>
              </w:rPr>
              <w:t>4,181,264.36</w:t>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02" w:lineRule="exact"/>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2017-033</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931" w:hRule="exact"/>
        </w:trPr>
        <w:tc>
          <w:tcPr>
            <w:tcW w:w="7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26"/>
                <w:szCs w:val="26"/>
              </w:rPr>
            </w:pPr>
          </w:p>
          <w:p>
            <w:pPr>
              <w:pStyle w:val="TableParagraph"/>
              <w:spacing w:line="244" w:lineRule="auto"/>
              <w:ind w:left="22" w:right="23"/>
              <w:jc w:val="left"/>
              <w:rPr>
                <w:rFonts w:ascii="宋体" w:hAnsi="宋体" w:cs="宋体" w:eastAsia="宋体" w:hint="default"/>
                <w:sz w:val="18"/>
                <w:szCs w:val="18"/>
              </w:rPr>
            </w:pPr>
            <w:r>
              <w:rPr>
                <w:rFonts w:ascii="宋体" w:hAnsi="宋体" w:cs="宋体" w:eastAsia="宋体" w:hint="default"/>
                <w:sz w:val="18"/>
                <w:szCs w:val="18"/>
              </w:rPr>
              <w:t>布朗时 代（北 </w:t>
            </w:r>
            <w:r>
              <w:rPr>
                <w:rFonts w:ascii="宋体" w:hAnsi="宋体" w:cs="宋体" w:eastAsia="宋体" w:hint="default"/>
                <w:spacing w:val="-18"/>
                <w:sz w:val="18"/>
                <w:szCs w:val="18"/>
              </w:rPr>
              <w:t>京）教育</w:t>
            </w:r>
            <w:r>
              <w:rPr>
                <w:rFonts w:ascii="宋体" w:hAnsi="宋体" w:cs="宋体" w:eastAsia="宋体" w:hint="default"/>
                <w:sz w:val="18"/>
                <w:szCs w:val="18"/>
              </w:rPr>
              <w:t> 投资有 限公司</w:t>
            </w:r>
          </w:p>
        </w:tc>
        <w:tc>
          <w:tcPr>
            <w:tcW w:w="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4" w:lineRule="auto"/>
              <w:ind w:left="22" w:right="74"/>
              <w:jc w:val="left"/>
              <w:rPr>
                <w:rFonts w:ascii="宋体" w:hAnsi="宋体" w:cs="宋体" w:eastAsia="宋体" w:hint="default"/>
                <w:sz w:val="18"/>
                <w:szCs w:val="18"/>
              </w:rPr>
            </w:pPr>
            <w:r>
              <w:rPr>
                <w:rFonts w:ascii="宋体" w:hAnsi="宋体" w:cs="宋体" w:eastAsia="宋体" w:hint="default"/>
                <w:sz w:val="18"/>
                <w:szCs w:val="18"/>
              </w:rPr>
              <w:t>教 育</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4" w:lineRule="auto"/>
              <w:ind w:left="23" w:right="74"/>
              <w:jc w:val="left"/>
              <w:rPr>
                <w:rFonts w:ascii="宋体" w:hAnsi="宋体" w:cs="宋体" w:eastAsia="宋体" w:hint="default"/>
                <w:sz w:val="18"/>
                <w:szCs w:val="18"/>
              </w:rPr>
            </w:pPr>
            <w:r>
              <w:rPr>
                <w:rFonts w:ascii="宋体" w:hAnsi="宋体" w:cs="宋体" w:eastAsia="宋体" w:hint="default"/>
                <w:sz w:val="18"/>
                <w:szCs w:val="18"/>
              </w:rPr>
              <w:t>收 购</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45,070,400.00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30.00%</w:t>
            </w:r>
          </w:p>
        </w:tc>
        <w:tc>
          <w:tcPr>
            <w:tcW w:w="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4" w:lineRule="auto"/>
              <w:ind w:left="22" w:right="-29"/>
              <w:jc w:val="left"/>
              <w:rPr>
                <w:rFonts w:ascii="宋体" w:hAnsi="宋体" w:cs="宋体" w:eastAsia="宋体" w:hint="default"/>
                <w:sz w:val="18"/>
                <w:szCs w:val="18"/>
              </w:rPr>
            </w:pPr>
            <w:r>
              <w:rPr>
                <w:rFonts w:ascii="宋体" w:hAnsi="宋体" w:cs="宋体" w:eastAsia="宋体" w:hint="default"/>
                <w:sz w:val="18"/>
                <w:szCs w:val="18"/>
              </w:rPr>
              <w:t>自有 资金、 并购 贷款</w:t>
            </w:r>
          </w:p>
        </w:tc>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2" w:right="110"/>
              <w:jc w:val="both"/>
              <w:rPr>
                <w:rFonts w:ascii="宋体" w:hAnsi="宋体" w:cs="宋体" w:eastAsia="宋体" w:hint="default"/>
                <w:sz w:val="18"/>
                <w:szCs w:val="18"/>
              </w:rPr>
            </w:pPr>
            <w:r>
              <w:rPr>
                <w:rFonts w:ascii="宋体" w:hAnsi="宋体" w:cs="宋体" w:eastAsia="宋体" w:hint="default"/>
                <w:sz w:val="18"/>
                <w:szCs w:val="18"/>
              </w:rPr>
              <w:t>宁波翰材教育 产业股权投资 中心</w:t>
            </w:r>
            <w:r>
              <w:rPr>
                <w:rFonts w:ascii="Times New Roman" w:hAnsi="Times New Roman" w:cs="Times New Roman" w:eastAsia="Times New Roman" w:hint="default"/>
                <w:sz w:val="18"/>
                <w:szCs w:val="18"/>
              </w:rPr>
              <w:t>/</w:t>
            </w:r>
            <w:r>
              <w:rPr>
                <w:rFonts w:ascii="宋体" w:hAnsi="宋体" w:cs="宋体" w:eastAsia="宋体" w:hint="default"/>
                <w:sz w:val="18"/>
                <w:szCs w:val="18"/>
              </w:rPr>
              <w:t>中教未来 国际教育科技</w:t>
            </w:r>
          </w:p>
          <w:p>
            <w:pPr>
              <w:pStyle w:val="TableParagraph"/>
              <w:spacing w:line="240" w:lineRule="exact"/>
              <w:ind w:left="22" w:right="20"/>
              <w:jc w:val="left"/>
              <w:rPr>
                <w:rFonts w:ascii="宋体" w:hAnsi="宋体" w:cs="宋体" w:eastAsia="宋体" w:hint="default"/>
                <w:sz w:val="18"/>
                <w:szCs w:val="18"/>
              </w:rPr>
            </w:pPr>
            <w:r>
              <w:rPr>
                <w:rFonts w:ascii="宋体" w:hAnsi="宋体" w:cs="宋体" w:eastAsia="宋体" w:hint="default"/>
                <w:spacing w:val="-6"/>
                <w:sz w:val="18"/>
                <w:szCs w:val="18"/>
              </w:rPr>
              <w:t>（北京）有限公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宁波高新区 尚兆教育科技 发展有限公司</w:t>
            </w:r>
          </w:p>
        </w:tc>
        <w:tc>
          <w:tcPr>
            <w:tcW w:w="2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4" w:lineRule="auto"/>
              <w:ind w:left="22" w:right="74"/>
              <w:jc w:val="both"/>
              <w:rPr>
                <w:rFonts w:ascii="宋体" w:hAnsi="宋体" w:cs="宋体" w:eastAsia="宋体" w:hint="default"/>
                <w:sz w:val="18"/>
                <w:szCs w:val="18"/>
              </w:rPr>
            </w:pPr>
            <w:r>
              <w:rPr>
                <w:rFonts w:ascii="宋体" w:hAnsi="宋体" w:cs="宋体" w:eastAsia="宋体" w:hint="default"/>
                <w:sz w:val="18"/>
                <w:szCs w:val="18"/>
              </w:rPr>
              <w:t>幼 儿 园</w:t>
            </w:r>
          </w:p>
        </w:tc>
        <w:tc>
          <w:tcPr>
            <w:tcW w:w="4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4" w:lineRule="auto"/>
              <w:ind w:left="22" w:right="58"/>
              <w:jc w:val="both"/>
              <w:rPr>
                <w:rFonts w:ascii="宋体" w:hAnsi="宋体" w:cs="宋体" w:eastAsia="宋体" w:hint="default"/>
                <w:sz w:val="18"/>
                <w:szCs w:val="18"/>
              </w:rPr>
            </w:pPr>
            <w:r>
              <w:rPr>
                <w:rFonts w:ascii="宋体" w:hAnsi="宋体" w:cs="宋体" w:eastAsia="宋体" w:hint="default"/>
                <w:sz w:val="18"/>
                <w:szCs w:val="18"/>
              </w:rPr>
              <w:t>已交 割完 毕</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 w:right="0"/>
              <w:jc w:val="center"/>
              <w:rPr>
                <w:rFonts w:ascii="Times New Roman" w:hAnsi="Times New Roman" w:cs="Times New Roman" w:eastAsia="Times New Roman" w:hint="default"/>
                <w:sz w:val="18"/>
                <w:szCs w:val="18"/>
              </w:rPr>
            </w:pPr>
            <w:r>
              <w:rPr>
                <w:rFonts w:ascii="Times New Roman"/>
                <w:sz w:val="18"/>
              </w:rPr>
              <w:t>2,508,973.31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4" w:right="0"/>
              <w:jc w:val="center"/>
              <w:rPr>
                <w:rFonts w:ascii="Times New Roman" w:hAnsi="Times New Roman" w:cs="Times New Roman" w:eastAsia="Times New Roman" w:hint="default"/>
                <w:sz w:val="18"/>
                <w:szCs w:val="18"/>
              </w:rPr>
            </w:pPr>
            <w:r>
              <w:rPr>
                <w:rFonts w:ascii="Times New Roman"/>
                <w:sz w:val="18"/>
              </w:rPr>
              <w:t>2,508,973.31</w:t>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02" w:lineRule="exact"/>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2017-033</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210" w:hRule="exact"/>
        </w:trPr>
        <w:tc>
          <w:tcPr>
            <w:tcW w:w="7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31"/>
              <w:jc w:val="both"/>
              <w:rPr>
                <w:rFonts w:ascii="宋体" w:hAnsi="宋体" w:cs="宋体" w:eastAsia="宋体" w:hint="default"/>
                <w:sz w:val="18"/>
                <w:szCs w:val="18"/>
              </w:rPr>
            </w:pPr>
            <w:r>
              <w:rPr>
                <w:rFonts w:ascii="宋体" w:hAnsi="宋体" w:cs="宋体" w:eastAsia="宋体" w:hint="default"/>
                <w:sz w:val="18"/>
                <w:szCs w:val="18"/>
              </w:rPr>
              <w:t>杭州萧 山萧报 教育咨 询有限 公司</w:t>
            </w:r>
          </w:p>
        </w:tc>
        <w:tc>
          <w:tcPr>
            <w:tcW w:w="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22" w:right="74"/>
              <w:jc w:val="left"/>
              <w:rPr>
                <w:rFonts w:ascii="宋体" w:hAnsi="宋体" w:cs="宋体" w:eastAsia="宋体" w:hint="default"/>
                <w:sz w:val="18"/>
                <w:szCs w:val="18"/>
              </w:rPr>
            </w:pPr>
            <w:r>
              <w:rPr>
                <w:rFonts w:ascii="宋体" w:hAnsi="宋体" w:cs="宋体" w:eastAsia="宋体" w:hint="default"/>
                <w:sz w:val="18"/>
                <w:szCs w:val="18"/>
              </w:rPr>
              <w:t>教 育</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23" w:right="74"/>
              <w:jc w:val="left"/>
              <w:rPr>
                <w:rFonts w:ascii="宋体" w:hAnsi="宋体" w:cs="宋体" w:eastAsia="宋体" w:hint="default"/>
                <w:sz w:val="18"/>
                <w:szCs w:val="18"/>
              </w:rPr>
            </w:pPr>
            <w:r>
              <w:rPr>
                <w:rFonts w:ascii="宋体" w:hAnsi="宋体" w:cs="宋体" w:eastAsia="宋体" w:hint="default"/>
                <w:sz w:val="18"/>
                <w:szCs w:val="18"/>
              </w:rPr>
              <w:t>收 购</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15,752,900.00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22" w:right="14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2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22" w:right="77"/>
              <w:jc w:val="left"/>
              <w:rPr>
                <w:rFonts w:ascii="宋体" w:hAnsi="宋体" w:cs="宋体" w:eastAsia="宋体" w:hint="default"/>
                <w:sz w:val="18"/>
                <w:szCs w:val="18"/>
              </w:rPr>
            </w:pPr>
            <w:r>
              <w:rPr>
                <w:rFonts w:ascii="宋体" w:hAnsi="宋体" w:cs="宋体" w:eastAsia="宋体" w:hint="default"/>
                <w:sz w:val="18"/>
                <w:szCs w:val="18"/>
              </w:rPr>
              <w:t>长 期</w:t>
            </w:r>
          </w:p>
        </w:tc>
        <w:tc>
          <w:tcPr>
            <w:tcW w:w="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22" w:right="74"/>
              <w:jc w:val="left"/>
              <w:rPr>
                <w:rFonts w:ascii="宋体" w:hAnsi="宋体" w:cs="宋体" w:eastAsia="宋体" w:hint="default"/>
                <w:sz w:val="18"/>
                <w:szCs w:val="18"/>
              </w:rPr>
            </w:pPr>
            <w:r>
              <w:rPr>
                <w:rFonts w:ascii="宋体" w:hAnsi="宋体" w:cs="宋体" w:eastAsia="宋体" w:hint="default"/>
                <w:sz w:val="18"/>
                <w:szCs w:val="18"/>
              </w:rPr>
              <w:t>教 育</w:t>
            </w:r>
          </w:p>
        </w:tc>
        <w:tc>
          <w:tcPr>
            <w:tcW w:w="4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58"/>
              <w:jc w:val="both"/>
              <w:rPr>
                <w:rFonts w:ascii="宋体" w:hAnsi="宋体" w:cs="宋体" w:eastAsia="宋体" w:hint="default"/>
                <w:sz w:val="18"/>
                <w:szCs w:val="18"/>
              </w:rPr>
            </w:pPr>
            <w:r>
              <w:rPr>
                <w:rFonts w:ascii="宋体" w:hAnsi="宋体" w:cs="宋体" w:eastAsia="宋体" w:hint="default"/>
                <w:sz w:val="18"/>
                <w:szCs w:val="18"/>
              </w:rPr>
              <w:t>已完 成工 商变 更登 记</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1,886,170.26</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1,886,170.26</w:t>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144"/>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02" w:lineRule="exact" w:before="148"/>
              <w:ind w:left="22" w:right="0"/>
              <w:jc w:val="left"/>
              <w:rPr>
                <w:rFonts w:ascii="Times New Roman" w:hAnsi="Times New Roman" w:cs="Times New Roman" w:eastAsia="Times New Roman" w:hint="default"/>
                <w:sz w:val="18"/>
                <w:szCs w:val="18"/>
              </w:rPr>
            </w:pPr>
            <w:r>
              <w:rPr>
                <w:rFonts w:ascii="Times New Roman"/>
                <w:sz w:val="18"/>
              </w:rPr>
              <w:t>2017-046</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bl>
    <w:p>
      <w:pPr>
        <w:spacing w:after="0" w:line="231" w:lineRule="exact"/>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489" w:type="dxa"/>
        <w:tblLayout w:type="fixed"/>
        <w:tblCellMar>
          <w:top w:w="0" w:type="dxa"/>
          <w:left w:w="0" w:type="dxa"/>
          <w:bottom w:w="0" w:type="dxa"/>
          <w:right w:w="0" w:type="dxa"/>
        </w:tblCellMar>
        <w:tblLook w:val="01E0"/>
      </w:tblPr>
      <w:tblGrid>
        <w:gridCol w:w="704"/>
        <w:gridCol w:w="289"/>
        <w:gridCol w:w="290"/>
        <w:gridCol w:w="1181"/>
        <w:gridCol w:w="709"/>
        <w:gridCol w:w="544"/>
        <w:gridCol w:w="1276"/>
        <w:gridCol w:w="290"/>
        <w:gridCol w:w="289"/>
        <w:gridCol w:w="453"/>
        <w:gridCol w:w="1001"/>
        <w:gridCol w:w="1015"/>
        <w:gridCol w:w="289"/>
        <w:gridCol w:w="529"/>
        <w:gridCol w:w="805"/>
      </w:tblGrid>
      <w:tr>
        <w:trPr>
          <w:trHeight w:val="1210" w:hRule="exact"/>
        </w:trPr>
        <w:tc>
          <w:tcPr>
            <w:tcW w:w="7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01"/>
              <w:ind w:left="22" w:right="131"/>
              <w:jc w:val="both"/>
              <w:rPr>
                <w:rFonts w:ascii="宋体" w:hAnsi="宋体" w:cs="宋体" w:eastAsia="宋体" w:hint="default"/>
                <w:sz w:val="18"/>
                <w:szCs w:val="18"/>
              </w:rPr>
            </w:pPr>
            <w:r>
              <w:rPr>
                <w:rFonts w:ascii="宋体" w:hAnsi="宋体" w:cs="宋体" w:eastAsia="宋体" w:hint="default"/>
                <w:sz w:val="18"/>
                <w:szCs w:val="18"/>
              </w:rPr>
              <w:t>杭州华 媒企业 管理有 限公司</w:t>
            </w:r>
          </w:p>
        </w:tc>
        <w:tc>
          <w:tcPr>
            <w:tcW w:w="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22" w:right="74"/>
              <w:jc w:val="left"/>
              <w:rPr>
                <w:rFonts w:ascii="宋体" w:hAnsi="宋体" w:cs="宋体" w:eastAsia="宋体" w:hint="default"/>
                <w:sz w:val="18"/>
                <w:szCs w:val="18"/>
              </w:rPr>
            </w:pPr>
            <w:r>
              <w:rPr>
                <w:rFonts w:ascii="宋体" w:hAnsi="宋体" w:cs="宋体" w:eastAsia="宋体" w:hint="default"/>
                <w:sz w:val="18"/>
                <w:szCs w:val="18"/>
              </w:rPr>
              <w:t>教 育</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23" w:right="74"/>
              <w:jc w:val="left"/>
              <w:rPr>
                <w:rFonts w:ascii="宋体" w:hAnsi="宋体" w:cs="宋体" w:eastAsia="宋体" w:hint="default"/>
                <w:sz w:val="18"/>
                <w:szCs w:val="18"/>
              </w:rPr>
            </w:pPr>
            <w:r>
              <w:rPr>
                <w:rFonts w:ascii="宋体" w:hAnsi="宋体" w:cs="宋体" w:eastAsia="宋体" w:hint="default"/>
                <w:sz w:val="18"/>
                <w:szCs w:val="18"/>
              </w:rPr>
              <w:t>收 购</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90,565,000.00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100.00%</w:t>
            </w:r>
          </w:p>
        </w:tc>
        <w:tc>
          <w:tcPr>
            <w:tcW w:w="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22" w:right="14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2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22" w:right="77"/>
              <w:jc w:val="left"/>
              <w:rPr>
                <w:rFonts w:ascii="宋体" w:hAnsi="宋体" w:cs="宋体" w:eastAsia="宋体" w:hint="default"/>
                <w:sz w:val="18"/>
                <w:szCs w:val="18"/>
              </w:rPr>
            </w:pPr>
            <w:r>
              <w:rPr>
                <w:rFonts w:ascii="宋体" w:hAnsi="宋体" w:cs="宋体" w:eastAsia="宋体" w:hint="default"/>
                <w:sz w:val="18"/>
                <w:szCs w:val="18"/>
              </w:rPr>
              <w:t>长 期</w:t>
            </w:r>
          </w:p>
        </w:tc>
        <w:tc>
          <w:tcPr>
            <w:tcW w:w="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22" w:right="74"/>
              <w:jc w:val="left"/>
              <w:rPr>
                <w:rFonts w:ascii="宋体" w:hAnsi="宋体" w:cs="宋体" w:eastAsia="宋体" w:hint="default"/>
                <w:sz w:val="18"/>
                <w:szCs w:val="18"/>
              </w:rPr>
            </w:pPr>
            <w:r>
              <w:rPr>
                <w:rFonts w:ascii="宋体" w:hAnsi="宋体" w:cs="宋体" w:eastAsia="宋体" w:hint="default"/>
                <w:sz w:val="18"/>
                <w:szCs w:val="18"/>
              </w:rPr>
              <w:t>咨 询</w:t>
            </w:r>
          </w:p>
        </w:tc>
        <w:tc>
          <w:tcPr>
            <w:tcW w:w="4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58"/>
              <w:jc w:val="both"/>
              <w:rPr>
                <w:rFonts w:ascii="宋体" w:hAnsi="宋体" w:cs="宋体" w:eastAsia="宋体" w:hint="default"/>
                <w:sz w:val="18"/>
                <w:szCs w:val="18"/>
              </w:rPr>
            </w:pPr>
            <w:r>
              <w:rPr>
                <w:rFonts w:ascii="宋体" w:hAnsi="宋体" w:cs="宋体" w:eastAsia="宋体" w:hint="default"/>
                <w:sz w:val="18"/>
                <w:szCs w:val="18"/>
              </w:rPr>
              <w:t>已完 成工 商变 更登 记</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-99,083.24</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-99,083.24</w:t>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144"/>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02" w:lineRule="exact" w:before="148"/>
              <w:ind w:left="22" w:right="0"/>
              <w:jc w:val="left"/>
              <w:rPr>
                <w:rFonts w:ascii="Times New Roman" w:hAnsi="Times New Roman" w:cs="Times New Roman" w:eastAsia="Times New Roman" w:hint="default"/>
                <w:sz w:val="18"/>
                <w:szCs w:val="18"/>
              </w:rPr>
            </w:pPr>
            <w:r>
              <w:rPr>
                <w:rFonts w:ascii="Times New Roman"/>
                <w:sz w:val="18"/>
              </w:rPr>
              <w:t>2017-051</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251" w:hRule="exact"/>
        </w:trPr>
        <w:tc>
          <w:tcPr>
            <w:tcW w:w="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79" w:right="0"/>
              <w:jc w:val="left"/>
              <w:rPr>
                <w:rFonts w:ascii="Times New Roman" w:hAnsi="Times New Roman" w:cs="Times New Roman" w:eastAsia="Times New Roman" w:hint="default"/>
                <w:sz w:val="18"/>
                <w:szCs w:val="18"/>
              </w:rPr>
            </w:pPr>
            <w:r>
              <w:rPr>
                <w:rFonts w:ascii="Times New Roman"/>
                <w:sz w:val="18"/>
              </w:rPr>
              <w:t>--</w:t>
            </w:r>
          </w:p>
        </w:tc>
        <w:tc>
          <w:tcPr>
            <w:tcW w:w="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80"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256,317,900.00</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Times New Roman" w:hAnsi="Times New Roman" w:cs="Times New Roman" w:eastAsia="Times New Roman" w:hint="default"/>
                <w:sz w:val="18"/>
                <w:szCs w:val="18"/>
              </w:rPr>
            </w:pPr>
            <w:r>
              <w:rPr>
                <w:rFonts w:ascii="Times New Roman"/>
                <w:sz w:val="18"/>
              </w:rPr>
              <w:t>--</w:t>
            </w:r>
          </w:p>
        </w:tc>
        <w:tc>
          <w:tcPr>
            <w:tcW w:w="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Times New Roman" w:hAnsi="Times New Roman" w:cs="Times New Roman" w:eastAsia="Times New Roman" w:hint="default"/>
                <w:sz w:val="18"/>
                <w:szCs w:val="18"/>
              </w:rPr>
            </w:pPr>
            <w:r>
              <w:rPr>
                <w:rFonts w:ascii="Times New Roman"/>
                <w:sz w:val="18"/>
              </w:rPr>
              <w:t>--</w:t>
            </w:r>
          </w:p>
        </w:tc>
        <w:tc>
          <w:tcPr>
            <w:tcW w:w="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79" w:right="0"/>
              <w:jc w:val="left"/>
              <w:rPr>
                <w:rFonts w:ascii="Times New Roman" w:hAnsi="Times New Roman" w:cs="Times New Roman" w:eastAsia="Times New Roman" w:hint="default"/>
                <w:sz w:val="18"/>
                <w:szCs w:val="18"/>
              </w:rPr>
            </w:pPr>
            <w:r>
              <w:rPr>
                <w:rFonts w:ascii="Times New Roman"/>
                <w:sz w:val="18"/>
              </w:rPr>
              <w:t>--</w:t>
            </w:r>
          </w:p>
        </w:tc>
        <w:tc>
          <w:tcPr>
            <w:tcW w:w="2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79" w:right="0"/>
              <w:jc w:val="left"/>
              <w:rPr>
                <w:rFonts w:ascii="Times New Roman" w:hAnsi="Times New Roman" w:cs="Times New Roman" w:eastAsia="Times New Roman" w:hint="default"/>
                <w:sz w:val="18"/>
                <w:szCs w:val="18"/>
              </w:rPr>
            </w:pPr>
            <w:r>
              <w:rPr>
                <w:rFonts w:ascii="Times New Roman"/>
                <w:sz w:val="18"/>
              </w:rPr>
              <w:t>--</w:t>
            </w:r>
          </w:p>
        </w:tc>
        <w:tc>
          <w:tcPr>
            <w:tcW w:w="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8,477,324.69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8,477,324.69</w:t>
            </w:r>
          </w:p>
        </w:tc>
        <w:tc>
          <w:tcPr>
            <w:tcW w:w="2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79" w:right="0"/>
              <w:jc w:val="left"/>
              <w:rPr>
                <w:rFonts w:ascii="Times New Roman" w:hAnsi="Times New Roman" w:cs="Times New Roman" w:eastAsia="Times New Roman" w:hint="default"/>
                <w:sz w:val="18"/>
                <w:szCs w:val="18"/>
              </w:rPr>
            </w:pPr>
            <w:r>
              <w:rPr>
                <w:rFonts w:ascii="Times New Roman"/>
                <w:sz w:val="18"/>
              </w:rPr>
              <w:t>--</w:t>
            </w:r>
          </w:p>
        </w:tc>
        <w:tc>
          <w:tcPr>
            <w:tcW w:w="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0"/>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494"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494" w:right="0"/>
        <w:jc w:val="left"/>
        <w:rPr>
          <w:b w:val="0"/>
          <w:bCs w:val="0"/>
        </w:rPr>
      </w:pP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494" w:right="0"/>
        <w:jc w:val="left"/>
        <w:rPr>
          <w:b w:val="0"/>
          <w:bCs w:val="0"/>
        </w:rPr>
      </w:pPr>
      <w:r>
        <w:rPr/>
        <w:t>（</w:t>
      </w:r>
      <w:r>
        <w:rPr>
          <w:rFonts w:ascii="Times New Roman" w:hAnsi="Times New Roman" w:cs="Times New Roman" w:eastAsia="Times New Roman" w:hint="default"/>
        </w:rPr>
        <w:t>1</w:t>
      </w:r>
      <w:r>
        <w:rPr/>
        <w:t>）证券投资情况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4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491"/>
        <w:jc w:val="right"/>
      </w:pPr>
      <w:r>
        <w:rPr/>
        <w:t>单位：元</w:t>
      </w:r>
    </w:p>
    <w:p>
      <w:pPr>
        <w:spacing w:line="240" w:lineRule="auto" w:before="13"/>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452"/>
        <w:gridCol w:w="623"/>
        <w:gridCol w:w="474"/>
        <w:gridCol w:w="1021"/>
        <w:gridCol w:w="569"/>
        <w:gridCol w:w="1022"/>
        <w:gridCol w:w="941"/>
        <w:gridCol w:w="680"/>
        <w:gridCol w:w="1022"/>
        <w:gridCol w:w="1021"/>
        <w:gridCol w:w="461"/>
        <w:gridCol w:w="1021"/>
        <w:gridCol w:w="502"/>
        <w:gridCol w:w="566"/>
      </w:tblGrid>
      <w:tr>
        <w:trPr>
          <w:trHeight w:val="1210" w:hRule="exact"/>
        </w:trPr>
        <w:tc>
          <w:tcPr>
            <w:tcW w:w="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42" w:right="38"/>
              <w:jc w:val="left"/>
              <w:rPr>
                <w:rFonts w:ascii="宋体" w:hAnsi="宋体" w:cs="宋体" w:eastAsia="宋体" w:hint="default"/>
                <w:sz w:val="18"/>
                <w:szCs w:val="18"/>
              </w:rPr>
            </w:pPr>
            <w:r>
              <w:rPr>
                <w:rFonts w:ascii="宋体" w:hAnsi="宋体" w:cs="宋体" w:eastAsia="宋体" w:hint="default"/>
                <w:sz w:val="18"/>
                <w:szCs w:val="18"/>
              </w:rPr>
              <w:t>证券 品种</w:t>
            </w:r>
          </w:p>
        </w:tc>
        <w:tc>
          <w:tcPr>
            <w:tcW w:w="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215" w:right="35" w:hanging="180"/>
              <w:jc w:val="left"/>
              <w:rPr>
                <w:rFonts w:ascii="宋体" w:hAnsi="宋体" w:cs="宋体" w:eastAsia="宋体" w:hint="default"/>
                <w:sz w:val="18"/>
                <w:szCs w:val="18"/>
              </w:rPr>
            </w:pPr>
            <w:r>
              <w:rPr>
                <w:rFonts w:ascii="宋体" w:hAnsi="宋体" w:cs="宋体" w:eastAsia="宋体" w:hint="default"/>
                <w:sz w:val="18"/>
                <w:szCs w:val="18"/>
              </w:rPr>
              <w:t>证券代 码</w:t>
            </w:r>
          </w:p>
        </w:tc>
        <w:tc>
          <w:tcPr>
            <w:tcW w:w="4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51" w:right="50"/>
              <w:jc w:val="left"/>
              <w:rPr>
                <w:rFonts w:ascii="宋体" w:hAnsi="宋体" w:cs="宋体" w:eastAsia="宋体" w:hint="default"/>
                <w:sz w:val="18"/>
                <w:szCs w:val="18"/>
              </w:rPr>
            </w:pPr>
            <w:r>
              <w:rPr>
                <w:rFonts w:ascii="宋体" w:hAnsi="宋体" w:cs="宋体" w:eastAsia="宋体" w:hint="default"/>
                <w:sz w:val="18"/>
                <w:szCs w:val="18"/>
              </w:rPr>
              <w:t>证券 简称</w:t>
            </w:r>
          </w:p>
        </w:tc>
        <w:tc>
          <w:tcPr>
            <w:tcW w:w="10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415" w:right="54" w:hanging="360"/>
              <w:jc w:val="left"/>
              <w:rPr>
                <w:rFonts w:ascii="宋体" w:hAnsi="宋体" w:cs="宋体" w:eastAsia="宋体" w:hint="default"/>
                <w:sz w:val="18"/>
                <w:szCs w:val="18"/>
              </w:rPr>
            </w:pPr>
            <w:r>
              <w:rPr>
                <w:rFonts w:ascii="宋体" w:hAnsi="宋体" w:cs="宋体" w:eastAsia="宋体" w:hint="default"/>
                <w:sz w:val="18"/>
                <w:szCs w:val="18"/>
              </w:rPr>
              <w:t>最初投资成 本</w:t>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98" w:right="98"/>
              <w:jc w:val="both"/>
              <w:rPr>
                <w:rFonts w:ascii="宋体" w:hAnsi="宋体" w:cs="宋体" w:eastAsia="宋体" w:hint="default"/>
                <w:sz w:val="18"/>
                <w:szCs w:val="18"/>
              </w:rPr>
            </w:pPr>
            <w:r>
              <w:rPr>
                <w:rFonts w:ascii="宋体" w:hAnsi="宋体" w:cs="宋体" w:eastAsia="宋体" w:hint="default"/>
                <w:sz w:val="18"/>
                <w:szCs w:val="18"/>
              </w:rPr>
              <w:t>会计 计量 模式</w:t>
            </w:r>
          </w:p>
        </w:tc>
        <w:tc>
          <w:tcPr>
            <w:tcW w:w="1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416" w:right="54" w:hanging="360"/>
              <w:jc w:val="left"/>
              <w:rPr>
                <w:rFonts w:ascii="宋体" w:hAnsi="宋体" w:cs="宋体" w:eastAsia="宋体" w:hint="default"/>
                <w:sz w:val="18"/>
                <w:szCs w:val="18"/>
              </w:rPr>
            </w:pPr>
            <w:r>
              <w:rPr>
                <w:rFonts w:ascii="宋体" w:hAnsi="宋体" w:cs="宋体" w:eastAsia="宋体" w:hint="default"/>
                <w:sz w:val="18"/>
                <w:szCs w:val="18"/>
              </w:rPr>
              <w:t>期初账面价 值</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05" w:right="103"/>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64" w:right="65"/>
              <w:jc w:val="center"/>
              <w:rPr>
                <w:rFonts w:ascii="宋体" w:hAnsi="宋体" w:cs="宋体" w:eastAsia="宋体" w:hint="default"/>
                <w:sz w:val="18"/>
                <w:szCs w:val="18"/>
              </w:rPr>
            </w:pPr>
            <w:r>
              <w:rPr>
                <w:rFonts w:ascii="宋体" w:hAnsi="宋体" w:cs="宋体" w:eastAsia="宋体" w:hint="default"/>
                <w:sz w:val="18"/>
                <w:szCs w:val="18"/>
              </w:rPr>
              <w:t>计入权 益的累 计公允 价值变 动</w:t>
            </w:r>
          </w:p>
        </w:tc>
        <w:tc>
          <w:tcPr>
            <w:tcW w:w="1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415" w:right="55"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0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415" w:right="54"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44" w:right="44"/>
              <w:jc w:val="both"/>
              <w:rPr>
                <w:rFonts w:ascii="宋体" w:hAnsi="宋体" w:cs="宋体" w:eastAsia="宋体" w:hint="default"/>
                <w:sz w:val="18"/>
                <w:szCs w:val="18"/>
              </w:rPr>
            </w:pPr>
            <w:r>
              <w:rPr>
                <w:rFonts w:ascii="宋体" w:hAnsi="宋体" w:cs="宋体" w:eastAsia="宋体" w:hint="default"/>
                <w:sz w:val="18"/>
                <w:szCs w:val="18"/>
              </w:rPr>
              <w:t>报告 期损 益</w:t>
            </w:r>
          </w:p>
        </w:tc>
        <w:tc>
          <w:tcPr>
            <w:tcW w:w="10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415" w:right="54" w:hanging="360"/>
              <w:jc w:val="left"/>
              <w:rPr>
                <w:rFonts w:ascii="宋体" w:hAnsi="宋体" w:cs="宋体" w:eastAsia="宋体" w:hint="default"/>
                <w:sz w:val="18"/>
                <w:szCs w:val="18"/>
              </w:rPr>
            </w:pPr>
            <w:r>
              <w:rPr>
                <w:rFonts w:ascii="宋体" w:hAnsi="宋体" w:cs="宋体" w:eastAsia="宋体" w:hint="default"/>
                <w:sz w:val="18"/>
                <w:szCs w:val="18"/>
              </w:rPr>
              <w:t>期末账面价 值</w:t>
            </w:r>
          </w:p>
        </w:tc>
        <w:tc>
          <w:tcPr>
            <w:tcW w:w="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64" w:right="65"/>
              <w:jc w:val="both"/>
              <w:rPr>
                <w:rFonts w:ascii="宋体" w:hAnsi="宋体" w:cs="宋体" w:eastAsia="宋体" w:hint="default"/>
                <w:sz w:val="18"/>
                <w:szCs w:val="18"/>
              </w:rPr>
            </w:pPr>
            <w:r>
              <w:rPr>
                <w:rFonts w:ascii="宋体" w:hAnsi="宋体" w:cs="宋体" w:eastAsia="宋体" w:hint="default"/>
                <w:sz w:val="18"/>
                <w:szCs w:val="18"/>
              </w:rPr>
              <w:t>会计 核算 科目</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98" w:right="96"/>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211"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6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851830</w:t>
            </w:r>
          </w:p>
        </w:tc>
        <w:tc>
          <w:tcPr>
            <w:tcW w:w="4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2" w:right="79"/>
              <w:jc w:val="both"/>
              <w:rPr>
                <w:rFonts w:ascii="宋体" w:hAnsi="宋体" w:cs="宋体" w:eastAsia="宋体" w:hint="default"/>
                <w:sz w:val="18"/>
                <w:szCs w:val="18"/>
              </w:rPr>
            </w:pPr>
            <w:r>
              <w:rPr>
                <w:rFonts w:ascii="宋体" w:hAnsi="宋体" w:cs="宋体" w:eastAsia="宋体" w:hint="default"/>
                <w:sz w:val="18"/>
                <w:szCs w:val="18"/>
              </w:rPr>
              <w:t>海通 赢家 系列</w:t>
            </w:r>
          </w:p>
          <w:p>
            <w:pPr>
              <w:pStyle w:val="TableParagraph"/>
              <w:spacing w:line="240" w:lineRule="exact"/>
              <w:ind w:left="22"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季 季鑫</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400,100.00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4" w:lineRule="auto"/>
              <w:ind w:left="22" w:right="174"/>
              <w:jc w:val="both"/>
              <w:rPr>
                <w:rFonts w:ascii="宋体" w:hAnsi="宋体" w:cs="宋体" w:eastAsia="宋体" w:hint="default"/>
                <w:sz w:val="18"/>
                <w:szCs w:val="18"/>
              </w:rPr>
            </w:pPr>
            <w:r>
              <w:rPr>
                <w:rFonts w:ascii="宋体" w:hAnsi="宋体" w:cs="宋体" w:eastAsia="宋体" w:hint="default"/>
                <w:sz w:val="18"/>
                <w:szCs w:val="18"/>
              </w:rPr>
              <w:t>公允 价值 计量</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160.04</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400,100.00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461"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400,260.04</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22" w:right="107"/>
              <w:jc w:val="both"/>
              <w:rPr>
                <w:rFonts w:ascii="宋体" w:hAnsi="宋体" w:cs="宋体" w:eastAsia="宋体" w:hint="default"/>
                <w:sz w:val="18"/>
                <w:szCs w:val="18"/>
              </w:rPr>
            </w:pPr>
            <w:r>
              <w:rPr>
                <w:rFonts w:ascii="宋体" w:hAnsi="宋体" w:cs="宋体" w:eastAsia="宋体" w:hint="default"/>
                <w:sz w:val="18"/>
                <w:szCs w:val="18"/>
              </w:rPr>
              <w:t>交易 性金 融资 产</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26"/>
                <w:szCs w:val="26"/>
              </w:rPr>
            </w:pPr>
          </w:p>
          <w:p>
            <w:pPr>
              <w:pStyle w:val="TableParagraph"/>
              <w:spacing w:line="244" w:lineRule="auto"/>
              <w:ind w:left="22" w:right="173"/>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970"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w:t>
            </w:r>
          </w:p>
        </w:tc>
        <w:tc>
          <w:tcPr>
            <w:tcW w:w="4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利息</w:t>
            </w:r>
          </w:p>
        </w:tc>
        <w:tc>
          <w:tcPr>
            <w:tcW w:w="102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174"/>
              <w:jc w:val="both"/>
              <w:rPr>
                <w:rFonts w:ascii="宋体" w:hAnsi="宋体" w:cs="宋体" w:eastAsia="宋体" w:hint="default"/>
                <w:sz w:val="18"/>
                <w:szCs w:val="18"/>
              </w:rPr>
            </w:pPr>
            <w:r>
              <w:rPr>
                <w:rFonts w:ascii="宋体" w:hAnsi="宋体" w:cs="宋体" w:eastAsia="宋体" w:hint="default"/>
                <w:sz w:val="18"/>
                <w:szCs w:val="18"/>
              </w:rPr>
              <w:t>公允 价值 计量</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92,863.02</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92,863.02</w:t>
            </w:r>
          </w:p>
        </w:tc>
        <w:tc>
          <w:tcPr>
            <w:tcW w:w="1021"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92,863.02</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07"/>
              <w:jc w:val="both"/>
              <w:rPr>
                <w:rFonts w:ascii="宋体" w:hAnsi="宋体" w:cs="宋体" w:eastAsia="宋体" w:hint="default"/>
                <w:sz w:val="18"/>
                <w:szCs w:val="18"/>
              </w:rPr>
            </w:pPr>
            <w:r>
              <w:rPr>
                <w:rFonts w:ascii="宋体" w:hAnsi="宋体" w:cs="宋体" w:eastAsia="宋体" w:hint="default"/>
                <w:sz w:val="18"/>
                <w:szCs w:val="18"/>
              </w:rPr>
              <w:t>交易 性金 融资 产</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2" w:right="173"/>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970"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6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851810</w:t>
            </w:r>
          </w:p>
        </w:tc>
        <w:tc>
          <w:tcPr>
            <w:tcW w:w="4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2" w:right="79"/>
              <w:jc w:val="left"/>
              <w:rPr>
                <w:rFonts w:ascii="宋体" w:hAnsi="宋体" w:cs="宋体" w:eastAsia="宋体" w:hint="default"/>
                <w:sz w:val="18"/>
                <w:szCs w:val="18"/>
              </w:rPr>
            </w:pPr>
            <w:r>
              <w:rPr>
                <w:rFonts w:ascii="宋体" w:hAnsi="宋体" w:cs="宋体" w:eastAsia="宋体" w:hint="default"/>
                <w:sz w:val="18"/>
                <w:szCs w:val="18"/>
              </w:rPr>
              <w:t>月月 鑫</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1,250,470.53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174"/>
              <w:jc w:val="both"/>
              <w:rPr>
                <w:rFonts w:ascii="宋体" w:hAnsi="宋体" w:cs="宋体" w:eastAsia="宋体" w:hint="default"/>
                <w:sz w:val="18"/>
                <w:szCs w:val="18"/>
              </w:rPr>
            </w:pPr>
            <w:r>
              <w:rPr>
                <w:rFonts w:ascii="宋体" w:hAnsi="宋体" w:cs="宋体" w:eastAsia="宋体" w:hint="default"/>
                <w:sz w:val="18"/>
                <w:szCs w:val="18"/>
              </w:rPr>
              <w:t>公允 价值 计量</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1,250,470.53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1,175.00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1,558,505.47</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1,558,976.00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1,251,175.00</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07"/>
              <w:jc w:val="both"/>
              <w:rPr>
                <w:rFonts w:ascii="宋体" w:hAnsi="宋体" w:cs="宋体" w:eastAsia="宋体" w:hint="default"/>
                <w:sz w:val="18"/>
                <w:szCs w:val="18"/>
              </w:rPr>
            </w:pPr>
            <w:r>
              <w:rPr>
                <w:rFonts w:ascii="宋体" w:hAnsi="宋体" w:cs="宋体" w:eastAsia="宋体" w:hint="default"/>
                <w:sz w:val="18"/>
                <w:szCs w:val="18"/>
              </w:rPr>
              <w:t>交易 性金 融资 产</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2" w:right="173"/>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491" w:hRule="exact"/>
        </w:trPr>
        <w:tc>
          <w:tcPr>
            <w:tcW w:w="15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24" w:right="73"/>
              <w:jc w:val="left"/>
              <w:rPr>
                <w:rFonts w:ascii="宋体" w:hAnsi="宋体" w:cs="宋体" w:eastAsia="宋体" w:hint="default"/>
                <w:sz w:val="18"/>
                <w:szCs w:val="18"/>
              </w:rPr>
            </w:pPr>
            <w:r>
              <w:rPr>
                <w:rFonts w:ascii="宋体" w:hAnsi="宋体" w:cs="宋体" w:eastAsia="宋体" w:hint="default"/>
                <w:sz w:val="18"/>
                <w:szCs w:val="18"/>
              </w:rPr>
              <w:t>期末持有的其他证 券投资</w:t>
            </w:r>
          </w:p>
        </w:tc>
        <w:tc>
          <w:tcPr>
            <w:tcW w:w="10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5"/>
              <w:ind w:left="218" w:right="0"/>
              <w:jc w:val="left"/>
              <w:rPr>
                <w:rFonts w:ascii="Times New Roman" w:hAnsi="Times New Roman" w:cs="Times New Roman" w:eastAsia="Times New Roman" w:hint="default"/>
                <w:sz w:val="18"/>
                <w:szCs w:val="18"/>
              </w:rPr>
            </w:pPr>
            <w:r>
              <w:rPr>
                <w:rFonts w:ascii="Times New Roman"/>
                <w:sz w:val="18"/>
              </w:rPr>
              <w:t>--</w:t>
            </w:r>
          </w:p>
        </w:tc>
        <w:tc>
          <w:tcPr>
            <w:tcW w:w="102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1021"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w:t>
            </w:r>
          </w:p>
        </w:tc>
      </w:tr>
      <w:tr>
        <w:trPr>
          <w:trHeight w:val="250" w:hRule="exact"/>
        </w:trPr>
        <w:tc>
          <w:tcPr>
            <w:tcW w:w="15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1,650,570.53</w:t>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18" w:right="0"/>
              <w:jc w:val="left"/>
              <w:rPr>
                <w:rFonts w:ascii="Times New Roman" w:hAnsi="Times New Roman" w:cs="Times New Roman" w:eastAsia="Times New Roman" w:hint="default"/>
                <w:sz w:val="18"/>
                <w:szCs w:val="18"/>
              </w:rPr>
            </w:pPr>
            <w:r>
              <w:rPr>
                <w:rFonts w:ascii="Times New Roman"/>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1,250,470.53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94,198.06</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2,051,468.49</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1,558,976.00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1,744,298.06</w:t>
            </w:r>
          </w:p>
        </w:tc>
        <w:tc>
          <w:tcPr>
            <w:tcW w:w="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15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4" w:right="73"/>
              <w:jc w:val="left"/>
              <w:rPr>
                <w:rFonts w:ascii="宋体" w:hAnsi="宋体" w:cs="宋体" w:eastAsia="宋体" w:hint="default"/>
                <w:sz w:val="18"/>
                <w:szCs w:val="18"/>
              </w:rPr>
            </w:pPr>
            <w:r>
              <w:rPr>
                <w:rFonts w:ascii="宋体" w:hAnsi="宋体" w:cs="宋体" w:eastAsia="宋体" w:hint="default"/>
                <w:sz w:val="18"/>
                <w:szCs w:val="18"/>
              </w:rPr>
              <w:t>证券投资审批董事 会公告披露日期</w:t>
            </w:r>
          </w:p>
        </w:tc>
        <w:tc>
          <w:tcPr>
            <w:tcW w:w="8827" w:type="dxa"/>
            <w:gridSpan w:val="11"/>
            <w:tcBorders>
              <w:top w:val="single" w:sz="4" w:space="0" w:color="000000"/>
              <w:left w:val="single" w:sz="13" w:space="0" w:color="D3D3D3"/>
              <w:bottom w:val="single" w:sz="4" w:space="0" w:color="000000"/>
              <w:right w:val="single" w:sz="4" w:space="0" w:color="000000"/>
            </w:tcBorders>
          </w:tcPr>
          <w:p>
            <w:pPr/>
          </w:p>
        </w:tc>
      </w:tr>
      <w:tr>
        <w:trPr>
          <w:trHeight w:val="491" w:hRule="exact"/>
        </w:trPr>
        <w:tc>
          <w:tcPr>
            <w:tcW w:w="15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24" w:right="73"/>
              <w:jc w:val="left"/>
              <w:rPr>
                <w:rFonts w:ascii="宋体" w:hAnsi="宋体" w:cs="宋体" w:eastAsia="宋体" w:hint="default"/>
                <w:sz w:val="18"/>
                <w:szCs w:val="18"/>
              </w:rPr>
            </w:pPr>
            <w:r>
              <w:rPr>
                <w:rFonts w:ascii="宋体" w:hAnsi="宋体" w:cs="宋体" w:eastAsia="宋体" w:hint="default"/>
                <w:sz w:val="18"/>
                <w:szCs w:val="18"/>
              </w:rPr>
              <w:t>证券投资审批股东 会公告披露日期</w:t>
            </w:r>
          </w:p>
        </w:tc>
        <w:tc>
          <w:tcPr>
            <w:tcW w:w="8827" w:type="dxa"/>
            <w:gridSpan w:val="11"/>
            <w:tcBorders>
              <w:top w:val="single" w:sz="4" w:space="0" w:color="000000"/>
              <w:left w:val="single" w:sz="13" w:space="0" w:color="D3D3D3"/>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494"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494" w:right="75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2"/>
        <w:rPr>
          <w:rFonts w:ascii="宋体" w:hAnsi="宋体" w:cs="宋体" w:eastAsia="宋体" w:hint="default"/>
          <w:sz w:val="21"/>
          <w:szCs w:val="21"/>
        </w:rPr>
      </w:pPr>
    </w:p>
    <w:p>
      <w:pPr>
        <w:pStyle w:val="Heading3"/>
        <w:spacing w:line="240" w:lineRule="auto"/>
        <w:ind w:left="494"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640" w:right="640"/>
        </w:sectPr>
      </w:pPr>
    </w:p>
    <w:p>
      <w:pPr>
        <w:spacing w:line="240" w:lineRule="auto" w:before="13"/>
        <w:rPr>
          <w:rFonts w:ascii="宋体" w:hAnsi="宋体" w:cs="宋体" w:eastAsia="宋体" w:hint="default"/>
          <w:sz w:val="25"/>
          <w:szCs w:val="25"/>
        </w:rPr>
      </w:pPr>
    </w:p>
    <w:p>
      <w:pPr>
        <w:pStyle w:val="BodyText"/>
        <w:spacing w:line="240" w:lineRule="auto" w:before="44"/>
        <w:ind w:left="593" w:right="641"/>
        <w:jc w:val="left"/>
      </w:pPr>
      <w:r>
        <w:rPr/>
        <w:t>公司报告期无募集资金使用情况。</w:t>
      </w:r>
    </w:p>
    <w:p>
      <w:pPr>
        <w:spacing w:line="240" w:lineRule="auto" w:before="13"/>
        <w:rPr>
          <w:rFonts w:ascii="宋体" w:hAnsi="宋体" w:cs="宋体" w:eastAsia="宋体" w:hint="default"/>
          <w:sz w:val="24"/>
          <w:szCs w:val="24"/>
        </w:rPr>
      </w:pPr>
    </w:p>
    <w:p>
      <w:pPr>
        <w:pStyle w:val="Heading2"/>
        <w:spacing w:line="240" w:lineRule="auto"/>
        <w:ind w:left="594" w:right="641"/>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594" w:right="641"/>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94" w:right="78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left="594" w:right="641"/>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94" w:right="6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787"/>
        <w:gridCol w:w="566"/>
        <w:gridCol w:w="475"/>
        <w:gridCol w:w="600"/>
        <w:gridCol w:w="1027"/>
        <w:gridCol w:w="2043"/>
        <w:gridCol w:w="601"/>
        <w:gridCol w:w="301"/>
        <w:gridCol w:w="293"/>
        <w:gridCol w:w="1104"/>
        <w:gridCol w:w="570"/>
        <w:gridCol w:w="979"/>
        <w:gridCol w:w="475"/>
        <w:gridCol w:w="776"/>
      </w:tblGrid>
      <w:tr>
        <w:trPr>
          <w:trHeight w:val="1930" w:hRule="exact"/>
        </w:trPr>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4" w:lineRule="auto"/>
              <w:ind w:left="97" w:right="98"/>
              <w:jc w:val="both"/>
              <w:rPr>
                <w:rFonts w:ascii="宋体" w:hAnsi="宋体" w:cs="宋体" w:eastAsia="宋体" w:hint="default"/>
                <w:sz w:val="18"/>
                <w:szCs w:val="18"/>
              </w:rPr>
            </w:pPr>
            <w:r>
              <w:rPr>
                <w:rFonts w:ascii="宋体" w:hAnsi="宋体" w:cs="宋体" w:eastAsia="宋体" w:hint="default"/>
                <w:sz w:val="18"/>
                <w:szCs w:val="18"/>
              </w:rPr>
              <w:t>被出 售股 权</w:t>
            </w:r>
          </w:p>
        </w:tc>
        <w:tc>
          <w:tcPr>
            <w:tcW w:w="4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4" w:lineRule="auto"/>
              <w:ind w:left="142" w:right="50" w:hanging="90"/>
              <w:jc w:val="left"/>
              <w:rPr>
                <w:rFonts w:ascii="宋体" w:hAnsi="宋体" w:cs="宋体" w:eastAsia="宋体" w:hint="default"/>
                <w:sz w:val="18"/>
                <w:szCs w:val="18"/>
              </w:rPr>
            </w:pPr>
            <w:r>
              <w:rPr>
                <w:rFonts w:ascii="宋体" w:hAnsi="宋体" w:cs="宋体" w:eastAsia="宋体" w:hint="default"/>
                <w:sz w:val="18"/>
                <w:szCs w:val="18"/>
              </w:rPr>
              <w:t>出售 日</w:t>
            </w:r>
          </w:p>
        </w:tc>
        <w:tc>
          <w:tcPr>
            <w:tcW w:w="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4" w:lineRule="auto"/>
              <w:ind w:left="25" w:right="2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10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23" w:right="56" w:firstLine="34"/>
              <w:jc w:val="both"/>
              <w:rPr>
                <w:rFonts w:ascii="宋体" w:hAnsi="宋体" w:cs="宋体" w:eastAsia="宋体" w:hint="default"/>
                <w:sz w:val="18"/>
                <w:szCs w:val="18"/>
              </w:rPr>
            </w:pPr>
            <w:r>
              <w:rPr>
                <w:rFonts w:ascii="宋体" w:hAnsi="宋体" w:cs="宋体" w:eastAsia="宋体" w:hint="default"/>
                <w:sz w:val="18"/>
                <w:szCs w:val="18"/>
              </w:rPr>
              <w:t>本期初起至 出售日该股 权为上市公 司贡献的净 </w:t>
            </w:r>
            <w:r>
              <w:rPr>
                <w:rFonts w:ascii="宋体" w:hAnsi="宋体" w:cs="宋体" w:eastAsia="宋体" w:hint="default"/>
                <w:spacing w:val="-4"/>
                <w:sz w:val="18"/>
                <w:szCs w:val="18"/>
              </w:rPr>
              <w:t>利润（万元</w:t>
            </w:r>
          </w:p>
        </w:tc>
        <w:tc>
          <w:tcPr>
            <w:tcW w:w="2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出售对公司的影响</w:t>
            </w: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4" w:right="24"/>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55" w:right="54"/>
              <w:jc w:val="both"/>
              <w:rPr>
                <w:rFonts w:ascii="宋体" w:hAnsi="宋体" w:cs="宋体" w:eastAsia="宋体" w:hint="default"/>
                <w:sz w:val="18"/>
                <w:szCs w:val="18"/>
              </w:rPr>
            </w:pPr>
            <w:r>
              <w:rPr>
                <w:rFonts w:ascii="宋体" w:hAnsi="宋体" w:cs="宋体" w:eastAsia="宋体" w:hint="default"/>
                <w:sz w:val="18"/>
                <w:szCs w:val="18"/>
              </w:rPr>
              <w:t>股 权 出 售 定 价 原 则</w:t>
            </w:r>
          </w:p>
        </w:tc>
        <w:tc>
          <w:tcPr>
            <w:tcW w:w="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1"/>
              <w:ind w:left="51" w:right="49"/>
              <w:jc w:val="both"/>
              <w:rPr>
                <w:rFonts w:ascii="宋体" w:hAnsi="宋体" w:cs="宋体" w:eastAsia="宋体" w:hint="default"/>
                <w:sz w:val="18"/>
                <w:szCs w:val="18"/>
              </w:rPr>
            </w:pPr>
            <w:r>
              <w:rPr>
                <w:rFonts w:ascii="宋体" w:hAnsi="宋体" w:cs="宋体" w:eastAsia="宋体" w:hint="default"/>
                <w:sz w:val="18"/>
                <w:szCs w:val="18"/>
              </w:rPr>
              <w:t>是 否 为 关 联 交 易</w:t>
            </w:r>
          </w:p>
        </w:tc>
        <w:tc>
          <w:tcPr>
            <w:tcW w:w="1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4" w:lineRule="auto"/>
              <w:ind w:left="95" w:right="96"/>
              <w:jc w:val="left"/>
              <w:rPr>
                <w:rFonts w:ascii="宋体" w:hAnsi="宋体" w:cs="宋体" w:eastAsia="宋体" w:hint="default"/>
                <w:sz w:val="18"/>
                <w:szCs w:val="18"/>
              </w:rPr>
            </w:pPr>
            <w:r>
              <w:rPr>
                <w:rFonts w:ascii="宋体" w:hAnsi="宋体" w:cs="宋体" w:eastAsia="宋体" w:hint="default"/>
                <w:sz w:val="18"/>
                <w:szCs w:val="18"/>
              </w:rPr>
              <w:t>与交易对方 的关联关系</w:t>
            </w:r>
          </w:p>
        </w:tc>
        <w:tc>
          <w:tcPr>
            <w:tcW w:w="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1"/>
              <w:ind w:left="99" w:right="98"/>
              <w:jc w:val="both"/>
              <w:rPr>
                <w:rFonts w:ascii="宋体" w:hAnsi="宋体" w:cs="宋体" w:eastAsia="宋体" w:hint="default"/>
                <w:sz w:val="18"/>
                <w:szCs w:val="18"/>
              </w:rPr>
            </w:pPr>
            <w:r>
              <w:rPr>
                <w:rFonts w:ascii="宋体" w:hAnsi="宋体" w:cs="宋体" w:eastAsia="宋体" w:hint="default"/>
                <w:sz w:val="18"/>
                <w:szCs w:val="18"/>
              </w:rPr>
              <w:t>所涉 及的 股权 是否 已全 部过 户</w:t>
            </w:r>
          </w:p>
        </w:tc>
        <w:tc>
          <w:tcPr>
            <w:tcW w:w="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1"/>
              <w:ind w:left="34" w:right="32"/>
              <w:jc w:val="center"/>
              <w:rPr>
                <w:rFonts w:ascii="宋体" w:hAnsi="宋体" w:cs="宋体" w:eastAsia="宋体" w:hint="default"/>
                <w:sz w:val="18"/>
                <w:szCs w:val="18"/>
              </w:rPr>
            </w:pPr>
            <w:r>
              <w:rPr>
                <w:rFonts w:ascii="宋体" w:hAnsi="宋体" w:cs="宋体" w:eastAsia="宋体" w:hint="default"/>
                <w:sz w:val="18"/>
                <w:szCs w:val="18"/>
              </w:rPr>
              <w:t>是否按计划 如期实施， 如未按计划 实施，应当 说明原因及 公司已采取 的措施</w:t>
            </w:r>
          </w:p>
        </w:tc>
        <w:tc>
          <w:tcPr>
            <w:tcW w:w="4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4" w:lineRule="auto"/>
              <w:ind w:left="52" w:right="50"/>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3" w:hRule="exact"/>
        </w:trPr>
        <w:tc>
          <w:tcPr>
            <w:tcW w:w="787" w:type="dxa"/>
            <w:tcBorders>
              <w:top w:val="single" w:sz="4" w:space="0" w:color="000000"/>
              <w:left w:val="single" w:sz="4" w:space="0" w:color="000000"/>
              <w:bottom w:val="nil" w:sz="6" w:space="0" w:color="auto"/>
              <w:right w:val="single" w:sz="4" w:space="0" w:color="000000"/>
            </w:tcBorders>
            <w:shd w:val="clear" w:color="auto" w:fill="C7EDCC"/>
          </w:tcPr>
          <w:p>
            <w:pPr/>
          </w:p>
        </w:tc>
        <w:tc>
          <w:tcPr>
            <w:tcW w:w="566" w:type="dxa"/>
            <w:tcBorders>
              <w:top w:val="single" w:sz="4" w:space="0" w:color="000000"/>
              <w:left w:val="single" w:sz="4" w:space="0" w:color="000000"/>
              <w:bottom w:val="nil" w:sz="6" w:space="0" w:color="auto"/>
              <w:right w:val="single" w:sz="4" w:space="0" w:color="000000"/>
            </w:tcBorders>
            <w:shd w:val="clear" w:color="auto" w:fill="C7EDCC"/>
          </w:tcPr>
          <w:p>
            <w:pPr/>
          </w:p>
        </w:tc>
        <w:tc>
          <w:tcPr>
            <w:tcW w:w="475" w:type="dxa"/>
            <w:tcBorders>
              <w:top w:val="single" w:sz="4" w:space="0" w:color="000000"/>
              <w:left w:val="single" w:sz="4" w:space="0" w:color="000000"/>
              <w:bottom w:val="nil" w:sz="6" w:space="0" w:color="auto"/>
              <w:right w:val="single" w:sz="4" w:space="0" w:color="000000"/>
            </w:tcBorders>
          </w:tcPr>
          <w:p>
            <w:pPr/>
          </w:p>
        </w:tc>
        <w:tc>
          <w:tcPr>
            <w:tcW w:w="600"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
        </w:tc>
        <w:tc>
          <w:tcPr>
            <w:tcW w:w="2043" w:type="dxa"/>
            <w:tcBorders>
              <w:top w:val="single" w:sz="4" w:space="0" w:color="000000"/>
              <w:left w:val="single" w:sz="4" w:space="0" w:color="000000"/>
              <w:bottom w:val="nil" w:sz="6" w:space="0" w:color="auto"/>
              <w:right w:val="single" w:sz="4" w:space="0" w:color="000000"/>
            </w:tcBorders>
            <w:shd w:val="clear" w:color="auto" w:fill="C7EDCC"/>
          </w:tcPr>
          <w:p>
            <w:pPr/>
          </w:p>
        </w:tc>
        <w:tc>
          <w:tcPr>
            <w:tcW w:w="601" w:type="dxa"/>
            <w:vMerge w:val="restart"/>
            <w:tcBorders>
              <w:top w:val="single" w:sz="4" w:space="0" w:color="000000"/>
              <w:left w:val="single" w:sz="4" w:space="0" w:color="000000"/>
              <w:right w:val="single" w:sz="4" w:space="0" w:color="000000"/>
            </w:tcBorders>
          </w:tcPr>
          <w:p>
            <w:pPr/>
          </w:p>
        </w:tc>
        <w:tc>
          <w:tcPr>
            <w:tcW w:w="301"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4" w:lineRule="auto"/>
              <w:ind w:left="22" w:right="86"/>
              <w:jc w:val="both"/>
              <w:rPr>
                <w:rFonts w:ascii="宋体" w:hAnsi="宋体" w:cs="宋体" w:eastAsia="宋体" w:hint="default"/>
                <w:sz w:val="18"/>
                <w:szCs w:val="18"/>
              </w:rPr>
            </w:pPr>
            <w:r>
              <w:rPr>
                <w:rFonts w:ascii="宋体" w:hAnsi="宋体" w:cs="宋体" w:eastAsia="宋体" w:hint="default"/>
                <w:sz w:val="18"/>
                <w:szCs w:val="18"/>
              </w:rPr>
              <w:t>公 开 竞 拍</w:t>
            </w:r>
          </w:p>
        </w:tc>
        <w:tc>
          <w:tcPr>
            <w:tcW w:w="293" w:type="dxa"/>
            <w:tcBorders>
              <w:top w:val="single" w:sz="4" w:space="0" w:color="000000"/>
              <w:left w:val="single" w:sz="4" w:space="0" w:color="000000"/>
              <w:bottom w:val="nil" w:sz="6" w:space="0" w:color="auto"/>
              <w:right w:val="single" w:sz="4" w:space="0" w:color="000000"/>
            </w:tcBorders>
          </w:tcPr>
          <w:p>
            <w:pPr/>
          </w:p>
        </w:tc>
        <w:tc>
          <w:tcPr>
            <w:tcW w:w="110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公司原副总</w:t>
            </w:r>
          </w:p>
        </w:tc>
        <w:tc>
          <w:tcPr>
            <w:tcW w:w="570" w:type="dxa"/>
            <w:tcBorders>
              <w:top w:val="single" w:sz="4" w:space="0" w:color="000000"/>
              <w:left w:val="single" w:sz="4" w:space="0" w:color="000000"/>
              <w:bottom w:val="nil" w:sz="6" w:space="0" w:color="auto"/>
              <w:right w:val="single" w:sz="4" w:space="0" w:color="000000"/>
            </w:tcBorders>
          </w:tcPr>
          <w:p>
            <w:pPr/>
          </w:p>
        </w:tc>
        <w:tc>
          <w:tcPr>
            <w:tcW w:w="979" w:type="dxa"/>
            <w:tcBorders>
              <w:top w:val="single" w:sz="4" w:space="0" w:color="000000"/>
              <w:left w:val="single" w:sz="4" w:space="0" w:color="000000"/>
              <w:bottom w:val="nil" w:sz="6" w:space="0" w:color="auto"/>
              <w:right w:val="single" w:sz="4" w:space="0" w:color="000000"/>
            </w:tcBorders>
            <w:shd w:val="clear" w:color="auto" w:fill="C7EDCC"/>
          </w:tcPr>
          <w:p>
            <w:pPr/>
          </w:p>
        </w:tc>
        <w:tc>
          <w:tcPr>
            <w:tcW w:w="475" w:type="dxa"/>
            <w:tcBorders>
              <w:top w:val="single" w:sz="4" w:space="0" w:color="000000"/>
              <w:left w:val="single" w:sz="4" w:space="0" w:color="000000"/>
              <w:bottom w:val="nil" w:sz="6" w:space="0" w:color="auto"/>
              <w:right w:val="single" w:sz="4" w:space="0" w:color="000000"/>
            </w:tcBorders>
          </w:tcPr>
          <w:p>
            <w:pPr/>
          </w:p>
        </w:tc>
        <w:tc>
          <w:tcPr>
            <w:tcW w:w="77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240" w:hRule="exact"/>
        </w:trPr>
        <w:tc>
          <w:tcPr>
            <w:tcW w:w="787"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600"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c>
          <w:tcPr>
            <w:tcW w:w="2043" w:type="dxa"/>
            <w:tcBorders>
              <w:top w:val="nil" w:sz="6" w:space="0" w:color="auto"/>
              <w:left w:val="single" w:sz="4" w:space="0" w:color="000000"/>
              <w:bottom w:val="nil" w:sz="6" w:space="0" w:color="auto"/>
              <w:right w:val="single" w:sz="4" w:space="0" w:color="000000"/>
            </w:tcBorders>
            <w:shd w:val="clear" w:color="auto" w:fill="C7EDCC"/>
          </w:tcPr>
          <w:p>
            <w:pPr/>
          </w:p>
        </w:tc>
        <w:tc>
          <w:tcPr>
            <w:tcW w:w="601" w:type="dxa"/>
            <w:vMerge/>
            <w:tcBorders>
              <w:left w:val="single" w:sz="4" w:space="0" w:color="000000"/>
              <w:right w:val="single" w:sz="4" w:space="0" w:color="000000"/>
            </w:tcBorders>
          </w:tcPr>
          <w:p>
            <w:pPr/>
          </w:p>
        </w:tc>
        <w:tc>
          <w:tcPr>
            <w:tcW w:w="301" w:type="dxa"/>
            <w:vMerge/>
            <w:tcBorders>
              <w:left w:val="single" w:sz="4" w:space="0" w:color="000000"/>
              <w:right w:val="single" w:sz="4" w:space="0" w:color="000000"/>
            </w:tcBorders>
            <w:shd w:val="clear" w:color="auto" w:fill="C7EDCC"/>
          </w:tcPr>
          <w:p>
            <w:pPr/>
          </w:p>
        </w:tc>
        <w:tc>
          <w:tcPr>
            <w:tcW w:w="293"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经理林鹭华</w:t>
            </w:r>
          </w:p>
        </w:tc>
        <w:tc>
          <w:tcPr>
            <w:tcW w:w="570"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77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787"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600"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c>
          <w:tcPr>
            <w:tcW w:w="204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有助于积极推进下属企业</w:t>
            </w:r>
          </w:p>
        </w:tc>
        <w:tc>
          <w:tcPr>
            <w:tcW w:w="601" w:type="dxa"/>
            <w:vMerge/>
            <w:tcBorders>
              <w:left w:val="single" w:sz="4" w:space="0" w:color="000000"/>
              <w:right w:val="single" w:sz="4" w:space="0" w:color="000000"/>
            </w:tcBorders>
          </w:tcPr>
          <w:p>
            <w:pPr/>
          </w:p>
        </w:tc>
        <w:tc>
          <w:tcPr>
            <w:tcW w:w="301" w:type="dxa"/>
            <w:vMerge/>
            <w:tcBorders>
              <w:left w:val="single" w:sz="4" w:space="0" w:color="000000"/>
              <w:right w:val="single" w:sz="4" w:space="0" w:color="000000"/>
            </w:tcBorders>
            <w:shd w:val="clear" w:color="auto" w:fill="C7EDCC"/>
          </w:tcPr>
          <w:p>
            <w:pPr/>
          </w:p>
        </w:tc>
        <w:tc>
          <w:tcPr>
            <w:tcW w:w="293"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持有上海泽</w:t>
            </w:r>
          </w:p>
        </w:tc>
        <w:tc>
          <w:tcPr>
            <w:tcW w:w="570"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77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1920" w:hRule="exact"/>
        </w:trPr>
        <w:tc>
          <w:tcPr>
            <w:tcW w:w="78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上海泽创</w:t>
            </w:r>
          </w:p>
          <w:p>
            <w:pPr>
              <w:pStyle w:val="TableParagraph"/>
              <w:spacing w:line="244" w:lineRule="auto" w:before="4"/>
              <w:ind w:left="22" w:right="32"/>
              <w:jc w:val="left"/>
              <w:rPr>
                <w:rFonts w:ascii="宋体" w:hAnsi="宋体" w:cs="宋体" w:eastAsia="宋体" w:hint="default"/>
                <w:sz w:val="18"/>
                <w:szCs w:val="18"/>
              </w:rPr>
            </w:pPr>
            <w:r>
              <w:rPr>
                <w:rFonts w:ascii="宋体" w:hAnsi="宋体" w:cs="宋体" w:eastAsia="宋体" w:hint="default"/>
                <w:sz w:val="18"/>
                <w:szCs w:val="18"/>
              </w:rPr>
              <w:t>科技合伙 企业（有 </w:t>
            </w:r>
            <w:r>
              <w:rPr>
                <w:rFonts w:ascii="宋体" w:hAnsi="宋体" w:cs="宋体" w:eastAsia="宋体" w:hint="default"/>
                <w:spacing w:val="-23"/>
                <w:sz w:val="18"/>
                <w:szCs w:val="18"/>
              </w:rPr>
              <w:t>限合伙）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舟山泽创</w:t>
            </w:r>
            <w:r>
              <w:rPr>
                <w:rFonts w:ascii="宋体" w:hAnsi="宋体" w:cs="宋体" w:eastAsia="宋体" w:hint="default"/>
                <w:sz w:val="18"/>
                <w:szCs w:val="18"/>
              </w:rPr>
              <w:t> 投资合伙 企业（有 限合伙）</w:t>
            </w:r>
          </w:p>
        </w:tc>
        <w:tc>
          <w:tcPr>
            <w:tcW w:w="5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tLeast" w:before="90"/>
              <w:ind w:left="22" w:right="171"/>
              <w:jc w:val="both"/>
              <w:rPr>
                <w:rFonts w:ascii="宋体" w:hAnsi="宋体" w:cs="宋体" w:eastAsia="宋体" w:hint="default"/>
                <w:sz w:val="18"/>
                <w:szCs w:val="18"/>
              </w:rPr>
            </w:pPr>
            <w:r>
              <w:rPr>
                <w:rFonts w:ascii="宋体" w:hAnsi="宋体" w:cs="宋体" w:eastAsia="宋体" w:hint="default"/>
                <w:sz w:val="18"/>
                <w:szCs w:val="18"/>
              </w:rPr>
              <w:t>快点 文化 传播</w:t>
            </w:r>
          </w:p>
          <w:p>
            <w:pPr>
              <w:pStyle w:val="TableParagraph"/>
              <w:spacing w:line="62"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（上</w:t>
            </w:r>
          </w:p>
          <w:p>
            <w:pPr>
              <w:pStyle w:val="TableParagraph"/>
              <w:spacing w:line="244" w:lineRule="auto" w:before="4"/>
              <w:ind w:left="22" w:right="21"/>
              <w:jc w:val="left"/>
              <w:rPr>
                <w:rFonts w:ascii="宋体" w:hAnsi="宋体" w:cs="宋体" w:eastAsia="宋体" w:hint="default"/>
                <w:sz w:val="18"/>
                <w:szCs w:val="18"/>
              </w:rPr>
            </w:pPr>
            <w:r>
              <w:rPr>
                <w:rFonts w:ascii="宋体" w:hAnsi="宋体" w:cs="宋体" w:eastAsia="宋体" w:hint="default"/>
                <w:spacing w:val="-10"/>
                <w:sz w:val="18"/>
                <w:szCs w:val="18"/>
              </w:rPr>
              <w:t>海）有</w:t>
            </w:r>
            <w:r>
              <w:rPr>
                <w:rFonts w:ascii="宋体" w:hAnsi="宋体" w:cs="宋体" w:eastAsia="宋体" w:hint="default"/>
                <w:sz w:val="18"/>
                <w:szCs w:val="18"/>
              </w:rPr>
              <w:t> 限公 司</w:t>
            </w:r>
          </w:p>
        </w:tc>
        <w:tc>
          <w:tcPr>
            <w:tcW w:w="4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02" w:lineRule="exact"/>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141" w:right="0"/>
              <w:jc w:val="center"/>
              <w:rPr>
                <w:rFonts w:ascii="Times New Roman" w:hAnsi="Times New Roman" w:cs="Times New Roman" w:eastAsia="Times New Roman" w:hint="default"/>
                <w:sz w:val="18"/>
                <w:szCs w:val="18"/>
              </w:rPr>
            </w:pPr>
            <w:r>
              <w:rPr>
                <w:rFonts w:ascii="Times New Roman"/>
                <w:sz w:val="18"/>
              </w:rPr>
              <w:t>5,940</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z w:val="18"/>
              </w:rPr>
              <w:t>561.7</w:t>
            </w:r>
          </w:p>
        </w:tc>
        <w:tc>
          <w:tcPr>
            <w:tcW w:w="204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both"/>
              <w:rPr>
                <w:rFonts w:ascii="宋体" w:hAnsi="宋体" w:cs="宋体" w:eastAsia="宋体" w:hint="default"/>
                <w:sz w:val="18"/>
                <w:szCs w:val="18"/>
              </w:rPr>
            </w:pPr>
            <w:r>
              <w:rPr>
                <w:rFonts w:ascii="宋体" w:hAnsi="宋体" w:cs="宋体" w:eastAsia="宋体" w:hint="default"/>
                <w:sz w:val="18"/>
                <w:szCs w:val="18"/>
              </w:rPr>
              <w:t>资产证券化</w:t>
            </w:r>
            <w:r>
              <w:rPr>
                <w:rFonts w:ascii="宋体" w:hAnsi="宋体" w:cs="宋体" w:eastAsia="宋体" w:hint="default"/>
                <w:spacing w:val="-74"/>
                <w:sz w:val="18"/>
                <w:szCs w:val="18"/>
              </w:rPr>
              <w:t>，</w:t>
            </w:r>
            <w:r>
              <w:rPr>
                <w:rFonts w:ascii="宋体" w:hAnsi="宋体" w:cs="宋体" w:eastAsia="宋体" w:hint="default"/>
                <w:sz w:val="18"/>
                <w:szCs w:val="18"/>
              </w:rPr>
              <w:t>避免了</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同业</w:t>
            </w:r>
          </w:p>
          <w:p>
            <w:pPr>
              <w:pStyle w:val="TableParagraph"/>
              <w:spacing w:line="242" w:lineRule="auto"/>
              <w:ind w:left="22" w:right="21"/>
              <w:jc w:val="both"/>
              <w:rPr>
                <w:rFonts w:ascii="宋体" w:hAnsi="宋体" w:cs="宋体" w:eastAsia="宋体" w:hint="default"/>
                <w:sz w:val="18"/>
                <w:szCs w:val="18"/>
              </w:rPr>
            </w:pPr>
            <w:r>
              <w:rPr>
                <w:rFonts w:ascii="宋体" w:hAnsi="宋体" w:cs="宋体" w:eastAsia="宋体" w:hint="default"/>
                <w:spacing w:val="-7"/>
                <w:sz w:val="18"/>
                <w:szCs w:val="18"/>
              </w:rPr>
              <w:t>竞争</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方面的限制，为今后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分拆上市创造条件。同时 通过转让股权引进战略投 资者，有助于优化标的公 司的股权结构、获取更多 的资源渠道和发展空间、 进一步提高标的公司的治</w:t>
            </w:r>
          </w:p>
        </w:tc>
        <w:tc>
          <w:tcPr>
            <w:tcW w:w="601" w:type="dxa"/>
            <w:vMerge/>
            <w:tcBorders>
              <w:left w:val="single" w:sz="4" w:space="0" w:color="000000"/>
              <w:right w:val="single" w:sz="4" w:space="0" w:color="000000"/>
            </w:tcBorders>
          </w:tcPr>
          <w:p>
            <w:pPr/>
          </w:p>
        </w:tc>
        <w:tc>
          <w:tcPr>
            <w:tcW w:w="301" w:type="dxa"/>
            <w:vMerge/>
            <w:tcBorders>
              <w:left w:val="single" w:sz="4" w:space="0" w:color="000000"/>
              <w:right w:val="single" w:sz="4" w:space="0" w:color="000000"/>
            </w:tcBorders>
            <w:shd w:val="clear" w:color="auto" w:fill="C7EDCC"/>
          </w:tcPr>
          <w:p>
            <w:pPr/>
          </w:p>
        </w:tc>
        <w:tc>
          <w:tcPr>
            <w:tcW w:w="2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是</w:t>
            </w:r>
          </w:p>
        </w:tc>
        <w:tc>
          <w:tcPr>
            <w:tcW w:w="110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创科技合伙</w:t>
            </w:r>
          </w:p>
          <w:p>
            <w:pPr>
              <w:pStyle w:val="TableParagraph"/>
              <w:spacing w:line="240" w:lineRule="auto" w:before="4"/>
              <w:ind w:left="22" w:right="23"/>
              <w:jc w:val="left"/>
              <w:rPr>
                <w:rFonts w:ascii="宋体" w:hAnsi="宋体" w:cs="宋体" w:eastAsia="宋体" w:hint="default"/>
                <w:sz w:val="18"/>
                <w:szCs w:val="18"/>
              </w:rPr>
            </w:pPr>
            <w:r>
              <w:rPr>
                <w:rFonts w:ascii="宋体" w:hAnsi="宋体" w:cs="宋体" w:eastAsia="宋体" w:hint="default"/>
                <w:spacing w:val="-6"/>
                <w:sz w:val="18"/>
                <w:szCs w:val="18"/>
              </w:rPr>
              <w:t>企业（有限合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伙）</w:t>
            </w:r>
            <w:r>
              <w:rPr>
                <w:rFonts w:ascii="Times New Roman" w:hAnsi="Times New Roman" w:cs="Times New Roman" w:eastAsia="Times New Roman" w:hint="default"/>
                <w:sz w:val="18"/>
                <w:szCs w:val="18"/>
              </w:rPr>
              <w:t>64%</w:t>
            </w:r>
            <w:r>
              <w:rPr>
                <w:rFonts w:ascii="宋体" w:hAnsi="宋体" w:cs="宋体" w:eastAsia="宋体" w:hint="default"/>
                <w:sz w:val="18"/>
                <w:szCs w:val="18"/>
              </w:rPr>
              <w:t>股 </w:t>
            </w:r>
            <w:r>
              <w:rPr>
                <w:rFonts w:ascii="宋体" w:hAnsi="宋体" w:cs="宋体" w:eastAsia="宋体" w:hint="default"/>
                <w:spacing w:val="-6"/>
                <w:sz w:val="18"/>
                <w:szCs w:val="18"/>
              </w:rPr>
              <w:t>权，持有舟山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泽创投资合 </w:t>
            </w:r>
            <w:r>
              <w:rPr>
                <w:rFonts w:ascii="宋体" w:hAnsi="宋体" w:cs="宋体" w:eastAsia="宋体" w:hint="default"/>
                <w:spacing w:val="-6"/>
                <w:sz w:val="18"/>
                <w:szCs w:val="18"/>
              </w:rPr>
              <w:t>伙企业（有限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sz w:val="18"/>
                <w:szCs w:val="18"/>
              </w:rPr>
              <w:t>合伙）的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 </w:t>
            </w:r>
            <w:r>
              <w:rPr>
                <w:rFonts w:ascii="宋体" w:hAnsi="宋体" w:cs="宋体" w:eastAsia="宋体" w:hint="default"/>
                <w:spacing w:val="-6"/>
                <w:sz w:val="18"/>
                <w:szCs w:val="18"/>
              </w:rPr>
              <w:t>股权，林鹭华</w:t>
            </w:r>
          </w:p>
        </w:tc>
        <w:tc>
          <w:tcPr>
            <w:tcW w:w="5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02" w:lineRule="exact"/>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2017-059</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240" w:hRule="exact"/>
        </w:trPr>
        <w:tc>
          <w:tcPr>
            <w:tcW w:w="787"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600"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c>
          <w:tcPr>
            <w:tcW w:w="204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理水平和抗风险能力。</w:t>
            </w:r>
          </w:p>
        </w:tc>
        <w:tc>
          <w:tcPr>
            <w:tcW w:w="601" w:type="dxa"/>
            <w:vMerge/>
            <w:tcBorders>
              <w:left w:val="single" w:sz="4" w:space="0" w:color="000000"/>
              <w:right w:val="single" w:sz="4" w:space="0" w:color="000000"/>
            </w:tcBorders>
          </w:tcPr>
          <w:p>
            <w:pPr/>
          </w:p>
        </w:tc>
        <w:tc>
          <w:tcPr>
            <w:tcW w:w="301" w:type="dxa"/>
            <w:vMerge/>
            <w:tcBorders>
              <w:left w:val="single" w:sz="4" w:space="0" w:color="000000"/>
              <w:right w:val="single" w:sz="4" w:space="0" w:color="000000"/>
            </w:tcBorders>
            <w:shd w:val="clear" w:color="auto" w:fill="C7EDCC"/>
          </w:tcPr>
          <w:p>
            <w:pPr/>
          </w:p>
        </w:tc>
        <w:tc>
          <w:tcPr>
            <w:tcW w:w="293"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女士从本公</w:t>
            </w:r>
          </w:p>
        </w:tc>
        <w:tc>
          <w:tcPr>
            <w:tcW w:w="570"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77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787"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600"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c>
          <w:tcPr>
            <w:tcW w:w="2043" w:type="dxa"/>
            <w:tcBorders>
              <w:top w:val="nil" w:sz="6" w:space="0" w:color="auto"/>
              <w:left w:val="single" w:sz="4" w:space="0" w:color="000000"/>
              <w:bottom w:val="nil" w:sz="6" w:space="0" w:color="auto"/>
              <w:right w:val="single" w:sz="4" w:space="0" w:color="000000"/>
            </w:tcBorders>
            <w:shd w:val="clear" w:color="auto" w:fill="C7EDCC"/>
          </w:tcPr>
          <w:p>
            <w:pPr/>
          </w:p>
        </w:tc>
        <w:tc>
          <w:tcPr>
            <w:tcW w:w="601" w:type="dxa"/>
            <w:vMerge/>
            <w:tcBorders>
              <w:left w:val="single" w:sz="4" w:space="0" w:color="000000"/>
              <w:right w:val="single" w:sz="4" w:space="0" w:color="000000"/>
            </w:tcBorders>
          </w:tcPr>
          <w:p>
            <w:pPr/>
          </w:p>
        </w:tc>
        <w:tc>
          <w:tcPr>
            <w:tcW w:w="301" w:type="dxa"/>
            <w:vMerge/>
            <w:tcBorders>
              <w:left w:val="single" w:sz="4" w:space="0" w:color="000000"/>
              <w:right w:val="single" w:sz="4" w:space="0" w:color="000000"/>
            </w:tcBorders>
            <w:shd w:val="clear" w:color="auto" w:fill="C7EDCC"/>
          </w:tcPr>
          <w:p>
            <w:pPr/>
          </w:p>
        </w:tc>
        <w:tc>
          <w:tcPr>
            <w:tcW w:w="293"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司离职尚未</w:t>
            </w:r>
          </w:p>
        </w:tc>
        <w:tc>
          <w:tcPr>
            <w:tcW w:w="570"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77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7" w:hRule="exact"/>
        </w:trPr>
        <w:tc>
          <w:tcPr>
            <w:tcW w:w="787" w:type="dxa"/>
            <w:tcBorders>
              <w:top w:val="nil" w:sz="6" w:space="0" w:color="auto"/>
              <w:left w:val="single" w:sz="4" w:space="0" w:color="000000"/>
              <w:bottom w:val="single" w:sz="4" w:space="0" w:color="000000"/>
              <w:right w:val="single" w:sz="4" w:space="0" w:color="000000"/>
            </w:tcBorders>
            <w:shd w:val="clear" w:color="auto" w:fill="C7EDCC"/>
          </w:tcPr>
          <w:p>
            <w:pPr/>
          </w:p>
        </w:tc>
        <w:tc>
          <w:tcPr>
            <w:tcW w:w="566" w:type="dxa"/>
            <w:tcBorders>
              <w:top w:val="nil" w:sz="6" w:space="0" w:color="auto"/>
              <w:left w:val="single" w:sz="4" w:space="0" w:color="000000"/>
              <w:bottom w:val="single" w:sz="4" w:space="0" w:color="000000"/>
              <w:right w:val="single" w:sz="4" w:space="0" w:color="000000"/>
            </w:tcBorders>
            <w:shd w:val="clear" w:color="auto" w:fill="C7EDCC"/>
          </w:tcPr>
          <w:p>
            <w:pPr/>
          </w:p>
        </w:tc>
        <w:tc>
          <w:tcPr>
            <w:tcW w:w="475" w:type="dxa"/>
            <w:tcBorders>
              <w:top w:val="nil" w:sz="6" w:space="0" w:color="auto"/>
              <w:left w:val="single" w:sz="4" w:space="0" w:color="000000"/>
              <w:bottom w:val="single" w:sz="4" w:space="0" w:color="000000"/>
              <w:right w:val="single" w:sz="4" w:space="0" w:color="000000"/>
            </w:tcBorders>
          </w:tcPr>
          <w:p>
            <w:pPr/>
          </w:p>
        </w:tc>
        <w:tc>
          <w:tcPr>
            <w:tcW w:w="600"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
        </w:tc>
        <w:tc>
          <w:tcPr>
            <w:tcW w:w="2043" w:type="dxa"/>
            <w:tcBorders>
              <w:top w:val="nil" w:sz="6" w:space="0" w:color="auto"/>
              <w:left w:val="single" w:sz="4" w:space="0" w:color="000000"/>
              <w:bottom w:val="single" w:sz="4" w:space="0" w:color="000000"/>
              <w:right w:val="single" w:sz="4" w:space="0" w:color="000000"/>
            </w:tcBorders>
            <w:shd w:val="clear" w:color="auto" w:fill="C7EDCC"/>
          </w:tcPr>
          <w:p>
            <w:pPr/>
          </w:p>
        </w:tc>
        <w:tc>
          <w:tcPr>
            <w:tcW w:w="601" w:type="dxa"/>
            <w:vMerge/>
            <w:tcBorders>
              <w:left w:val="single" w:sz="4" w:space="0" w:color="000000"/>
              <w:bottom w:val="single" w:sz="4" w:space="0" w:color="000000"/>
              <w:right w:val="single" w:sz="4" w:space="0" w:color="000000"/>
            </w:tcBorders>
          </w:tcPr>
          <w:p>
            <w:pPr/>
          </w:p>
        </w:tc>
        <w:tc>
          <w:tcPr>
            <w:tcW w:w="301" w:type="dxa"/>
            <w:vMerge/>
            <w:tcBorders>
              <w:left w:val="single" w:sz="4" w:space="0" w:color="000000"/>
              <w:bottom w:val="single" w:sz="4" w:space="0" w:color="000000"/>
              <w:right w:val="single" w:sz="4" w:space="0" w:color="000000"/>
            </w:tcBorders>
            <w:shd w:val="clear" w:color="auto" w:fill="C7EDCC"/>
          </w:tcPr>
          <w:p>
            <w:pPr/>
          </w:p>
        </w:tc>
        <w:tc>
          <w:tcPr>
            <w:tcW w:w="293" w:type="dxa"/>
            <w:tcBorders>
              <w:top w:val="nil" w:sz="6" w:space="0" w:color="auto"/>
              <w:left w:val="single" w:sz="4" w:space="0" w:color="000000"/>
              <w:bottom w:val="single" w:sz="4" w:space="0" w:color="000000"/>
              <w:right w:val="single" w:sz="4" w:space="0" w:color="000000"/>
            </w:tcBorders>
          </w:tcPr>
          <w:p>
            <w:pPr/>
          </w:p>
        </w:tc>
        <w:tc>
          <w:tcPr>
            <w:tcW w:w="110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570" w:type="dxa"/>
            <w:tcBorders>
              <w:top w:val="nil" w:sz="6" w:space="0" w:color="auto"/>
              <w:left w:val="single" w:sz="4" w:space="0" w:color="000000"/>
              <w:bottom w:val="single" w:sz="4" w:space="0" w:color="000000"/>
              <w:right w:val="single" w:sz="4" w:space="0" w:color="000000"/>
            </w:tcBorders>
          </w:tcPr>
          <w:p>
            <w:pPr/>
          </w:p>
        </w:tc>
        <w:tc>
          <w:tcPr>
            <w:tcW w:w="979" w:type="dxa"/>
            <w:tcBorders>
              <w:top w:val="nil" w:sz="6" w:space="0" w:color="auto"/>
              <w:left w:val="single" w:sz="4" w:space="0" w:color="000000"/>
              <w:bottom w:val="single" w:sz="4" w:space="0" w:color="000000"/>
              <w:right w:val="single" w:sz="4" w:space="0" w:color="000000"/>
            </w:tcBorders>
            <w:shd w:val="clear" w:color="auto" w:fill="C7EDCC"/>
          </w:tcPr>
          <w:p>
            <w:pPr/>
          </w:p>
        </w:tc>
        <w:tc>
          <w:tcPr>
            <w:tcW w:w="475" w:type="dxa"/>
            <w:tcBorders>
              <w:top w:val="nil" w:sz="6" w:space="0" w:color="auto"/>
              <w:left w:val="single" w:sz="4" w:space="0" w:color="000000"/>
              <w:bottom w:val="single" w:sz="4" w:space="0" w:color="000000"/>
              <w:right w:val="single" w:sz="4" w:space="0" w:color="000000"/>
            </w:tcBorders>
          </w:tcPr>
          <w:p>
            <w:pPr/>
          </w:p>
        </w:tc>
        <w:tc>
          <w:tcPr>
            <w:tcW w:w="776"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252" w:hRule="exact"/>
        </w:trPr>
        <w:tc>
          <w:tcPr>
            <w:tcW w:w="787" w:type="dxa"/>
            <w:tcBorders>
              <w:top w:val="single" w:sz="4" w:space="0" w:color="000000"/>
              <w:left w:val="single" w:sz="4" w:space="0" w:color="000000"/>
              <w:bottom w:val="nil" w:sz="6" w:space="0" w:color="auto"/>
              <w:right w:val="single" w:sz="4" w:space="0" w:color="000000"/>
            </w:tcBorders>
            <w:shd w:val="clear" w:color="auto" w:fill="C7EDCC"/>
          </w:tcPr>
          <w:p>
            <w:pPr/>
          </w:p>
        </w:tc>
        <w:tc>
          <w:tcPr>
            <w:tcW w:w="566" w:type="dxa"/>
            <w:tcBorders>
              <w:top w:val="single" w:sz="4" w:space="0" w:color="000000"/>
              <w:left w:val="single" w:sz="4" w:space="0" w:color="000000"/>
              <w:bottom w:val="nil" w:sz="6" w:space="0" w:color="auto"/>
              <w:right w:val="single" w:sz="4" w:space="0" w:color="000000"/>
            </w:tcBorders>
            <w:shd w:val="clear" w:color="auto" w:fill="C7EDCC"/>
          </w:tcPr>
          <w:p>
            <w:pPr/>
          </w:p>
        </w:tc>
        <w:tc>
          <w:tcPr>
            <w:tcW w:w="475" w:type="dxa"/>
            <w:tcBorders>
              <w:top w:val="single" w:sz="4" w:space="0" w:color="000000"/>
              <w:left w:val="single" w:sz="4" w:space="0" w:color="000000"/>
              <w:bottom w:val="nil" w:sz="6" w:space="0" w:color="auto"/>
              <w:right w:val="single" w:sz="4" w:space="0" w:color="000000"/>
            </w:tcBorders>
          </w:tcPr>
          <w:p>
            <w:pPr/>
          </w:p>
        </w:tc>
        <w:tc>
          <w:tcPr>
            <w:tcW w:w="600"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
        </w:tc>
        <w:tc>
          <w:tcPr>
            <w:tcW w:w="204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精典博维转为开拓影视类</w:t>
            </w:r>
          </w:p>
        </w:tc>
        <w:tc>
          <w:tcPr>
            <w:tcW w:w="601" w:type="dxa"/>
            <w:vMerge w:val="restart"/>
            <w:tcBorders>
              <w:top w:val="single" w:sz="4" w:space="0" w:color="000000"/>
              <w:left w:val="single" w:sz="4" w:space="0" w:color="000000"/>
              <w:right w:val="single" w:sz="4" w:space="0" w:color="000000"/>
            </w:tcBorders>
          </w:tcPr>
          <w:p>
            <w:pPr/>
          </w:p>
        </w:tc>
        <w:tc>
          <w:tcPr>
            <w:tcW w:w="301"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4" w:lineRule="auto"/>
              <w:ind w:left="22" w:right="86"/>
              <w:jc w:val="both"/>
              <w:rPr>
                <w:rFonts w:ascii="宋体" w:hAnsi="宋体" w:cs="宋体" w:eastAsia="宋体" w:hint="default"/>
                <w:sz w:val="18"/>
                <w:szCs w:val="18"/>
              </w:rPr>
            </w:pPr>
            <w:r>
              <w:rPr>
                <w:rFonts w:ascii="宋体" w:hAnsi="宋体" w:cs="宋体" w:eastAsia="宋体" w:hint="default"/>
                <w:sz w:val="18"/>
                <w:szCs w:val="18"/>
              </w:rPr>
              <w:t>协 议 转 让</w:t>
            </w:r>
          </w:p>
        </w:tc>
        <w:tc>
          <w:tcPr>
            <w:tcW w:w="293" w:type="dxa"/>
            <w:tcBorders>
              <w:top w:val="single" w:sz="4" w:space="0" w:color="000000"/>
              <w:left w:val="single" w:sz="4" w:space="0" w:color="000000"/>
              <w:bottom w:val="nil" w:sz="6" w:space="0" w:color="auto"/>
              <w:right w:val="single" w:sz="4" w:space="0" w:color="000000"/>
            </w:tcBorders>
          </w:tcPr>
          <w:p>
            <w:pPr/>
          </w:p>
        </w:tc>
        <w:tc>
          <w:tcPr>
            <w:tcW w:w="1104" w:type="dxa"/>
            <w:tcBorders>
              <w:top w:val="single" w:sz="4" w:space="0" w:color="000000"/>
              <w:left w:val="single" w:sz="4" w:space="0" w:color="000000"/>
              <w:bottom w:val="nil" w:sz="6" w:space="0" w:color="auto"/>
              <w:right w:val="single" w:sz="4" w:space="0" w:color="000000"/>
            </w:tcBorders>
            <w:shd w:val="clear" w:color="auto" w:fill="C7EDCC"/>
          </w:tcPr>
          <w:p>
            <w:pPr/>
          </w:p>
        </w:tc>
        <w:tc>
          <w:tcPr>
            <w:tcW w:w="570" w:type="dxa"/>
            <w:tcBorders>
              <w:top w:val="single" w:sz="4" w:space="0" w:color="000000"/>
              <w:left w:val="single" w:sz="4" w:space="0" w:color="000000"/>
              <w:bottom w:val="nil" w:sz="6" w:space="0" w:color="auto"/>
              <w:right w:val="single" w:sz="4" w:space="0" w:color="000000"/>
            </w:tcBorders>
          </w:tcPr>
          <w:p>
            <w:pPr/>
          </w:p>
        </w:tc>
        <w:tc>
          <w:tcPr>
            <w:tcW w:w="979" w:type="dxa"/>
            <w:tcBorders>
              <w:top w:val="single" w:sz="4" w:space="0" w:color="000000"/>
              <w:left w:val="single" w:sz="4" w:space="0" w:color="000000"/>
              <w:bottom w:val="nil" w:sz="6" w:space="0" w:color="auto"/>
              <w:right w:val="single" w:sz="4" w:space="0" w:color="000000"/>
            </w:tcBorders>
            <w:shd w:val="clear" w:color="auto" w:fill="C7EDCC"/>
          </w:tcPr>
          <w:p>
            <w:pPr/>
          </w:p>
        </w:tc>
        <w:tc>
          <w:tcPr>
            <w:tcW w:w="475" w:type="dxa"/>
            <w:tcBorders>
              <w:top w:val="single" w:sz="4" w:space="0" w:color="000000"/>
              <w:left w:val="single" w:sz="4" w:space="0" w:color="000000"/>
              <w:bottom w:val="nil" w:sz="6" w:space="0" w:color="auto"/>
              <w:right w:val="single" w:sz="4" w:space="0" w:color="000000"/>
            </w:tcBorders>
          </w:tcPr>
          <w:p>
            <w:pPr/>
          </w:p>
        </w:tc>
        <w:tc>
          <w:tcPr>
            <w:tcW w:w="77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240" w:hRule="exact"/>
        </w:trPr>
        <w:tc>
          <w:tcPr>
            <w:tcW w:w="787"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600"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c>
          <w:tcPr>
            <w:tcW w:w="204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业务，与上市公司产业发</w:t>
            </w:r>
          </w:p>
        </w:tc>
        <w:tc>
          <w:tcPr>
            <w:tcW w:w="601" w:type="dxa"/>
            <w:vMerge/>
            <w:tcBorders>
              <w:left w:val="single" w:sz="4" w:space="0" w:color="000000"/>
              <w:right w:val="single" w:sz="4" w:space="0" w:color="000000"/>
            </w:tcBorders>
          </w:tcPr>
          <w:p>
            <w:pPr/>
          </w:p>
        </w:tc>
        <w:tc>
          <w:tcPr>
            <w:tcW w:w="301" w:type="dxa"/>
            <w:vMerge/>
            <w:tcBorders>
              <w:left w:val="single" w:sz="4" w:space="0" w:color="000000"/>
              <w:right w:val="single" w:sz="4" w:space="0" w:color="000000"/>
            </w:tcBorders>
            <w:shd w:val="clear" w:color="auto" w:fill="C7EDCC"/>
          </w:tcPr>
          <w:p>
            <w:pPr/>
          </w:p>
        </w:tc>
        <w:tc>
          <w:tcPr>
            <w:tcW w:w="293"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shd w:val="clear" w:color="auto" w:fill="C7EDCC"/>
          </w:tcPr>
          <w:p>
            <w:pPr/>
          </w:p>
        </w:tc>
        <w:tc>
          <w:tcPr>
            <w:tcW w:w="570"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77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787"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600"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c>
          <w:tcPr>
            <w:tcW w:w="204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展定位存在偏差，且精典</w:t>
            </w:r>
          </w:p>
        </w:tc>
        <w:tc>
          <w:tcPr>
            <w:tcW w:w="601" w:type="dxa"/>
            <w:vMerge/>
            <w:tcBorders>
              <w:left w:val="single" w:sz="4" w:space="0" w:color="000000"/>
              <w:right w:val="single" w:sz="4" w:space="0" w:color="000000"/>
            </w:tcBorders>
          </w:tcPr>
          <w:p>
            <w:pPr/>
          </w:p>
        </w:tc>
        <w:tc>
          <w:tcPr>
            <w:tcW w:w="301" w:type="dxa"/>
            <w:vMerge/>
            <w:tcBorders>
              <w:left w:val="single" w:sz="4" w:space="0" w:color="000000"/>
              <w:right w:val="single" w:sz="4" w:space="0" w:color="000000"/>
            </w:tcBorders>
            <w:shd w:val="clear" w:color="auto" w:fill="C7EDCC"/>
          </w:tcPr>
          <w:p>
            <w:pPr/>
          </w:p>
        </w:tc>
        <w:tc>
          <w:tcPr>
            <w:tcW w:w="293"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shd w:val="clear" w:color="auto" w:fill="C7EDCC"/>
          </w:tcPr>
          <w:p>
            <w:pPr/>
          </w:p>
        </w:tc>
        <w:tc>
          <w:tcPr>
            <w:tcW w:w="570"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77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787"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600"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c>
          <w:tcPr>
            <w:tcW w:w="204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博维进入影视类业务后，</w:t>
            </w:r>
          </w:p>
        </w:tc>
        <w:tc>
          <w:tcPr>
            <w:tcW w:w="601" w:type="dxa"/>
            <w:vMerge/>
            <w:tcBorders>
              <w:left w:val="single" w:sz="4" w:space="0" w:color="000000"/>
              <w:right w:val="single" w:sz="4" w:space="0" w:color="000000"/>
            </w:tcBorders>
          </w:tcPr>
          <w:p>
            <w:pPr/>
          </w:p>
        </w:tc>
        <w:tc>
          <w:tcPr>
            <w:tcW w:w="301" w:type="dxa"/>
            <w:vMerge/>
            <w:tcBorders>
              <w:left w:val="single" w:sz="4" w:space="0" w:color="000000"/>
              <w:right w:val="single" w:sz="4" w:space="0" w:color="000000"/>
            </w:tcBorders>
            <w:shd w:val="clear" w:color="auto" w:fill="C7EDCC"/>
          </w:tcPr>
          <w:p>
            <w:pPr/>
          </w:p>
        </w:tc>
        <w:tc>
          <w:tcPr>
            <w:tcW w:w="293"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shd w:val="clear" w:color="auto" w:fill="C7EDCC"/>
          </w:tcPr>
          <w:p>
            <w:pPr/>
          </w:p>
        </w:tc>
        <w:tc>
          <w:tcPr>
            <w:tcW w:w="570"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77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787"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600"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c>
          <w:tcPr>
            <w:tcW w:w="204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未来发展仍存在一定风险</w:t>
            </w:r>
          </w:p>
        </w:tc>
        <w:tc>
          <w:tcPr>
            <w:tcW w:w="601" w:type="dxa"/>
            <w:vMerge/>
            <w:tcBorders>
              <w:left w:val="single" w:sz="4" w:space="0" w:color="000000"/>
              <w:right w:val="single" w:sz="4" w:space="0" w:color="000000"/>
            </w:tcBorders>
          </w:tcPr>
          <w:p>
            <w:pPr/>
          </w:p>
        </w:tc>
        <w:tc>
          <w:tcPr>
            <w:tcW w:w="301" w:type="dxa"/>
            <w:vMerge/>
            <w:tcBorders>
              <w:left w:val="single" w:sz="4" w:space="0" w:color="000000"/>
              <w:right w:val="single" w:sz="4" w:space="0" w:color="000000"/>
            </w:tcBorders>
            <w:shd w:val="clear" w:color="auto" w:fill="C7EDCC"/>
          </w:tcPr>
          <w:p>
            <w:pPr/>
          </w:p>
        </w:tc>
        <w:tc>
          <w:tcPr>
            <w:tcW w:w="293"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shd w:val="clear" w:color="auto" w:fill="C7EDCC"/>
          </w:tcPr>
          <w:p>
            <w:pPr/>
          </w:p>
        </w:tc>
        <w:tc>
          <w:tcPr>
            <w:tcW w:w="570"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77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1920" w:hRule="exact"/>
        </w:trPr>
        <w:tc>
          <w:tcPr>
            <w:tcW w:w="78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4" w:lineRule="auto"/>
              <w:ind w:left="22" w:right="32"/>
              <w:jc w:val="both"/>
              <w:rPr>
                <w:rFonts w:ascii="宋体" w:hAnsi="宋体" w:cs="宋体" w:eastAsia="宋体" w:hint="default"/>
                <w:sz w:val="18"/>
                <w:szCs w:val="18"/>
              </w:rPr>
            </w:pPr>
            <w:r>
              <w:rPr>
                <w:rFonts w:ascii="宋体" w:hAnsi="宋体" w:cs="宋体" w:eastAsia="宋体" w:hint="default"/>
                <w:sz w:val="18"/>
                <w:szCs w:val="18"/>
              </w:rPr>
              <w:t>浙江华朗 实业有限 公司</w:t>
            </w:r>
          </w:p>
        </w:tc>
        <w:tc>
          <w:tcPr>
            <w:tcW w:w="5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4" w:lineRule="auto" w:before="94"/>
              <w:ind w:left="22" w:right="171"/>
              <w:jc w:val="both"/>
              <w:rPr>
                <w:rFonts w:ascii="宋体" w:hAnsi="宋体" w:cs="宋体" w:eastAsia="宋体" w:hint="default"/>
                <w:sz w:val="18"/>
                <w:szCs w:val="18"/>
              </w:rPr>
            </w:pPr>
            <w:r>
              <w:rPr>
                <w:rFonts w:ascii="宋体" w:hAnsi="宋体" w:cs="宋体" w:eastAsia="宋体" w:hint="default"/>
                <w:sz w:val="18"/>
                <w:szCs w:val="18"/>
              </w:rPr>
              <w:t>北京 精典 博维 文化 传媒 有限 公司</w:t>
            </w:r>
          </w:p>
        </w:tc>
        <w:tc>
          <w:tcPr>
            <w:tcW w:w="4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02" w:lineRule="exact"/>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51" w:right="0"/>
              <w:jc w:val="center"/>
              <w:rPr>
                <w:rFonts w:ascii="Times New Roman" w:hAnsi="Times New Roman" w:cs="Times New Roman" w:eastAsia="Times New Roman" w:hint="default"/>
                <w:sz w:val="18"/>
                <w:szCs w:val="18"/>
              </w:rPr>
            </w:pPr>
            <w:r>
              <w:rPr>
                <w:rFonts w:ascii="Times New Roman"/>
                <w:sz w:val="18"/>
              </w:rPr>
              <w:t>13,020</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z w:val="18"/>
              </w:rPr>
              <w:t>409.28</w:t>
            </w:r>
          </w:p>
        </w:tc>
        <w:tc>
          <w:tcPr>
            <w:tcW w:w="204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both"/>
              <w:rPr>
                <w:rFonts w:ascii="宋体" w:hAnsi="宋体" w:cs="宋体" w:eastAsia="宋体" w:hint="default"/>
                <w:sz w:val="18"/>
                <w:szCs w:val="18"/>
              </w:rPr>
            </w:pPr>
            <w:r>
              <w:rPr>
                <w:rFonts w:ascii="宋体" w:hAnsi="宋体" w:cs="宋体" w:eastAsia="宋体" w:hint="default"/>
                <w:sz w:val="18"/>
                <w:szCs w:val="18"/>
              </w:rPr>
              <w:t>和不确定性。杭报集团公</w:t>
            </w:r>
          </w:p>
          <w:p>
            <w:pPr>
              <w:pStyle w:val="TableParagraph"/>
              <w:spacing w:line="244" w:lineRule="auto" w:before="4"/>
              <w:ind w:left="22" w:right="28"/>
              <w:jc w:val="both"/>
              <w:rPr>
                <w:rFonts w:ascii="宋体" w:hAnsi="宋体" w:cs="宋体" w:eastAsia="宋体" w:hint="default"/>
                <w:sz w:val="18"/>
                <w:szCs w:val="18"/>
              </w:rPr>
            </w:pPr>
            <w:r>
              <w:rPr>
                <w:rFonts w:ascii="宋体" w:hAnsi="宋体" w:cs="宋体" w:eastAsia="宋体" w:hint="default"/>
                <w:sz w:val="18"/>
                <w:szCs w:val="18"/>
              </w:rPr>
              <w:t>司全资子公司亦存在影视 类业务，且拥有电子出版 物牌照、影视方面的许可 和政府资源，由其来进行 整合，既避免了控股股东 与上市公司潜在的同业竞 争，同时更适合帮助精典</w:t>
            </w:r>
          </w:p>
        </w:tc>
        <w:tc>
          <w:tcPr>
            <w:tcW w:w="601" w:type="dxa"/>
            <w:vMerge/>
            <w:tcBorders>
              <w:left w:val="single" w:sz="4" w:space="0" w:color="000000"/>
              <w:right w:val="single" w:sz="4" w:space="0" w:color="000000"/>
            </w:tcBorders>
          </w:tcPr>
          <w:p>
            <w:pPr/>
          </w:p>
        </w:tc>
        <w:tc>
          <w:tcPr>
            <w:tcW w:w="301" w:type="dxa"/>
            <w:vMerge/>
            <w:tcBorders>
              <w:left w:val="single" w:sz="4" w:space="0" w:color="000000"/>
              <w:right w:val="single" w:sz="4" w:space="0" w:color="000000"/>
            </w:tcBorders>
            <w:shd w:val="clear" w:color="auto" w:fill="C7EDCC"/>
          </w:tcPr>
          <w:p>
            <w:pPr/>
          </w:p>
        </w:tc>
        <w:tc>
          <w:tcPr>
            <w:tcW w:w="2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是</w:t>
            </w:r>
          </w:p>
        </w:tc>
        <w:tc>
          <w:tcPr>
            <w:tcW w:w="110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
              <w:ind w:right="0"/>
              <w:jc w:val="left"/>
              <w:rPr>
                <w:rFonts w:ascii="宋体" w:hAnsi="宋体" w:cs="宋体" w:eastAsia="宋体" w:hint="default"/>
                <w:sz w:val="25"/>
                <w:szCs w:val="25"/>
              </w:rPr>
            </w:pPr>
          </w:p>
          <w:p>
            <w:pPr>
              <w:pStyle w:val="TableParagraph"/>
              <w:spacing w:line="244" w:lineRule="auto"/>
              <w:ind w:left="22" w:right="169"/>
              <w:jc w:val="both"/>
              <w:rPr>
                <w:rFonts w:ascii="宋体" w:hAnsi="宋体" w:cs="宋体" w:eastAsia="宋体" w:hint="default"/>
                <w:sz w:val="18"/>
                <w:szCs w:val="18"/>
              </w:rPr>
            </w:pPr>
            <w:r>
              <w:rPr>
                <w:rFonts w:ascii="宋体" w:hAnsi="宋体" w:cs="宋体" w:eastAsia="宋体" w:hint="default"/>
                <w:sz w:val="18"/>
                <w:szCs w:val="18"/>
              </w:rPr>
              <w:t>系本公司控 股股东杭州 日报报业集 团有限公司 全资子公司</w:t>
            </w:r>
          </w:p>
        </w:tc>
        <w:tc>
          <w:tcPr>
            <w:tcW w:w="5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02" w:lineRule="exact"/>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2017-025</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240" w:hRule="exact"/>
        </w:trPr>
        <w:tc>
          <w:tcPr>
            <w:tcW w:w="787"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600"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c>
          <w:tcPr>
            <w:tcW w:w="204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博维突破业务瓶颈，取得</w:t>
            </w:r>
          </w:p>
        </w:tc>
        <w:tc>
          <w:tcPr>
            <w:tcW w:w="601" w:type="dxa"/>
            <w:vMerge/>
            <w:tcBorders>
              <w:left w:val="single" w:sz="4" w:space="0" w:color="000000"/>
              <w:right w:val="single" w:sz="4" w:space="0" w:color="000000"/>
            </w:tcBorders>
          </w:tcPr>
          <w:p>
            <w:pPr/>
          </w:p>
        </w:tc>
        <w:tc>
          <w:tcPr>
            <w:tcW w:w="301" w:type="dxa"/>
            <w:vMerge/>
            <w:tcBorders>
              <w:left w:val="single" w:sz="4" w:space="0" w:color="000000"/>
              <w:right w:val="single" w:sz="4" w:space="0" w:color="000000"/>
            </w:tcBorders>
            <w:shd w:val="clear" w:color="auto" w:fill="C7EDCC"/>
          </w:tcPr>
          <w:p>
            <w:pPr/>
          </w:p>
        </w:tc>
        <w:tc>
          <w:tcPr>
            <w:tcW w:w="293"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shd w:val="clear" w:color="auto" w:fill="C7EDCC"/>
          </w:tcPr>
          <w:p>
            <w:pPr/>
          </w:p>
        </w:tc>
        <w:tc>
          <w:tcPr>
            <w:tcW w:w="570"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77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787"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600"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c>
          <w:tcPr>
            <w:tcW w:w="204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更好发展成长的可能，因</w:t>
            </w:r>
          </w:p>
        </w:tc>
        <w:tc>
          <w:tcPr>
            <w:tcW w:w="601" w:type="dxa"/>
            <w:vMerge/>
            <w:tcBorders>
              <w:left w:val="single" w:sz="4" w:space="0" w:color="000000"/>
              <w:right w:val="single" w:sz="4" w:space="0" w:color="000000"/>
            </w:tcBorders>
          </w:tcPr>
          <w:p>
            <w:pPr/>
          </w:p>
        </w:tc>
        <w:tc>
          <w:tcPr>
            <w:tcW w:w="301" w:type="dxa"/>
            <w:vMerge/>
            <w:tcBorders>
              <w:left w:val="single" w:sz="4" w:space="0" w:color="000000"/>
              <w:right w:val="single" w:sz="4" w:space="0" w:color="000000"/>
            </w:tcBorders>
            <w:shd w:val="clear" w:color="auto" w:fill="C7EDCC"/>
          </w:tcPr>
          <w:p>
            <w:pPr/>
          </w:p>
        </w:tc>
        <w:tc>
          <w:tcPr>
            <w:tcW w:w="293"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shd w:val="clear" w:color="auto" w:fill="C7EDCC"/>
          </w:tcPr>
          <w:p>
            <w:pPr/>
          </w:p>
        </w:tc>
        <w:tc>
          <w:tcPr>
            <w:tcW w:w="570"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77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787"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600"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c>
          <w:tcPr>
            <w:tcW w:w="204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此同意收购华媒控股相关</w:t>
            </w:r>
          </w:p>
        </w:tc>
        <w:tc>
          <w:tcPr>
            <w:tcW w:w="601" w:type="dxa"/>
            <w:vMerge/>
            <w:tcBorders>
              <w:left w:val="single" w:sz="4" w:space="0" w:color="000000"/>
              <w:right w:val="single" w:sz="4" w:space="0" w:color="000000"/>
            </w:tcBorders>
          </w:tcPr>
          <w:p>
            <w:pPr/>
          </w:p>
        </w:tc>
        <w:tc>
          <w:tcPr>
            <w:tcW w:w="301" w:type="dxa"/>
            <w:vMerge/>
            <w:tcBorders>
              <w:left w:val="single" w:sz="4" w:space="0" w:color="000000"/>
              <w:right w:val="single" w:sz="4" w:space="0" w:color="000000"/>
            </w:tcBorders>
            <w:shd w:val="clear" w:color="auto" w:fill="C7EDCC"/>
          </w:tcPr>
          <w:p>
            <w:pPr/>
          </w:p>
        </w:tc>
        <w:tc>
          <w:tcPr>
            <w:tcW w:w="293"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shd w:val="clear" w:color="auto" w:fill="C7EDCC"/>
          </w:tcPr>
          <w:p>
            <w:pPr/>
          </w:p>
        </w:tc>
        <w:tc>
          <w:tcPr>
            <w:tcW w:w="570"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77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787" w:type="dxa"/>
            <w:tcBorders>
              <w:top w:val="nil" w:sz="6" w:space="0" w:color="auto"/>
              <w:left w:val="single" w:sz="4" w:space="0" w:color="000000"/>
              <w:bottom w:val="nil" w:sz="6" w:space="0" w:color="auto"/>
              <w:right w:val="single" w:sz="4" w:space="0" w:color="000000"/>
            </w:tcBorders>
            <w:shd w:val="clear" w:color="auto" w:fill="C7EDCC"/>
          </w:tcPr>
          <w:p>
            <w:pPr/>
          </w:p>
        </w:tc>
        <w:tc>
          <w:tcPr>
            <w:tcW w:w="566"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600"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c>
          <w:tcPr>
            <w:tcW w:w="204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股权。不会对本公司财务</w:t>
            </w:r>
          </w:p>
        </w:tc>
        <w:tc>
          <w:tcPr>
            <w:tcW w:w="601" w:type="dxa"/>
            <w:vMerge/>
            <w:tcBorders>
              <w:left w:val="single" w:sz="4" w:space="0" w:color="000000"/>
              <w:right w:val="single" w:sz="4" w:space="0" w:color="000000"/>
            </w:tcBorders>
          </w:tcPr>
          <w:p>
            <w:pPr/>
          </w:p>
        </w:tc>
        <w:tc>
          <w:tcPr>
            <w:tcW w:w="301" w:type="dxa"/>
            <w:vMerge/>
            <w:tcBorders>
              <w:left w:val="single" w:sz="4" w:space="0" w:color="000000"/>
              <w:right w:val="single" w:sz="4" w:space="0" w:color="000000"/>
            </w:tcBorders>
            <w:shd w:val="clear" w:color="auto" w:fill="C7EDCC"/>
          </w:tcPr>
          <w:p>
            <w:pPr/>
          </w:p>
        </w:tc>
        <w:tc>
          <w:tcPr>
            <w:tcW w:w="293"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shd w:val="clear" w:color="auto" w:fill="C7EDCC"/>
          </w:tcPr>
          <w:p>
            <w:pPr/>
          </w:p>
        </w:tc>
        <w:tc>
          <w:tcPr>
            <w:tcW w:w="570"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shd w:val="clear" w:color="auto" w:fill="C7EDCC"/>
          </w:tcPr>
          <w:p>
            <w:pPr/>
          </w:p>
        </w:tc>
        <w:tc>
          <w:tcPr>
            <w:tcW w:w="475" w:type="dxa"/>
            <w:tcBorders>
              <w:top w:val="nil" w:sz="6" w:space="0" w:color="auto"/>
              <w:left w:val="single" w:sz="4" w:space="0" w:color="000000"/>
              <w:bottom w:val="nil" w:sz="6" w:space="0" w:color="auto"/>
              <w:right w:val="single" w:sz="4" w:space="0" w:color="000000"/>
            </w:tcBorders>
          </w:tcPr>
          <w:p>
            <w:pPr/>
          </w:p>
        </w:tc>
        <w:tc>
          <w:tcPr>
            <w:tcW w:w="77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7" w:hRule="exact"/>
        </w:trPr>
        <w:tc>
          <w:tcPr>
            <w:tcW w:w="787" w:type="dxa"/>
            <w:tcBorders>
              <w:top w:val="nil" w:sz="6" w:space="0" w:color="auto"/>
              <w:left w:val="single" w:sz="4" w:space="0" w:color="000000"/>
              <w:bottom w:val="single" w:sz="4" w:space="0" w:color="000000"/>
              <w:right w:val="single" w:sz="4" w:space="0" w:color="000000"/>
            </w:tcBorders>
            <w:shd w:val="clear" w:color="auto" w:fill="C7EDCC"/>
          </w:tcPr>
          <w:p>
            <w:pPr/>
          </w:p>
        </w:tc>
        <w:tc>
          <w:tcPr>
            <w:tcW w:w="566" w:type="dxa"/>
            <w:tcBorders>
              <w:top w:val="nil" w:sz="6" w:space="0" w:color="auto"/>
              <w:left w:val="single" w:sz="4" w:space="0" w:color="000000"/>
              <w:bottom w:val="single" w:sz="4" w:space="0" w:color="000000"/>
              <w:right w:val="single" w:sz="4" w:space="0" w:color="000000"/>
            </w:tcBorders>
            <w:shd w:val="clear" w:color="auto" w:fill="C7EDCC"/>
          </w:tcPr>
          <w:p>
            <w:pPr/>
          </w:p>
        </w:tc>
        <w:tc>
          <w:tcPr>
            <w:tcW w:w="475" w:type="dxa"/>
            <w:tcBorders>
              <w:top w:val="nil" w:sz="6" w:space="0" w:color="auto"/>
              <w:left w:val="single" w:sz="4" w:space="0" w:color="000000"/>
              <w:bottom w:val="single" w:sz="4" w:space="0" w:color="000000"/>
              <w:right w:val="single" w:sz="4" w:space="0" w:color="000000"/>
            </w:tcBorders>
          </w:tcPr>
          <w:p>
            <w:pPr/>
          </w:p>
        </w:tc>
        <w:tc>
          <w:tcPr>
            <w:tcW w:w="600"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
        </w:tc>
        <w:tc>
          <w:tcPr>
            <w:tcW w:w="204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状况造成重大影响。</w:t>
            </w:r>
          </w:p>
        </w:tc>
        <w:tc>
          <w:tcPr>
            <w:tcW w:w="601" w:type="dxa"/>
            <w:vMerge/>
            <w:tcBorders>
              <w:left w:val="single" w:sz="4" w:space="0" w:color="000000"/>
              <w:bottom w:val="single" w:sz="4" w:space="0" w:color="000000"/>
              <w:right w:val="single" w:sz="4" w:space="0" w:color="000000"/>
            </w:tcBorders>
          </w:tcPr>
          <w:p>
            <w:pPr/>
          </w:p>
        </w:tc>
        <w:tc>
          <w:tcPr>
            <w:tcW w:w="301" w:type="dxa"/>
            <w:vMerge/>
            <w:tcBorders>
              <w:left w:val="single" w:sz="4" w:space="0" w:color="000000"/>
              <w:bottom w:val="single" w:sz="4" w:space="0" w:color="000000"/>
              <w:right w:val="single" w:sz="4" w:space="0" w:color="000000"/>
            </w:tcBorders>
            <w:shd w:val="clear" w:color="auto" w:fill="C7EDCC"/>
          </w:tcPr>
          <w:p>
            <w:pPr/>
          </w:p>
        </w:tc>
        <w:tc>
          <w:tcPr>
            <w:tcW w:w="293" w:type="dxa"/>
            <w:tcBorders>
              <w:top w:val="nil" w:sz="6" w:space="0" w:color="auto"/>
              <w:left w:val="single" w:sz="4" w:space="0" w:color="000000"/>
              <w:bottom w:val="single" w:sz="4" w:space="0" w:color="000000"/>
              <w:right w:val="single" w:sz="4" w:space="0" w:color="000000"/>
            </w:tcBorders>
          </w:tcPr>
          <w:p>
            <w:pPr/>
          </w:p>
        </w:tc>
        <w:tc>
          <w:tcPr>
            <w:tcW w:w="1104" w:type="dxa"/>
            <w:tcBorders>
              <w:top w:val="nil" w:sz="6" w:space="0" w:color="auto"/>
              <w:left w:val="single" w:sz="4" w:space="0" w:color="000000"/>
              <w:bottom w:val="single" w:sz="4" w:space="0" w:color="000000"/>
              <w:right w:val="single" w:sz="4" w:space="0" w:color="000000"/>
            </w:tcBorders>
            <w:shd w:val="clear" w:color="auto" w:fill="C7EDCC"/>
          </w:tcPr>
          <w:p>
            <w:pPr/>
          </w:p>
        </w:tc>
        <w:tc>
          <w:tcPr>
            <w:tcW w:w="570" w:type="dxa"/>
            <w:tcBorders>
              <w:top w:val="nil" w:sz="6" w:space="0" w:color="auto"/>
              <w:left w:val="single" w:sz="4" w:space="0" w:color="000000"/>
              <w:bottom w:val="single" w:sz="4" w:space="0" w:color="000000"/>
              <w:right w:val="single" w:sz="4" w:space="0" w:color="000000"/>
            </w:tcBorders>
          </w:tcPr>
          <w:p>
            <w:pPr/>
          </w:p>
        </w:tc>
        <w:tc>
          <w:tcPr>
            <w:tcW w:w="979" w:type="dxa"/>
            <w:tcBorders>
              <w:top w:val="nil" w:sz="6" w:space="0" w:color="auto"/>
              <w:left w:val="single" w:sz="4" w:space="0" w:color="000000"/>
              <w:bottom w:val="single" w:sz="4" w:space="0" w:color="000000"/>
              <w:right w:val="single" w:sz="4" w:space="0" w:color="000000"/>
            </w:tcBorders>
            <w:shd w:val="clear" w:color="auto" w:fill="C7EDCC"/>
          </w:tcPr>
          <w:p>
            <w:pPr/>
          </w:p>
        </w:tc>
        <w:tc>
          <w:tcPr>
            <w:tcW w:w="475" w:type="dxa"/>
            <w:tcBorders>
              <w:top w:val="nil" w:sz="6" w:space="0" w:color="auto"/>
              <w:left w:val="single" w:sz="4" w:space="0" w:color="000000"/>
              <w:bottom w:val="single" w:sz="4" w:space="0" w:color="000000"/>
              <w:right w:val="single" w:sz="4" w:space="0" w:color="000000"/>
            </w:tcBorders>
          </w:tcPr>
          <w:p>
            <w:pPr/>
          </w:p>
        </w:tc>
        <w:tc>
          <w:tcPr>
            <w:tcW w:w="776" w:type="dxa"/>
            <w:tcBorders>
              <w:top w:val="nil" w:sz="6" w:space="0" w:color="auto"/>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540" w:right="54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87"/>
        <w:gridCol w:w="566"/>
        <w:gridCol w:w="475"/>
        <w:gridCol w:w="600"/>
        <w:gridCol w:w="1027"/>
        <w:gridCol w:w="2043"/>
        <w:gridCol w:w="601"/>
        <w:gridCol w:w="301"/>
        <w:gridCol w:w="293"/>
        <w:gridCol w:w="1104"/>
        <w:gridCol w:w="570"/>
        <w:gridCol w:w="979"/>
        <w:gridCol w:w="475"/>
        <w:gridCol w:w="776"/>
      </w:tblGrid>
      <w:tr>
        <w:trPr>
          <w:trHeight w:val="2171" w:hRule="exact"/>
        </w:trPr>
        <w:tc>
          <w:tcPr>
            <w:tcW w:w="7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4" w:lineRule="auto"/>
              <w:ind w:left="22" w:right="32"/>
              <w:jc w:val="both"/>
              <w:rPr>
                <w:rFonts w:ascii="宋体" w:hAnsi="宋体" w:cs="宋体" w:eastAsia="宋体" w:hint="default"/>
                <w:sz w:val="18"/>
                <w:szCs w:val="18"/>
              </w:rPr>
            </w:pPr>
            <w:r>
              <w:rPr>
                <w:rFonts w:ascii="宋体" w:hAnsi="宋体" w:cs="宋体" w:eastAsia="宋体" w:hint="default"/>
                <w:sz w:val="18"/>
                <w:szCs w:val="18"/>
              </w:rPr>
              <w:t>杭州和一 投资管理 有限公司</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71"/>
              <w:jc w:val="both"/>
              <w:rPr>
                <w:rFonts w:ascii="宋体" w:hAnsi="宋体" w:cs="宋体" w:eastAsia="宋体" w:hint="default"/>
                <w:sz w:val="18"/>
                <w:szCs w:val="18"/>
              </w:rPr>
            </w:pPr>
            <w:r>
              <w:rPr>
                <w:rFonts w:ascii="宋体" w:hAnsi="宋体" w:cs="宋体" w:eastAsia="宋体" w:hint="default"/>
                <w:sz w:val="18"/>
                <w:szCs w:val="18"/>
              </w:rPr>
              <w:t>浙江 华媒 金晟 文化 产业 投资 管理 有限 公司</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02" w:lineRule="exact" w:before="15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225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620" w:right="0"/>
              <w:jc w:val="left"/>
              <w:rPr>
                <w:rFonts w:ascii="Times New Roman" w:hAnsi="Times New Roman" w:cs="Times New Roman" w:eastAsia="Times New Roman" w:hint="default"/>
                <w:sz w:val="18"/>
                <w:szCs w:val="18"/>
              </w:rPr>
            </w:pPr>
            <w:r>
              <w:rPr>
                <w:rFonts w:ascii="Times New Roman"/>
                <w:sz w:val="18"/>
              </w:rPr>
              <w:t>-61.8</w:t>
            </w:r>
          </w:p>
        </w:tc>
        <w:tc>
          <w:tcPr>
            <w:tcW w:w="20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01"/>
              <w:ind w:left="22" w:right="28"/>
              <w:jc w:val="both"/>
              <w:rPr>
                <w:rFonts w:ascii="宋体" w:hAnsi="宋体" w:cs="宋体" w:eastAsia="宋体" w:hint="default"/>
                <w:sz w:val="18"/>
                <w:szCs w:val="18"/>
              </w:rPr>
            </w:pPr>
            <w:r>
              <w:rPr>
                <w:rFonts w:ascii="宋体" w:hAnsi="宋体" w:cs="宋体" w:eastAsia="宋体" w:hint="default"/>
                <w:sz w:val="18"/>
                <w:szCs w:val="18"/>
              </w:rPr>
              <w:t>由于华媒金晟募集资金规 模未达预期，同时上市公 司发展战略调整，将集中 资源积极发展优势产业， 推动向大文创产业生态运 营商的战略转型。对公司 财务和经营不会产生重大 影响。</w:t>
            </w:r>
          </w:p>
        </w:tc>
        <w:tc>
          <w:tcPr>
            <w:tcW w:w="60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4" w:lineRule="auto"/>
              <w:ind w:left="22" w:right="86"/>
              <w:jc w:val="both"/>
              <w:rPr>
                <w:rFonts w:ascii="宋体" w:hAnsi="宋体" w:cs="宋体" w:eastAsia="宋体" w:hint="default"/>
                <w:sz w:val="18"/>
                <w:szCs w:val="18"/>
              </w:rPr>
            </w:pPr>
            <w:r>
              <w:rPr>
                <w:rFonts w:ascii="宋体" w:hAnsi="宋体" w:cs="宋体" w:eastAsia="宋体" w:hint="default"/>
                <w:sz w:val="18"/>
                <w:szCs w:val="18"/>
              </w:rPr>
              <w:t>协 议 转 让</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非关联公司</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02" w:lineRule="exact" w:before="15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02" w:lineRule="exact" w:before="157"/>
              <w:ind w:left="22" w:right="0"/>
              <w:jc w:val="left"/>
              <w:rPr>
                <w:rFonts w:ascii="Times New Roman" w:hAnsi="Times New Roman" w:cs="Times New Roman" w:eastAsia="Times New Roman" w:hint="default"/>
                <w:sz w:val="18"/>
                <w:szCs w:val="18"/>
              </w:rPr>
            </w:pPr>
            <w:r>
              <w:rPr>
                <w:rFonts w:ascii="Times New Roman"/>
                <w:sz w:val="18"/>
              </w:rPr>
              <w:t>2017-055</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bl>
    <w:p>
      <w:pPr>
        <w:spacing w:line="240" w:lineRule="auto" w:before="2"/>
        <w:rPr>
          <w:rFonts w:ascii="宋体" w:hAnsi="宋体" w:cs="宋体" w:eastAsia="宋体" w:hint="default"/>
          <w:sz w:val="18"/>
          <w:szCs w:val="18"/>
        </w:rPr>
      </w:pPr>
    </w:p>
    <w:p>
      <w:pPr>
        <w:pStyle w:val="Heading2"/>
        <w:spacing w:line="240" w:lineRule="auto" w:before="26"/>
        <w:ind w:left="594" w:right="641"/>
        <w:jc w:val="left"/>
        <w:rPr>
          <w:b w:val="0"/>
          <w:bCs w:val="0"/>
        </w:rPr>
      </w:pP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540" w:right="540"/>
        </w:sectPr>
      </w:pPr>
    </w:p>
    <w:p>
      <w:pPr>
        <w:pStyle w:val="BodyText"/>
        <w:spacing w:line="240" w:lineRule="auto" w:before="44"/>
        <w:ind w:left="59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94"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593" w:right="0"/>
        <w:jc w:val="left"/>
      </w:pPr>
      <w:r>
        <w:rPr/>
        <w:t>单位：元</w:t>
      </w:r>
    </w:p>
    <w:p>
      <w:pPr>
        <w:spacing w:after="0" w:line="240" w:lineRule="auto"/>
        <w:jc w:val="left"/>
        <w:sectPr>
          <w:type w:val="continuous"/>
          <w:pgSz w:w="11910" w:h="16840"/>
          <w:pgMar w:top="1060" w:bottom="1180" w:left="540" w:right="540"/>
          <w:cols w:num="2" w:equalWidth="0">
            <w:col w:w="5289" w:space="3630"/>
            <w:col w:w="1911"/>
          </w:cols>
        </w:sectPr>
      </w:pPr>
    </w:p>
    <w:p>
      <w:pPr>
        <w:spacing w:line="240" w:lineRule="auto" w:before="1"/>
        <w:rPr>
          <w:rFonts w:ascii="宋体" w:hAnsi="宋体" w:cs="宋体" w:eastAsia="宋体" w:hint="default"/>
          <w:sz w:val="8"/>
          <w:szCs w:val="8"/>
        </w:rPr>
      </w:pPr>
    </w:p>
    <w:tbl>
      <w:tblPr>
        <w:tblW w:w="0" w:type="auto"/>
        <w:jc w:val="left"/>
        <w:tblInd w:w="589" w:type="dxa"/>
        <w:tblLayout w:type="fixed"/>
        <w:tblCellMar>
          <w:top w:w="0" w:type="dxa"/>
          <w:left w:w="0" w:type="dxa"/>
          <w:bottom w:w="0" w:type="dxa"/>
          <w:right w:w="0" w:type="dxa"/>
        </w:tblCellMar>
        <w:tblLook w:val="01E0"/>
      </w:tblPr>
      <w:tblGrid>
        <w:gridCol w:w="1487"/>
        <w:gridCol w:w="451"/>
        <w:gridCol w:w="822"/>
        <w:gridCol w:w="1181"/>
        <w:gridCol w:w="1181"/>
        <w:gridCol w:w="1182"/>
        <w:gridCol w:w="1181"/>
        <w:gridCol w:w="1091"/>
        <w:gridCol w:w="1091"/>
      </w:tblGrid>
      <w:tr>
        <w:trPr>
          <w:trHeight w:val="714" w:hRule="exact"/>
        </w:trPr>
        <w:tc>
          <w:tcPr>
            <w:tcW w:w="14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4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4" w:right="35"/>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4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浙江都市快报控股 有限公司</w:t>
            </w:r>
          </w:p>
        </w:tc>
        <w:tc>
          <w:tcPr>
            <w:tcW w:w="451" w:type="dxa"/>
            <w:tcBorders>
              <w:top w:val="single" w:sz="4" w:space="0" w:color="000000"/>
              <w:left w:val="single" w:sz="13" w:space="0" w:color="C7EDCC"/>
              <w:bottom w:val="single" w:sz="4" w:space="0" w:color="000000"/>
              <w:right w:val="single" w:sz="4" w:space="0" w:color="000000"/>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广告、报 刊、发行</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427,410,096.34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157,342,719.12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330,328,253.17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9,716,577.04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10,714,421.05</w:t>
            </w:r>
          </w:p>
        </w:tc>
      </w:tr>
      <w:tr>
        <w:trPr>
          <w:trHeight w:val="714" w:hRule="exact"/>
        </w:trPr>
        <w:tc>
          <w:tcPr>
            <w:tcW w:w="14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杭州日报传媒有限 公司</w:t>
            </w:r>
          </w:p>
        </w:tc>
        <w:tc>
          <w:tcPr>
            <w:tcW w:w="451" w:type="dxa"/>
            <w:tcBorders>
              <w:top w:val="single" w:sz="4" w:space="0" w:color="000000"/>
              <w:left w:val="single" w:sz="13" w:space="0" w:color="C7EDCC"/>
              <w:bottom w:val="single" w:sz="4" w:space="0" w:color="000000"/>
              <w:right w:val="single" w:sz="4" w:space="0" w:color="000000"/>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广告、报 刊、发行</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23,630,000.00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280,605,831.90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137,111,874.03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252,165,227.77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52,017,270.89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51,822,366.19</w:t>
            </w:r>
          </w:p>
        </w:tc>
      </w:tr>
      <w:tr>
        <w:trPr>
          <w:trHeight w:val="714" w:hRule="exact"/>
        </w:trPr>
        <w:tc>
          <w:tcPr>
            <w:tcW w:w="14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杭州萧山日报传媒 有限公司</w:t>
            </w:r>
          </w:p>
        </w:tc>
        <w:tc>
          <w:tcPr>
            <w:tcW w:w="451" w:type="dxa"/>
            <w:tcBorders>
              <w:top w:val="single" w:sz="4" w:space="0" w:color="000000"/>
              <w:left w:val="single" w:sz="13" w:space="0" w:color="C7EDCC"/>
              <w:bottom w:val="single" w:sz="4" w:space="0" w:color="000000"/>
              <w:right w:val="single" w:sz="4" w:space="0" w:color="000000"/>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广告、报 刊、发行</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287,616,217.20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105,814,257.16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339,816,108.11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35,379,741.72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33,709,757.27</w:t>
            </w:r>
          </w:p>
        </w:tc>
      </w:tr>
      <w:tr>
        <w:trPr>
          <w:trHeight w:val="714" w:hRule="exact"/>
        </w:trPr>
        <w:tc>
          <w:tcPr>
            <w:tcW w:w="14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杭州余杭晨报传媒 有限公司</w:t>
            </w:r>
          </w:p>
        </w:tc>
        <w:tc>
          <w:tcPr>
            <w:tcW w:w="451" w:type="dxa"/>
            <w:tcBorders>
              <w:top w:val="single" w:sz="4" w:space="0" w:color="000000"/>
              <w:left w:val="single" w:sz="13" w:space="0" w:color="C7EDCC"/>
              <w:bottom w:val="single" w:sz="4" w:space="0" w:color="000000"/>
              <w:right w:val="single" w:sz="4" w:space="0" w:color="000000"/>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广告、报 刊、发行</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145,892,511.06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122,607,220.21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47,514,120.63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18,531,259.38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18,459,399.27</w:t>
            </w:r>
          </w:p>
        </w:tc>
      </w:tr>
      <w:tr>
        <w:trPr>
          <w:trHeight w:val="714" w:hRule="exact"/>
        </w:trPr>
        <w:tc>
          <w:tcPr>
            <w:tcW w:w="14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杭州富阳日报传媒 有限公司</w:t>
            </w:r>
          </w:p>
        </w:tc>
        <w:tc>
          <w:tcPr>
            <w:tcW w:w="451" w:type="dxa"/>
            <w:tcBorders>
              <w:top w:val="single" w:sz="4" w:space="0" w:color="000000"/>
              <w:left w:val="single" w:sz="13" w:space="0" w:color="C7EDCC"/>
              <w:bottom w:val="single" w:sz="4" w:space="0" w:color="000000"/>
              <w:right w:val="single" w:sz="4" w:space="0" w:color="000000"/>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广告、报 刊、发行</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42,193,679.25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21,349,312.89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42,149,698.62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9,809,089.53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9,859,281.62</w:t>
            </w:r>
          </w:p>
        </w:tc>
      </w:tr>
      <w:tr>
        <w:trPr>
          <w:trHeight w:val="714" w:hRule="exact"/>
        </w:trPr>
        <w:tc>
          <w:tcPr>
            <w:tcW w:w="14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杭州日报报业集团 盛元印务有限公司</w:t>
            </w:r>
          </w:p>
        </w:tc>
        <w:tc>
          <w:tcPr>
            <w:tcW w:w="451" w:type="dxa"/>
            <w:tcBorders>
              <w:top w:val="single" w:sz="4" w:space="0" w:color="000000"/>
              <w:left w:val="single" w:sz="13" w:space="0" w:color="C7EDCC"/>
              <w:bottom w:val="single" w:sz="4" w:space="0" w:color="000000"/>
              <w:right w:val="single" w:sz="4" w:space="0" w:color="000000"/>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广告、报 刊、发行</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285,580,600.00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639,169,745.95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366,690,241.73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386,587,721.62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center"/>
              <w:rPr>
                <w:rFonts w:ascii="Times New Roman" w:hAnsi="Times New Roman" w:cs="Times New Roman" w:eastAsia="Times New Roman" w:hint="default"/>
                <w:sz w:val="18"/>
                <w:szCs w:val="18"/>
              </w:rPr>
            </w:pPr>
            <w:r>
              <w:rPr>
                <w:rFonts w:ascii="Times New Roman"/>
                <w:sz w:val="18"/>
              </w:rPr>
              <w:t>497,680.56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326,267.36</w:t>
            </w:r>
          </w:p>
        </w:tc>
      </w:tr>
      <w:tr>
        <w:trPr>
          <w:trHeight w:val="714" w:hRule="exact"/>
        </w:trPr>
        <w:tc>
          <w:tcPr>
            <w:tcW w:w="14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杭州网络传媒有限 公司</w:t>
            </w:r>
          </w:p>
        </w:tc>
        <w:tc>
          <w:tcPr>
            <w:tcW w:w="451" w:type="dxa"/>
            <w:tcBorders>
              <w:top w:val="single" w:sz="4" w:space="0" w:color="000000"/>
              <w:left w:val="single" w:sz="13" w:space="0" w:color="C7EDCC"/>
              <w:bottom w:val="single" w:sz="4" w:space="0" w:color="000000"/>
              <w:right w:val="single" w:sz="4" w:space="0" w:color="000000"/>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数字印刷</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282,513,398.40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89,333,207.74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263,326,370.05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58,690,211.27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52,721,529.73</w:t>
            </w:r>
          </w:p>
        </w:tc>
      </w:tr>
      <w:tr>
        <w:trPr>
          <w:trHeight w:val="1026" w:hRule="exact"/>
        </w:trPr>
        <w:tc>
          <w:tcPr>
            <w:tcW w:w="14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
              <w:jc w:val="both"/>
              <w:rPr>
                <w:rFonts w:ascii="宋体" w:hAnsi="宋体" w:cs="宋体" w:eastAsia="宋体" w:hint="default"/>
                <w:sz w:val="18"/>
                <w:szCs w:val="18"/>
              </w:rPr>
            </w:pPr>
            <w:r>
              <w:rPr>
                <w:rFonts w:ascii="宋体" w:hAnsi="宋体" w:cs="宋体" w:eastAsia="宋体" w:hint="default"/>
                <w:sz w:val="18"/>
                <w:szCs w:val="18"/>
              </w:rPr>
              <w:t>中教未来国际教育 科技（北京）有限 公司</w:t>
            </w:r>
          </w:p>
        </w:tc>
        <w:tc>
          <w:tcPr>
            <w:tcW w:w="451"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4"/>
              <w:jc w:val="center"/>
              <w:rPr>
                <w:rFonts w:ascii="宋体" w:hAnsi="宋体" w:cs="宋体" w:eastAsia="宋体" w:hint="default"/>
                <w:sz w:val="18"/>
                <w:szCs w:val="18"/>
              </w:rPr>
            </w:pPr>
            <w:r>
              <w:rPr>
                <w:rFonts w:ascii="宋体" w:hAnsi="宋体" w:cs="宋体" w:eastAsia="宋体" w:hint="default"/>
                <w:sz w:val="18"/>
                <w:szCs w:val="18"/>
              </w:rPr>
              <w:t>教育咨询</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323,479,798.70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141,332,735.81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194,647,077.75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71,275,445.45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67,585,074.35</w:t>
            </w:r>
          </w:p>
        </w:tc>
      </w:tr>
    </w:tbl>
    <w:p>
      <w:pPr>
        <w:pStyle w:val="BodyText"/>
        <w:spacing w:line="240" w:lineRule="auto" w:before="51"/>
        <w:ind w:left="594" w:right="641"/>
        <w:jc w:val="left"/>
      </w:pPr>
      <w:r>
        <w:rPr/>
        <w:t>报告期内取得和处置子公司的情况</w:t>
      </w:r>
    </w:p>
    <w:p>
      <w:pPr>
        <w:pStyle w:val="BodyText"/>
        <w:spacing w:line="240" w:lineRule="auto" w:before="117"/>
        <w:ind w:left="593" w:right="6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58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杭州萧山萧报教育咨询有限公司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完善教育产业链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杭州华媒企业管理咨询有限公司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完善教育产业链</w:t>
            </w:r>
          </w:p>
        </w:tc>
      </w:tr>
    </w:tbl>
    <w:p>
      <w:pPr>
        <w:pStyle w:val="BodyText"/>
        <w:spacing w:line="357" w:lineRule="auto" w:before="51"/>
        <w:ind w:left="1013" w:right="641" w:hanging="420"/>
        <w:jc w:val="left"/>
      </w:pPr>
      <w:r>
        <w:rPr/>
        <w:t>主要控股参股公司情况说明 主要子公司中，净利润占全公司归属于上市公司股东净利润</w:t>
      </w:r>
      <w:r>
        <w:rPr>
          <w:rFonts w:ascii="Times New Roman" w:hAnsi="Times New Roman" w:cs="Times New Roman" w:eastAsia="Times New Roman" w:hint="default"/>
        </w:rPr>
        <w:t>10%</w:t>
      </w:r>
      <w:r>
        <w:rPr/>
        <w:t>的有，杭报传媒、萧报传媒、余杭晨报、杭州网、中</w:t>
      </w:r>
    </w:p>
    <w:p>
      <w:pPr>
        <w:pStyle w:val="BodyText"/>
        <w:spacing w:line="202" w:lineRule="exact"/>
        <w:ind w:left="593" w:right="641"/>
        <w:jc w:val="left"/>
      </w:pPr>
      <w:r>
        <w:rPr/>
        <w:t>教未来等。相关企业运营情况请参看第三节、第四节有关部分。</w:t>
      </w:r>
    </w:p>
    <w:p>
      <w:pPr>
        <w:spacing w:after="0" w:line="202" w:lineRule="exact"/>
        <w:jc w:val="left"/>
        <w:sectPr>
          <w:type w:val="continuous"/>
          <w:pgSz w:w="11910" w:h="16840"/>
          <w:pgMar w:top="1060" w:bottom="1180" w:left="540" w:right="540"/>
        </w:sectPr>
      </w:pPr>
    </w:p>
    <w:p>
      <w:pPr>
        <w:spacing w:line="240" w:lineRule="auto" w:before="8"/>
        <w:rPr>
          <w:rFonts w:ascii="宋体" w:hAnsi="宋体" w:cs="宋体" w:eastAsia="宋体" w:hint="default"/>
          <w:sz w:val="23"/>
          <w:szCs w:val="23"/>
        </w:rPr>
      </w:pPr>
    </w:p>
    <w:p>
      <w:pPr>
        <w:pStyle w:val="Heading2"/>
        <w:spacing w:line="240" w:lineRule="auto" w:before="26"/>
        <w:ind w:right="125"/>
        <w:jc w:val="left"/>
        <w:rPr>
          <w:b w:val="0"/>
          <w:bCs w:val="0"/>
        </w:rPr>
      </w:pP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25"/>
        <w:jc w:val="left"/>
        <w:rPr>
          <w:b w:val="0"/>
          <w:bCs w:val="0"/>
        </w:rPr>
      </w:pPr>
      <w:r>
        <w:rPr/>
        <w:t>九、公司未来发展的展望</w:t>
      </w:r>
      <w:r>
        <w:rPr>
          <w:b w:val="0"/>
          <w:bCs w:val="0"/>
        </w:rPr>
      </w:r>
    </w:p>
    <w:p>
      <w:pPr>
        <w:spacing w:line="240" w:lineRule="auto" w:before="7"/>
        <w:rPr>
          <w:rFonts w:ascii="宋体" w:hAnsi="宋体" w:cs="宋体" w:eastAsia="宋体" w:hint="default"/>
          <w:b/>
          <w:bCs/>
          <w:sz w:val="32"/>
          <w:szCs w:val="32"/>
        </w:rPr>
      </w:pPr>
    </w:p>
    <w:p>
      <w:pPr>
        <w:pStyle w:val="BodyText"/>
        <w:spacing w:line="451" w:lineRule="auto"/>
        <w:ind w:right="87" w:firstLine="420"/>
        <w:jc w:val="left"/>
      </w:pPr>
      <w:r>
        <w:rPr>
          <w:rFonts w:ascii="Times New Roman" w:hAnsi="Times New Roman" w:cs="Times New Roman" w:eastAsia="Times New Roman" w:hint="default"/>
        </w:rPr>
        <w:t>2018</w:t>
      </w:r>
      <w:r>
        <w:rPr/>
        <w:t>年，是贯彻党的十九大精神的开局之年，是改革开放</w:t>
      </w:r>
      <w:r>
        <w:rPr>
          <w:rFonts w:ascii="Times New Roman" w:hAnsi="Times New Roman" w:cs="Times New Roman" w:eastAsia="Times New Roman" w:hint="default"/>
        </w:rPr>
        <w:t>40</w:t>
      </w:r>
      <w:r>
        <w:rPr/>
        <w:t>周年，是杭州实施拥江发展战略和提升城市国际化水平的</w:t>
      </w:r>
      <w:r>
        <w:rPr>
          <w:spacing w:val="1"/>
        </w:rPr>
        <w:t> </w:t>
      </w:r>
      <w:r>
        <w:rPr>
          <w:spacing w:val="-2"/>
        </w:rPr>
        <w:t>重要一年。公司将围绕</w:t>
      </w:r>
      <w:r>
        <w:rPr>
          <w:rFonts w:ascii="Times New Roman" w:hAnsi="Times New Roman" w:cs="Times New Roman" w:eastAsia="Times New Roman" w:hint="default"/>
          <w:spacing w:val="-2"/>
        </w:rPr>
        <w:t>“</w:t>
      </w:r>
      <w:r>
        <w:rPr>
          <w:spacing w:val="-2"/>
        </w:rPr>
        <w:t>大文创产业生态运营商</w:t>
      </w:r>
      <w:r>
        <w:rPr>
          <w:rFonts w:ascii="Times New Roman" w:hAnsi="Times New Roman" w:cs="Times New Roman" w:eastAsia="Times New Roman" w:hint="default"/>
          <w:spacing w:val="-2"/>
        </w:rPr>
        <w:t>”</w:t>
      </w:r>
      <w:r>
        <w:rPr>
          <w:spacing w:val="-2"/>
        </w:rPr>
        <w:t>的最新战略定位，加快</w:t>
      </w:r>
      <w:r>
        <w:rPr>
          <w:rFonts w:ascii="Times New Roman" w:hAnsi="Times New Roman" w:cs="Times New Roman" w:eastAsia="Times New Roman" w:hint="default"/>
          <w:spacing w:val="-2"/>
        </w:rPr>
        <w:t>“</w:t>
      </w:r>
      <w:r>
        <w:rPr>
          <w:spacing w:val="-2"/>
        </w:rPr>
        <w:t>一体两翼</w:t>
      </w:r>
      <w:r>
        <w:rPr>
          <w:rFonts w:ascii="Times New Roman" w:hAnsi="Times New Roman" w:cs="Times New Roman" w:eastAsia="Times New Roman" w:hint="default"/>
          <w:spacing w:val="-2"/>
        </w:rPr>
        <w:t>”</w:t>
      </w:r>
      <w:r>
        <w:rPr>
          <w:spacing w:val="-2"/>
        </w:rPr>
        <w:t>产业布阵，</w:t>
      </w:r>
      <w:r>
        <w:rPr>
          <w:rFonts w:ascii="Times New Roman" w:hAnsi="Times New Roman" w:cs="Times New Roman" w:eastAsia="Times New Roman" w:hint="default"/>
          <w:spacing w:val="-2"/>
        </w:rPr>
        <w:t>“</w:t>
      </w:r>
      <w:r>
        <w:rPr>
          <w:spacing w:val="-2"/>
        </w:rPr>
        <w:t>一体</w:t>
      </w:r>
      <w:r>
        <w:rPr>
          <w:rFonts w:ascii="Times New Roman" w:hAnsi="Times New Roman" w:cs="Times New Roman" w:eastAsia="Times New Roman" w:hint="default"/>
          <w:spacing w:val="-2"/>
        </w:rPr>
        <w:t>”</w:t>
      </w:r>
      <w:r>
        <w:rPr>
          <w:spacing w:val="-2"/>
        </w:rPr>
        <w:t>即现代传媒及衍生板块，</w:t>
      </w:r>
      <w:r>
        <w:rPr/>
        <w:t> </w:t>
      </w:r>
      <w:r>
        <w:rPr>
          <w:rFonts w:ascii="Times New Roman" w:hAnsi="Times New Roman" w:cs="Times New Roman" w:eastAsia="Times New Roman" w:hint="default"/>
        </w:rPr>
        <w:t>“</w:t>
      </w:r>
      <w:r>
        <w:rPr/>
        <w:t>两翼</w:t>
      </w:r>
      <w:r>
        <w:rPr>
          <w:rFonts w:ascii="Times New Roman" w:hAnsi="Times New Roman" w:cs="Times New Roman" w:eastAsia="Times New Roman" w:hint="default"/>
        </w:rPr>
        <w:t>”</w:t>
      </w:r>
      <w:r>
        <w:rPr/>
        <w:t>即文创产业板块和文化金融板块。公司以项目为抓手，全面聚焦如下工作。</w:t>
      </w:r>
    </w:p>
    <w:p>
      <w:pPr>
        <w:pStyle w:val="BodyText"/>
        <w:spacing w:line="477" w:lineRule="auto" w:before="43"/>
        <w:ind w:right="83" w:firstLine="420"/>
        <w:jc w:val="left"/>
      </w:pPr>
      <w:r>
        <w:rPr>
          <w:spacing w:val="-2"/>
        </w:rPr>
        <w:t>（一）突出产业重点，全力打造教育培训体系。在保持现有项目稳健发展的同时，积极开拓新市场。采取收购、合作、</w:t>
      </w:r>
      <w:r>
        <w:rPr/>
        <w:t> </w:t>
      </w:r>
      <w:r>
        <w:rPr>
          <w:spacing w:val="-2"/>
        </w:rPr>
        <w:t>新建等多种方式打造自有教育平台，拓展高端幼教产业。打造有广泛影响力和示范效应的优质项目。职业教育业务计划拓展</w:t>
      </w:r>
    </w:p>
    <w:p>
      <w:pPr>
        <w:pStyle w:val="BodyText"/>
        <w:spacing w:line="451" w:lineRule="auto" w:before="54"/>
        <w:ind w:right="100"/>
        <w:jc w:val="left"/>
      </w:pPr>
      <w:r>
        <w:rPr>
          <w:rFonts w:ascii="Times New Roman" w:hAnsi="Times New Roman" w:cs="Times New Roman" w:eastAsia="Times New Roman" w:hint="default"/>
          <w:spacing w:val="-2"/>
        </w:rPr>
        <w:t>4-6</w:t>
      </w:r>
      <w:r>
        <w:rPr>
          <w:spacing w:val="-2"/>
        </w:rPr>
        <w:t>个新项目；国际教育业务计划拓展</w:t>
      </w:r>
      <w:r>
        <w:rPr>
          <w:rFonts w:ascii="Times New Roman" w:hAnsi="Times New Roman" w:cs="Times New Roman" w:eastAsia="Times New Roman" w:hint="default"/>
          <w:spacing w:val="-2"/>
        </w:rPr>
        <w:t>3-5</w:t>
      </w:r>
      <w:r>
        <w:rPr>
          <w:spacing w:val="-2"/>
        </w:rPr>
        <w:t>个新项目；</w:t>
      </w:r>
      <w:r>
        <w:rPr>
          <w:rFonts w:ascii="Times New Roman" w:hAnsi="Times New Roman" w:cs="Times New Roman" w:eastAsia="Times New Roman" w:hint="default"/>
          <w:spacing w:val="-2"/>
        </w:rPr>
        <w:t>IT</w:t>
      </w:r>
      <w:r>
        <w:rPr>
          <w:spacing w:val="-2"/>
        </w:rPr>
        <w:t>教育板块计划拓展</w:t>
      </w:r>
      <w:r>
        <w:rPr>
          <w:rFonts w:ascii="Times New Roman" w:hAnsi="Times New Roman" w:cs="Times New Roman" w:eastAsia="Times New Roman" w:hint="default"/>
          <w:spacing w:val="-2"/>
        </w:rPr>
        <w:t>4</w:t>
      </w:r>
      <w:r>
        <w:rPr>
          <w:spacing w:val="-2"/>
        </w:rPr>
        <w:t>所新合作院校；艺术教育业务计划拓展</w:t>
      </w:r>
      <w:r>
        <w:rPr>
          <w:rFonts w:ascii="Times New Roman" w:hAnsi="Times New Roman" w:cs="Times New Roman" w:eastAsia="Times New Roman" w:hint="default"/>
          <w:spacing w:val="-2"/>
        </w:rPr>
        <w:t>3</w:t>
      </w:r>
      <w:r>
        <w:rPr>
          <w:spacing w:val="-2"/>
        </w:rPr>
        <w:t>个新校区；</w:t>
      </w:r>
      <w:r>
        <w:rPr>
          <w:spacing w:val="-74"/>
        </w:rPr>
        <w:t> </w:t>
      </w:r>
      <w:r>
        <w:rPr/>
        <w:t>在线教育业务重点拓展教师培训、学校服务类项目市场，拓展更多行业和地区的合作机会。幼儿教育业务计划增加幼儿园</w:t>
      </w: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所。</w:t>
      </w:r>
    </w:p>
    <w:p>
      <w:pPr>
        <w:pStyle w:val="BodyText"/>
        <w:spacing w:line="240" w:lineRule="auto" w:before="74"/>
        <w:ind w:left="574" w:right="125"/>
        <w:jc w:val="left"/>
      </w:pPr>
      <w:r>
        <w:rPr/>
        <w:t>（二）传媒及衍生板块，确保稳中求进。具体包括如下</w:t>
      </w:r>
      <w:r>
        <w:rPr>
          <w:rFonts w:ascii="Times New Roman" w:hAnsi="Times New Roman" w:cs="Times New Roman" w:eastAsia="Times New Roman" w:hint="default"/>
        </w:rPr>
        <w:t>5</w:t>
      </w:r>
      <w:r>
        <w:rPr/>
        <w:t>个方面：</w:t>
      </w:r>
    </w:p>
    <w:p>
      <w:pPr>
        <w:spacing w:line="240" w:lineRule="auto" w:before="9"/>
        <w:rPr>
          <w:rFonts w:ascii="宋体" w:hAnsi="宋体" w:cs="宋体" w:eastAsia="宋体" w:hint="default"/>
          <w:sz w:val="16"/>
          <w:szCs w:val="16"/>
        </w:rPr>
      </w:pPr>
    </w:p>
    <w:p>
      <w:pPr>
        <w:pStyle w:val="BodyText"/>
        <w:spacing w:line="468" w:lineRule="auto"/>
        <w:ind w:right="188" w:firstLine="420"/>
        <w:jc w:val="both"/>
      </w:pPr>
      <w:r>
        <w:rPr>
          <w:rFonts w:ascii="Times New Roman" w:hAnsi="Times New Roman" w:cs="Times New Roman" w:eastAsia="Times New Roman" w:hint="default"/>
          <w:spacing w:val="-2"/>
        </w:rPr>
        <w:t>1</w:t>
      </w:r>
      <w:r>
        <w:rPr>
          <w:spacing w:val="-2"/>
        </w:rPr>
        <w:t>、户外（地铁）广告：继续布局开拓优质项目，以城市光影艺术为切入点，优化整合媒体资源，带动杭州户外媒体艺</w:t>
      </w:r>
      <w:r>
        <w:rPr/>
        <w:t> </w:t>
      </w:r>
      <w:r>
        <w:rPr>
          <w:spacing w:val="-2"/>
        </w:rPr>
        <w:t>术品质提升；积极探索地铁专项特色经营路线，在杭州地铁资源全媒体运营的同时，在细分领域整合营销和发展；进入更多</w:t>
      </w:r>
      <w:r>
        <w:rPr>
          <w:spacing w:val="-66"/>
        </w:rPr>
        <w:t> </w:t>
      </w:r>
      <w:r>
        <w:rPr>
          <w:spacing w:val="-66"/>
        </w:rPr>
      </w:r>
      <w:r>
        <w:rPr>
          <w:spacing w:val="-2"/>
        </w:rPr>
        <w:t>目标客户领域开拓业务，使公司不断累积的营销创意方案与营销传播经验得以在更多领域进一步应用，以增加客户品牌的曝</w:t>
      </w:r>
      <w:r>
        <w:rPr>
          <w:spacing w:val="-64"/>
        </w:rPr>
        <w:t> </w:t>
      </w:r>
      <w:r>
        <w:rPr>
          <w:spacing w:val="-64"/>
        </w:rPr>
      </w:r>
      <w:r>
        <w:rPr/>
        <w:t>光度与满意度。预计</w:t>
      </w:r>
      <w:r>
        <w:rPr>
          <w:rFonts w:ascii="Times New Roman" w:hAnsi="Times New Roman" w:cs="Times New Roman" w:eastAsia="Times New Roman" w:hint="default"/>
        </w:rPr>
        <w:t>2018</w:t>
      </w:r>
      <w:r>
        <w:rPr/>
        <w:t>年将进一步获取户外媒体资源，户外（地铁）广告的营业收入或利润将有所增长。</w:t>
      </w:r>
    </w:p>
    <w:p>
      <w:pPr>
        <w:pStyle w:val="BodyText"/>
        <w:spacing w:line="451" w:lineRule="auto" w:before="29"/>
        <w:ind w:left="153" w:right="138" w:firstLine="420"/>
        <w:jc w:val="right"/>
      </w:pPr>
      <w:r>
        <w:rPr>
          <w:rFonts w:ascii="Times New Roman" w:hAnsi="Times New Roman" w:cs="Times New Roman" w:eastAsia="Times New Roman" w:hint="default"/>
          <w:spacing w:val="-2"/>
        </w:rPr>
        <w:t>2</w:t>
      </w:r>
      <w:r>
        <w:rPr>
          <w:spacing w:val="-2"/>
        </w:rPr>
        <w:t>、新媒体：认真做好</w:t>
      </w:r>
      <w:r>
        <w:rPr>
          <w:rFonts w:ascii="Times New Roman" w:hAnsi="Times New Roman" w:cs="Times New Roman" w:eastAsia="Times New Roman" w:hint="default"/>
          <w:spacing w:val="-2"/>
        </w:rPr>
        <w:t>2022</w:t>
      </w:r>
      <w:r>
        <w:rPr>
          <w:spacing w:val="-2"/>
        </w:rPr>
        <w:t>年第十九届亚运会组委会官网的建设和运维工作。加快推进杭州网舆情系统、舆情产品和演</w:t>
      </w:r>
      <w:r>
        <w:rPr/>
        <w:t> 播室、视频产品的改造升级，提升新媒体矩阵的综合实力。在同口径下，预计</w:t>
      </w:r>
      <w:r>
        <w:rPr>
          <w:rFonts w:ascii="Times New Roman" w:hAnsi="Times New Roman" w:cs="Times New Roman" w:eastAsia="Times New Roman" w:hint="default"/>
        </w:rPr>
        <w:t>2018</w:t>
      </w:r>
      <w:r>
        <w:rPr/>
        <w:t>年新媒体实现营业收入同比增长超</w:t>
      </w:r>
      <w:r>
        <w:rPr>
          <w:rFonts w:ascii="Times New Roman" w:hAnsi="Times New Roman" w:cs="Times New Roman" w:eastAsia="Times New Roman" w:hint="default"/>
        </w:rPr>
        <w:t>10%</w:t>
      </w:r>
      <w:r>
        <w:rPr/>
        <w:t>。 </w:t>
      </w:r>
      <w:r>
        <w:rPr>
          <w:rFonts w:ascii="Times New Roman" w:hAnsi="Times New Roman" w:cs="Times New Roman" w:eastAsia="Times New Roman" w:hint="default"/>
          <w:spacing w:val="-1"/>
        </w:rPr>
        <w:t>3</w:t>
      </w:r>
      <w:r>
        <w:rPr>
          <w:spacing w:val="-1"/>
        </w:rPr>
        <w:t>、广告策划：稳固拓展，发挥党报品牌优势，紧抓重大活动契机，通过报网互动、活动策划、跨界合作等方式，扩大</w:t>
      </w:r>
    </w:p>
    <w:p>
      <w:pPr>
        <w:pStyle w:val="BodyText"/>
        <w:spacing w:line="240" w:lineRule="auto" w:before="43"/>
        <w:ind w:left="153" w:right="125"/>
        <w:jc w:val="left"/>
      </w:pPr>
      <w:r>
        <w:rPr/>
        <w:t>市场份额；拟组织策划系列活动，提升品牌价值、创新会展和活动项目。全年预计组织各类会展活动超</w:t>
      </w:r>
      <w:r>
        <w:rPr>
          <w:rFonts w:ascii="Times New Roman" w:hAnsi="Times New Roman" w:cs="Times New Roman" w:eastAsia="Times New Roman" w:hint="default"/>
        </w:rPr>
        <w:t>50</w:t>
      </w:r>
      <w:r>
        <w:rPr/>
        <w:t>场。</w:t>
      </w:r>
    </w:p>
    <w:p>
      <w:pPr>
        <w:spacing w:line="240" w:lineRule="auto" w:before="9"/>
        <w:rPr>
          <w:rFonts w:ascii="宋体" w:hAnsi="宋体" w:cs="宋体" w:eastAsia="宋体" w:hint="default"/>
          <w:sz w:val="16"/>
          <w:szCs w:val="16"/>
        </w:rPr>
      </w:pPr>
    </w:p>
    <w:p>
      <w:pPr>
        <w:pStyle w:val="BodyText"/>
        <w:spacing w:line="463" w:lineRule="auto"/>
        <w:ind w:left="153" w:right="111" w:firstLine="471"/>
        <w:jc w:val="left"/>
      </w:pPr>
      <w:r>
        <w:rPr>
          <w:rFonts w:ascii="Times New Roman" w:hAnsi="Times New Roman" w:cs="Times New Roman" w:eastAsia="Times New Roman" w:hint="default"/>
        </w:rPr>
        <w:t>4</w:t>
      </w:r>
      <w:r>
        <w:rPr/>
        <w:t>、加快推进大江东地块融媒体云智造集群总部基地项目。打造成集媒介的设计制作中心、印刷、发行出版、数字资 </w:t>
      </w:r>
      <w:r>
        <w:rPr>
          <w:spacing w:val="-2"/>
        </w:rPr>
        <w:t>源服务、文创孵化平台为一体的现代文化创意产业园。截止目前，已完成土地出让、项目备案登记、建设用地审批和不动产</w:t>
      </w:r>
      <w:r>
        <w:rPr>
          <w:spacing w:val="-66"/>
        </w:rPr>
        <w:t> </w:t>
      </w:r>
      <w:r>
        <w:rPr>
          <w:spacing w:val="-66"/>
        </w:rPr>
      </w:r>
      <w:r>
        <w:rPr>
          <w:spacing w:val="-2"/>
        </w:rPr>
        <w:t>权证办理等环节，项目的初步方案设计已经启动。项目整体计划分两期建设。其中，一期工程以保留部分、改造部分现状钢</w:t>
      </w:r>
      <w:r>
        <w:rPr>
          <w:spacing w:val="-66"/>
        </w:rPr>
        <w:t> </w:t>
      </w:r>
      <w:r>
        <w:rPr>
          <w:spacing w:val="-66"/>
        </w:rPr>
      </w:r>
      <w:r>
        <w:rPr>
          <w:spacing w:val="-2"/>
        </w:rPr>
        <w:t>棚为主，打造</w:t>
      </w:r>
      <w:r>
        <w:rPr>
          <w:rFonts w:ascii="Times New Roman" w:hAnsi="Times New Roman" w:cs="Times New Roman" w:eastAsia="Times New Roman" w:hint="default"/>
          <w:spacing w:val="-2"/>
        </w:rPr>
        <w:t>“</w:t>
      </w:r>
      <w:r>
        <w:rPr>
          <w:spacing w:val="-2"/>
        </w:rPr>
        <w:t>智能制造园</w:t>
      </w:r>
      <w:r>
        <w:rPr>
          <w:rFonts w:ascii="Times New Roman" w:hAnsi="Times New Roman" w:cs="Times New Roman" w:eastAsia="Times New Roman" w:hint="default"/>
          <w:spacing w:val="-2"/>
        </w:rPr>
        <w:t>”</w:t>
      </w:r>
      <w:r>
        <w:rPr>
          <w:spacing w:val="-2"/>
        </w:rPr>
        <w:t>，主要实现数字出版、纸媒体印制、智慧物流仓储等功能，以满足盛元印务智能制造板块和每日</w:t>
      </w:r>
      <w:r>
        <w:rPr>
          <w:spacing w:val="-43"/>
        </w:rPr>
        <w:t> </w:t>
      </w:r>
      <w:r>
        <w:rPr>
          <w:spacing w:val="-43"/>
        </w:rPr>
      </w:r>
      <w:r>
        <w:rPr/>
        <w:t>送智慧物流板块的刚性需求。二期工程将利用剩余空地，打造</w:t>
      </w:r>
      <w:r>
        <w:rPr>
          <w:rFonts w:ascii="Times New Roman" w:hAnsi="Times New Roman" w:cs="Times New Roman" w:eastAsia="Times New Roman" w:hint="default"/>
        </w:rPr>
        <w:t>“</w:t>
      </w:r>
      <w:r>
        <w:rPr/>
        <w:t>文化创意园</w:t>
      </w:r>
      <w:r>
        <w:rPr>
          <w:rFonts w:ascii="Times New Roman" w:hAnsi="Times New Roman" w:cs="Times New Roman" w:eastAsia="Times New Roman" w:hint="default"/>
        </w:rPr>
        <w:t>”</w:t>
      </w:r>
      <w:r>
        <w:rPr/>
        <w:t>，除了部分满足内部办公和员工生活配套之外， </w:t>
      </w:r>
      <w:r>
        <w:rPr>
          <w:spacing w:val="-2"/>
        </w:rPr>
        <w:t>还将重点围绕商业配套办公的功能，计划发展内容策划创作、出版印刷设计、广告设计、新媒体设计、展示展览设计等文创</w:t>
      </w:r>
      <w:r>
        <w:rPr>
          <w:spacing w:val="-66"/>
        </w:rPr>
        <w:t> </w:t>
      </w:r>
      <w:r>
        <w:rPr>
          <w:spacing w:val="-66"/>
        </w:rPr>
      </w:r>
      <w:r>
        <w:rPr/>
        <w:t>产业。</w:t>
      </w:r>
    </w:p>
    <w:p>
      <w:pPr>
        <w:pStyle w:val="BodyText"/>
        <w:spacing w:line="240" w:lineRule="auto" w:before="65"/>
        <w:ind w:left="574" w:right="125"/>
        <w:jc w:val="left"/>
      </w:pPr>
      <w:r>
        <w:rPr/>
        <w:t>预计</w:t>
      </w:r>
      <w:r>
        <w:rPr>
          <w:rFonts w:ascii="Times New Roman" w:hAnsi="Times New Roman" w:cs="Times New Roman" w:eastAsia="Times New Roman" w:hint="default"/>
        </w:rPr>
        <w:t>2018</w:t>
      </w:r>
      <w:r>
        <w:rPr/>
        <w:t>年实现一期工程开工，</w:t>
      </w:r>
      <w:r>
        <w:rPr>
          <w:rFonts w:ascii="Times New Roman" w:hAnsi="Times New Roman" w:cs="Times New Roman" w:eastAsia="Times New Roman" w:hint="default"/>
        </w:rPr>
        <w:t>2019</w:t>
      </w:r>
      <w:r>
        <w:rPr/>
        <w:t>年底一期工程完工，</w:t>
      </w:r>
      <w:r>
        <w:rPr>
          <w:rFonts w:ascii="Times New Roman" w:hAnsi="Times New Roman" w:cs="Times New Roman" w:eastAsia="Times New Roman" w:hint="default"/>
        </w:rPr>
        <w:t>2020</w:t>
      </w:r>
      <w:r>
        <w:rPr/>
        <w:t>年上半年盛元印务整体搬迁至大江东，一期工程正式投</w:t>
      </w:r>
    </w:p>
    <w:p>
      <w:pPr>
        <w:spacing w:line="240" w:lineRule="auto" w:before="9"/>
        <w:rPr>
          <w:rFonts w:ascii="宋体" w:hAnsi="宋体" w:cs="宋体" w:eastAsia="宋体" w:hint="default"/>
          <w:sz w:val="16"/>
          <w:szCs w:val="16"/>
        </w:rPr>
      </w:pPr>
    </w:p>
    <w:p>
      <w:pPr>
        <w:pStyle w:val="BodyText"/>
        <w:spacing w:line="240" w:lineRule="auto"/>
        <w:ind w:right="125"/>
        <w:jc w:val="left"/>
      </w:pPr>
      <w:r>
        <w:rPr/>
        <w:t>产。</w:t>
      </w:r>
    </w:p>
    <w:p>
      <w:pPr>
        <w:spacing w:after="0" w:line="240" w:lineRule="auto"/>
        <w:jc w:val="left"/>
        <w:sectPr>
          <w:footerReference w:type="default" r:id="rId13"/>
          <w:pgSz w:w="11910" w:h="16840"/>
          <w:pgMar w:footer="982" w:header="747" w:top="1060" w:bottom="1180" w:left="980" w:right="940"/>
          <w:pgNumType w:start="33"/>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3" w:lineRule="auto"/>
        <w:ind w:right="83" w:firstLine="420"/>
        <w:jc w:val="left"/>
      </w:pPr>
      <w:r>
        <w:rPr>
          <w:rFonts w:ascii="Times New Roman" w:hAnsi="Times New Roman" w:cs="Times New Roman" w:eastAsia="Times New Roman" w:hint="default"/>
          <w:spacing w:val="-3"/>
        </w:rPr>
        <w:t>5</w:t>
      </w:r>
      <w:r>
        <w:rPr>
          <w:spacing w:val="-3"/>
        </w:rPr>
        <w:t>、启动实施九堡区块产业园区建设。该地块位于城市区域热门板块整体改造的空间范围，是当地仅剩的工业用地之一，</w:t>
      </w:r>
      <w:r>
        <w:rPr/>
        <w:t> </w:t>
      </w:r>
      <w:r>
        <w:rPr>
          <w:spacing w:val="-2"/>
        </w:rPr>
        <w:t>周边有稳定的消费人群、充足的居住配套、便利完善的公共配套。目前，盛元公司将该地块用作报业印刷、报业发行（大杭</w:t>
      </w:r>
      <w:r>
        <w:rPr>
          <w:spacing w:val="-68"/>
        </w:rPr>
        <w:t> </w:t>
      </w:r>
      <w:r>
        <w:rPr>
          <w:spacing w:val="-68"/>
        </w:rPr>
      </w:r>
      <w:r>
        <w:rPr>
          <w:spacing w:val="-2"/>
        </w:rPr>
        <w:t>州范围）以及部分用于商业印刷。该地块所承载的产业功能已不再适应本区块的产业发展布局，也将面临越来越多的外部环</w:t>
      </w:r>
      <w:r>
        <w:rPr>
          <w:spacing w:val="-66"/>
        </w:rPr>
        <w:t> </w:t>
      </w:r>
      <w:r>
        <w:rPr>
          <w:spacing w:val="-66"/>
        </w:rPr>
      </w:r>
      <w:r>
        <w:rPr/>
        <w:t>境制约，因此，有必要对九堡厂区进行搬迁并对地块进行重新开发。公司将按照</w:t>
      </w:r>
      <w:r>
        <w:rPr>
          <w:rFonts w:ascii="Times New Roman" w:hAnsi="Times New Roman" w:cs="Times New Roman" w:eastAsia="Times New Roman" w:hint="default"/>
        </w:rPr>
        <w:t>“</w:t>
      </w:r>
      <w:r>
        <w:rPr/>
        <w:t>稳中求进、融合创新、挖掘动能</w:t>
      </w:r>
      <w:r>
        <w:rPr>
          <w:rFonts w:ascii="Times New Roman" w:hAnsi="Times New Roman" w:cs="Times New Roman" w:eastAsia="Times New Roman" w:hint="default"/>
        </w:rPr>
        <w:t>”</w:t>
      </w:r>
      <w:r>
        <w:rPr/>
        <w:t>原则，推 动盛元印务由印刷生产型企业向印刷服务型企业转型，积极盘活九堡和乔司两大印刷基地土地资源。</w:t>
      </w:r>
    </w:p>
    <w:p>
      <w:pPr>
        <w:pStyle w:val="BodyText"/>
        <w:spacing w:line="240" w:lineRule="auto" w:before="65"/>
        <w:ind w:left="574" w:right="125"/>
        <w:jc w:val="left"/>
      </w:pPr>
      <w:r>
        <w:rPr>
          <w:rFonts w:ascii="Times New Roman" w:hAnsi="Times New Roman" w:cs="Times New Roman" w:eastAsia="Times New Roman" w:hint="default"/>
        </w:rPr>
        <w:t>2018</w:t>
      </w:r>
      <w:r>
        <w:rPr/>
        <w:t>年预计完成产业论证方案，启动土地性质调整为创新型产业用地的工作。</w:t>
      </w:r>
    </w:p>
    <w:p>
      <w:pPr>
        <w:spacing w:line="240" w:lineRule="auto" w:before="9"/>
        <w:rPr>
          <w:rFonts w:ascii="宋体" w:hAnsi="宋体" w:cs="宋体" w:eastAsia="宋体" w:hint="default"/>
          <w:sz w:val="16"/>
          <w:szCs w:val="16"/>
        </w:rPr>
      </w:pPr>
    </w:p>
    <w:p>
      <w:pPr>
        <w:pStyle w:val="BodyText"/>
        <w:spacing w:line="463" w:lineRule="auto"/>
        <w:ind w:right="98" w:firstLine="420"/>
        <w:jc w:val="left"/>
      </w:pPr>
      <w:r>
        <w:rPr/>
        <w:t>（三）全面打造文创综合体集群。在华媒科创园成功运营的基础上，总结园区产业管理经验，设立专业管理机构，创</w:t>
      </w:r>
      <w:r>
        <w:rPr>
          <w:spacing w:val="1"/>
        </w:rPr>
        <w:t> </w:t>
      </w:r>
      <w:r>
        <w:rPr>
          <w:spacing w:val="-3"/>
        </w:rPr>
        <w:t>新</w:t>
      </w:r>
      <w:r>
        <w:rPr>
          <w:rFonts w:ascii="Times New Roman" w:hAnsi="Times New Roman" w:cs="Times New Roman" w:eastAsia="Times New Roman" w:hint="default"/>
          <w:spacing w:val="-3"/>
        </w:rPr>
        <w:t>“</w:t>
      </w:r>
      <w:r>
        <w:rPr>
          <w:spacing w:val="-3"/>
        </w:rPr>
        <w:t>属、营分离</w:t>
      </w:r>
      <w:r>
        <w:rPr>
          <w:rFonts w:ascii="Times New Roman" w:hAnsi="Times New Roman" w:cs="Times New Roman" w:eastAsia="Times New Roman" w:hint="default"/>
          <w:spacing w:val="-3"/>
        </w:rPr>
        <w:t>”</w:t>
      </w:r>
      <w:r>
        <w:rPr>
          <w:spacing w:val="-3"/>
        </w:rPr>
        <w:t>机制改革。通过政府政策扶持和市场化竞争并举模式，创立文创综合体品牌，努力构建文创园区、文创产业、</w:t>
      </w:r>
      <w:r>
        <w:rPr>
          <w:spacing w:val="-73"/>
        </w:rPr>
        <w:t> </w:t>
      </w:r>
      <w:r>
        <w:rPr>
          <w:spacing w:val="-73"/>
        </w:rPr>
      </w:r>
      <w:r>
        <w:rPr/>
        <w:t>创业孵化三位一体的生态型产业闭环。</w:t>
      </w:r>
      <w:r>
        <w:rPr>
          <w:rFonts w:ascii="Times New Roman" w:hAnsi="Times New Roman" w:cs="Times New Roman" w:eastAsia="Times New Roman" w:hint="default"/>
        </w:rPr>
        <w:t>2018</w:t>
      </w:r>
      <w:r>
        <w:rPr/>
        <w:t>年，力争获得</w:t>
      </w:r>
      <w:r>
        <w:rPr>
          <w:rFonts w:ascii="Times New Roman" w:hAnsi="Times New Roman" w:cs="Times New Roman" w:eastAsia="Times New Roman" w:hint="default"/>
        </w:rPr>
        <w:t>1-2</w:t>
      </w:r>
      <w:r>
        <w:rPr/>
        <w:t>个新项目。</w:t>
      </w:r>
    </w:p>
    <w:p>
      <w:pPr>
        <w:pStyle w:val="BodyText"/>
        <w:spacing w:line="468" w:lineRule="auto" w:before="33"/>
        <w:ind w:right="127" w:firstLine="420"/>
        <w:jc w:val="both"/>
      </w:pPr>
      <w:r>
        <w:rPr/>
        <w:t>（四）大力发展文化艺术品板块，以杭州文交所为平台，打造艺术品经营产业链。在</w:t>
      </w:r>
      <w:r>
        <w:rPr>
          <w:rFonts w:ascii="Times New Roman" w:hAnsi="Times New Roman" w:cs="Times New Roman" w:eastAsia="Times New Roman" w:hint="default"/>
        </w:rPr>
        <w:t>2017</w:t>
      </w:r>
      <w:r>
        <w:rPr/>
        <w:t>年整体构架建设初步完成的</w:t>
      </w:r>
      <w:r>
        <w:rPr>
          <w:spacing w:val="1"/>
        </w:rPr>
        <w:t> </w:t>
      </w:r>
      <w:r>
        <w:rPr>
          <w:spacing w:val="-2"/>
        </w:rPr>
        <w:t>基础上，继续发挥文交所牌照和平台优势，做好文化产品对接金融服务，建立规范化、多层次、多样化和分众化的文化艺术</w:t>
      </w:r>
      <w:r>
        <w:rPr>
          <w:spacing w:val="-66"/>
        </w:rPr>
        <w:t> </w:t>
      </w:r>
      <w:r>
        <w:rPr>
          <w:spacing w:val="-66"/>
        </w:rPr>
      </w:r>
      <w:r>
        <w:rPr>
          <w:spacing w:val="-2"/>
        </w:rPr>
        <w:t>品交易流转服务体系。产权交易平台，进一步拓宽业务渠道和覆盖区域，进一步拓宽服务内容，提高专业水平。电子交易平</w:t>
      </w:r>
      <w:r>
        <w:rPr>
          <w:spacing w:val="-66"/>
        </w:rPr>
        <w:t> </w:t>
      </w:r>
      <w:r>
        <w:rPr>
          <w:spacing w:val="-66"/>
        </w:rPr>
      </w:r>
      <w:r>
        <w:rPr>
          <w:spacing w:val="-2"/>
        </w:rPr>
        <w:t>台，探索既能促进产业发展又风险可控的电子交易新思路，把控风险，稳健发展。艺术品流转平台，充分利用艺术家优势和</w:t>
      </w:r>
      <w:r>
        <w:rPr>
          <w:spacing w:val="-66"/>
        </w:rPr>
        <w:t> </w:t>
      </w:r>
      <w:r>
        <w:rPr>
          <w:spacing w:val="-66"/>
        </w:rPr>
      </w:r>
      <w:r>
        <w:rPr>
          <w:spacing w:val="-2"/>
        </w:rPr>
        <w:t>客户资源，在青瓷文化礼品的基础上，开发丝绸文化礼品，丰富产品线，整合艺术品营销线上线下渠道。在拍卖上，着眼于</w:t>
      </w:r>
      <w:r>
        <w:rPr>
          <w:spacing w:val="-68"/>
        </w:rPr>
        <w:t> </w:t>
      </w:r>
      <w:r>
        <w:rPr>
          <w:spacing w:val="-68"/>
        </w:rPr>
      </w:r>
      <w:r>
        <w:rPr/>
        <w:t>高端、精致、有品味、有特色的艺术品，继续推出淘宝拍卖。拟共同开发</w:t>
      </w:r>
      <w:r>
        <w:rPr>
          <w:rFonts w:ascii="Times New Roman" w:hAnsi="Times New Roman" w:cs="Times New Roman" w:eastAsia="Times New Roman" w:hint="default"/>
        </w:rPr>
        <w:t>“</w:t>
      </w:r>
      <w:r>
        <w:rPr/>
        <w:t>知识产权交易平台</w:t>
      </w:r>
      <w:r>
        <w:rPr>
          <w:rFonts w:ascii="Times New Roman" w:hAnsi="Times New Roman" w:cs="Times New Roman" w:eastAsia="Times New Roman" w:hint="default"/>
        </w:rPr>
        <w:t>”</w:t>
      </w:r>
      <w:r>
        <w:rPr/>
        <w:t>，开展以版权、专利、商标、 域名等为主要内容的线上交易服务。探索艺术品确权。</w:t>
      </w:r>
    </w:p>
    <w:p>
      <w:pPr>
        <w:pStyle w:val="BodyText"/>
        <w:spacing w:line="463" w:lineRule="auto" w:before="61"/>
        <w:ind w:right="186" w:firstLine="420"/>
        <w:jc w:val="both"/>
      </w:pPr>
      <w:r>
        <w:rPr/>
        <w:t>（五）围绕战略目标，开展资本运作。跨入文化金融领域。重视做好优质项目储备和遴选工作，择机、择优通过项目</w:t>
      </w:r>
      <w:r>
        <w:rPr>
          <w:spacing w:val="1"/>
        </w:rPr>
        <w:t> </w:t>
      </w:r>
      <w:r>
        <w:rPr>
          <w:spacing w:val="-2"/>
        </w:rPr>
        <w:t>收购完善产业布局。进一步完善创投孵化体系建设，筹建创投基金。加强对已购项目的评估和监管。</w:t>
      </w:r>
      <w:r>
        <w:rPr>
          <w:rFonts w:ascii="Times New Roman" w:hAnsi="Times New Roman" w:cs="Times New Roman" w:eastAsia="Times New Roman" w:hint="default"/>
          <w:spacing w:val="-2"/>
        </w:rPr>
        <w:t>2018</w:t>
      </w:r>
      <w:r>
        <w:rPr>
          <w:spacing w:val="-2"/>
        </w:rPr>
        <w:t>年拟完成投资类项</w:t>
      </w:r>
      <w:r>
        <w:rPr>
          <w:spacing w:val="-62"/>
        </w:rPr>
        <w:t> </w:t>
      </w:r>
      <w:r>
        <w:rPr/>
        <w:t>目</w:t>
      </w:r>
      <w:r>
        <w:rPr>
          <w:rFonts w:ascii="Times New Roman" w:hAnsi="Times New Roman" w:cs="Times New Roman" w:eastAsia="Times New Roman" w:hint="default"/>
        </w:rPr>
        <w:t>4</w:t>
      </w:r>
      <w:r>
        <w:rPr/>
        <w:t>个。</w:t>
      </w:r>
    </w:p>
    <w:p>
      <w:pPr>
        <w:pStyle w:val="BodyText"/>
        <w:spacing w:line="489" w:lineRule="auto" w:before="33"/>
        <w:ind w:left="574" w:right="83"/>
        <w:jc w:val="left"/>
        <w:rPr>
          <w:rFonts w:ascii="宋体" w:hAnsi="宋体" w:cs="宋体" w:eastAsia="宋体" w:hint="default"/>
        </w:rPr>
      </w:pPr>
      <w:r>
        <w:rPr>
          <w:spacing w:val="-2"/>
        </w:rPr>
        <w:t>同时，完善资金集中管理，丰富多种融资手段，搭建融资平台。</w:t>
      </w:r>
      <w:r>
        <w:rPr>
          <w:rFonts w:ascii="Times New Roman" w:hAnsi="Times New Roman" w:cs="Times New Roman" w:eastAsia="Times New Roman" w:hint="default"/>
          <w:spacing w:val="-2"/>
        </w:rPr>
        <w:t>2018</w:t>
      </w:r>
      <w:r>
        <w:rPr>
          <w:spacing w:val="-2"/>
        </w:rPr>
        <w:t>年拟完成超短期融资券和公司债发行的注册工作。</w:t>
      </w:r>
      <w:r>
        <w:rPr>
          <w:spacing w:val="-38"/>
        </w:rPr>
        <w:t> </w:t>
      </w:r>
      <w:r>
        <w:rPr>
          <w:rFonts w:ascii="宋体" w:hAnsi="宋体" w:cs="宋体" w:eastAsia="宋体" w:hint="default"/>
          <w:b/>
          <w:bCs/>
        </w:rPr>
        <w:t>可能面对的风险</w:t>
      </w:r>
      <w:r>
        <w:rPr>
          <w:rFonts w:ascii="宋体" w:hAnsi="宋体" w:cs="宋体" w:eastAsia="宋体" w:hint="default"/>
        </w:rPr>
      </w:r>
    </w:p>
    <w:p>
      <w:pPr>
        <w:pStyle w:val="BodyText"/>
        <w:spacing w:line="516" w:lineRule="auto" w:before="86"/>
        <w:ind w:left="574" w:right="125"/>
        <w:jc w:val="left"/>
      </w:pPr>
      <w:r>
        <w:rPr/>
        <w:t>详见本报告第一节中的“对年度报告涉及未来计划等前瞻性陈述的风险提示”。 以上内容涉及的未来计划、规划等前瞻性陈述，存在不确定性，不构成公司对投资者的实质承诺。请投资者注意投资</w:t>
      </w:r>
    </w:p>
    <w:p>
      <w:pPr>
        <w:pStyle w:val="BodyText"/>
        <w:spacing w:line="240" w:lineRule="auto" w:before="26"/>
        <w:ind w:right="125"/>
        <w:jc w:val="left"/>
      </w:pPr>
      <w:r>
        <w:rPr/>
        <w:t>风险。</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1510"/>
        <w:gridCol w:w="667"/>
        <w:gridCol w:w="2177"/>
        <w:gridCol w:w="3037"/>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3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8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8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8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8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81" w:type="dxa"/>
            <w:gridSpan w:val="3"/>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2"/>
              <w:ind w:left="4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784" w:right="2783"/>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1"/>
        <w:ind w:right="151" w:firstLine="420"/>
        <w:jc w:val="both"/>
      </w:pPr>
      <w:r>
        <w:rPr/>
        <w:t>公司利润分配政策的执行情况，符合《公司章程》的规定和股东大会决议的要求，分红标准和比例明确且清晰，相关 </w:t>
      </w:r>
      <w:r>
        <w:rPr>
          <w:spacing w:val="-2"/>
        </w:rPr>
        <w:t>的决策程序和机制完备，独立董事尽职履责并发挥了应有的作用，股东大会和日常投资者接待为中小股东提供了充分表达意</w:t>
      </w:r>
      <w:r>
        <w:rPr>
          <w:spacing w:val="-64"/>
        </w:rPr>
        <w:t> </w:t>
      </w:r>
      <w:r>
        <w:rPr>
          <w:spacing w:val="-64"/>
        </w:rPr>
      </w:r>
      <w:r>
        <w:rPr/>
        <w:t>见和诉求的机会，中小股东的合法权益得到充分维护。</w:t>
      </w: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5080"/>
        <w:gridCol w:w="4476"/>
      </w:tblGrid>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5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47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47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47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47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5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 到了充分保护：</w:t>
            </w:r>
          </w:p>
        </w:tc>
        <w:tc>
          <w:tcPr>
            <w:tcW w:w="447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47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2"/>
        <w:ind w:left="454" w:right="0"/>
        <w:jc w:val="left"/>
      </w:pPr>
      <w:r>
        <w:rPr>
          <w:rFonts w:ascii="Times New Roman" w:hAnsi="Times New Roman" w:cs="Times New Roman" w:eastAsia="Times New Roman" w:hint="default"/>
        </w:rPr>
        <w:t>2014</w:t>
      </w:r>
      <w:r>
        <w:rPr/>
        <w:t>、</w:t>
      </w:r>
      <w:r>
        <w:rPr>
          <w:rFonts w:ascii="Times New Roman" w:hAnsi="Times New Roman" w:cs="Times New Roman" w:eastAsia="Times New Roman" w:hint="default"/>
        </w:rPr>
        <w:t>2015</w:t>
      </w:r>
      <w:r>
        <w:rPr/>
        <w:t>年，由于母公司可供分配的利润为负，故公司均未进行利润分配，也未利用资本公积金转增股本。</w:t>
      </w:r>
    </w:p>
    <w:p>
      <w:pPr>
        <w:pStyle w:val="BodyText"/>
        <w:spacing w:line="300" w:lineRule="auto" w:before="63"/>
        <w:ind w:right="149" w:firstLine="299"/>
        <w:jc w:val="both"/>
      </w:pPr>
      <w:r>
        <w:rPr>
          <w:rFonts w:ascii="Times New Roman" w:hAnsi="Times New Roman" w:cs="Times New Roman" w:eastAsia="Times New Roman" w:hint="default"/>
          <w:spacing w:val="-5"/>
        </w:rPr>
        <w:t>2016</w:t>
      </w:r>
      <w:r>
        <w:rPr>
          <w:spacing w:val="-5"/>
        </w:rPr>
        <w:t>年，根据公司实际经营情况及《公司章程》的规定，</w:t>
      </w:r>
      <w:r>
        <w:rPr>
          <w:rFonts w:ascii="Times New Roman" w:hAnsi="Times New Roman" w:cs="Times New Roman" w:eastAsia="Times New Roman" w:hint="default"/>
          <w:spacing w:val="-5"/>
        </w:rPr>
        <w:t>2016</w:t>
      </w:r>
      <w:r>
        <w:rPr>
          <w:spacing w:val="-5"/>
        </w:rPr>
        <w:t>年度利润分配预案为：以</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日总股本</w:t>
      </w:r>
      <w:r>
        <w:rPr>
          <w:rFonts w:ascii="Times New Roman" w:hAnsi="Times New Roman" w:cs="Times New Roman" w:eastAsia="Times New Roman" w:hint="default"/>
          <w:spacing w:val="-5"/>
        </w:rPr>
        <w:t>1,017,698,410</w:t>
      </w:r>
      <w:r>
        <w:rPr>
          <w:rFonts w:ascii="Times New Roman" w:hAnsi="Times New Roman" w:cs="Times New Roman" w:eastAsia="Times New Roman" w:hint="default"/>
        </w:rPr>
        <w:t> </w:t>
      </w:r>
      <w:r>
        <w:rPr>
          <w:spacing w:val="-1"/>
        </w:rPr>
        <w:t>股为基数，每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0.22</w:t>
      </w:r>
      <w:r>
        <w:rPr>
          <w:rFonts w:ascii="Times New Roman" w:hAnsi="Times New Roman" w:cs="Times New Roman" w:eastAsia="Times New Roman" w:hint="default"/>
        </w:rPr>
        <w:t> </w:t>
      </w:r>
      <w:r>
        <w:rPr>
          <w:spacing w:val="-2"/>
        </w:rPr>
        <w:t>元（含税），不送红股，不以公积金转增股本，总计派发现金红利</w:t>
      </w:r>
      <w:r>
        <w:rPr>
          <w:rFonts w:ascii="Times New Roman" w:hAnsi="Times New Roman" w:cs="Times New Roman" w:eastAsia="Times New Roman" w:hint="default"/>
          <w:spacing w:val="-2"/>
        </w:rPr>
        <w:t>22,389,365.02</w:t>
      </w:r>
      <w:r>
        <w:rPr>
          <w:spacing w:val="-2"/>
        </w:rPr>
        <w:t>元（含</w:t>
      </w:r>
      <w:r>
        <w:rPr>
          <w:spacing w:val="-71"/>
        </w:rPr>
        <w:t> </w:t>
      </w:r>
      <w:r>
        <w:rPr>
          <w:spacing w:val="-71"/>
        </w:rPr>
      </w:r>
      <w:r>
        <w:rPr/>
        <w:t>税），占归属于上市公司股东净利润的</w:t>
      </w:r>
      <w:r>
        <w:rPr>
          <w:rFonts w:ascii="Times New Roman" w:hAnsi="Times New Roman" w:cs="Times New Roman" w:eastAsia="Times New Roman" w:hint="default"/>
        </w:rPr>
        <w:t>9.95%</w:t>
      </w:r>
      <w:r>
        <w:rPr/>
        <w:t>，剩余未分配利润结转以后年度分配。</w:t>
      </w:r>
    </w:p>
    <w:p>
      <w:pPr>
        <w:pStyle w:val="BodyText"/>
        <w:spacing w:line="300" w:lineRule="auto" w:before="13"/>
        <w:ind w:right="149" w:firstLine="299"/>
        <w:jc w:val="both"/>
      </w:pPr>
      <w:r>
        <w:rPr>
          <w:rFonts w:ascii="Times New Roman" w:hAnsi="Times New Roman" w:cs="Times New Roman" w:eastAsia="Times New Roman" w:hint="default"/>
          <w:spacing w:val="-5"/>
        </w:rPr>
        <w:t>2017</w:t>
      </w:r>
      <w:r>
        <w:rPr>
          <w:spacing w:val="-5"/>
        </w:rPr>
        <w:t>年，根据公司实际经营情况及《公司章程》的规定，</w:t>
      </w:r>
      <w:r>
        <w:rPr>
          <w:rFonts w:ascii="Times New Roman" w:hAnsi="Times New Roman" w:cs="Times New Roman" w:eastAsia="Times New Roman" w:hint="default"/>
          <w:spacing w:val="-5"/>
        </w:rPr>
        <w:t>2017</w:t>
      </w:r>
      <w:r>
        <w:rPr>
          <w:spacing w:val="-5"/>
        </w:rPr>
        <w:t>年度利润分配预案为：以</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日总股本</w:t>
      </w:r>
      <w:r>
        <w:rPr>
          <w:rFonts w:ascii="Times New Roman" w:hAnsi="Times New Roman" w:cs="Times New Roman" w:eastAsia="Times New Roman" w:hint="default"/>
          <w:spacing w:val="-5"/>
        </w:rPr>
        <w:t>1,017,698,410</w:t>
      </w:r>
      <w:r>
        <w:rPr>
          <w:rFonts w:ascii="Times New Roman" w:hAnsi="Times New Roman" w:cs="Times New Roman" w:eastAsia="Times New Roman" w:hint="default"/>
        </w:rPr>
        <w:t> </w:t>
      </w:r>
      <w:r>
        <w:rPr/>
        <w:t>股为基数，每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0.15</w:t>
      </w:r>
      <w:r>
        <w:rPr/>
        <w:t>元（含税），不送红股，不以公积金转增股本，总计派发现金红利</w:t>
      </w:r>
      <w:r>
        <w:rPr>
          <w:rFonts w:ascii="Times New Roman" w:hAnsi="Times New Roman" w:cs="Times New Roman" w:eastAsia="Times New Roman" w:hint="default"/>
        </w:rPr>
        <w:t>15,265,476.15</w:t>
      </w:r>
      <w:r>
        <w:rPr/>
        <w:t>元（含 税），占归属于上市公司股东净利润的</w:t>
      </w:r>
      <w:r>
        <w:rPr>
          <w:rFonts w:ascii="Times New Roman" w:hAnsi="Times New Roman" w:cs="Times New Roman" w:eastAsia="Times New Roman" w:hint="default"/>
        </w:rPr>
        <w:t>10.40%</w:t>
      </w:r>
      <w:r>
        <w:rPr/>
        <w:t>，剩余未分配利润结转以后年度分配。</w:t>
      </w:r>
    </w:p>
    <w:p>
      <w:pPr>
        <w:pStyle w:val="BodyText"/>
        <w:spacing w:line="240" w:lineRule="auto" w:before="53"/>
        <w:ind w:right="0"/>
        <w:jc w:val="left"/>
      </w:pPr>
      <w:r>
        <w:rPr/>
        <w:t>公司近三年（包括本报告期）普通股现金分红情况表</w:t>
      </w:r>
    </w:p>
    <w:p>
      <w:pPr>
        <w:pStyle w:val="BodyText"/>
        <w:spacing w:line="240" w:lineRule="auto" w:before="117"/>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3"/>
        <w:gridCol w:w="1617"/>
        <w:gridCol w:w="1583"/>
        <w:gridCol w:w="1582"/>
        <w:gridCol w:w="1605"/>
        <w:gridCol w:w="1595"/>
      </w:tblGrid>
      <w:tr>
        <w:trPr>
          <w:trHeight w:val="317" w:hRule="exact"/>
        </w:trPr>
        <w:tc>
          <w:tcPr>
            <w:tcW w:w="1573" w:type="dxa"/>
            <w:vMerge w:val="restart"/>
            <w:tcBorders>
              <w:top w:val="single" w:sz="4" w:space="0" w:color="000000"/>
              <w:left w:val="single" w:sz="4" w:space="0" w:color="000000"/>
              <w:right w:val="single" w:sz="4" w:space="0" w:color="000000"/>
            </w:tcBorders>
            <w:shd w:val="clear" w:color="auto" w:fill="D3D3D3"/>
          </w:tcPr>
          <w:p>
            <w:pPr/>
          </w:p>
        </w:tc>
        <w:tc>
          <w:tcPr>
            <w:tcW w:w="1617" w:type="dxa"/>
            <w:tcBorders>
              <w:top w:val="single" w:sz="4" w:space="0" w:color="000000"/>
              <w:left w:val="single" w:sz="4" w:space="0" w:color="000000"/>
              <w:bottom w:val="nil" w:sz="6" w:space="0" w:color="auto"/>
              <w:right w:val="single" w:sz="4" w:space="0" w:color="000000"/>
            </w:tcBorders>
            <w:shd w:val="clear" w:color="auto" w:fill="D3D3D3"/>
          </w:tcPr>
          <w:p>
            <w:pPr/>
          </w:p>
        </w:tc>
        <w:tc>
          <w:tcPr>
            <w:tcW w:w="15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71"/>
              <w:jc w:val="righ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60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1573" w:type="dxa"/>
            <w:vMerge/>
            <w:tcBorders>
              <w:left w:val="single" w:sz="4" w:space="0" w:color="000000"/>
              <w:bottom w:val="nil" w:sz="6" w:space="0" w:color="auto"/>
              <w:right w:val="single" w:sz="4" w:space="0" w:color="000000"/>
            </w:tcBorders>
            <w:shd w:val="clear" w:color="auto" w:fill="D3D3D3"/>
          </w:tcPr>
          <w:p>
            <w:pPr/>
          </w:p>
        </w:tc>
        <w:tc>
          <w:tcPr>
            <w:tcW w:w="161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现金分红金额（含</w:t>
            </w:r>
          </w:p>
        </w:tc>
        <w:tc>
          <w:tcPr>
            <w:tcW w:w="15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中归属于上市公司</w:t>
            </w:r>
          </w:p>
        </w:tc>
        <w:tc>
          <w:tcPr>
            <w:tcW w:w="15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于上市公司普通股</w:t>
            </w:r>
          </w:p>
        </w:tc>
        <w:tc>
          <w:tcPr>
            <w:tcW w:w="160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以其他方式现金分</w:t>
            </w:r>
          </w:p>
        </w:tc>
        <w:tc>
          <w:tcPr>
            <w:tcW w:w="15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以其他方式现金分</w:t>
            </w:r>
          </w:p>
        </w:tc>
      </w:tr>
      <w:tr>
        <w:trPr>
          <w:trHeight w:val="197" w:hRule="exact"/>
        </w:trPr>
        <w:tc>
          <w:tcPr>
            <w:tcW w:w="157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617" w:type="dxa"/>
            <w:vMerge/>
            <w:tcBorders>
              <w:left w:val="single" w:sz="4" w:space="0" w:color="000000"/>
              <w:bottom w:val="nil" w:sz="6" w:space="0" w:color="auto"/>
              <w:right w:val="single" w:sz="4" w:space="0" w:color="000000"/>
            </w:tcBorders>
            <w:shd w:val="clear" w:color="auto" w:fill="D3D3D3"/>
          </w:tcPr>
          <w:p>
            <w:pPr/>
          </w:p>
        </w:tc>
        <w:tc>
          <w:tcPr>
            <w:tcW w:w="1583" w:type="dxa"/>
            <w:vMerge/>
            <w:tcBorders>
              <w:left w:val="single" w:sz="4" w:space="0" w:color="000000"/>
              <w:bottom w:val="nil" w:sz="6" w:space="0" w:color="auto"/>
              <w:right w:val="single" w:sz="4" w:space="0" w:color="000000"/>
            </w:tcBorders>
            <w:shd w:val="clear" w:color="auto" w:fill="D3D3D3"/>
          </w:tcPr>
          <w:p>
            <w:pPr/>
          </w:p>
        </w:tc>
        <w:tc>
          <w:tcPr>
            <w:tcW w:w="1582" w:type="dxa"/>
            <w:vMerge/>
            <w:tcBorders>
              <w:left w:val="single" w:sz="4" w:space="0" w:color="000000"/>
              <w:bottom w:val="nil" w:sz="6" w:space="0" w:color="auto"/>
              <w:right w:val="single" w:sz="4" w:space="0" w:color="000000"/>
            </w:tcBorders>
            <w:shd w:val="clear" w:color="auto" w:fill="D3D3D3"/>
          </w:tcPr>
          <w:p>
            <w:pPr/>
          </w:p>
        </w:tc>
        <w:tc>
          <w:tcPr>
            <w:tcW w:w="1605" w:type="dxa"/>
            <w:vMerge/>
            <w:tcBorders>
              <w:left w:val="single" w:sz="4" w:space="0" w:color="000000"/>
              <w:bottom w:val="nil" w:sz="6" w:space="0" w:color="auto"/>
              <w:right w:val="single" w:sz="4" w:space="0" w:color="000000"/>
            </w:tcBorders>
            <w:shd w:val="clear" w:color="auto" w:fill="D3D3D3"/>
          </w:tcPr>
          <w:p>
            <w:pPr/>
          </w:p>
        </w:tc>
        <w:tc>
          <w:tcPr>
            <w:tcW w:w="1595" w:type="dxa"/>
            <w:vMerge/>
            <w:tcBorders>
              <w:left w:val="single" w:sz="4" w:space="0" w:color="000000"/>
              <w:bottom w:val="nil" w:sz="6" w:space="0" w:color="auto"/>
              <w:right w:val="single" w:sz="4" w:space="0" w:color="000000"/>
            </w:tcBorders>
            <w:shd w:val="clear" w:color="auto" w:fill="D3D3D3"/>
          </w:tcPr>
          <w:p>
            <w:pPr/>
          </w:p>
        </w:tc>
      </w:tr>
      <w:tr>
        <w:trPr>
          <w:trHeight w:val="195" w:hRule="exact"/>
        </w:trPr>
        <w:tc>
          <w:tcPr>
            <w:tcW w:w="1573" w:type="dxa"/>
            <w:vMerge/>
            <w:tcBorders>
              <w:left w:val="single" w:sz="4" w:space="0" w:color="000000"/>
              <w:bottom w:val="nil" w:sz="6" w:space="0" w:color="auto"/>
              <w:right w:val="single" w:sz="4" w:space="0" w:color="000000"/>
            </w:tcBorders>
            <w:shd w:val="clear" w:color="auto" w:fill="D3D3D3"/>
          </w:tcPr>
          <w:p>
            <w:pPr/>
          </w:p>
        </w:tc>
        <w:tc>
          <w:tcPr>
            <w:tcW w:w="161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税）</w:t>
            </w:r>
          </w:p>
        </w:tc>
        <w:tc>
          <w:tcPr>
            <w:tcW w:w="15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61" w:right="0"/>
              <w:jc w:val="left"/>
              <w:rPr>
                <w:rFonts w:ascii="宋体" w:hAnsi="宋体" w:cs="宋体" w:eastAsia="宋体" w:hint="default"/>
                <w:sz w:val="18"/>
                <w:szCs w:val="18"/>
              </w:rPr>
            </w:pPr>
            <w:r>
              <w:rPr>
                <w:rFonts w:ascii="宋体" w:hAnsi="宋体" w:cs="宋体" w:eastAsia="宋体" w:hint="default"/>
                <w:sz w:val="18"/>
                <w:szCs w:val="18"/>
              </w:rPr>
              <w:t>普通股股东的净利</w:t>
            </w:r>
          </w:p>
        </w:tc>
        <w:tc>
          <w:tcPr>
            <w:tcW w:w="15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71" w:right="0"/>
              <w:jc w:val="left"/>
              <w:rPr>
                <w:rFonts w:ascii="宋体" w:hAnsi="宋体" w:cs="宋体" w:eastAsia="宋体" w:hint="default"/>
                <w:sz w:val="18"/>
                <w:szCs w:val="18"/>
              </w:rPr>
            </w:pPr>
            <w:r>
              <w:rPr>
                <w:rFonts w:ascii="宋体" w:hAnsi="宋体" w:cs="宋体" w:eastAsia="宋体" w:hint="default"/>
                <w:sz w:val="18"/>
                <w:szCs w:val="18"/>
              </w:rPr>
              <w:t>股东的净利润的比</w:t>
            </w:r>
          </w:p>
        </w:tc>
        <w:tc>
          <w:tcPr>
            <w:tcW w:w="160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443" w:right="0"/>
              <w:jc w:val="left"/>
              <w:rPr>
                <w:rFonts w:ascii="宋体" w:hAnsi="宋体" w:cs="宋体" w:eastAsia="宋体" w:hint="default"/>
                <w:sz w:val="18"/>
                <w:szCs w:val="18"/>
              </w:rPr>
            </w:pPr>
            <w:r>
              <w:rPr>
                <w:rFonts w:ascii="宋体" w:hAnsi="宋体" w:cs="宋体" w:eastAsia="宋体" w:hint="default"/>
                <w:sz w:val="18"/>
                <w:szCs w:val="18"/>
              </w:rPr>
              <w:t>红的金额</w:t>
            </w:r>
          </w:p>
        </w:tc>
        <w:tc>
          <w:tcPr>
            <w:tcW w:w="15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433" w:right="0"/>
              <w:jc w:val="left"/>
              <w:rPr>
                <w:rFonts w:ascii="宋体" w:hAnsi="宋体" w:cs="宋体" w:eastAsia="宋体" w:hint="default"/>
                <w:sz w:val="18"/>
                <w:szCs w:val="18"/>
              </w:rPr>
            </w:pPr>
            <w:r>
              <w:rPr>
                <w:rFonts w:ascii="宋体" w:hAnsi="宋体" w:cs="宋体" w:eastAsia="宋体" w:hint="default"/>
                <w:sz w:val="18"/>
                <w:szCs w:val="18"/>
              </w:rPr>
              <w:t>红的比例</w:t>
            </w:r>
          </w:p>
        </w:tc>
      </w:tr>
      <w:tr>
        <w:trPr>
          <w:trHeight w:val="156" w:hRule="exact"/>
        </w:trPr>
        <w:tc>
          <w:tcPr>
            <w:tcW w:w="1573" w:type="dxa"/>
            <w:vMerge w:val="restart"/>
            <w:tcBorders>
              <w:top w:val="nil" w:sz="6" w:space="0" w:color="auto"/>
              <w:left w:val="single" w:sz="4" w:space="0" w:color="000000"/>
              <w:right w:val="single" w:sz="4" w:space="0" w:color="000000"/>
            </w:tcBorders>
            <w:shd w:val="clear" w:color="auto" w:fill="D3D3D3"/>
          </w:tcPr>
          <w:p>
            <w:pPr/>
          </w:p>
        </w:tc>
        <w:tc>
          <w:tcPr>
            <w:tcW w:w="1617" w:type="dxa"/>
            <w:vMerge/>
            <w:tcBorders>
              <w:left w:val="single" w:sz="4" w:space="0" w:color="000000"/>
              <w:bottom w:val="nil" w:sz="6" w:space="0" w:color="auto"/>
              <w:right w:val="single" w:sz="4" w:space="0" w:color="000000"/>
            </w:tcBorders>
            <w:shd w:val="clear" w:color="auto" w:fill="D3D3D3"/>
          </w:tcPr>
          <w:p>
            <w:pPr/>
          </w:p>
        </w:tc>
        <w:tc>
          <w:tcPr>
            <w:tcW w:w="1583" w:type="dxa"/>
            <w:vMerge/>
            <w:tcBorders>
              <w:left w:val="single" w:sz="4" w:space="0" w:color="000000"/>
              <w:bottom w:val="nil" w:sz="6" w:space="0" w:color="auto"/>
              <w:right w:val="single" w:sz="4" w:space="0" w:color="000000"/>
            </w:tcBorders>
            <w:shd w:val="clear" w:color="auto" w:fill="D3D3D3"/>
          </w:tcPr>
          <w:p>
            <w:pPr/>
          </w:p>
        </w:tc>
        <w:tc>
          <w:tcPr>
            <w:tcW w:w="1582" w:type="dxa"/>
            <w:vMerge/>
            <w:tcBorders>
              <w:left w:val="single" w:sz="4" w:space="0" w:color="000000"/>
              <w:bottom w:val="nil" w:sz="6" w:space="0" w:color="auto"/>
              <w:right w:val="single" w:sz="4" w:space="0" w:color="000000"/>
            </w:tcBorders>
            <w:shd w:val="clear" w:color="auto" w:fill="D3D3D3"/>
          </w:tcPr>
          <w:p>
            <w:pPr/>
          </w:p>
        </w:tc>
        <w:tc>
          <w:tcPr>
            <w:tcW w:w="1605" w:type="dxa"/>
            <w:vMerge/>
            <w:tcBorders>
              <w:left w:val="single" w:sz="4" w:space="0" w:color="000000"/>
              <w:bottom w:val="nil" w:sz="6" w:space="0" w:color="auto"/>
              <w:right w:val="single" w:sz="4" w:space="0" w:color="000000"/>
            </w:tcBorders>
            <w:shd w:val="clear" w:color="auto" w:fill="D3D3D3"/>
          </w:tcPr>
          <w:p>
            <w:pPr/>
          </w:p>
        </w:tc>
        <w:tc>
          <w:tcPr>
            <w:tcW w:w="1595" w:type="dxa"/>
            <w:vMerge/>
            <w:tcBorders>
              <w:left w:val="single" w:sz="4" w:space="0" w:color="000000"/>
              <w:bottom w:val="nil" w:sz="6" w:space="0" w:color="auto"/>
              <w:right w:val="single" w:sz="4" w:space="0" w:color="000000"/>
            </w:tcBorders>
            <w:shd w:val="clear" w:color="auto" w:fill="D3D3D3"/>
          </w:tcPr>
          <w:p>
            <w:pPr/>
          </w:p>
        </w:tc>
      </w:tr>
      <w:tr>
        <w:trPr>
          <w:trHeight w:val="317" w:hRule="exact"/>
        </w:trPr>
        <w:tc>
          <w:tcPr>
            <w:tcW w:w="1573" w:type="dxa"/>
            <w:vMerge/>
            <w:tcBorders>
              <w:left w:val="single" w:sz="4" w:space="0" w:color="000000"/>
              <w:bottom w:val="single" w:sz="4" w:space="0" w:color="000000"/>
              <w:right w:val="single" w:sz="4" w:space="0" w:color="000000"/>
            </w:tcBorders>
            <w:shd w:val="clear" w:color="auto" w:fill="D3D3D3"/>
          </w:tcPr>
          <w:p>
            <w:pPr/>
          </w:p>
        </w:tc>
        <w:tc>
          <w:tcPr>
            <w:tcW w:w="1617" w:type="dxa"/>
            <w:tcBorders>
              <w:top w:val="nil" w:sz="6" w:space="0" w:color="auto"/>
              <w:left w:val="single" w:sz="4" w:space="0" w:color="000000"/>
              <w:bottom w:val="single" w:sz="4" w:space="0" w:color="000000"/>
              <w:right w:val="single" w:sz="4" w:space="0" w:color="000000"/>
            </w:tcBorders>
            <w:shd w:val="clear" w:color="auto" w:fill="D3D3D3"/>
          </w:tcPr>
          <w:p>
            <w:pPr/>
          </w:p>
        </w:tc>
        <w:tc>
          <w:tcPr>
            <w:tcW w:w="15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08" w:lineRule="exact"/>
              <w:ind w:right="8"/>
              <w:jc w:val="center"/>
              <w:rPr>
                <w:rFonts w:ascii="宋体" w:hAnsi="宋体" w:cs="宋体" w:eastAsia="宋体" w:hint="default"/>
                <w:sz w:val="18"/>
                <w:szCs w:val="18"/>
              </w:rPr>
            </w:pPr>
            <w:r>
              <w:rPr>
                <w:rFonts w:ascii="宋体" w:hAnsi="宋体" w:cs="宋体" w:eastAsia="宋体" w:hint="default"/>
                <w:sz w:val="18"/>
                <w:szCs w:val="18"/>
              </w:rPr>
              <w:t>润</w:t>
            </w:r>
          </w:p>
        </w:tc>
        <w:tc>
          <w:tcPr>
            <w:tcW w:w="158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08" w:lineRule="exact"/>
              <w:ind w:left="11"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60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15,265,476.15</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146,809,823.33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10.40%</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22,389,365.02</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225,115,501.44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8"/>
              <w:jc w:val="right"/>
              <w:rPr>
                <w:rFonts w:ascii="Times New Roman" w:hAnsi="Times New Roman" w:cs="Times New Roman" w:eastAsia="Times New Roman" w:hint="default"/>
                <w:sz w:val="12"/>
                <w:szCs w:val="12"/>
              </w:rPr>
            </w:pPr>
            <w:r>
              <w:rPr>
                <w:rFonts w:ascii="Times New Roman"/>
                <w:sz w:val="18"/>
              </w:rPr>
              <w:t>9.95%</w:t>
            </w:r>
            <w:r>
              <w:rPr>
                <w:rFonts w:ascii="Times New Roman"/>
                <w:color w:val="FF0000"/>
                <w:position w:val="8"/>
                <w:sz w:val="12"/>
              </w:rPr>
              <w:t>1</w:t>
            </w:r>
            <w:r>
              <w:rPr>
                <w:rFonts w:ascii="Times New Roman"/>
                <w:sz w:val="12"/>
              </w:rPr>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z w:val="18"/>
              </w:rPr>
              <w:t>0.00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283,509,623.51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00" w:lineRule="auto" w:before="51"/>
        <w:ind w:right="137"/>
        <w:jc w:val="left"/>
      </w:pPr>
      <w:r>
        <w:rPr>
          <w:spacing w:val="-6"/>
        </w:rPr>
        <w:t>注：</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24"/>
        </w:rPr>
        <w:t> </w:t>
      </w:r>
      <w:r>
        <w:rPr/>
        <w:t>报告期内，本公司因发生同一控制下企业合并，导致合并范围变更，追溯调整</w:t>
      </w:r>
      <w:r>
        <w:rPr>
          <w:spacing w:val="-5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年相关财务数据，导致</w:t>
      </w:r>
      <w:r>
        <w:rPr>
          <w:spacing w:val="-5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年度</w:t>
      </w:r>
      <w:r>
        <w:rPr>
          <w:spacing w:val="1"/>
        </w:rPr>
        <w:t> </w:t>
      </w:r>
      <w:r>
        <w:rPr/>
        <w:t>现金分红金额占归属于上市公司股东的净利润的比例从</w:t>
      </w:r>
      <w:r>
        <w:rPr>
          <w:spacing w:val="-49"/>
        </w:rPr>
        <w:t> </w:t>
      </w:r>
      <w:r>
        <w:rPr>
          <w:rFonts w:ascii="Times New Roman" w:hAnsi="Times New Roman" w:cs="Times New Roman" w:eastAsia="Times New Roman" w:hint="default"/>
        </w:rPr>
        <w:t>10.04%</w:t>
      </w:r>
      <w:r>
        <w:rPr/>
        <w:t>调整为</w:t>
      </w:r>
      <w:r>
        <w:rPr>
          <w:spacing w:val="-49"/>
        </w:rPr>
        <w:t> </w:t>
      </w:r>
      <w:r>
        <w:rPr>
          <w:rFonts w:ascii="Times New Roman" w:hAnsi="Times New Roman" w:cs="Times New Roman" w:eastAsia="Times New Roman" w:hint="default"/>
        </w:rPr>
        <w:t>9.95%</w:t>
      </w:r>
      <w:r>
        <w:rPr/>
        <w:t>。</w:t>
      </w:r>
    </w:p>
    <w:p>
      <w:pPr>
        <w:spacing w:after="0" w:line="30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公司报告期内盈利且母公司可供普通股股东分配利润为正但未提出普通股现金红利分配预案</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1,017,698,410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15,265,476.15</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943,649,656.35</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586"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pacing w:val="-3"/>
                <w:sz w:val="18"/>
                <w:szCs w:val="18"/>
              </w:rPr>
              <w:t>经瑞华会计师事务所（特殊普通合伙）审计，公司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年度实现归属于上市公司股东的净利润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146,809,823.33</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元，上年年</w:t>
            </w:r>
            <w:r>
              <w:rPr>
                <w:rFonts w:ascii="宋体" w:hAnsi="宋体" w:cs="宋体" w:eastAsia="宋体" w:hint="default"/>
                <w:sz w:val="18"/>
                <w:szCs w:val="18"/>
              </w:rPr>
              <w:t> </w:t>
            </w:r>
            <w:r>
              <w:rPr>
                <w:rFonts w:ascii="宋体" w:hAnsi="宋体" w:cs="宋体" w:eastAsia="宋体" w:hint="default"/>
                <w:spacing w:val="13"/>
                <w:sz w:val="18"/>
                <w:szCs w:val="18"/>
              </w:rPr>
              <w:t>末未分配利润 </w:t>
            </w:r>
            <w:r>
              <w:rPr>
                <w:rFonts w:ascii="Times New Roman" w:hAnsi="Times New Roman" w:cs="Times New Roman" w:eastAsia="Times New Roman" w:hint="default"/>
                <w:sz w:val="18"/>
                <w:szCs w:val="18"/>
              </w:rPr>
              <w:t>910,699,612.47 </w:t>
            </w:r>
            <w:r>
              <w:rPr>
                <w:rFonts w:ascii="宋体" w:hAnsi="宋体" w:cs="宋体" w:eastAsia="宋体" w:hint="default"/>
                <w:spacing w:val="7"/>
                <w:sz w:val="18"/>
                <w:szCs w:val="18"/>
              </w:rPr>
              <w:t>元， </w:t>
            </w:r>
            <w:r>
              <w:rPr>
                <w:rFonts w:ascii="宋体" w:hAnsi="宋体" w:cs="宋体" w:eastAsia="宋体" w:hint="default"/>
                <w:spacing w:val="14"/>
                <w:sz w:val="18"/>
                <w:szCs w:val="18"/>
              </w:rPr>
              <w:t>调增同一控制下企业合并形成的未分配利润 </w:t>
            </w:r>
            <w:r>
              <w:rPr>
                <w:rFonts w:ascii="Times New Roman" w:hAnsi="Times New Roman" w:cs="Times New Roman" w:eastAsia="Times New Roman" w:hint="default"/>
                <w:sz w:val="18"/>
                <w:szCs w:val="18"/>
              </w:rPr>
              <w:t>3,565,231.17</w:t>
            </w:r>
            <w:r>
              <w:rPr>
                <w:rFonts w:ascii="Times New Roman" w:hAnsi="Times New Roman" w:cs="Times New Roman" w:eastAsia="Times New Roman" w:hint="default"/>
                <w:spacing w:val="14"/>
                <w:sz w:val="18"/>
                <w:szCs w:val="18"/>
              </w:rPr>
              <w:t> </w:t>
            </w:r>
            <w:r>
              <w:rPr>
                <w:rFonts w:ascii="宋体" w:hAnsi="宋体" w:cs="宋体" w:eastAsia="宋体" w:hint="default"/>
                <w:spacing w:val="13"/>
                <w:sz w:val="18"/>
                <w:szCs w:val="18"/>
              </w:rPr>
              <w:t>元，期初未分配利润</w:t>
            </w:r>
            <w:r>
              <w:rPr>
                <w:rFonts w:ascii="宋体" w:hAnsi="宋体" w:cs="宋体" w:eastAsia="宋体" w:hint="default"/>
                <w:sz w:val="18"/>
                <w:szCs w:val="18"/>
              </w:rPr>
              <w:t> </w:t>
            </w:r>
            <w:r>
              <w:rPr>
                <w:rFonts w:ascii="Times New Roman" w:hAnsi="Times New Roman" w:cs="Times New Roman" w:eastAsia="Times New Roman" w:hint="default"/>
                <w:sz w:val="18"/>
                <w:szCs w:val="18"/>
              </w:rPr>
              <w:t>914,264,843.64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元，提取职工奖励及福利基金、提取法定盈余公积</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95,035,645.61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元，向股东分配利润</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22,389,365.01</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元，期</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pacing w:val="3"/>
                <w:sz w:val="18"/>
                <w:szCs w:val="18"/>
              </w:rPr>
              <w:t>末可供股东分配的利润为 </w:t>
            </w:r>
            <w:r>
              <w:rPr>
                <w:rFonts w:ascii="Times New Roman" w:hAnsi="Times New Roman" w:cs="Times New Roman" w:eastAsia="Times New Roman" w:hint="default"/>
                <w:sz w:val="18"/>
                <w:szCs w:val="18"/>
              </w:rPr>
              <w:t>943,649,656.35  </w:t>
            </w:r>
            <w:r>
              <w:rPr>
                <w:rFonts w:ascii="宋体" w:hAnsi="宋体" w:cs="宋体" w:eastAsia="宋体" w:hint="default"/>
                <w:spacing w:val="3"/>
                <w:sz w:val="18"/>
                <w:szCs w:val="18"/>
              </w:rPr>
              <w:t>元。其中，母公司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年度实现净利润</w:t>
            </w:r>
            <w:r>
              <w:rPr>
                <w:rFonts w:ascii="Times New Roman" w:hAnsi="Times New Roman" w:cs="Times New Roman" w:eastAsia="Times New Roman" w:hint="default"/>
                <w:sz w:val="18"/>
                <w:szCs w:val="18"/>
              </w:rPr>
              <w:t>-22,535,987.97  </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元，期初未分配利润</w:t>
            </w:r>
            <w:r>
              <w:rPr>
                <w:rFonts w:ascii="宋体" w:hAnsi="宋体" w:cs="宋体" w:eastAsia="宋体" w:hint="default"/>
                <w:sz w:val="18"/>
                <w:szCs w:val="18"/>
              </w:rPr>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218,487,619.43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元，向股东分配利润</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22,389,365.01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元，期末可供股东分配的利润为</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173,562,266.45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元。根据公司实际经营</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情况及《公司章程》的规定，提议</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年度利润分配预案为：以</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日总股本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1,017,698,410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股为基数，每</w:t>
            </w:r>
          </w:p>
          <w:p>
            <w:pPr>
              <w:pStyle w:val="TableParagraph"/>
              <w:spacing w:line="302" w:lineRule="auto" w:before="63"/>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股派发现金红利</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0.15</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元（含税），不送红股，不以公积金转增股本，总计派发现金红利</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15,265,476.15</w:t>
            </w:r>
            <w:r>
              <w:rPr>
                <w:rFonts w:ascii="Times New Roman" w:hAnsi="Times New Roman" w:cs="Times New Roman" w:eastAsia="Times New Roman" w:hint="default"/>
                <w:spacing w:val="11"/>
                <w:sz w:val="18"/>
                <w:szCs w:val="18"/>
              </w:rPr>
              <w:t> </w:t>
            </w:r>
            <w:r>
              <w:rPr>
                <w:rFonts w:ascii="宋体" w:hAnsi="宋体" w:cs="宋体" w:eastAsia="宋体" w:hint="default"/>
                <w:spacing w:val="-12"/>
                <w:sz w:val="18"/>
                <w:szCs w:val="18"/>
              </w:rPr>
              <w:t>元（含税），占归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属于上市公司股东净利润的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10.40%</w:t>
            </w:r>
            <w:r>
              <w:rPr>
                <w:rFonts w:ascii="宋体" w:hAnsi="宋体" w:cs="宋体" w:eastAsia="宋体" w:hint="default"/>
                <w:sz w:val="18"/>
                <w:szCs w:val="18"/>
              </w:rPr>
              <w:t>，剩余未分配利润结转以后年度分配。</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8"/>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557"/>
        <w:gridCol w:w="1455"/>
        <w:gridCol w:w="805"/>
        <w:gridCol w:w="4516"/>
        <w:gridCol w:w="548"/>
        <w:gridCol w:w="985"/>
        <w:gridCol w:w="816"/>
      </w:tblGrid>
      <w:tr>
        <w:trPr>
          <w:trHeight w:val="369" w:hRule="exact"/>
        </w:trPr>
        <w:tc>
          <w:tcPr>
            <w:tcW w:w="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57" w:lineRule="exact"/>
              <w:ind w:left="9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sz w:val="18"/>
                <w:szCs w:val="18"/>
              </w:rPr>
              <w:t>事由</w:t>
            </w:r>
          </w:p>
        </w:tc>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45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57" w:lineRule="exact"/>
              <w:ind w:left="88"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40" w:lineRule="auto" w:before="4"/>
              <w:ind w:left="88"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12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4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550" w:hRule="exact"/>
        </w:trPr>
        <w:tc>
          <w:tcPr>
            <w:tcW w:w="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41"/>
              <w:ind w:left="11" w:right="173"/>
              <w:jc w:val="left"/>
              <w:rPr>
                <w:rFonts w:ascii="宋体" w:hAnsi="宋体" w:cs="宋体" w:eastAsia="宋体" w:hint="default"/>
                <w:sz w:val="18"/>
                <w:szCs w:val="18"/>
              </w:rPr>
            </w:pPr>
            <w:r>
              <w:rPr>
                <w:rFonts w:ascii="宋体" w:hAnsi="宋体" w:cs="宋体" w:eastAsia="宋体" w:hint="default"/>
                <w:sz w:val="18"/>
                <w:szCs w:val="18"/>
              </w:rPr>
              <w:t>股改 承诺</w:t>
            </w:r>
          </w:p>
        </w:tc>
        <w:tc>
          <w:tcPr>
            <w:tcW w:w="1455" w:type="dxa"/>
            <w:tcBorders>
              <w:top w:val="single" w:sz="48" w:space="0" w:color="D3D3D3"/>
              <w:left w:val="single" w:sz="13" w:space="0" w:color="D3D3D3"/>
              <w:bottom w:val="single" w:sz="4" w:space="0" w:color="000000"/>
              <w:right w:val="single" w:sz="4" w:space="0" w:color="000000"/>
            </w:tcBorders>
            <w:shd w:val="clear" w:color="auto" w:fill="C7EDCC"/>
          </w:tcPr>
          <w:p>
            <w:pPr/>
          </w:p>
        </w:tc>
        <w:tc>
          <w:tcPr>
            <w:tcW w:w="805" w:type="dxa"/>
            <w:tcBorders>
              <w:top w:val="single" w:sz="48" w:space="0" w:color="D3D3D3"/>
              <w:left w:val="single" w:sz="4" w:space="0" w:color="000000"/>
              <w:bottom w:val="single" w:sz="4" w:space="0" w:color="000000"/>
              <w:right w:val="single" w:sz="4" w:space="0" w:color="000000"/>
            </w:tcBorders>
            <w:shd w:val="clear" w:color="auto" w:fill="C7EDCC"/>
          </w:tcPr>
          <w:p>
            <w:pPr/>
          </w:p>
        </w:tc>
        <w:tc>
          <w:tcPr>
            <w:tcW w:w="4516" w:type="dxa"/>
            <w:tcBorders>
              <w:top w:val="single" w:sz="48" w:space="0" w:color="D3D3D3"/>
              <w:left w:val="single" w:sz="4" w:space="0" w:color="000000"/>
              <w:bottom w:val="single" w:sz="4" w:space="0" w:color="000000"/>
              <w:right w:val="single" w:sz="9" w:space="0" w:color="D3D3D3"/>
            </w:tcBorders>
            <w:shd w:val="clear" w:color="auto" w:fill="C7EDCC"/>
          </w:tcPr>
          <w:p>
            <w:pPr/>
          </w:p>
        </w:tc>
        <w:tc>
          <w:tcPr>
            <w:tcW w:w="548" w:type="dxa"/>
            <w:tcBorders>
              <w:top w:val="single" w:sz="4" w:space="0" w:color="000000"/>
              <w:left w:val="single" w:sz="9" w:space="0" w:color="D3D3D3"/>
              <w:bottom w:val="single" w:sz="4" w:space="0" w:color="000000"/>
              <w:right w:val="single" w:sz="13" w:space="0" w:color="D3D3D3"/>
            </w:tcBorders>
          </w:tcPr>
          <w:p>
            <w:pPr/>
          </w:p>
        </w:tc>
        <w:tc>
          <w:tcPr>
            <w:tcW w:w="985" w:type="dxa"/>
            <w:tcBorders>
              <w:top w:val="single" w:sz="48" w:space="0" w:color="D3D3D3"/>
              <w:left w:val="single" w:sz="13" w:space="0" w:color="D3D3D3"/>
              <w:bottom w:val="single" w:sz="4" w:space="0" w:color="000000"/>
              <w:right w:val="single" w:sz="4" w:space="0" w:color="000000"/>
            </w:tcBorders>
            <w:shd w:val="clear" w:color="auto" w:fill="C7EDCC"/>
          </w:tcPr>
          <w:p>
            <w:pPr/>
          </w:p>
        </w:tc>
        <w:tc>
          <w:tcPr>
            <w:tcW w:w="816" w:type="dxa"/>
            <w:tcBorders>
              <w:top w:val="single" w:sz="48" w:space="0" w:color="D3D3D3"/>
              <w:left w:val="single" w:sz="4" w:space="0" w:color="000000"/>
              <w:bottom w:val="single" w:sz="4" w:space="0" w:color="000000"/>
              <w:right w:val="single" w:sz="4" w:space="0" w:color="000000"/>
            </w:tcBorders>
            <w:shd w:val="clear" w:color="auto" w:fill="C7EDCC"/>
          </w:tcPr>
          <w:p>
            <w:pPr/>
          </w:p>
        </w:tc>
      </w:tr>
      <w:tr>
        <w:trPr>
          <w:trHeight w:val="2170" w:hRule="exact"/>
        </w:trPr>
        <w:tc>
          <w:tcPr>
            <w:tcW w:w="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173"/>
              <w:jc w:val="both"/>
              <w:rPr>
                <w:rFonts w:ascii="宋体" w:hAnsi="宋体" w:cs="宋体" w:eastAsia="宋体" w:hint="default"/>
                <w:sz w:val="18"/>
                <w:szCs w:val="18"/>
              </w:rPr>
            </w:pPr>
            <w:r>
              <w:rPr>
                <w:rFonts w:ascii="宋体" w:hAnsi="宋体" w:cs="宋体" w:eastAsia="宋体" w:hint="default"/>
                <w:sz w:val="18"/>
                <w:szCs w:val="18"/>
              </w:rPr>
              <w:t>收购 报告 书或 权益 变动 报告 书中 所作 承诺</w:t>
            </w:r>
          </w:p>
        </w:tc>
        <w:tc>
          <w:tcPr>
            <w:tcW w:w="1455" w:type="dxa"/>
            <w:tcBorders>
              <w:top w:val="single" w:sz="4" w:space="0" w:color="000000"/>
              <w:left w:val="single" w:sz="13" w:space="0" w:color="D3D3D3"/>
              <w:bottom w:val="single" w:sz="4" w:space="0" w:color="000000"/>
              <w:right w:val="single" w:sz="4" w:space="0" w:color="000000"/>
            </w:tcBorders>
            <w:shd w:val="clear" w:color="auto" w:fill="C7EDCC"/>
          </w:tcPr>
          <w:p>
            <w:pPr/>
          </w:p>
        </w:tc>
        <w:tc>
          <w:tcPr>
            <w:tcW w:w="80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51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423.899994pt;margin-top:84.480003pt;width:24.7pt;height:12pt;mso-position-horizontal-relative:page;mso-position-vertical-relative:page;z-index:-1169224" coordorigin="8478,1690" coordsize="494,240">
            <v:shape style="position:absolute;left:8478;top:1690;width:494;height:240" coordorigin="8478,1690" coordsize="494,240" path="m8478,1930l8971,1930,8971,1690,8478,1690,8478,1930xe" filled="true" fillcolor="#ffffff" stroked="false">
              <v:path arrowok="t"/>
              <v:fill type="solid"/>
            </v:shape>
            <w10:wrap type="none"/>
          </v:group>
        </w:pict>
      </w:r>
      <w:r>
        <w:rPr/>
        <w:pict>
          <v:group style="position:absolute;margin-left:422.76001pt;margin-top:469pt;width:26.95pt;height:300pt;mso-position-horizontal-relative:page;mso-position-vertical-relative:page;z-index:-1169200" coordorigin="8455,9380" coordsize="539,6000">
            <v:shape style="position:absolute;left:8455;top:9380;width:539;height:6000" coordorigin="8455,9380" coordsize="539,6000" path="m8455,15380l8994,15380,8994,9380,8455,9380,8455,153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580"/>
        <w:gridCol w:w="1444"/>
        <w:gridCol w:w="805"/>
        <w:gridCol w:w="4516"/>
        <w:gridCol w:w="548"/>
        <w:gridCol w:w="985"/>
        <w:gridCol w:w="816"/>
      </w:tblGrid>
      <w:tr>
        <w:trPr>
          <w:trHeight w:val="970" w:hRule="exact"/>
        </w:trPr>
        <w:tc>
          <w:tcPr>
            <w:tcW w:w="580"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20"/>
              <w:ind w:left="22" w:right="98"/>
              <w:jc w:val="both"/>
              <w:rPr>
                <w:rFonts w:ascii="宋体" w:hAnsi="宋体" w:cs="宋体" w:eastAsia="宋体" w:hint="default"/>
                <w:sz w:val="18"/>
                <w:szCs w:val="18"/>
              </w:rPr>
            </w:pPr>
            <w:r>
              <w:rPr>
                <w:rFonts w:ascii="宋体" w:hAnsi="宋体" w:cs="宋体" w:eastAsia="宋体" w:hint="default"/>
                <w:sz w:val="18"/>
                <w:szCs w:val="18"/>
              </w:rPr>
              <w:t>都市快报社</w:t>
            </w:r>
            <w:r>
              <w:rPr>
                <w:rFonts w:ascii="Times New Roman" w:hAnsi="Times New Roman" w:cs="Times New Roman" w:eastAsia="Times New Roman" w:hint="default"/>
                <w:sz w:val="18"/>
                <w:szCs w:val="18"/>
              </w:rPr>
              <w:t>;</w:t>
            </w:r>
            <w:r>
              <w:rPr>
                <w:rFonts w:ascii="宋体" w:hAnsi="宋体" w:cs="宋体" w:eastAsia="宋体" w:hint="default"/>
                <w:sz w:val="18"/>
                <w:szCs w:val="18"/>
              </w:rPr>
              <w:t>杭州 日报报业集团有 限公司</w:t>
            </w:r>
          </w:p>
        </w:tc>
        <w:tc>
          <w:tcPr>
            <w:tcW w:w="8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4" w:lineRule="auto"/>
              <w:ind w:left="23" w:right="49"/>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16" w:type="dxa"/>
            <w:tcBorders>
              <w:top w:val="single" w:sz="4" w:space="0" w:color="000000"/>
              <w:left w:val="single" w:sz="4" w:space="0" w:color="000000"/>
              <w:bottom w:val="single" w:sz="4" w:space="0" w:color="000000"/>
              <w:right w:val="single" w:sz="9" w:space="0" w:color="FFFFFF"/>
            </w:tcBorders>
            <w:shd w:val="clear" w:color="auto" w:fill="C7EDCC"/>
          </w:tcPr>
          <w:p>
            <w:pPr>
              <w:pStyle w:val="TableParagraph"/>
              <w:spacing w:line="240" w:lineRule="exact"/>
              <w:ind w:left="22" w:right="-39"/>
              <w:jc w:val="both"/>
              <w:rPr>
                <w:rFonts w:ascii="宋体" w:hAnsi="宋体" w:cs="宋体" w:eastAsia="宋体" w:hint="default"/>
                <w:sz w:val="18"/>
                <w:szCs w:val="18"/>
              </w:rPr>
            </w:pPr>
            <w:r>
              <w:rPr>
                <w:rFonts w:ascii="宋体" w:hAnsi="宋体" w:cs="宋体" w:eastAsia="宋体" w:hint="default"/>
                <w:sz w:val="18"/>
                <w:szCs w:val="18"/>
              </w:rPr>
              <w:t>关于股份锁定的承诺函：杭报集团有限公司及都市快报社 </w:t>
            </w:r>
            <w:r>
              <w:rPr>
                <w:rFonts w:ascii="宋体" w:hAnsi="宋体" w:cs="宋体" w:eastAsia="宋体" w:hint="default"/>
                <w:spacing w:val="-2"/>
                <w:sz w:val="18"/>
                <w:szCs w:val="18"/>
              </w:rPr>
              <w:t>承诺：本公司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本社通过本次非公开发行认购的新增股份，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自本次非公开发行股份上市之日起</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个月内不转让，本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本社亦不委托他人管理前述股份。</w:t>
            </w:r>
          </w:p>
        </w:tc>
        <w:tc>
          <w:tcPr>
            <w:tcW w:w="548" w:type="dxa"/>
            <w:tcBorders>
              <w:top w:val="single" w:sz="4" w:space="0" w:color="000000"/>
              <w:left w:val="single" w:sz="9" w:space="0" w:color="FFFFFF"/>
              <w:bottom w:val="single" w:sz="4" w:space="0" w:color="000000"/>
              <w:right w:val="single" w:sz="4" w:space="0" w:color="000000"/>
            </w:tcBorders>
          </w:tcPr>
          <w:p>
            <w:pPr>
              <w:pStyle w:val="TableParagraph"/>
              <w:spacing w:line="202" w:lineRule="exact" w:before="24"/>
              <w:ind w:left="16"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31" w:lineRule="exact"/>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53"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single" w:sz="4" w:space="0" w:color="000000"/>
              <w:left w:val="single" w:sz="4" w:space="0" w:color="000000"/>
              <w:bottom w:val="nil" w:sz="6" w:space="0" w:color="auto"/>
              <w:right w:val="single" w:sz="4" w:space="0" w:color="000000"/>
            </w:tcBorders>
            <w:shd w:val="clear" w:color="auto" w:fill="C7EDCC"/>
          </w:tcPr>
          <w:p>
            <w:pPr/>
          </w:p>
        </w:tc>
        <w:tc>
          <w:tcPr>
            <w:tcW w:w="805" w:type="dxa"/>
            <w:tcBorders>
              <w:top w:val="single" w:sz="4" w:space="0" w:color="000000"/>
              <w:left w:val="single" w:sz="4" w:space="0" w:color="000000"/>
              <w:bottom w:val="nil" w:sz="6" w:space="0" w:color="auto"/>
              <w:right w:val="single" w:sz="4" w:space="0" w:color="000000"/>
            </w:tcBorders>
            <w:shd w:val="clear" w:color="auto" w:fill="C7EDCC"/>
          </w:tcPr>
          <w:p>
            <w:pPr/>
          </w:p>
        </w:tc>
        <w:tc>
          <w:tcPr>
            <w:tcW w:w="451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关于避免同业竞争的承诺：为避免今后与上市公司之间可</w:t>
            </w:r>
          </w:p>
        </w:tc>
        <w:tc>
          <w:tcPr>
            <w:tcW w:w="548" w:type="dxa"/>
            <w:tcBorders>
              <w:top w:val="single" w:sz="4" w:space="0" w:color="000000"/>
              <w:left w:val="single" w:sz="4" w:space="0" w:color="000000"/>
              <w:bottom w:val="nil" w:sz="6" w:space="0" w:color="auto"/>
              <w:right w:val="single" w:sz="4" w:space="0" w:color="000000"/>
            </w:tcBorders>
          </w:tcPr>
          <w:p>
            <w:pPr/>
          </w:p>
        </w:tc>
        <w:tc>
          <w:tcPr>
            <w:tcW w:w="985" w:type="dxa"/>
            <w:vMerge w:val="restart"/>
            <w:tcBorders>
              <w:top w:val="single" w:sz="4" w:space="0" w:color="000000"/>
              <w:left w:val="single" w:sz="4" w:space="0" w:color="000000"/>
              <w:right w:val="single" w:sz="4" w:space="0" w:color="000000"/>
            </w:tcBorders>
            <w:shd w:val="clear" w:color="auto" w:fill="C7EDCC"/>
          </w:tcPr>
          <w:p>
            <w:pPr/>
          </w:p>
        </w:tc>
        <w:tc>
          <w:tcPr>
            <w:tcW w:w="81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能出现同业竞争，维护上市公司的利益，杭报集团与杭报</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集团有限公司、都市快报社分别出具了关于避免同业竞争</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的承诺函：鉴于华智控股拟向杭州日报报业集团有限公司</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及都市快报社非公开发行股份购买资产，杭州日报报业集</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团有限公司将成为华智控股之控股股东，杭州日报报业集</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团（杭州日报社）将成为华智控股实际控制人。在此基础</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上，本集团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本社承诺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）自本承诺函签署之日</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起，本集团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本社将不会以任何方式直接或间接地</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从事与华智控股的业务及活动构成或可能构成竞争的业</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务及活动，也不会参与投资、拥有或控制任何与华智控股</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经营的业务及活动构成或可能构成竞争的任何法人及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其他组织</w:t>
            </w:r>
            <w:r>
              <w:rPr>
                <w:rFonts w:ascii="宋体" w:hAnsi="宋体" w:cs="宋体" w:eastAsia="宋体" w:hint="default"/>
                <w:spacing w:val="-94"/>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4"/>
                <w:sz w:val="18"/>
                <w:szCs w:val="18"/>
              </w:rPr>
              <w:t>）</w:t>
            </w:r>
            <w:r>
              <w:rPr>
                <w:rFonts w:ascii="宋体" w:hAnsi="宋体" w:cs="宋体" w:eastAsia="宋体" w:hint="default"/>
                <w:sz w:val="18"/>
                <w:szCs w:val="18"/>
              </w:rPr>
              <w:t>如本集团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r>
              <w:rPr>
                <w:rFonts w:ascii="宋体" w:hAnsi="宋体" w:cs="宋体" w:eastAsia="宋体" w:hint="default"/>
                <w:spacing w:val="-4"/>
                <w:sz w:val="18"/>
                <w:szCs w:val="18"/>
              </w:rPr>
              <w:t>社</w:t>
            </w:r>
            <w:r>
              <w:rPr>
                <w:rFonts w:ascii="宋体" w:hAnsi="宋体" w:cs="宋体" w:eastAsia="宋体" w:hint="default"/>
                <w:sz w:val="18"/>
                <w:szCs w:val="18"/>
              </w:rPr>
              <w:t>（包括本集团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本社现有或将来以任何方式直接或间接地投资、拥有</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或控制的法人及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或其他组织）获得的任何商业机会与华</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智控股所从事的业务及活动构成或可能构成竞争的，则本</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本社将立即通知华智控股，并优先将该商业</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机会给予华智控股。在本集团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本社与华智控股存</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在关联关系期间，本承诺函为有效之承诺。如上述承诺被</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证明是不真实的或未被遵守，本集团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本社将向华</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智控股赔偿一切直接和间接损失，并承担相应的法律责</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任。关于减少和规范关联交易的承诺：为了减少和规范关</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192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4" w:lineRule="auto" w:before="89"/>
              <w:ind w:left="22" w:right="185"/>
              <w:jc w:val="both"/>
              <w:rPr>
                <w:rFonts w:ascii="宋体" w:hAnsi="宋体" w:cs="宋体" w:eastAsia="宋体" w:hint="default"/>
                <w:sz w:val="18"/>
                <w:szCs w:val="18"/>
              </w:rPr>
            </w:pPr>
            <w:r>
              <w:rPr>
                <w:rFonts w:ascii="宋体" w:hAnsi="宋体" w:cs="宋体" w:eastAsia="宋体" w:hint="default"/>
                <w:sz w:val="18"/>
                <w:szCs w:val="18"/>
              </w:rPr>
              <w:t>资产 重组 时所 作承 诺</w:t>
            </w: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exact"/>
              <w:ind w:left="22" w:right="20"/>
              <w:jc w:val="left"/>
              <w:rPr>
                <w:rFonts w:ascii="宋体" w:hAnsi="宋体" w:cs="宋体" w:eastAsia="宋体" w:hint="default"/>
                <w:sz w:val="18"/>
                <w:szCs w:val="18"/>
              </w:rPr>
            </w:pPr>
            <w:r>
              <w:rPr>
                <w:rFonts w:ascii="宋体" w:hAnsi="宋体" w:cs="宋体" w:eastAsia="宋体" w:hint="default"/>
                <w:sz w:val="18"/>
                <w:szCs w:val="18"/>
              </w:rPr>
              <w:t>都市快报社</w:t>
            </w:r>
            <w:r>
              <w:rPr>
                <w:rFonts w:ascii="Times New Roman" w:hAnsi="Times New Roman" w:cs="Times New Roman" w:eastAsia="Times New Roman" w:hint="default"/>
                <w:sz w:val="18"/>
                <w:szCs w:val="18"/>
              </w:rPr>
              <w:t>;</w:t>
            </w:r>
            <w:r>
              <w:rPr>
                <w:rFonts w:ascii="宋体" w:hAnsi="宋体" w:cs="宋体" w:eastAsia="宋体" w:hint="default"/>
                <w:sz w:val="18"/>
                <w:szCs w:val="18"/>
              </w:rPr>
              <w:t>杭州 </w:t>
            </w:r>
            <w:r>
              <w:rPr>
                <w:rFonts w:ascii="宋体" w:hAnsi="宋体" w:cs="宋体" w:eastAsia="宋体" w:hint="default"/>
                <w:spacing w:val="-7"/>
                <w:sz w:val="18"/>
                <w:szCs w:val="18"/>
              </w:rPr>
              <w:t>日报报业集团（杭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州日报社）</w:t>
            </w:r>
            <w:r>
              <w:rPr>
                <w:rFonts w:ascii="Times New Roman" w:hAnsi="Times New Roman" w:cs="Times New Roman" w:eastAsia="Times New Roman" w:hint="default"/>
                <w:sz w:val="18"/>
                <w:szCs w:val="18"/>
              </w:rPr>
              <w:t>;</w:t>
            </w:r>
            <w:r>
              <w:rPr>
                <w:rFonts w:ascii="宋体" w:hAnsi="宋体" w:cs="宋体" w:eastAsia="宋体" w:hint="default"/>
                <w:sz w:val="18"/>
                <w:szCs w:val="18"/>
              </w:rPr>
              <w:t>杭州 日报报业集团有 限公司</w:t>
            </w:r>
          </w:p>
        </w:tc>
        <w:tc>
          <w:tcPr>
            <w:tcW w:w="80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4" w:lineRule="auto"/>
              <w:ind w:left="23" w:right="49"/>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联交易，维护上市公司及中小股东的合法权益，杭报集团</w:t>
            </w:r>
          </w:p>
          <w:p>
            <w:pPr>
              <w:pStyle w:val="TableParagraph"/>
              <w:spacing w:line="244" w:lineRule="auto" w:before="4"/>
              <w:ind w:left="22" w:right="20"/>
              <w:jc w:val="left"/>
              <w:rPr>
                <w:rFonts w:ascii="宋体" w:hAnsi="宋体" w:cs="宋体" w:eastAsia="宋体" w:hint="default"/>
                <w:sz w:val="18"/>
                <w:szCs w:val="18"/>
              </w:rPr>
            </w:pPr>
            <w:r>
              <w:rPr>
                <w:rFonts w:ascii="宋体" w:hAnsi="宋体" w:cs="宋体" w:eastAsia="宋体" w:hint="default"/>
                <w:spacing w:val="-2"/>
                <w:sz w:val="18"/>
                <w:szCs w:val="18"/>
              </w:rPr>
              <w:t>及杭报集团有限公司、都市快报社分别出具了关于规范与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上市公司关联交易的承诺函：鉴于华智控股拟向杭州日报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报业集团有限公司及都市快报社非公开发行股份购买资 </w:t>
            </w:r>
            <w:r>
              <w:rPr>
                <w:rFonts w:ascii="宋体" w:hAnsi="宋体" w:cs="宋体" w:eastAsia="宋体" w:hint="default"/>
                <w:spacing w:val="-2"/>
                <w:sz w:val="18"/>
                <w:szCs w:val="18"/>
              </w:rPr>
              <w:t>产，杭州日报报业集团有限公司及都市快报社将成为华智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控股控股股东，杭州日报报业集团（杭州日报社）将成为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华智控股实际控制人。在此基础上，为规范和减少关联交</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易，保护华智控股及其少数股东权益，本集团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2" w:lineRule="exact" w:before="115"/>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履行之中</w:t>
            </w: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社承诺如下</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本社及本集团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本社控制的法人及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或其他组织将尽量避免与华智控股</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（包括其控制的法人及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或其他组织）之间发生关联交易</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）如本集团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本社及本集团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本社控制的</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法人及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或其他组织今后与华智控股不可避免地出现关联</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交易时，将依照市场规则，本着一般商业原则，通过签订</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书面协议，并严格按照《中华人民共和国公司法</w:t>
            </w:r>
            <w:r>
              <w:rPr>
                <w:rFonts w:ascii="宋体" w:hAnsi="宋体" w:cs="宋体" w:eastAsia="宋体" w:hint="default"/>
                <w:spacing w:val="-90"/>
                <w:sz w:val="18"/>
                <w:szCs w:val="18"/>
              </w:rPr>
              <w:t>》</w:t>
            </w:r>
            <w:r>
              <w:rPr>
                <w:rFonts w:ascii="宋体" w:hAnsi="宋体" w:cs="宋体" w:eastAsia="宋体" w:hint="default"/>
                <w:sz w:val="18"/>
                <w:szCs w:val="18"/>
              </w:rPr>
              <w:t>、华智</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控股公司章程及其关联交易管理制度所规定的方式和程</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序履行关联交易审批程序，公平合理交易。涉及到本集团</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本社的关联交易，本集团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本社将在相关股</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东大会中回避表决，不利用本集团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本社在华智控</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股的股东地位，为本集团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本社在与华智控股关联</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交易中谋取不正当利益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）保证不利用本集团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本社对华智控股的股东地位及重大影响，谋求华智控股在</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业务合作等方面给予本集团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本社优于市场第三方</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的权利，不利用本集团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本社对华智控股的股东地</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位及重大影响</w:t>
            </w:r>
            <w:r>
              <w:rPr>
                <w:rFonts w:ascii="宋体" w:hAnsi="宋体" w:cs="宋体" w:eastAsia="宋体" w:hint="default"/>
                <w:spacing w:val="-66"/>
                <w:sz w:val="18"/>
                <w:szCs w:val="18"/>
              </w:rPr>
              <w:t>，</w:t>
            </w:r>
            <w:r>
              <w:rPr>
                <w:rFonts w:ascii="宋体" w:hAnsi="宋体" w:cs="宋体" w:eastAsia="宋体" w:hint="default"/>
                <w:sz w:val="18"/>
                <w:szCs w:val="18"/>
              </w:rPr>
              <w:t>谋求与华智控股达成交易的优先权利</w:t>
            </w:r>
            <w:r>
              <w:rPr>
                <w:rFonts w:ascii="宋体" w:hAnsi="宋体" w:cs="宋体" w:eastAsia="宋体" w:hint="default"/>
                <w:spacing w:val="-15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根</w:t>
            </w:r>
            <w:r>
              <w:rPr>
                <w:rFonts w:ascii="宋体" w:hAnsi="宋体" w:cs="宋体" w:eastAsia="宋体" w:hint="default"/>
                <w:spacing w:val="-21"/>
                <w:sz w:val="18"/>
                <w:szCs w:val="18"/>
              </w:rPr>
              <w:t>据</w:t>
            </w:r>
            <w:r>
              <w:rPr>
                <w:rFonts w:ascii="宋体" w:hAnsi="宋体" w:cs="宋体" w:eastAsia="宋体" w:hint="default"/>
                <w:sz w:val="18"/>
                <w:szCs w:val="18"/>
              </w:rPr>
              <w:t>《中华人民共和国公司法</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《深圳证券交易所股票上</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市规则》等有关法律、法规、规范性文件和华智控股章程</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的规定，督促华智控股依法履行信息披露义务和办理有关</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报批程序。在本集团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本社与华智控股存在关联关</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系期间，本承诺函为有效之承诺。如上述承诺被证明是不</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真实的或未被遵守，本集团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本社将向华智控股赔</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3" w:hRule="exact"/>
        </w:trPr>
        <w:tc>
          <w:tcPr>
            <w:tcW w:w="5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single" w:sz="4" w:space="0" w:color="000000"/>
              <w:right w:val="single" w:sz="4" w:space="0" w:color="000000"/>
            </w:tcBorders>
            <w:shd w:val="clear" w:color="auto" w:fill="C7EDCC"/>
          </w:tcPr>
          <w:p>
            <w:pPr/>
          </w:p>
        </w:tc>
        <w:tc>
          <w:tcPr>
            <w:tcW w:w="805" w:type="dxa"/>
            <w:tcBorders>
              <w:top w:val="nil" w:sz="6" w:space="0" w:color="auto"/>
              <w:left w:val="single" w:sz="4" w:space="0" w:color="000000"/>
              <w:bottom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偿一切直接和间接损失，并承担相应的法律责任。关于维</w:t>
            </w:r>
          </w:p>
        </w:tc>
        <w:tc>
          <w:tcPr>
            <w:tcW w:w="548" w:type="dxa"/>
            <w:tcBorders>
              <w:top w:val="nil" w:sz="6" w:space="0" w:color="auto"/>
              <w:left w:val="single" w:sz="4" w:space="0" w:color="000000"/>
              <w:bottom w:val="single" w:sz="4" w:space="0" w:color="000000"/>
              <w:right w:val="single" w:sz="4" w:space="0" w:color="000000"/>
            </w:tcBorders>
          </w:tcPr>
          <w:p>
            <w:pPr/>
          </w:p>
        </w:tc>
        <w:tc>
          <w:tcPr>
            <w:tcW w:w="985" w:type="dxa"/>
            <w:vMerge/>
            <w:tcBorders>
              <w:left w:val="single" w:sz="4" w:space="0" w:color="000000"/>
              <w:bottom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90.519409pt;margin-top:72.480003pt;width:159.2pt;height:192pt;mso-position-horizontal-relative:page;mso-position-vertical-relative:page;z-index:-11691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2"/>
                      <w:szCs w:val="22"/>
                    </w:rPr>
                  </w:pPr>
                </w:p>
                <w:p>
                  <w:pPr>
                    <w:pStyle w:val="BodyText"/>
                    <w:spacing w:line="240" w:lineRule="auto"/>
                    <w:ind w:left="0" w:right="0" w:firstLine="1260"/>
                    <w:jc w:val="left"/>
                  </w:pPr>
                  <w:r>
                    <w:rPr/>
                    <w:t>完整的组织机构；</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03"/>
                    <w:ind w:left="0" w:right="0"/>
                    <w:jc w:val="left"/>
                  </w:pPr>
                  <w:r>
                    <w:rPr/>
                    <w:t>在作为华智控股实际控制人期间，</w:t>
                  </w:r>
                </w:p>
              </w:txbxContent>
            </v:textbox>
            <w10:wrap type="none"/>
          </v:shape>
        </w:pict>
      </w:r>
      <w:r>
        <w:rPr/>
        <w:pict>
          <v:group style="position:absolute;margin-left:422.76001pt;margin-top:72.480003pt;width:26.95pt;height:420.55pt;mso-position-horizontal-relative:page;mso-position-vertical-relative:page;z-index:-1169152" coordorigin="8455,1450" coordsize="539,8411">
            <v:group style="position:absolute;left:8455;top:1450;width:539;height:3840" coordorigin="8455,1450" coordsize="539,3840">
              <v:shape style="position:absolute;left:8455;top:1450;width:539;height:3840" coordorigin="8455,1450" coordsize="539,3840" path="m8455,5290l8994,5290,8994,1450,8455,1450,8455,5290xe" filled="true" fillcolor="#ffffff" stroked="false">
                <v:path arrowok="t"/>
                <v:fill type="solid"/>
              </v:shape>
            </v:group>
            <v:group style="position:absolute;left:8455;top:5300;width:539;height:4560" coordorigin="8455,5300" coordsize="539,4560">
              <v:shape style="position:absolute;left:8455;top:5300;width:539;height:4560" coordorigin="8455,5300" coordsize="539,4560" path="m8455,9860l8994,9860,8994,5300,8455,5300,8455,9860xe" filled="true" fillcolor="#ffffff" stroked="false">
                <v:path arrowok="t"/>
                <v:fill type="solid"/>
              </v:shape>
            </v:group>
            <w10:wrap type="none"/>
          </v:group>
        </w:pict>
      </w:r>
      <w:r>
        <w:rPr/>
        <w:pict>
          <v:group style="position:absolute;margin-left:422.76001pt;margin-top:541pt;width:26.95pt;height:228pt;mso-position-horizontal-relative:page;mso-position-vertical-relative:page;z-index:-1169128" coordorigin="8455,10820" coordsize="539,4560">
            <v:shape style="position:absolute;left:8455;top:10820;width:539;height:4560" coordorigin="8455,10820" coordsize="539,4560" path="m8455,15380l8994,15380,8994,10820,8455,10820,8455,153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580"/>
        <w:gridCol w:w="1444"/>
        <w:gridCol w:w="805"/>
        <w:gridCol w:w="4516"/>
        <w:gridCol w:w="548"/>
        <w:gridCol w:w="985"/>
        <w:gridCol w:w="816"/>
      </w:tblGrid>
      <w:tr>
        <w:trPr>
          <w:trHeight w:val="252" w:hRule="exact"/>
        </w:trPr>
        <w:tc>
          <w:tcPr>
            <w:tcW w:w="580" w:type="dxa"/>
            <w:vMerge w:val="restart"/>
            <w:tcBorders>
              <w:top w:val="single" w:sz="4" w:space="0" w:color="000000"/>
              <w:left w:val="single" w:sz="4" w:space="0" w:color="000000"/>
              <w:right w:val="single" w:sz="4" w:space="0" w:color="000000"/>
            </w:tcBorders>
            <w:shd w:val="clear" w:color="auto" w:fill="D3D3D3"/>
          </w:tcPr>
          <w:p>
            <w:pPr/>
          </w:p>
        </w:tc>
        <w:tc>
          <w:tcPr>
            <w:tcW w:w="1444" w:type="dxa"/>
            <w:vMerge w:val="restart"/>
            <w:tcBorders>
              <w:top w:val="single" w:sz="4" w:space="0" w:color="000000"/>
              <w:left w:val="single" w:sz="4" w:space="0" w:color="000000"/>
              <w:right w:val="single" w:sz="4" w:space="0" w:color="000000"/>
            </w:tcBorders>
            <w:shd w:val="clear" w:color="auto" w:fill="C7EDCC"/>
          </w:tcPr>
          <w:p>
            <w:pPr/>
          </w:p>
        </w:tc>
        <w:tc>
          <w:tcPr>
            <w:tcW w:w="805" w:type="dxa"/>
            <w:vMerge w:val="restart"/>
            <w:tcBorders>
              <w:top w:val="single" w:sz="4" w:space="0" w:color="000000"/>
              <w:left w:val="single" w:sz="4" w:space="0" w:color="000000"/>
              <w:right w:val="single" w:sz="4" w:space="0" w:color="000000"/>
            </w:tcBorders>
            <w:shd w:val="clear" w:color="auto" w:fill="C7EDCC"/>
          </w:tcPr>
          <w:p>
            <w:pPr/>
          </w:p>
        </w:tc>
        <w:tc>
          <w:tcPr>
            <w:tcW w:w="451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护上市公司独立性的承诺：杭报集团承诺：在本次非公开</w:t>
            </w:r>
          </w:p>
        </w:tc>
        <w:tc>
          <w:tcPr>
            <w:tcW w:w="548" w:type="dxa"/>
            <w:vMerge w:val="restart"/>
            <w:tcBorders>
              <w:top w:val="single" w:sz="4" w:space="0" w:color="000000"/>
              <w:left w:val="single" w:sz="4" w:space="0" w:color="000000"/>
              <w:right w:val="single" w:sz="4" w:space="0" w:color="000000"/>
            </w:tcBorders>
          </w:tcPr>
          <w:p>
            <w:pPr/>
          </w:p>
        </w:tc>
        <w:tc>
          <w:tcPr>
            <w:tcW w:w="985" w:type="dxa"/>
            <w:vMerge w:val="restart"/>
            <w:tcBorders>
              <w:top w:val="single" w:sz="4" w:space="0" w:color="000000"/>
              <w:left w:val="single" w:sz="4" w:space="0" w:color="000000"/>
              <w:right w:val="single" w:sz="4" w:space="0" w:color="000000"/>
            </w:tcBorders>
            <w:shd w:val="clear" w:color="auto" w:fill="C7EDCC"/>
          </w:tcPr>
          <w:p>
            <w:pPr/>
          </w:p>
        </w:tc>
        <w:tc>
          <w:tcPr>
            <w:tcW w:w="816" w:type="dxa"/>
            <w:vMerge w:val="restart"/>
            <w:tcBorders>
              <w:top w:val="single" w:sz="4" w:space="0" w:color="000000"/>
              <w:left w:val="single" w:sz="4" w:space="0" w:color="000000"/>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right w:val="single" w:sz="4" w:space="0" w:color="000000"/>
            </w:tcBorders>
            <w:shd w:val="clear" w:color="auto" w:fill="C7EDCC"/>
          </w:tcPr>
          <w:p>
            <w:pPr/>
          </w:p>
        </w:tc>
        <w:tc>
          <w:tcPr>
            <w:tcW w:w="805" w:type="dxa"/>
            <w:vMerge/>
            <w:tcBorders>
              <w:left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发行股份购买资产完成后，杭报集团将保证上市公司建立</w:t>
            </w:r>
          </w:p>
        </w:tc>
        <w:tc>
          <w:tcPr>
            <w:tcW w:w="548"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right w:val="single" w:sz="4" w:space="0" w:color="000000"/>
            </w:tcBorders>
            <w:shd w:val="clear" w:color="auto" w:fill="C7EDCC"/>
          </w:tcPr>
          <w:p>
            <w:pPr/>
          </w:p>
        </w:tc>
        <w:tc>
          <w:tcPr>
            <w:tcW w:w="805" w:type="dxa"/>
            <w:vMerge/>
            <w:tcBorders>
              <w:left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健全股份公司法人治理结构，拥有独立、</w:t>
            </w:r>
          </w:p>
        </w:tc>
        <w:tc>
          <w:tcPr>
            <w:tcW w:w="548"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right w:val="single" w:sz="4" w:space="0" w:color="000000"/>
            </w:tcBorders>
            <w:shd w:val="clear" w:color="auto" w:fill="C7EDCC"/>
          </w:tcPr>
          <w:p>
            <w:pPr/>
          </w:p>
        </w:tc>
        <w:tc>
          <w:tcPr>
            <w:tcW w:w="805" w:type="dxa"/>
            <w:vMerge/>
            <w:tcBorders>
              <w:left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17"/>
              <w:jc w:val="left"/>
              <w:rPr>
                <w:rFonts w:ascii="宋体" w:hAnsi="宋体" w:cs="宋体" w:eastAsia="宋体" w:hint="default"/>
                <w:sz w:val="18"/>
                <w:szCs w:val="18"/>
              </w:rPr>
            </w:pPr>
            <w:r>
              <w:rPr>
                <w:rFonts w:ascii="宋体" w:hAnsi="宋体" w:cs="宋体" w:eastAsia="宋体" w:hint="default"/>
                <w:sz w:val="18"/>
                <w:szCs w:val="18"/>
              </w:rPr>
              <w:t>保证上市公司的股东大会、董事会、独立董事、监事会、</w:t>
            </w:r>
          </w:p>
        </w:tc>
        <w:tc>
          <w:tcPr>
            <w:tcW w:w="548"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right w:val="single" w:sz="4" w:space="0" w:color="000000"/>
            </w:tcBorders>
            <w:shd w:val="clear" w:color="auto" w:fill="C7EDCC"/>
          </w:tcPr>
          <w:p>
            <w:pPr/>
          </w:p>
        </w:tc>
        <w:tc>
          <w:tcPr>
            <w:tcW w:w="805" w:type="dxa"/>
            <w:vMerge/>
            <w:tcBorders>
              <w:left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总经理等依照法律、法规和公司章程独立行使职权；保证</w:t>
            </w:r>
          </w:p>
        </w:tc>
        <w:tc>
          <w:tcPr>
            <w:tcW w:w="548"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right w:val="single" w:sz="4" w:space="0" w:color="000000"/>
            </w:tcBorders>
            <w:shd w:val="clear" w:color="auto" w:fill="C7EDCC"/>
          </w:tcPr>
          <w:p>
            <w:pPr/>
          </w:p>
        </w:tc>
        <w:tc>
          <w:tcPr>
            <w:tcW w:w="805" w:type="dxa"/>
            <w:vMerge/>
            <w:tcBorders>
              <w:left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从业务、资产、财务、人员、机构等方面保障上市公司的</w:t>
            </w:r>
          </w:p>
        </w:tc>
        <w:tc>
          <w:tcPr>
            <w:tcW w:w="548"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right w:val="single" w:sz="4" w:space="0" w:color="000000"/>
            </w:tcBorders>
            <w:shd w:val="clear" w:color="auto" w:fill="C7EDCC"/>
          </w:tcPr>
          <w:p>
            <w:pPr/>
          </w:p>
        </w:tc>
        <w:tc>
          <w:tcPr>
            <w:tcW w:w="805" w:type="dxa"/>
            <w:vMerge/>
            <w:tcBorders>
              <w:left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6"/>
                <w:sz w:val="18"/>
                <w:szCs w:val="18"/>
              </w:rPr>
              <w:t>独立性。杭报集团承诺：</w:t>
            </w:r>
          </w:p>
        </w:tc>
        <w:tc>
          <w:tcPr>
            <w:tcW w:w="548"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right w:val="single" w:sz="4" w:space="0" w:color="000000"/>
            </w:tcBorders>
            <w:shd w:val="clear" w:color="auto" w:fill="C7EDCC"/>
          </w:tcPr>
          <w:p>
            <w:pPr/>
          </w:p>
        </w:tc>
        <w:tc>
          <w:tcPr>
            <w:tcW w:w="805" w:type="dxa"/>
            <w:vMerge/>
            <w:tcBorders>
              <w:left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杭报集团以及其直接或间接控制的企业均不以代垫费用</w:t>
            </w:r>
          </w:p>
        </w:tc>
        <w:tc>
          <w:tcPr>
            <w:tcW w:w="548"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right w:val="single" w:sz="4" w:space="0" w:color="000000"/>
            </w:tcBorders>
            <w:shd w:val="clear" w:color="auto" w:fill="C7EDCC"/>
          </w:tcPr>
          <w:p>
            <w:pPr/>
          </w:p>
        </w:tc>
        <w:tc>
          <w:tcPr>
            <w:tcW w:w="805" w:type="dxa"/>
            <w:vMerge/>
            <w:tcBorders>
              <w:left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或其他支出、直接或间接借款、代偿债务等任何方式违规</w:t>
            </w:r>
          </w:p>
        </w:tc>
        <w:tc>
          <w:tcPr>
            <w:tcW w:w="548"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right w:val="single" w:sz="4" w:space="0" w:color="000000"/>
            </w:tcBorders>
            <w:shd w:val="clear" w:color="auto" w:fill="C7EDCC"/>
          </w:tcPr>
          <w:p>
            <w:pPr/>
          </w:p>
        </w:tc>
        <w:tc>
          <w:tcPr>
            <w:tcW w:w="805" w:type="dxa"/>
            <w:vMerge/>
            <w:tcBorders>
              <w:left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占用华智控股及其子公司的资金，且将严格遵守中国证监</w:t>
            </w:r>
          </w:p>
        </w:tc>
        <w:tc>
          <w:tcPr>
            <w:tcW w:w="548"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right w:val="single" w:sz="4" w:space="0" w:color="000000"/>
            </w:tcBorders>
            <w:shd w:val="clear" w:color="auto" w:fill="C7EDCC"/>
          </w:tcPr>
          <w:p>
            <w:pPr/>
          </w:p>
        </w:tc>
        <w:tc>
          <w:tcPr>
            <w:tcW w:w="805" w:type="dxa"/>
            <w:vMerge/>
            <w:tcBorders>
              <w:left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会关于上市公司法人治理的有关规定，避免与华智控股发</w:t>
            </w:r>
          </w:p>
        </w:tc>
        <w:tc>
          <w:tcPr>
            <w:tcW w:w="548"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right w:val="single" w:sz="4" w:space="0" w:color="000000"/>
            </w:tcBorders>
            <w:shd w:val="clear" w:color="auto" w:fill="C7EDCC"/>
          </w:tcPr>
          <w:p>
            <w:pPr/>
          </w:p>
        </w:tc>
        <w:tc>
          <w:tcPr>
            <w:tcW w:w="805" w:type="dxa"/>
            <w:vMerge/>
            <w:tcBorders>
              <w:left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生与正常生产经营无关的资金往来行为。杭报集团有限公</w:t>
            </w:r>
          </w:p>
        </w:tc>
        <w:tc>
          <w:tcPr>
            <w:tcW w:w="548"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right w:val="single" w:sz="4" w:space="0" w:color="000000"/>
            </w:tcBorders>
            <w:shd w:val="clear" w:color="auto" w:fill="C7EDCC"/>
          </w:tcPr>
          <w:p>
            <w:pPr/>
          </w:p>
        </w:tc>
        <w:tc>
          <w:tcPr>
            <w:tcW w:w="805" w:type="dxa"/>
            <w:vMerge/>
            <w:tcBorders>
              <w:left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司及都市快报社承诺：不利用上市公司股东地位损害上市</w:t>
            </w:r>
          </w:p>
        </w:tc>
        <w:tc>
          <w:tcPr>
            <w:tcW w:w="548"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right w:val="single" w:sz="4" w:space="0" w:color="000000"/>
            </w:tcBorders>
            <w:shd w:val="clear" w:color="auto" w:fill="C7EDCC"/>
          </w:tcPr>
          <w:p>
            <w:pPr/>
          </w:p>
        </w:tc>
        <w:tc>
          <w:tcPr>
            <w:tcW w:w="805" w:type="dxa"/>
            <w:vMerge/>
            <w:tcBorders>
              <w:left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公司及其他社会公众股东的利益。在作为上市公司股东期</w:t>
            </w:r>
          </w:p>
        </w:tc>
        <w:tc>
          <w:tcPr>
            <w:tcW w:w="548"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right w:val="single" w:sz="4" w:space="0" w:color="000000"/>
            </w:tcBorders>
            <w:shd w:val="clear" w:color="auto" w:fill="C7EDCC"/>
          </w:tcPr>
          <w:p>
            <w:pPr/>
          </w:p>
        </w:tc>
        <w:tc>
          <w:tcPr>
            <w:tcW w:w="805" w:type="dxa"/>
            <w:vMerge/>
            <w:tcBorders>
              <w:left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间，与上市公司在人员、财务、资产、业务和机构等方面</w:t>
            </w:r>
          </w:p>
        </w:tc>
        <w:tc>
          <w:tcPr>
            <w:tcW w:w="548"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r>
      <w:tr>
        <w:trPr>
          <w:trHeight w:val="238"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bottom w:val="single" w:sz="4" w:space="0" w:color="000000"/>
              <w:right w:val="single" w:sz="4" w:space="0" w:color="000000"/>
            </w:tcBorders>
            <w:shd w:val="clear" w:color="auto" w:fill="C7EDCC"/>
          </w:tcPr>
          <w:p>
            <w:pPr/>
          </w:p>
        </w:tc>
        <w:tc>
          <w:tcPr>
            <w:tcW w:w="805" w:type="dxa"/>
            <w:vMerge/>
            <w:tcBorders>
              <w:left w:val="single" w:sz="4" w:space="0" w:color="000000"/>
              <w:bottom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将保持相互独立。</w:t>
            </w:r>
          </w:p>
        </w:tc>
        <w:tc>
          <w:tcPr>
            <w:tcW w:w="548" w:type="dxa"/>
            <w:vMerge/>
            <w:tcBorders>
              <w:left w:val="single" w:sz="4" w:space="0" w:color="000000"/>
              <w:bottom w:val="single" w:sz="4" w:space="0" w:color="000000"/>
              <w:right w:val="single" w:sz="4" w:space="0" w:color="000000"/>
            </w:tcBorders>
          </w:tcPr>
          <w:p>
            <w:pPr/>
          </w:p>
        </w:tc>
        <w:tc>
          <w:tcPr>
            <w:tcW w:w="985" w:type="dxa"/>
            <w:vMerge/>
            <w:tcBorders>
              <w:left w:val="single" w:sz="4" w:space="0" w:color="000000"/>
              <w:bottom w:val="single" w:sz="4" w:space="0" w:color="000000"/>
              <w:right w:val="single" w:sz="4" w:space="0" w:color="000000"/>
            </w:tcBorders>
            <w:shd w:val="clear" w:color="auto" w:fill="C7EDCC"/>
          </w:tcPr>
          <w:p>
            <w:pPr/>
          </w:p>
        </w:tc>
        <w:tc>
          <w:tcPr>
            <w:tcW w:w="816" w:type="dxa"/>
            <w:vMerge/>
            <w:tcBorders>
              <w:left w:val="single" w:sz="4" w:space="0" w:color="000000"/>
              <w:bottom w:val="single" w:sz="4" w:space="0" w:color="000000"/>
              <w:right w:val="single" w:sz="4" w:space="0" w:color="000000"/>
            </w:tcBorders>
            <w:shd w:val="clear" w:color="auto" w:fill="C7EDCC"/>
          </w:tcPr>
          <w:p>
            <w:pPr/>
          </w:p>
        </w:tc>
      </w:tr>
      <w:tr>
        <w:trPr>
          <w:trHeight w:val="258" w:hRule="exact"/>
        </w:trPr>
        <w:tc>
          <w:tcPr>
            <w:tcW w:w="580" w:type="dxa"/>
            <w:vMerge/>
            <w:tcBorders>
              <w:left w:val="single" w:sz="4" w:space="0" w:color="000000"/>
              <w:right w:val="single" w:sz="4" w:space="0" w:color="000000"/>
            </w:tcBorders>
            <w:shd w:val="clear" w:color="auto" w:fill="D3D3D3"/>
          </w:tcPr>
          <w:p>
            <w:pPr/>
          </w:p>
        </w:tc>
        <w:tc>
          <w:tcPr>
            <w:tcW w:w="1444" w:type="dxa"/>
            <w:tcBorders>
              <w:top w:val="single" w:sz="4" w:space="0" w:color="000000"/>
              <w:left w:val="single" w:sz="4" w:space="0" w:color="000000"/>
              <w:bottom w:val="nil" w:sz="6" w:space="0" w:color="auto"/>
              <w:right w:val="single" w:sz="4" w:space="0" w:color="000000"/>
            </w:tcBorders>
            <w:shd w:val="clear" w:color="auto" w:fill="C7EDCC"/>
          </w:tcPr>
          <w:p>
            <w:pPr/>
          </w:p>
        </w:tc>
        <w:tc>
          <w:tcPr>
            <w:tcW w:w="805" w:type="dxa"/>
            <w:tcBorders>
              <w:top w:val="single" w:sz="4" w:space="0" w:color="000000"/>
              <w:left w:val="single" w:sz="4" w:space="0" w:color="000000"/>
              <w:bottom w:val="nil" w:sz="6" w:space="0" w:color="auto"/>
              <w:right w:val="single" w:sz="4" w:space="0" w:color="000000"/>
            </w:tcBorders>
            <w:shd w:val="clear" w:color="auto" w:fill="C7EDCC"/>
          </w:tcPr>
          <w:p>
            <w:pPr/>
          </w:p>
        </w:tc>
        <w:tc>
          <w:tcPr>
            <w:tcW w:w="451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关于采编资产注入的承诺：基于</w:t>
            </w:r>
            <w:r>
              <w:rPr>
                <w:rFonts w:ascii="Times New Roman" w:hAnsi="Times New Roman" w:cs="Times New Roman" w:eastAsia="Times New Roman" w:hint="default"/>
                <w:sz w:val="18"/>
                <w:szCs w:val="18"/>
              </w:rPr>
              <w:t>“</w:t>
            </w:r>
            <w:r>
              <w:rPr>
                <w:rFonts w:ascii="宋体" w:hAnsi="宋体" w:cs="宋体" w:eastAsia="宋体" w:hint="default"/>
                <w:sz w:val="18"/>
                <w:szCs w:val="18"/>
              </w:rPr>
              <w:t>编营分离</w:t>
            </w:r>
            <w:r>
              <w:rPr>
                <w:rFonts w:ascii="Times New Roman" w:hAnsi="Times New Roman" w:cs="Times New Roman" w:eastAsia="Times New Roman" w:hint="default"/>
                <w:sz w:val="18"/>
                <w:szCs w:val="18"/>
              </w:rPr>
              <w:t>”</w:t>
            </w:r>
            <w:r>
              <w:rPr>
                <w:rFonts w:ascii="宋体" w:hAnsi="宋体" w:cs="宋体" w:eastAsia="宋体" w:hint="default"/>
                <w:sz w:val="18"/>
                <w:szCs w:val="18"/>
              </w:rPr>
              <w:t>的行业政策，</w:t>
            </w:r>
          </w:p>
        </w:tc>
        <w:tc>
          <w:tcPr>
            <w:tcW w:w="548" w:type="dxa"/>
            <w:tcBorders>
              <w:top w:val="single" w:sz="4" w:space="0" w:color="000000"/>
              <w:left w:val="single" w:sz="4" w:space="0" w:color="000000"/>
              <w:bottom w:val="nil" w:sz="6" w:space="0" w:color="auto"/>
              <w:right w:val="single" w:sz="4" w:space="0" w:color="000000"/>
            </w:tcBorders>
          </w:tcPr>
          <w:p>
            <w:pPr/>
          </w:p>
        </w:tc>
        <w:tc>
          <w:tcPr>
            <w:tcW w:w="985" w:type="dxa"/>
            <w:vMerge w:val="restart"/>
            <w:tcBorders>
              <w:top w:val="single" w:sz="4" w:space="0" w:color="000000"/>
              <w:left w:val="single" w:sz="4" w:space="0" w:color="000000"/>
              <w:right w:val="single" w:sz="4" w:space="0" w:color="000000"/>
            </w:tcBorders>
            <w:shd w:val="clear" w:color="auto" w:fill="C7EDCC"/>
          </w:tcPr>
          <w:p>
            <w:pPr/>
          </w:p>
        </w:tc>
        <w:tc>
          <w:tcPr>
            <w:tcW w:w="81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235"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本次注入资产不包括报纸采编类资产。杭报集团承诺：自</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行业政策允许采编资产上市之日起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个月内，杭报集团</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5"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同意，经国家有关部门批准（如有）后，无条件允许华智</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控股择机通过现金或股权等方式收购杭报集团及下属报</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社未进入上市范围之内的报刊采编业务资产。关于收入分</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成的承诺：杭报集团及下属报社与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家传媒经营公司签订</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5"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了《授权经营协议》和《收入分成协议</w:t>
            </w:r>
            <w:r>
              <w:rPr>
                <w:rFonts w:ascii="宋体" w:hAnsi="宋体" w:cs="宋体" w:eastAsia="宋体" w:hint="default"/>
                <w:spacing w:val="-90"/>
                <w:sz w:val="18"/>
                <w:szCs w:val="18"/>
              </w:rPr>
              <w:t>》</w:t>
            </w:r>
            <w:r>
              <w:rPr>
                <w:rFonts w:ascii="宋体" w:hAnsi="宋体" w:cs="宋体" w:eastAsia="宋体" w:hint="default"/>
                <w:sz w:val="18"/>
                <w:szCs w:val="18"/>
              </w:rPr>
              <w:t>，杭报集团及下</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属报社将传媒经营业务授权该等公司管理运作，按照运营</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管理报社经营性业务所形成的经营收入（母公司）进行分</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成。杭报集团承诺：在相应报社所办报刊的版面、发行量</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以及外部市场环境不发生重大变化的条件下，涉及授权经</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家传媒经营公司在授权经营期限内（即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年内）</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8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exact"/>
              <w:ind w:left="22" w:right="20"/>
              <w:jc w:val="left"/>
              <w:rPr>
                <w:rFonts w:ascii="宋体" w:hAnsi="宋体" w:cs="宋体" w:eastAsia="宋体" w:hint="default"/>
                <w:sz w:val="18"/>
                <w:szCs w:val="18"/>
              </w:rPr>
            </w:pPr>
            <w:r>
              <w:rPr>
                <w:rFonts w:ascii="宋体" w:hAnsi="宋体" w:cs="宋体" w:eastAsia="宋体" w:hint="default"/>
                <w:sz w:val="18"/>
                <w:szCs w:val="18"/>
              </w:rPr>
              <w:t>杭州日报报业集 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杭州 </w:t>
            </w:r>
            <w:r>
              <w:rPr>
                <w:rFonts w:ascii="宋体" w:hAnsi="宋体" w:cs="宋体" w:eastAsia="宋体" w:hint="default"/>
                <w:spacing w:val="-7"/>
                <w:sz w:val="18"/>
                <w:szCs w:val="18"/>
              </w:rPr>
              <w:t>日报报业集团（杭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州日报社）</w:t>
            </w:r>
            <w:r>
              <w:rPr>
                <w:rFonts w:ascii="Times New Roman" w:hAnsi="Times New Roman" w:cs="Times New Roman" w:eastAsia="Times New Roman" w:hint="default"/>
                <w:sz w:val="18"/>
                <w:szCs w:val="18"/>
              </w:rPr>
              <w:t>;</w:t>
            </w:r>
            <w:r>
              <w:rPr>
                <w:rFonts w:ascii="宋体" w:hAnsi="宋体" w:cs="宋体" w:eastAsia="宋体" w:hint="default"/>
                <w:sz w:val="18"/>
                <w:szCs w:val="18"/>
              </w:rPr>
              <w:t>都市 快报社</w:t>
            </w:r>
          </w:p>
        </w:tc>
        <w:tc>
          <w:tcPr>
            <w:tcW w:w="80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16" w:type="dxa"/>
            <w:tcBorders>
              <w:top w:val="nil" w:sz="6" w:space="0" w:color="auto"/>
              <w:left w:val="single" w:sz="4" w:space="0" w:color="000000"/>
              <w:bottom w:val="nil" w:sz="6" w:space="0" w:color="auto"/>
              <w:right w:val="single" w:sz="9" w:space="0" w:color="FFFFFF"/>
            </w:tcBorders>
            <w:shd w:val="clear" w:color="auto" w:fill="C7EDCC"/>
          </w:tcPr>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向相应报社的收入分成比例不超过该</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家公司与相应报社</w:t>
            </w:r>
          </w:p>
          <w:p>
            <w:pPr>
              <w:pStyle w:val="TableParagraph"/>
              <w:spacing w:line="242" w:lineRule="auto"/>
              <w:ind w:left="22" w:right="-24"/>
              <w:jc w:val="left"/>
              <w:rPr>
                <w:rFonts w:ascii="宋体" w:hAnsi="宋体" w:cs="宋体" w:eastAsia="宋体" w:hint="default"/>
                <w:sz w:val="18"/>
                <w:szCs w:val="18"/>
              </w:rPr>
            </w:pPr>
            <w:r>
              <w:rPr>
                <w:rFonts w:ascii="宋体" w:hAnsi="宋体" w:cs="宋体" w:eastAsia="宋体" w:hint="default"/>
                <w:spacing w:val="-2"/>
                <w:sz w:val="18"/>
                <w:szCs w:val="18"/>
              </w:rPr>
              <w:t>已签订《收入分成协议》约定的水平。关于部分资产待盈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利后注入的承诺：杭报集团下属风盛新传媒、城市通媒体</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闻达电子商务、地铁文化传媒等四家公司尚处于亏损状 </w:t>
            </w:r>
            <w:r>
              <w:rPr>
                <w:rFonts w:ascii="宋体" w:hAnsi="宋体" w:cs="宋体" w:eastAsia="宋体" w:hint="default"/>
                <w:spacing w:val="-2"/>
                <w:sz w:val="18"/>
                <w:szCs w:val="18"/>
              </w:rPr>
              <w:t>态，预计将有较长培育期。杭报集团承诺待上述公司实现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盈利后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个月内，无条件允许上市公司择机通过现金或 股权等方式予以收购。关于拟注入资产权属状况的承诺： </w:t>
            </w:r>
            <w:r>
              <w:rPr>
                <w:rFonts w:ascii="宋体" w:hAnsi="宋体" w:cs="宋体" w:eastAsia="宋体" w:hint="default"/>
                <w:spacing w:val="-2"/>
                <w:sz w:val="18"/>
                <w:szCs w:val="18"/>
              </w:rPr>
              <w:t>杭报集团有限公司与都市快报社承诺，所持标的公司相应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股份股权权属清晰，不存在任何争议或潜在纠纷，不存在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质押、查封、冻结或任何其他限制或禁止该等股份转让的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情形。关于拟注入资产合规经营的承诺：杭报集团有限公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司及都市快报社承诺：下属拟注入标的公司最近五年未受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过任何刑事处罚、证券市场相关的行政处罚，不存在与经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济纠纷有关的重大民事诉讼或仲裁的情况。截至承诺签署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之日，拟注入标的公司不存在对外担保的情况。拟注入标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的公司不存在下列情形：</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个月内未经法定机关</w:t>
            </w:r>
          </w:p>
        </w:tc>
        <w:tc>
          <w:tcPr>
            <w:tcW w:w="548" w:type="dxa"/>
            <w:tcBorders>
              <w:top w:val="nil" w:sz="6" w:space="0" w:color="auto"/>
              <w:left w:val="single" w:sz="9"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2" w:lineRule="exact" w:before="145"/>
              <w:ind w:left="16"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31" w:lineRule="exact"/>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4" w:lineRule="auto" w:before="89"/>
              <w:ind w:left="22" w:right="61"/>
              <w:jc w:val="left"/>
              <w:rPr>
                <w:rFonts w:ascii="宋体" w:hAnsi="宋体" w:cs="宋体" w:eastAsia="宋体" w:hint="default"/>
                <w:sz w:val="18"/>
                <w:szCs w:val="18"/>
              </w:rPr>
            </w:pPr>
            <w:r>
              <w:rPr>
                <w:rFonts w:ascii="宋体" w:hAnsi="宋体" w:cs="宋体" w:eastAsia="宋体" w:hint="default"/>
                <w:sz w:val="18"/>
                <w:szCs w:val="18"/>
              </w:rPr>
              <w:t>关于拟注 入资产权 属状况的 承诺、关 于拟购买 资产瑕疵 房产的承 诺、关于 注入资产 税收优惠 的承诺已 履行完 毕，其余 正常履行 之中。</w:t>
            </w:r>
          </w:p>
        </w:tc>
      </w:tr>
      <w:tr>
        <w:trPr>
          <w:trHeight w:val="235"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核准，擅自公开或者变相公开发行过证券；或者有关违法</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17"/>
              <w:jc w:val="left"/>
              <w:rPr>
                <w:rFonts w:ascii="宋体" w:hAnsi="宋体" w:cs="宋体" w:eastAsia="宋体" w:hint="default"/>
                <w:sz w:val="18"/>
                <w:szCs w:val="18"/>
              </w:rPr>
            </w:pPr>
            <w:r>
              <w:rPr>
                <w:rFonts w:ascii="宋体" w:hAnsi="宋体" w:cs="宋体" w:eastAsia="宋体" w:hint="default"/>
                <w:sz w:val="18"/>
                <w:szCs w:val="18"/>
              </w:rPr>
              <w:t>行为虽然发生在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个月前，但目前仍处于持续状态；</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个月内违反工商、税收、土地、环保、海关以及</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其他法律、行政法规，受到行政处罚，且情节严重；</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个月内曾向中国证监会提出发行申请，但报送的</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5"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发行申请文件有虚假记载、误导性陈述或重大遗漏；或者</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不符合发行条件以欺骗手段骗取发行核准；或者以不正当</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手段干扰中国证监会及其发行审核委员会审核工作；或者</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6"/>
                <w:sz w:val="18"/>
                <w:szCs w:val="18"/>
              </w:rPr>
              <w:t>伪造、变造发行人或其董事、监事、高级管理人员的签字</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盖章；</w:t>
            </w:r>
            <w:r>
              <w:rPr>
                <w:rFonts w:ascii="Times New Roman" w:hAnsi="Times New Roman" w:cs="Times New Roman" w:eastAsia="Times New Roman" w:hint="default"/>
                <w:sz w:val="18"/>
                <w:szCs w:val="18"/>
              </w:rPr>
              <w:t>4</w:t>
            </w:r>
            <w:r>
              <w:rPr>
                <w:rFonts w:ascii="宋体" w:hAnsi="宋体" w:cs="宋体" w:eastAsia="宋体" w:hint="default"/>
                <w:sz w:val="18"/>
                <w:szCs w:val="18"/>
              </w:rPr>
              <w:t>）本次报送的发行申请文件有虚假记载、误导性</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陈述或者重大遗漏；</w:t>
            </w:r>
            <w:r>
              <w:rPr>
                <w:rFonts w:ascii="Times New Roman" w:hAnsi="Times New Roman" w:cs="Times New Roman" w:eastAsia="Times New Roman" w:hint="default"/>
                <w:sz w:val="18"/>
                <w:szCs w:val="18"/>
              </w:rPr>
              <w:t>5</w:t>
            </w:r>
            <w:r>
              <w:rPr>
                <w:rFonts w:ascii="宋体" w:hAnsi="宋体" w:cs="宋体" w:eastAsia="宋体" w:hint="default"/>
                <w:sz w:val="18"/>
                <w:szCs w:val="18"/>
              </w:rPr>
              <w:t>）涉嫌犯罪被司法机关立案侦查，</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尚未有明确结论意见；</w:t>
            </w:r>
            <w:r>
              <w:rPr>
                <w:rFonts w:ascii="Times New Roman" w:hAnsi="Times New Roman" w:cs="Times New Roman" w:eastAsia="Times New Roman" w:hint="default"/>
                <w:sz w:val="18"/>
                <w:szCs w:val="18"/>
              </w:rPr>
              <w:t>6</w:t>
            </w:r>
            <w:r>
              <w:rPr>
                <w:rFonts w:ascii="宋体" w:hAnsi="宋体" w:cs="宋体" w:eastAsia="宋体" w:hint="default"/>
                <w:sz w:val="18"/>
                <w:szCs w:val="18"/>
              </w:rPr>
              <w:t>）严重损害投资者合法权益和社</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3" w:hRule="exact"/>
        </w:trPr>
        <w:tc>
          <w:tcPr>
            <w:tcW w:w="580" w:type="dxa"/>
            <w:vMerge/>
            <w:tcBorders>
              <w:left w:val="single" w:sz="4" w:space="0" w:color="000000"/>
              <w:bottom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single" w:sz="4" w:space="0" w:color="000000"/>
              <w:right w:val="single" w:sz="4" w:space="0" w:color="000000"/>
            </w:tcBorders>
            <w:shd w:val="clear" w:color="auto" w:fill="C7EDCC"/>
          </w:tcPr>
          <w:p>
            <w:pPr/>
          </w:p>
        </w:tc>
        <w:tc>
          <w:tcPr>
            <w:tcW w:w="805" w:type="dxa"/>
            <w:tcBorders>
              <w:top w:val="nil" w:sz="6" w:space="0" w:color="auto"/>
              <w:left w:val="single" w:sz="4" w:space="0" w:color="000000"/>
              <w:bottom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会公共利益的其他情形。如上述承诺被证明是不真实的或</w:t>
            </w:r>
          </w:p>
        </w:tc>
        <w:tc>
          <w:tcPr>
            <w:tcW w:w="548" w:type="dxa"/>
            <w:tcBorders>
              <w:top w:val="nil" w:sz="6" w:space="0" w:color="auto"/>
              <w:left w:val="single" w:sz="4" w:space="0" w:color="000000"/>
              <w:bottom w:val="single" w:sz="4" w:space="0" w:color="000000"/>
              <w:right w:val="single" w:sz="4" w:space="0" w:color="000000"/>
            </w:tcBorders>
          </w:tcPr>
          <w:p>
            <w:pPr/>
          </w:p>
        </w:tc>
        <w:tc>
          <w:tcPr>
            <w:tcW w:w="985" w:type="dxa"/>
            <w:vMerge/>
            <w:tcBorders>
              <w:left w:val="single" w:sz="4" w:space="0" w:color="000000"/>
              <w:bottom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580"/>
        <w:gridCol w:w="1444"/>
        <w:gridCol w:w="805"/>
        <w:gridCol w:w="4516"/>
        <w:gridCol w:w="548"/>
        <w:gridCol w:w="985"/>
        <w:gridCol w:w="816"/>
      </w:tblGrid>
      <w:tr>
        <w:trPr>
          <w:trHeight w:val="11290" w:hRule="exact"/>
        </w:trPr>
        <w:tc>
          <w:tcPr>
            <w:tcW w:w="58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0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5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23"/>
              <w:jc w:val="left"/>
              <w:rPr>
                <w:rFonts w:ascii="宋体" w:hAnsi="宋体" w:cs="宋体" w:eastAsia="宋体" w:hint="default"/>
                <w:sz w:val="18"/>
                <w:szCs w:val="18"/>
              </w:rPr>
            </w:pPr>
            <w:r>
              <w:rPr>
                <w:rFonts w:ascii="宋体" w:hAnsi="宋体" w:cs="宋体" w:eastAsia="宋体" w:hint="default"/>
                <w:spacing w:val="-2"/>
                <w:sz w:val="18"/>
                <w:szCs w:val="18"/>
              </w:rPr>
              <w:t>未被遵守，其将向华智控股赔偿一切直接和间接损失，并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承担相应的法律责任。关于注入资产税收优惠的承诺：根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据财政部、国家税务总局（财税［</w:t>
            </w:r>
            <w:r>
              <w:rPr>
                <w:rFonts w:ascii="Times New Roman" w:hAnsi="Times New Roman" w:cs="Times New Roman" w:eastAsia="Times New Roman" w:hint="default"/>
                <w:sz w:val="18"/>
                <w:szCs w:val="18"/>
              </w:rPr>
              <w:t>2009</w:t>
            </w:r>
            <w:r>
              <w:rPr>
                <w:rFonts w:ascii="宋体" w:hAnsi="宋体" w:cs="宋体" w:eastAsia="宋体" w:hint="default"/>
                <w:sz w:val="18"/>
                <w:szCs w:val="18"/>
              </w:rPr>
              <w:t>］</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号）《关于文</w:t>
            </w:r>
            <w:r>
              <w:rPr>
                <w:rFonts w:ascii="宋体" w:hAnsi="宋体" w:cs="宋体" w:eastAsia="宋体" w:hint="default"/>
                <w:sz w:val="18"/>
                <w:szCs w:val="18"/>
              </w:rPr>
              <w:t> 化体制改革中经营性文化事业单位转制为企业的若干税 </w:t>
            </w:r>
            <w:r>
              <w:rPr>
                <w:rFonts w:ascii="宋体" w:hAnsi="宋体" w:cs="宋体" w:eastAsia="宋体" w:hint="default"/>
                <w:spacing w:val="-4"/>
                <w:sz w:val="18"/>
                <w:szCs w:val="18"/>
              </w:rPr>
              <w:t>收优惠政策的通知》，杭报集团享受免征企业所得税至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日。本次注入资产中</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家公司目前均享</w:t>
            </w:r>
          </w:p>
          <w:p>
            <w:pPr>
              <w:pStyle w:val="TableParagraph"/>
              <w:spacing w:line="240" w:lineRule="exact"/>
              <w:ind w:left="22" w:right="71"/>
              <w:jc w:val="left"/>
              <w:rPr>
                <w:rFonts w:ascii="宋体" w:hAnsi="宋体" w:cs="宋体" w:eastAsia="宋体" w:hint="default"/>
                <w:sz w:val="18"/>
                <w:szCs w:val="18"/>
              </w:rPr>
            </w:pPr>
            <w:r>
              <w:rPr>
                <w:rFonts w:ascii="宋体" w:hAnsi="宋体" w:cs="宋体" w:eastAsia="宋体" w:hint="default"/>
                <w:sz w:val="18"/>
                <w:szCs w:val="18"/>
              </w:rPr>
              <w:t>受上述政策优惠。根据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日《国务院办公厅 关于印发文化体制改革中经营性文化事业单位转制为企 </w:t>
            </w:r>
            <w:r>
              <w:rPr>
                <w:rFonts w:ascii="宋体" w:hAnsi="宋体" w:cs="宋体" w:eastAsia="宋体" w:hint="default"/>
                <w:spacing w:val="-4"/>
                <w:sz w:val="18"/>
                <w:szCs w:val="18"/>
              </w:rPr>
              <w:t>业和进一步支持文化企业发展两个规定的通知》（国办发</w:t>
            </w:r>
          </w:p>
          <w:p>
            <w:pPr>
              <w:pStyle w:val="TableParagraph"/>
              <w:spacing w:line="240" w:lineRule="exact"/>
              <w:ind w:left="22" w:right="-17"/>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15 </w:t>
            </w:r>
            <w:r>
              <w:rPr>
                <w:rFonts w:ascii="宋体" w:hAnsi="宋体" w:cs="宋体" w:eastAsia="宋体" w:hint="default"/>
                <w:spacing w:val="-3"/>
                <w:sz w:val="18"/>
                <w:szCs w:val="18"/>
              </w:rPr>
              <w:t>号）中的《文化体制改革中经营性文化事业单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位转制为企业的规定》第二十条</w:t>
            </w:r>
            <w:r>
              <w:rPr>
                <w:rFonts w:ascii="Times New Roman" w:hAnsi="Times New Roman" w:cs="Times New Roman" w:eastAsia="Times New Roman" w:hint="default"/>
                <w:sz w:val="18"/>
                <w:szCs w:val="18"/>
              </w:rPr>
              <w:t>“</w:t>
            </w:r>
            <w:r>
              <w:rPr>
                <w:rFonts w:ascii="宋体" w:hAnsi="宋体" w:cs="宋体" w:eastAsia="宋体" w:hint="default"/>
                <w:sz w:val="18"/>
                <w:szCs w:val="18"/>
              </w:rPr>
              <w:t>经营性文化事业单位转 制为企业后，免征企业所得税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上述政策适用于开展文 </w:t>
            </w:r>
            <w:r>
              <w:rPr>
                <w:rFonts w:ascii="宋体" w:hAnsi="宋体" w:cs="宋体" w:eastAsia="宋体" w:hint="default"/>
                <w:spacing w:val="-2"/>
                <w:sz w:val="18"/>
                <w:szCs w:val="18"/>
              </w:rPr>
              <w:t>化体制改革的地区和转制企业。中央所属转制文化企业的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认定，由中央宣传部会同财政部、税务总局确定并发布名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单；地方所属转制文化企业的认定，按照登记管理权限， </w:t>
            </w:r>
            <w:r>
              <w:rPr>
                <w:rFonts w:ascii="宋体" w:hAnsi="宋体" w:cs="宋体" w:eastAsia="宋体" w:hint="default"/>
                <w:spacing w:val="-2"/>
                <w:sz w:val="18"/>
                <w:szCs w:val="18"/>
              </w:rPr>
              <w:t>由地方各级宣传部门会同同级财政、税务部门确定和发布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名单，并按程序抄送中央宣传部、财政部和税务总局。执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行期限为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拟购 </w:t>
            </w:r>
            <w:r>
              <w:rPr>
                <w:rFonts w:ascii="宋体" w:hAnsi="宋体" w:cs="宋体" w:eastAsia="宋体" w:hint="default"/>
                <w:spacing w:val="-2"/>
                <w:sz w:val="18"/>
                <w:szCs w:val="18"/>
              </w:rPr>
              <w:t>买资产评估时点，杭州市宣传部门尚未会同财政、税务部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门确定和发布名单。评估机构按照前次名单，假设拟购买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资产相关企业继续享受免征企业所得税政策到期后延期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年及以后按照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税率预</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测企业所得税。杭报集团承诺：如</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家标的公司在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240" w:lineRule="exact" w:before="13"/>
              <w:ind w:left="22" w:right="2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日前不能持续具备享受上述免征企业所得税的 税收优惠政策条件，或者未来上述税收优惠政策发生变 </w:t>
            </w:r>
            <w:r>
              <w:rPr>
                <w:rFonts w:ascii="宋体" w:hAnsi="宋体" w:cs="宋体" w:eastAsia="宋体" w:hint="default"/>
                <w:spacing w:val="-9"/>
                <w:sz w:val="18"/>
                <w:szCs w:val="18"/>
              </w:rPr>
              <w:t>化，导致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家标的公司在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日前不能继续</w:t>
            </w:r>
          </w:p>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享受上述税收优惠政策，本集团将在</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家标的公司该年</w:t>
            </w:r>
          </w:p>
          <w:p>
            <w:pPr>
              <w:pStyle w:val="TableParagraph"/>
              <w:spacing w:line="240" w:lineRule="exact" w:before="13"/>
              <w:ind w:left="22" w:right="23"/>
              <w:jc w:val="left"/>
              <w:rPr>
                <w:rFonts w:ascii="宋体" w:hAnsi="宋体" w:cs="宋体" w:eastAsia="宋体" w:hint="default"/>
                <w:sz w:val="18"/>
                <w:szCs w:val="18"/>
              </w:rPr>
            </w:pPr>
            <w:r>
              <w:rPr>
                <w:rFonts w:ascii="宋体" w:hAnsi="宋体" w:cs="宋体" w:eastAsia="宋体" w:hint="default"/>
                <w:sz w:val="18"/>
                <w:szCs w:val="18"/>
              </w:rPr>
              <w:t>度所得税汇算清缴完成后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9"/>
                <w:sz w:val="18"/>
                <w:szCs w:val="18"/>
              </w:rPr>
              <w:t>日内，按</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家标的公司各自 该年度的应纳税所得额</w:t>
            </w:r>
            <w:r>
              <w:rPr>
                <w:rFonts w:ascii="Times New Roman" w:hAnsi="Times New Roman" w:cs="Times New Roman" w:eastAsia="Times New Roman" w:hint="default"/>
                <w:sz w:val="18"/>
                <w:szCs w:val="18"/>
              </w:rPr>
              <w:t>×(</w:t>
            </w:r>
            <w:r>
              <w:rPr>
                <w:rFonts w:ascii="宋体" w:hAnsi="宋体" w:cs="宋体" w:eastAsia="宋体" w:hint="default"/>
                <w:sz w:val="18"/>
                <w:szCs w:val="18"/>
              </w:rPr>
              <w:t>各公司该年度实际执行所得税 率</w:t>
            </w:r>
            <w:r>
              <w:rPr>
                <w:rFonts w:ascii="Times New Roman" w:hAnsi="Times New Roman" w:cs="Times New Roman" w:eastAsia="Times New Roman" w:hint="default"/>
                <w:sz w:val="18"/>
                <w:szCs w:val="18"/>
              </w:rPr>
              <w:t>-0%)/(1-</w:t>
            </w:r>
            <w:r>
              <w:rPr>
                <w:rFonts w:ascii="宋体" w:hAnsi="宋体" w:cs="宋体" w:eastAsia="宋体" w:hint="default"/>
                <w:sz w:val="18"/>
                <w:szCs w:val="18"/>
              </w:rPr>
              <w:t>各公司该年度实际执行所得税率</w:t>
            </w:r>
            <w:r>
              <w:rPr>
                <w:rFonts w:ascii="Times New Roman" w:hAnsi="Times New Roman" w:cs="Times New Roman" w:eastAsia="Times New Roman" w:hint="default"/>
                <w:sz w:val="18"/>
                <w:szCs w:val="18"/>
              </w:rPr>
              <w:t>)</w:t>
            </w:r>
            <w:r>
              <w:rPr>
                <w:rFonts w:ascii="宋体" w:hAnsi="宋体" w:cs="宋体" w:eastAsia="宋体" w:hint="default"/>
                <w:sz w:val="18"/>
                <w:szCs w:val="18"/>
              </w:rPr>
              <w:t>给予各公司 全额现金补偿。</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日，杭州市财政局、杭州 </w:t>
            </w:r>
            <w:r>
              <w:rPr>
                <w:rFonts w:ascii="宋体" w:hAnsi="宋体" w:cs="宋体" w:eastAsia="宋体" w:hint="default"/>
                <w:spacing w:val="-2"/>
                <w:sz w:val="18"/>
                <w:szCs w:val="18"/>
              </w:rPr>
              <w:t>市国家税务局、杭州市地方税务局、中共杭州市委宣传部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联合发布《关于明确杭州日报传媒有限公司等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家企业 </w:t>
            </w:r>
            <w:r>
              <w:rPr>
                <w:rFonts w:ascii="宋体" w:hAnsi="宋体" w:cs="宋体" w:eastAsia="宋体" w:hint="default"/>
                <w:spacing w:val="-4"/>
                <w:sz w:val="18"/>
                <w:szCs w:val="18"/>
              </w:rPr>
              <w:t>可继续享受文化体制改革税收优惠政策的通知》（市宣通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Times New Roman" w:hAnsi="Times New Roman" w:cs="Times New Roman" w:eastAsia="Times New Roman" w:hint="default"/>
                <w:spacing w:val="-1"/>
                <w:sz w:val="18"/>
                <w:szCs w:val="18"/>
              </w:rPr>
              <w:t>[2014]59</w:t>
            </w:r>
            <w:r>
              <w:rPr>
                <w:rFonts w:ascii="Times New Roman" w:hAnsi="Times New Roman" w:cs="Times New Roman" w:eastAsia="Times New Roman" w:hint="default"/>
                <w:sz w:val="18"/>
                <w:szCs w:val="18"/>
              </w:rPr>
              <w:t> </w:t>
            </w:r>
            <w:r>
              <w:rPr>
                <w:rFonts w:ascii="宋体" w:hAnsi="宋体" w:cs="宋体" w:eastAsia="宋体" w:hint="default"/>
                <w:spacing w:val="-22"/>
                <w:sz w:val="18"/>
                <w:szCs w:val="18"/>
              </w:rPr>
              <w:t>号），明确</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家标的公司及其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家下属公司可按 </w:t>
            </w:r>
            <w:r>
              <w:rPr>
                <w:rFonts w:ascii="宋体" w:hAnsi="宋体" w:cs="宋体" w:eastAsia="宋体" w:hint="default"/>
                <w:spacing w:val="-8"/>
                <w:sz w:val="18"/>
                <w:szCs w:val="18"/>
              </w:rPr>
              <w:t>国办发〔</w:t>
            </w:r>
            <w:r>
              <w:rPr>
                <w:rFonts w:ascii="Times New Roman" w:hAnsi="Times New Roman" w:cs="Times New Roman" w:eastAsia="Times New Roman" w:hint="default"/>
                <w:spacing w:val="-8"/>
                <w:sz w:val="18"/>
                <w:szCs w:val="18"/>
              </w:rPr>
              <w:t>2014</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号文件继续享受文化体制改革税收优惠 政策，免征企业所得税，执行期限为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exact"/>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日。至此，</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家标的公司的税收优惠风 </w:t>
            </w:r>
            <w:r>
              <w:rPr>
                <w:rFonts w:ascii="宋体" w:hAnsi="宋体" w:cs="宋体" w:eastAsia="宋体" w:hint="default"/>
                <w:spacing w:val="-2"/>
                <w:sz w:val="18"/>
                <w:szCs w:val="18"/>
              </w:rPr>
              <w:t>险已不存在。关于拟购买资产瑕疵房产的承诺：拟购买资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产评估时点，标的公司盛元印务名下三项房产的相关权证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尚在办理之中，该等房屋相对应的土地使用权证已办理完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毕，房产测绘已基本完成。对于上述瑕疵资产，杭报集团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承诺：如果交割上述房产时，相关方无法办理权属证明文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件以及办理手续存在法律或其他实质性障碍或出现产权 </w:t>
            </w:r>
            <w:r>
              <w:rPr>
                <w:rFonts w:ascii="宋体" w:hAnsi="宋体" w:cs="宋体" w:eastAsia="宋体" w:hint="default"/>
                <w:spacing w:val="-2"/>
                <w:sz w:val="18"/>
                <w:szCs w:val="18"/>
              </w:rPr>
              <w:t>纠纷等情况，对此造成华智控股一切直接和间接损失，杭</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报集团愿意承担包括以现金补足等方式在内的全部法律 责任。</w:t>
            </w:r>
          </w:p>
        </w:tc>
        <w:tc>
          <w:tcPr>
            <w:tcW w:w="548"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930" w:hRule="exact"/>
        </w:trPr>
        <w:tc>
          <w:tcPr>
            <w:tcW w:w="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2" w:right="185"/>
              <w:jc w:val="both"/>
              <w:rPr>
                <w:rFonts w:ascii="宋体" w:hAnsi="宋体" w:cs="宋体" w:eastAsia="宋体" w:hint="default"/>
                <w:sz w:val="18"/>
                <w:szCs w:val="18"/>
              </w:rPr>
            </w:pPr>
            <w:r>
              <w:rPr>
                <w:rFonts w:ascii="宋体" w:hAnsi="宋体" w:cs="宋体" w:eastAsia="宋体" w:hint="default"/>
                <w:sz w:val="18"/>
                <w:szCs w:val="18"/>
              </w:rPr>
              <w:t>首次 公开 发行 或再 融资 时所 作承 诺</w:t>
            </w:r>
          </w:p>
        </w:tc>
        <w:tc>
          <w:tcPr>
            <w:tcW w:w="144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0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51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90" w:hRule="exact"/>
        </w:trPr>
        <w:tc>
          <w:tcPr>
            <w:tcW w:w="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2" w:right="185"/>
              <w:jc w:val="left"/>
              <w:rPr>
                <w:rFonts w:ascii="宋体" w:hAnsi="宋体" w:cs="宋体" w:eastAsia="宋体" w:hint="default"/>
                <w:sz w:val="18"/>
                <w:szCs w:val="18"/>
              </w:rPr>
            </w:pPr>
            <w:r>
              <w:rPr>
                <w:rFonts w:ascii="宋体" w:hAnsi="宋体" w:cs="宋体" w:eastAsia="宋体" w:hint="default"/>
                <w:sz w:val="18"/>
                <w:szCs w:val="18"/>
              </w:rPr>
              <w:t>股权 激励</w:t>
            </w:r>
          </w:p>
        </w:tc>
        <w:tc>
          <w:tcPr>
            <w:tcW w:w="144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0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51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422.76001pt;margin-top:518pt;width:26.95pt;height:96pt;mso-position-horizontal-relative:page;mso-position-vertical-relative:page;z-index:-1169104" coordorigin="8455,10360" coordsize="539,1920">
            <v:shape style="position:absolute;left:8455;top:10360;width:539;height:1920" coordorigin="8455,10360" coordsize="539,1920" path="m8455,12280l8994,12280,8994,10360,8455,10360,8455,122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580"/>
        <w:gridCol w:w="1444"/>
        <w:gridCol w:w="805"/>
        <w:gridCol w:w="4516"/>
        <w:gridCol w:w="548"/>
        <w:gridCol w:w="985"/>
        <w:gridCol w:w="816"/>
      </w:tblGrid>
      <w:tr>
        <w:trPr>
          <w:trHeight w:val="250" w:hRule="exact"/>
        </w:trPr>
        <w:tc>
          <w:tcPr>
            <w:tcW w:w="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44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0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51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258" w:hRule="exact"/>
        </w:trPr>
        <w:tc>
          <w:tcPr>
            <w:tcW w:w="580"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4" w:type="dxa"/>
            <w:tcBorders>
              <w:top w:val="single" w:sz="4" w:space="0" w:color="000000"/>
              <w:left w:val="single" w:sz="4" w:space="0" w:color="000000"/>
              <w:bottom w:val="nil" w:sz="6" w:space="0" w:color="auto"/>
              <w:right w:val="single" w:sz="4" w:space="0" w:color="000000"/>
            </w:tcBorders>
            <w:shd w:val="clear" w:color="auto" w:fill="C7EDCC"/>
          </w:tcPr>
          <w:p>
            <w:pPr/>
          </w:p>
        </w:tc>
        <w:tc>
          <w:tcPr>
            <w:tcW w:w="805" w:type="dxa"/>
            <w:tcBorders>
              <w:top w:val="single" w:sz="4" w:space="0" w:color="000000"/>
              <w:left w:val="single" w:sz="4" w:space="0" w:color="000000"/>
              <w:bottom w:val="nil" w:sz="6" w:space="0" w:color="auto"/>
              <w:right w:val="single" w:sz="4" w:space="0" w:color="000000"/>
            </w:tcBorders>
            <w:shd w:val="clear" w:color="auto" w:fill="C7EDCC"/>
          </w:tcPr>
          <w:p>
            <w:pPr/>
          </w:p>
        </w:tc>
        <w:tc>
          <w:tcPr>
            <w:tcW w:w="451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）甲方（即：林鹭华、韩锋、杨治国、蒋谢珍、刘志</w:t>
            </w:r>
          </w:p>
        </w:tc>
        <w:tc>
          <w:tcPr>
            <w:tcW w:w="548" w:type="dxa"/>
            <w:tcBorders>
              <w:top w:val="single" w:sz="4" w:space="0" w:color="000000"/>
              <w:left w:val="single" w:sz="4" w:space="0" w:color="000000"/>
              <w:bottom w:val="nil" w:sz="6" w:space="0" w:color="auto"/>
              <w:right w:val="single" w:sz="4" w:space="0" w:color="000000"/>
            </w:tcBorders>
          </w:tcPr>
          <w:p>
            <w:pPr/>
          </w:p>
        </w:tc>
        <w:tc>
          <w:tcPr>
            <w:tcW w:w="985" w:type="dxa"/>
            <w:tcBorders>
              <w:top w:val="single" w:sz="4" w:space="0" w:color="000000"/>
              <w:left w:val="single" w:sz="4" w:space="0" w:color="000000"/>
              <w:bottom w:val="nil" w:sz="6" w:space="0" w:color="auto"/>
              <w:right w:val="single" w:sz="4" w:space="0" w:color="000000"/>
            </w:tcBorders>
            <w:shd w:val="clear" w:color="auto" w:fill="C7EDCC"/>
          </w:tcPr>
          <w:p>
            <w:pPr/>
          </w:p>
        </w:tc>
        <w:tc>
          <w:tcPr>
            <w:tcW w:w="81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英、郑美月、冯岚等</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位自然人）承诺，标的企业在利润</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补偿期间实现的归属母公司净利润（根据标的企业扣除非</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经常性损益前后孰低原则确定）分别为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3700</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29"/>
                <w:sz w:val="18"/>
                <w:szCs w:val="18"/>
              </w:rPr>
              <w:t>、</w:t>
            </w:r>
            <w:r>
              <w:rPr>
                <w:rFonts w:ascii="Times New Roman" w:hAnsi="Times New Roman" w:cs="Times New Roman" w:eastAsia="Times New Roman" w:hint="default"/>
                <w:sz w:val="18"/>
                <w:szCs w:val="18"/>
              </w:rPr>
              <w:t>4400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万</w:t>
            </w:r>
            <w:r>
              <w:rPr>
                <w:rFonts w:ascii="宋体" w:hAnsi="宋体" w:cs="宋体" w:eastAsia="宋体" w:hint="default"/>
                <w:sz w:val="18"/>
                <w:szCs w:val="18"/>
              </w:rPr>
              <w:t>元</w:t>
            </w:r>
            <w:r>
              <w:rPr>
                <w:rFonts w:ascii="宋体" w:hAnsi="宋体" w:cs="宋体" w:eastAsia="宋体" w:hint="default"/>
                <w:spacing w:val="-119"/>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29"/>
                <w:sz w:val="18"/>
                <w:szCs w:val="18"/>
              </w:rPr>
              <w:t>）</w:t>
            </w:r>
            <w:r>
              <w:rPr>
                <w:rFonts w:ascii="宋体" w:hAnsi="宋体" w:cs="宋体" w:eastAsia="宋体" w:hint="default"/>
                <w:sz w:val="18"/>
                <w:szCs w:val="18"/>
              </w:rPr>
              <w:t>在各利润补偿期结束之日起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之内，乙方（即：杭州网络传媒有限公司）应聘请具有证</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券期货从业资格的审计机构，对标的企业每年度实现的实</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17"/>
              <w:jc w:val="left"/>
              <w:rPr>
                <w:rFonts w:ascii="宋体" w:hAnsi="宋体" w:cs="宋体" w:eastAsia="宋体" w:hint="default"/>
                <w:sz w:val="18"/>
                <w:szCs w:val="18"/>
              </w:rPr>
            </w:pPr>
            <w:r>
              <w:rPr>
                <w:rFonts w:ascii="宋体" w:hAnsi="宋体" w:cs="宋体" w:eastAsia="宋体" w:hint="default"/>
                <w:sz w:val="18"/>
                <w:szCs w:val="18"/>
              </w:rPr>
              <w:t>际净利润等经营成果予以审核，出具专项审核报告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根据专项审核报告，甲方应在该年度的专项审核报告披露</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120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exact"/>
              <w:ind w:left="22" w:right="50"/>
              <w:jc w:val="left"/>
              <w:rPr>
                <w:rFonts w:ascii="宋体" w:hAnsi="宋体" w:cs="宋体" w:eastAsia="宋体" w:hint="default"/>
                <w:sz w:val="18"/>
                <w:szCs w:val="18"/>
              </w:rPr>
            </w:pPr>
            <w:r>
              <w:rPr>
                <w:rFonts w:ascii="宋体" w:hAnsi="宋体" w:cs="宋体" w:eastAsia="宋体" w:hint="default"/>
                <w:sz w:val="18"/>
                <w:szCs w:val="18"/>
              </w:rPr>
              <w:t>林鹭华</w:t>
            </w:r>
            <w:r>
              <w:rPr>
                <w:rFonts w:ascii="Times New Roman" w:hAnsi="Times New Roman" w:cs="Times New Roman" w:eastAsia="Times New Roman" w:hint="default"/>
                <w:sz w:val="18"/>
                <w:szCs w:val="18"/>
              </w:rPr>
              <w:t>;</w:t>
            </w:r>
            <w:r>
              <w:rPr>
                <w:rFonts w:ascii="宋体" w:hAnsi="宋体" w:cs="宋体" w:eastAsia="宋体" w:hint="default"/>
                <w:sz w:val="18"/>
                <w:szCs w:val="18"/>
              </w:rPr>
              <w:t>韩锋</w:t>
            </w:r>
            <w:r>
              <w:rPr>
                <w:rFonts w:ascii="Times New Roman" w:hAnsi="Times New Roman" w:cs="Times New Roman" w:eastAsia="Times New Roman" w:hint="default"/>
                <w:sz w:val="18"/>
                <w:szCs w:val="18"/>
              </w:rPr>
              <w:t>;</w:t>
            </w:r>
            <w:r>
              <w:rPr>
                <w:rFonts w:ascii="宋体" w:hAnsi="宋体" w:cs="宋体" w:eastAsia="宋体" w:hint="default"/>
                <w:sz w:val="18"/>
                <w:szCs w:val="18"/>
              </w:rPr>
              <w:t>杨治</w:t>
            </w:r>
            <w:r>
              <w:rPr>
                <w:rFonts w:ascii="宋体" w:hAnsi="宋体" w:cs="宋体" w:eastAsia="宋体" w:hint="default"/>
                <w:spacing w:val="-2"/>
                <w:sz w:val="18"/>
                <w:szCs w:val="18"/>
              </w:rPr>
              <w:t> </w:t>
            </w:r>
            <w:r>
              <w:rPr>
                <w:rFonts w:ascii="宋体" w:hAnsi="宋体" w:cs="宋体" w:eastAsia="宋体" w:hint="default"/>
                <w:sz w:val="18"/>
                <w:szCs w:val="18"/>
              </w:rPr>
              <w:t>国</w:t>
            </w:r>
            <w:r>
              <w:rPr>
                <w:rFonts w:ascii="Times New Roman" w:hAnsi="Times New Roman" w:cs="Times New Roman" w:eastAsia="Times New Roman" w:hint="default"/>
                <w:sz w:val="18"/>
                <w:szCs w:val="18"/>
              </w:rPr>
              <w:t>;</w:t>
            </w:r>
            <w:r>
              <w:rPr>
                <w:rFonts w:ascii="宋体" w:hAnsi="宋体" w:cs="宋体" w:eastAsia="宋体" w:hint="default"/>
                <w:sz w:val="18"/>
                <w:szCs w:val="18"/>
              </w:rPr>
              <w:t>蒋谢珍</w:t>
            </w:r>
            <w:r>
              <w:rPr>
                <w:rFonts w:ascii="Times New Roman" w:hAnsi="Times New Roman" w:cs="Times New Roman" w:eastAsia="Times New Roman" w:hint="default"/>
                <w:sz w:val="18"/>
                <w:szCs w:val="18"/>
              </w:rPr>
              <w:t>;</w:t>
            </w:r>
            <w:r>
              <w:rPr>
                <w:rFonts w:ascii="宋体" w:hAnsi="宋体" w:cs="宋体" w:eastAsia="宋体" w:hint="default"/>
                <w:sz w:val="18"/>
                <w:szCs w:val="18"/>
              </w:rPr>
              <w:t>刘志 英</w:t>
            </w:r>
            <w:r>
              <w:rPr>
                <w:rFonts w:ascii="Times New Roman" w:hAnsi="Times New Roman" w:cs="Times New Roman" w:eastAsia="Times New Roman" w:hint="default"/>
                <w:sz w:val="18"/>
                <w:szCs w:val="18"/>
              </w:rPr>
              <w:t>;</w:t>
            </w:r>
            <w:r>
              <w:rPr>
                <w:rFonts w:ascii="宋体" w:hAnsi="宋体" w:cs="宋体" w:eastAsia="宋体" w:hint="default"/>
                <w:sz w:val="18"/>
                <w:szCs w:val="18"/>
              </w:rPr>
              <w:t>郑美月</w:t>
            </w:r>
            <w:r>
              <w:rPr>
                <w:rFonts w:ascii="Times New Roman" w:hAnsi="Times New Roman" w:cs="Times New Roman" w:eastAsia="Times New Roman" w:hint="default"/>
                <w:sz w:val="18"/>
                <w:szCs w:val="18"/>
              </w:rPr>
              <w:t>;</w:t>
            </w:r>
            <w:r>
              <w:rPr>
                <w:rFonts w:ascii="宋体" w:hAnsi="宋体" w:cs="宋体" w:eastAsia="宋体" w:hint="default"/>
                <w:sz w:val="18"/>
                <w:szCs w:val="18"/>
              </w:rPr>
              <w:t>冯岚</w:t>
            </w:r>
          </w:p>
        </w:tc>
        <w:tc>
          <w:tcPr>
            <w:tcW w:w="80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4" w:lineRule="auto"/>
              <w:ind w:left="23" w:right="49"/>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both"/>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日之内，按下列公式计算的金额对乙方进行现</w:t>
            </w:r>
          </w:p>
          <w:p>
            <w:pPr>
              <w:pStyle w:val="TableParagraph"/>
              <w:spacing w:line="240" w:lineRule="exact" w:before="13"/>
              <w:ind w:left="22" w:right="59"/>
              <w:jc w:val="both"/>
              <w:rPr>
                <w:rFonts w:ascii="宋体" w:hAnsi="宋体" w:cs="宋体" w:eastAsia="宋体" w:hint="default"/>
                <w:sz w:val="18"/>
                <w:szCs w:val="18"/>
              </w:rPr>
            </w:pPr>
            <w:r>
              <w:rPr>
                <w:rFonts w:ascii="宋体" w:hAnsi="宋体" w:cs="宋体" w:eastAsia="宋体" w:hint="default"/>
                <w:sz w:val="18"/>
                <w:szCs w:val="18"/>
              </w:rPr>
              <w:t>金补偿：当期应补偿的现金</w:t>
            </w:r>
            <w:r>
              <w:rPr>
                <w:rFonts w:ascii="Times New Roman" w:hAnsi="Times New Roman" w:cs="Times New Roman" w:eastAsia="Times New Roman" w:hint="default"/>
                <w:sz w:val="18"/>
                <w:szCs w:val="18"/>
              </w:rPr>
              <w:t>=</w:t>
            </w:r>
            <w:r>
              <w:rPr>
                <w:rFonts w:ascii="宋体" w:hAnsi="宋体" w:cs="宋体" w:eastAsia="宋体" w:hint="default"/>
                <w:sz w:val="18"/>
                <w:szCs w:val="18"/>
              </w:rPr>
              <w:t>（截至当期期末累积承诺净 利润数－截至当期期末累积实际净利润数）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 各年的承诺净利润数总和</w:t>
            </w:r>
            <w:r>
              <w:rPr>
                <w:rFonts w:ascii="Times New Roman" w:hAnsi="Times New Roman" w:cs="Times New Roman" w:eastAsia="Times New Roman" w:hint="default"/>
                <w:sz w:val="18"/>
                <w:szCs w:val="18"/>
              </w:rPr>
              <w:t>×</w:t>
            </w:r>
            <w:r>
              <w:rPr>
                <w:rFonts w:ascii="宋体" w:hAnsi="宋体" w:cs="宋体" w:eastAsia="宋体" w:hint="default"/>
                <w:sz w:val="18"/>
                <w:szCs w:val="18"/>
              </w:rPr>
              <w:t>转让标的转让价款－已补偿的 现金（</w:t>
            </w:r>
            <w:r>
              <w:rPr>
                <w:rFonts w:ascii="Times New Roman" w:hAnsi="Times New Roman" w:cs="Times New Roman" w:eastAsia="Times New Roman" w:hint="default"/>
                <w:sz w:val="18"/>
                <w:szCs w:val="18"/>
              </w:rPr>
              <w:t>4</w:t>
            </w:r>
            <w:r>
              <w:rPr>
                <w:rFonts w:ascii="宋体" w:hAnsi="宋体" w:cs="宋体" w:eastAsia="宋体" w:hint="default"/>
                <w:sz w:val="18"/>
                <w:szCs w:val="18"/>
              </w:rPr>
              <w:t>）根据上述公式计算的当期应补偿的现金为负数</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02" w:lineRule="exact" w:before="136"/>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5"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7"/>
              <w:ind w:left="22" w:right="61"/>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23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的，乙方没有义务向甲方退还此前向甲方收取的任何补偿</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款项</w:t>
            </w:r>
            <w:r>
              <w:rPr>
                <w:rFonts w:ascii="宋体" w:hAnsi="宋体" w:cs="宋体" w:eastAsia="宋体" w:hint="default"/>
                <w:spacing w:val="-11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21"/>
                <w:sz w:val="18"/>
                <w:szCs w:val="18"/>
              </w:rPr>
              <w:t>）</w:t>
            </w:r>
            <w:r>
              <w:rPr>
                <w:rFonts w:ascii="宋体" w:hAnsi="宋体" w:cs="宋体" w:eastAsia="宋体" w:hint="default"/>
                <w:sz w:val="18"/>
                <w:szCs w:val="18"/>
              </w:rPr>
              <w:t>乙方在利润补偿期间届满后将聘请具有证券期</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货业务资格的会计师事务所对标的企业进行减值测试，并</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出具专项审核意见。根据上述专项审核意见，如转让标的</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期末减值额</w:t>
            </w:r>
            <w:r>
              <w:rPr>
                <w:rFonts w:ascii="Times New Roman" w:hAnsi="Times New Roman" w:cs="Times New Roman" w:eastAsia="Times New Roman" w:hint="default"/>
                <w:sz w:val="18"/>
                <w:szCs w:val="18"/>
              </w:rPr>
              <w:t>÷</w:t>
            </w:r>
            <w:r>
              <w:rPr>
                <w:rFonts w:ascii="宋体" w:hAnsi="宋体" w:cs="宋体" w:eastAsia="宋体" w:hint="default"/>
                <w:sz w:val="18"/>
                <w:szCs w:val="18"/>
              </w:rPr>
              <w:t>转让标的评估值</w:t>
            </w:r>
            <w:r>
              <w:rPr>
                <w:rFonts w:ascii="Times New Roman" w:hAnsi="Times New Roman" w:cs="Times New Roman" w:eastAsia="Times New Roman" w:hint="default"/>
                <w:sz w:val="18"/>
                <w:szCs w:val="18"/>
              </w:rPr>
              <w:t>&gt;</w:t>
            </w:r>
            <w:r>
              <w:rPr>
                <w:rFonts w:ascii="宋体" w:hAnsi="宋体" w:cs="宋体" w:eastAsia="宋体" w:hint="default"/>
                <w:sz w:val="18"/>
                <w:szCs w:val="18"/>
              </w:rPr>
              <w:t>利润补偿期间甲方已补偿</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现金总数</w:t>
            </w:r>
            <w:r>
              <w:rPr>
                <w:rFonts w:ascii="Times New Roman" w:hAnsi="Times New Roman" w:cs="Times New Roman" w:eastAsia="Times New Roman" w:hint="default"/>
                <w:sz w:val="18"/>
                <w:szCs w:val="18"/>
              </w:rPr>
              <w:t>÷</w:t>
            </w:r>
            <w:r>
              <w:rPr>
                <w:rFonts w:ascii="宋体" w:hAnsi="宋体" w:cs="宋体" w:eastAsia="宋体" w:hint="default"/>
                <w:sz w:val="18"/>
                <w:szCs w:val="18"/>
              </w:rPr>
              <w:t>转让标的转让价款，则甲方将另行补偿现金。</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另需补偿的现金数量为：转让标的期末减值额－已补偿的</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现金</w:t>
            </w:r>
            <w:r>
              <w:rPr>
                <w:rFonts w:ascii="宋体" w:hAnsi="宋体" w:cs="宋体" w:eastAsia="宋体" w:hint="default"/>
                <w:spacing w:val="-11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pacing w:val="-21"/>
                <w:sz w:val="18"/>
                <w:szCs w:val="18"/>
              </w:rPr>
              <w:t>）</w:t>
            </w:r>
            <w:r>
              <w:rPr>
                <w:rFonts w:ascii="宋体" w:hAnsi="宋体" w:cs="宋体" w:eastAsia="宋体" w:hint="default"/>
                <w:sz w:val="18"/>
                <w:szCs w:val="18"/>
              </w:rPr>
              <w:t>甲方应在前述专项审核意见出具之日起二十日</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3"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single" w:sz="4" w:space="0" w:color="000000"/>
              <w:right w:val="single" w:sz="4" w:space="0" w:color="000000"/>
            </w:tcBorders>
            <w:shd w:val="clear" w:color="auto" w:fill="C7EDCC"/>
          </w:tcPr>
          <w:p>
            <w:pPr/>
          </w:p>
        </w:tc>
        <w:tc>
          <w:tcPr>
            <w:tcW w:w="805" w:type="dxa"/>
            <w:tcBorders>
              <w:top w:val="nil" w:sz="6" w:space="0" w:color="auto"/>
              <w:left w:val="single" w:sz="4" w:space="0" w:color="000000"/>
              <w:bottom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内支付因减值而发生的现金补偿。</w:t>
            </w:r>
          </w:p>
        </w:tc>
        <w:tc>
          <w:tcPr>
            <w:tcW w:w="548" w:type="dxa"/>
            <w:tcBorders>
              <w:top w:val="nil" w:sz="6" w:space="0" w:color="auto"/>
              <w:left w:val="single" w:sz="4" w:space="0" w:color="000000"/>
              <w:bottom w:val="single" w:sz="4" w:space="0" w:color="000000"/>
              <w:right w:val="single" w:sz="4" w:space="0" w:color="000000"/>
            </w:tcBorders>
          </w:tcPr>
          <w:p>
            <w:pPr/>
          </w:p>
        </w:tc>
        <w:tc>
          <w:tcPr>
            <w:tcW w:w="985" w:type="dxa"/>
            <w:tcBorders>
              <w:top w:val="nil" w:sz="6" w:space="0" w:color="auto"/>
              <w:left w:val="single" w:sz="4" w:space="0" w:color="000000"/>
              <w:bottom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257"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single" w:sz="4" w:space="0" w:color="000000"/>
              <w:left w:val="single" w:sz="4" w:space="0" w:color="000000"/>
              <w:bottom w:val="nil" w:sz="6" w:space="0" w:color="auto"/>
              <w:right w:val="single" w:sz="4" w:space="0" w:color="000000"/>
            </w:tcBorders>
            <w:shd w:val="clear" w:color="auto" w:fill="C7EDCC"/>
          </w:tcPr>
          <w:p>
            <w:pPr/>
          </w:p>
        </w:tc>
        <w:tc>
          <w:tcPr>
            <w:tcW w:w="805" w:type="dxa"/>
            <w:tcBorders>
              <w:top w:val="single" w:sz="4" w:space="0" w:color="000000"/>
              <w:left w:val="single" w:sz="4" w:space="0" w:color="000000"/>
              <w:bottom w:val="nil" w:sz="6" w:space="0" w:color="auto"/>
              <w:right w:val="single" w:sz="4" w:space="0" w:color="000000"/>
            </w:tcBorders>
            <w:shd w:val="clear" w:color="auto" w:fill="C7EDCC"/>
          </w:tcPr>
          <w:p>
            <w:pPr/>
          </w:p>
        </w:tc>
        <w:tc>
          <w:tcPr>
            <w:tcW w:w="451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标的公司在利润补偿期间即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年实</w:t>
            </w:r>
          </w:p>
        </w:tc>
        <w:tc>
          <w:tcPr>
            <w:tcW w:w="548" w:type="dxa"/>
            <w:tcBorders>
              <w:top w:val="single" w:sz="4" w:space="0" w:color="000000"/>
              <w:left w:val="single" w:sz="4" w:space="0" w:color="000000"/>
              <w:bottom w:val="nil" w:sz="6" w:space="0" w:color="auto"/>
              <w:right w:val="single" w:sz="4" w:space="0" w:color="000000"/>
            </w:tcBorders>
          </w:tcPr>
          <w:p>
            <w:pPr/>
          </w:p>
        </w:tc>
        <w:tc>
          <w:tcPr>
            <w:tcW w:w="985" w:type="dxa"/>
            <w:tcBorders>
              <w:top w:val="single" w:sz="4" w:space="0" w:color="000000"/>
              <w:left w:val="single" w:sz="4" w:space="0" w:color="000000"/>
              <w:bottom w:val="nil" w:sz="6" w:space="0" w:color="auto"/>
              <w:right w:val="single" w:sz="4" w:space="0" w:color="000000"/>
            </w:tcBorders>
            <w:shd w:val="clear" w:color="auto" w:fill="C7EDCC"/>
          </w:tcPr>
          <w:p>
            <w:pPr/>
          </w:p>
        </w:tc>
        <w:tc>
          <w:tcPr>
            <w:tcW w:w="81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215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4" w:lineRule="auto" w:before="89"/>
              <w:ind w:left="22" w:right="185"/>
              <w:jc w:val="both"/>
              <w:rPr>
                <w:rFonts w:ascii="宋体" w:hAnsi="宋体" w:cs="宋体" w:eastAsia="宋体" w:hint="default"/>
                <w:sz w:val="18"/>
                <w:szCs w:val="18"/>
              </w:rPr>
            </w:pPr>
            <w:r>
              <w:rPr>
                <w:rFonts w:ascii="宋体" w:hAnsi="宋体" w:cs="宋体" w:eastAsia="宋体" w:hint="default"/>
                <w:sz w:val="18"/>
                <w:szCs w:val="18"/>
              </w:rPr>
              <w:t>其他 对公 司中 小股 东所 作承 诺</w:t>
            </w: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曲水华航投资有</w:t>
            </w:r>
          </w:p>
          <w:p>
            <w:pPr>
              <w:pStyle w:val="TableParagraph"/>
              <w:spacing w:line="240" w:lineRule="exact" w:before="22"/>
              <w:ind w:left="22" w:right="98"/>
              <w:jc w:val="both"/>
              <w:rPr>
                <w:rFonts w:ascii="宋体" w:hAnsi="宋体" w:cs="宋体" w:eastAsia="宋体"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宁波高新 区新愿景股权投 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宁波 高新区新未来教 育科技有限公司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曲水华唐投资有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宁波高新 区红山远景投资</w:t>
            </w:r>
          </w:p>
        </w:tc>
        <w:tc>
          <w:tcPr>
            <w:tcW w:w="80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4" w:lineRule="auto"/>
              <w:ind w:left="23" w:right="49"/>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现的净利润（根据标的企业扣除非经常性损益前后孰低原</w:t>
            </w:r>
          </w:p>
          <w:p>
            <w:pPr>
              <w:pStyle w:val="TableParagraph"/>
              <w:spacing w:line="242" w:lineRule="auto" w:before="4"/>
              <w:ind w:left="22" w:right="-17"/>
              <w:jc w:val="left"/>
              <w:rPr>
                <w:rFonts w:ascii="宋体" w:hAnsi="宋体" w:cs="宋体" w:eastAsia="宋体" w:hint="default"/>
                <w:sz w:val="18"/>
                <w:szCs w:val="18"/>
              </w:rPr>
            </w:pPr>
            <w:r>
              <w:rPr>
                <w:rFonts w:ascii="宋体" w:hAnsi="宋体" w:cs="宋体" w:eastAsia="宋体" w:hint="default"/>
                <w:spacing w:val="-2"/>
                <w:sz w:val="18"/>
                <w:szCs w:val="18"/>
              </w:rPr>
              <w:t>则确定，标的公司净利润是指标的公司合并报表中归属于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母公司所有者的全部净利润，该母公司指中教未来）分别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为不低于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7,900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万元。在各业绩 </w:t>
            </w:r>
            <w:r>
              <w:rPr>
                <w:rFonts w:ascii="宋体" w:hAnsi="宋体" w:cs="宋体" w:eastAsia="宋体" w:hint="default"/>
                <w:spacing w:val="-2"/>
                <w:sz w:val="18"/>
                <w:szCs w:val="18"/>
              </w:rPr>
              <w:t>承诺期结束之日后，上市公司聘请具有证券期货从业资格</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的审计机构对标的公司每年度实现的实际净利润等经营 成果予以审核，如标的公司实现净利润未达到承诺利润 </w:t>
            </w:r>
            <w:r>
              <w:rPr>
                <w:rFonts w:ascii="宋体" w:hAnsi="宋体" w:cs="宋体" w:eastAsia="宋体" w:hint="default"/>
                <w:spacing w:val="-2"/>
                <w:sz w:val="18"/>
                <w:szCs w:val="18"/>
              </w:rPr>
              <w:t>的，交易对方应在该年度的专项审核报告披露之日起十日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之内，按下列公式计算的金额对上市公司进行现金补偿：</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5" w:lineRule="exact" w:before="15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w:t>
            </w:r>
          </w:p>
          <w:p>
            <w:pPr>
              <w:pStyle w:val="TableParagraph"/>
              <w:spacing w:line="240" w:lineRule="auto"/>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年承 诺已履行 完毕，其 余履行之 中</w:t>
            </w:r>
          </w:p>
        </w:tc>
      </w:tr>
      <w:tr>
        <w:trPr>
          <w:trHeight w:val="24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7"/>
                <w:sz w:val="18"/>
                <w:szCs w:val="18"/>
              </w:rPr>
              <w:t>管理中心（有限合</w:t>
            </w: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当期应补偿的现金</w:t>
            </w:r>
            <w:r>
              <w:rPr>
                <w:rFonts w:ascii="Times New Roman" w:hAnsi="Times New Roman" w:cs="Times New Roman" w:eastAsia="Times New Roman" w:hint="default"/>
                <w:sz w:val="18"/>
                <w:szCs w:val="18"/>
              </w:rPr>
              <w:t>=</w:t>
            </w:r>
            <w:r>
              <w:rPr>
                <w:rFonts w:ascii="宋体" w:hAnsi="宋体" w:cs="宋体" w:eastAsia="宋体" w:hint="default"/>
                <w:sz w:val="18"/>
                <w:szCs w:val="18"/>
              </w:rPr>
              <w:t>（截至当期期末累积承诺净利润数－</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截至当期期末累积实际净利润数）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补偿期限内各年的承</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3"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single" w:sz="4" w:space="0" w:color="000000"/>
              <w:right w:val="single" w:sz="4" w:space="0" w:color="000000"/>
            </w:tcBorders>
            <w:shd w:val="clear" w:color="auto" w:fill="C7EDCC"/>
          </w:tcPr>
          <w:p>
            <w:pPr/>
          </w:p>
        </w:tc>
        <w:tc>
          <w:tcPr>
            <w:tcW w:w="805" w:type="dxa"/>
            <w:tcBorders>
              <w:top w:val="nil" w:sz="6" w:space="0" w:color="auto"/>
              <w:left w:val="single" w:sz="4" w:space="0" w:color="000000"/>
              <w:bottom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诺净利润数总和</w:t>
            </w:r>
            <w:r>
              <w:rPr>
                <w:rFonts w:ascii="Times New Roman" w:hAnsi="Times New Roman" w:cs="Times New Roman" w:eastAsia="Times New Roman" w:hint="default"/>
                <w:sz w:val="18"/>
                <w:szCs w:val="18"/>
              </w:rPr>
              <w:t>×</w:t>
            </w:r>
            <w:r>
              <w:rPr>
                <w:rFonts w:ascii="宋体" w:hAnsi="宋体" w:cs="宋体" w:eastAsia="宋体" w:hint="default"/>
                <w:sz w:val="18"/>
                <w:szCs w:val="18"/>
              </w:rPr>
              <w:t>转让标的转让价款－已补偿的现金</w:t>
            </w:r>
          </w:p>
        </w:tc>
        <w:tc>
          <w:tcPr>
            <w:tcW w:w="548" w:type="dxa"/>
            <w:tcBorders>
              <w:top w:val="nil" w:sz="6" w:space="0" w:color="auto"/>
              <w:left w:val="single" w:sz="4" w:space="0" w:color="000000"/>
              <w:bottom w:val="single" w:sz="4" w:space="0" w:color="000000"/>
              <w:right w:val="single" w:sz="4" w:space="0" w:color="000000"/>
            </w:tcBorders>
          </w:tcPr>
          <w:p>
            <w:pPr/>
          </w:p>
        </w:tc>
        <w:tc>
          <w:tcPr>
            <w:tcW w:w="985" w:type="dxa"/>
            <w:tcBorders>
              <w:top w:val="nil" w:sz="6" w:space="0" w:color="auto"/>
              <w:left w:val="single" w:sz="4" w:space="0" w:color="000000"/>
              <w:bottom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252"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single" w:sz="4" w:space="0" w:color="000000"/>
              <w:left w:val="single" w:sz="4" w:space="0" w:color="000000"/>
              <w:bottom w:val="nil" w:sz="6" w:space="0" w:color="auto"/>
              <w:right w:val="single" w:sz="4" w:space="0" w:color="000000"/>
            </w:tcBorders>
            <w:shd w:val="clear" w:color="auto" w:fill="C7EDCC"/>
          </w:tcPr>
          <w:p>
            <w:pPr/>
          </w:p>
        </w:tc>
        <w:tc>
          <w:tcPr>
            <w:tcW w:w="805" w:type="dxa"/>
            <w:tcBorders>
              <w:top w:val="single" w:sz="4" w:space="0" w:color="000000"/>
              <w:left w:val="single" w:sz="4" w:space="0" w:color="000000"/>
              <w:bottom w:val="nil" w:sz="6" w:space="0" w:color="auto"/>
              <w:right w:val="single" w:sz="4" w:space="0" w:color="000000"/>
            </w:tcBorders>
            <w:shd w:val="clear" w:color="auto" w:fill="C7EDCC"/>
          </w:tcPr>
          <w:p>
            <w:pPr/>
          </w:p>
        </w:tc>
        <w:tc>
          <w:tcPr>
            <w:tcW w:w="451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乙方（即：宁波高新区尚兆教育科技发展有限公司、宁波</w:t>
            </w:r>
          </w:p>
        </w:tc>
        <w:tc>
          <w:tcPr>
            <w:tcW w:w="548" w:type="dxa"/>
            <w:tcBorders>
              <w:top w:val="single" w:sz="4" w:space="0" w:color="000000"/>
              <w:left w:val="single" w:sz="4" w:space="0" w:color="000000"/>
              <w:bottom w:val="nil" w:sz="6" w:space="0" w:color="auto"/>
              <w:right w:val="single" w:sz="4" w:space="0" w:color="000000"/>
            </w:tcBorders>
          </w:tcPr>
          <w:p>
            <w:pPr/>
          </w:p>
        </w:tc>
        <w:tc>
          <w:tcPr>
            <w:tcW w:w="985" w:type="dxa"/>
            <w:tcBorders>
              <w:top w:val="single" w:sz="4" w:space="0" w:color="000000"/>
              <w:left w:val="single" w:sz="4" w:space="0" w:color="000000"/>
              <w:bottom w:val="nil" w:sz="6" w:space="0" w:color="auto"/>
              <w:right w:val="single" w:sz="4" w:space="0" w:color="000000"/>
            </w:tcBorders>
            <w:shd w:val="clear" w:color="auto" w:fill="C7EDCC"/>
          </w:tcPr>
          <w:p>
            <w:pPr/>
          </w:p>
        </w:tc>
        <w:tc>
          <w:tcPr>
            <w:tcW w:w="81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高新区育维德教育科技发展有限公司</w:t>
            </w:r>
            <w:r>
              <w:rPr>
                <w:rFonts w:ascii="宋体" w:hAnsi="宋体" w:cs="宋体" w:eastAsia="宋体" w:hint="default"/>
                <w:spacing w:val="-90"/>
                <w:sz w:val="18"/>
                <w:szCs w:val="18"/>
              </w:rPr>
              <w:t>）</w:t>
            </w:r>
            <w:r>
              <w:rPr>
                <w:rFonts w:ascii="宋体" w:hAnsi="宋体" w:cs="宋体" w:eastAsia="宋体" w:hint="default"/>
                <w:spacing w:val="-14"/>
                <w:sz w:val="18"/>
                <w:szCs w:val="18"/>
              </w:rPr>
              <w:t>、</w:t>
            </w:r>
            <w:r>
              <w:rPr>
                <w:rFonts w:ascii="宋体" w:hAnsi="宋体" w:cs="宋体" w:eastAsia="宋体" w:hint="default"/>
                <w:sz w:val="18"/>
                <w:szCs w:val="18"/>
              </w:rPr>
              <w:t>丙</w:t>
            </w:r>
            <w:r>
              <w:rPr>
                <w:rFonts w:ascii="宋体" w:hAnsi="宋体" w:cs="宋体" w:eastAsia="宋体" w:hint="default"/>
                <w:spacing w:val="-14"/>
                <w:sz w:val="18"/>
                <w:szCs w:val="18"/>
              </w:rPr>
              <w:t>方</w:t>
            </w:r>
            <w:r>
              <w:rPr>
                <w:rFonts w:ascii="宋体" w:hAnsi="宋体" w:cs="宋体" w:eastAsia="宋体" w:hint="default"/>
                <w:sz w:val="18"/>
                <w:szCs w:val="18"/>
              </w:rPr>
              <w:t>（即</w:t>
            </w:r>
            <w:r>
              <w:rPr>
                <w:rFonts w:ascii="宋体" w:hAnsi="宋体" w:cs="宋体" w:eastAsia="宋体" w:hint="default"/>
                <w:spacing w:val="-14"/>
                <w:sz w:val="18"/>
                <w:szCs w:val="18"/>
              </w:rPr>
              <w:t>：</w:t>
            </w:r>
            <w:r>
              <w:rPr>
                <w:rFonts w:ascii="宋体" w:hAnsi="宋体" w:cs="宋体" w:eastAsia="宋体" w:hint="default"/>
                <w:sz w:val="18"/>
                <w:szCs w:val="18"/>
              </w:rPr>
              <w:t>马驰</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郭倩卿）郑重承诺：标的公司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年实现的净利润（根</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据标的公司扣除非经常性损益前后孰低原则确定，标的公</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司净利润是指标的公司以及标的公司合并报表范围内子</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公司的全部净利润，下同）</w:t>
            </w:r>
            <w:r>
              <w:rPr>
                <w:rFonts w:ascii="Times New Roman" w:hAnsi="Times New Roman" w:cs="Times New Roman" w:eastAsia="Times New Roman" w:hint="default"/>
                <w:sz w:val="18"/>
                <w:szCs w:val="18"/>
              </w:rPr>
              <w:t>,</w:t>
            </w:r>
            <w:r>
              <w:rPr>
                <w:rFonts w:ascii="宋体" w:hAnsi="宋体" w:cs="宋体" w:eastAsia="宋体" w:hint="default"/>
                <w:sz w:val="18"/>
                <w:szCs w:val="18"/>
              </w:rPr>
              <w:t>合计不少于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2,910</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万元；标的</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年实现的净利润，合计不少于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3,210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万元。在各</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143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4" w:lineRule="exact"/>
              <w:ind w:left="22" w:right="0"/>
              <w:jc w:val="both"/>
              <w:rPr>
                <w:rFonts w:ascii="宋体" w:hAnsi="宋体" w:cs="宋体" w:eastAsia="宋体" w:hint="default"/>
                <w:sz w:val="18"/>
                <w:szCs w:val="18"/>
              </w:rPr>
            </w:pPr>
            <w:r>
              <w:rPr>
                <w:rFonts w:ascii="宋体" w:hAnsi="宋体" w:cs="宋体" w:eastAsia="宋体" w:hint="default"/>
                <w:sz w:val="18"/>
                <w:szCs w:val="18"/>
              </w:rPr>
              <w:t>郭倩卿</w:t>
            </w:r>
            <w:r>
              <w:rPr>
                <w:rFonts w:ascii="Times New Roman" w:hAnsi="Times New Roman" w:cs="Times New Roman" w:eastAsia="Times New Roman" w:hint="default"/>
                <w:sz w:val="18"/>
                <w:szCs w:val="18"/>
              </w:rPr>
              <w:t>;</w:t>
            </w:r>
            <w:r>
              <w:rPr>
                <w:rFonts w:ascii="宋体" w:hAnsi="宋体" w:cs="宋体" w:eastAsia="宋体" w:hint="default"/>
                <w:sz w:val="18"/>
                <w:szCs w:val="18"/>
              </w:rPr>
              <w:t>马驰</w:t>
            </w:r>
            <w:r>
              <w:rPr>
                <w:rFonts w:ascii="Times New Roman" w:hAnsi="Times New Roman" w:cs="Times New Roman" w:eastAsia="Times New Roman" w:hint="default"/>
                <w:sz w:val="18"/>
                <w:szCs w:val="18"/>
              </w:rPr>
              <w:t>;</w:t>
            </w:r>
            <w:r>
              <w:rPr>
                <w:rFonts w:ascii="宋体" w:hAnsi="宋体" w:cs="宋体" w:eastAsia="宋体" w:hint="default"/>
                <w:sz w:val="18"/>
                <w:szCs w:val="18"/>
              </w:rPr>
              <w:t>宁波</w:t>
            </w:r>
          </w:p>
          <w:p>
            <w:pPr>
              <w:pStyle w:val="TableParagraph"/>
              <w:spacing w:line="240" w:lineRule="auto"/>
              <w:ind w:left="22" w:right="98"/>
              <w:jc w:val="both"/>
              <w:rPr>
                <w:rFonts w:ascii="宋体" w:hAnsi="宋体" w:cs="宋体" w:eastAsia="宋体" w:hint="default"/>
                <w:sz w:val="18"/>
                <w:szCs w:val="18"/>
              </w:rPr>
            </w:pPr>
            <w:r>
              <w:rPr>
                <w:rFonts w:ascii="宋体" w:hAnsi="宋体" w:cs="宋体" w:eastAsia="宋体" w:hint="default"/>
                <w:sz w:val="18"/>
                <w:szCs w:val="18"/>
              </w:rPr>
              <w:t>高新区尚兆教育 科技发展有限公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宁波高新区育 维德教育科技发 展有限公司</w:t>
            </w:r>
          </w:p>
        </w:tc>
        <w:tc>
          <w:tcPr>
            <w:tcW w:w="80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2"/>
              <w:ind w:left="23" w:right="49"/>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pacing w:val="-2"/>
                <w:sz w:val="18"/>
                <w:szCs w:val="18"/>
              </w:rPr>
              <w:t>业绩承诺期结束之日起，甲方（即：中教未来国际教育科</w:t>
            </w:r>
          </w:p>
          <w:p>
            <w:pPr>
              <w:pStyle w:val="TableParagraph"/>
              <w:spacing w:line="240" w:lineRule="auto" w:before="4"/>
              <w:ind w:left="22" w:right="23"/>
              <w:jc w:val="both"/>
              <w:rPr>
                <w:rFonts w:ascii="宋体" w:hAnsi="宋体" w:cs="宋体" w:eastAsia="宋体" w:hint="default"/>
                <w:sz w:val="18"/>
                <w:szCs w:val="18"/>
              </w:rPr>
            </w:pPr>
            <w:r>
              <w:rPr>
                <w:rFonts w:ascii="宋体" w:hAnsi="宋体" w:cs="宋体" w:eastAsia="宋体" w:hint="default"/>
                <w:spacing w:val="-2"/>
                <w:sz w:val="18"/>
                <w:szCs w:val="18"/>
              </w:rPr>
              <w:t>技（北京）有限公司）聘请具有证券期货从业资格的审计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机构，对标的公司业绩承诺期内每年度实现的实际净利润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等经营成果予以审核，出具专项审核报告。根据本协议</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3"/>
                <w:sz w:val="18"/>
                <w:szCs w:val="18"/>
              </w:rPr>
              <w:t> </w:t>
            </w:r>
            <w:r>
              <w:rPr>
                <w:rFonts w:ascii="宋体" w:hAnsi="宋体" w:cs="宋体" w:eastAsia="宋体" w:hint="default"/>
                <w:spacing w:val="-2"/>
                <w:sz w:val="18"/>
                <w:szCs w:val="18"/>
              </w:rPr>
              <w:t>款的专项审核报告，如标的公司实现净利润未达到承诺利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润标准的，乙方、丙方应在该年度的专项审核报告披露之</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89"/>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年承 诺已履行 完毕，其 余正常履 行中</w:t>
            </w: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日起十个工作日内，按下列公式计算的金额对甲方进行现</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金补偿：当期应补偿的现金</w:t>
            </w:r>
            <w:r>
              <w:rPr>
                <w:rFonts w:ascii="Times New Roman" w:hAnsi="Times New Roman" w:cs="Times New Roman" w:eastAsia="Times New Roman" w:hint="default"/>
                <w:sz w:val="18"/>
                <w:szCs w:val="18"/>
              </w:rPr>
              <w:t>=</w:t>
            </w:r>
            <w:r>
              <w:rPr>
                <w:rFonts w:ascii="宋体" w:hAnsi="宋体" w:cs="宋体" w:eastAsia="宋体" w:hint="default"/>
                <w:sz w:val="18"/>
                <w:szCs w:val="18"/>
              </w:rPr>
              <w:t>（截至当期期末累积承诺净</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利润数－截至当期期末累积实际净利润数）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各年的承诺净利润数总和</w:t>
            </w:r>
            <w:r>
              <w:rPr>
                <w:rFonts w:ascii="Times New Roman" w:hAnsi="Times New Roman" w:cs="Times New Roman" w:eastAsia="Times New Roman" w:hint="default"/>
                <w:sz w:val="18"/>
                <w:szCs w:val="18"/>
              </w:rPr>
              <w:t>×</w:t>
            </w:r>
            <w:r>
              <w:rPr>
                <w:rFonts w:ascii="宋体" w:hAnsi="宋体" w:cs="宋体" w:eastAsia="宋体" w:hint="default"/>
                <w:sz w:val="18"/>
                <w:szCs w:val="18"/>
              </w:rPr>
              <w:t>转让标的转让价款－已补偿的</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5"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现金。双方同意，甲方有权在未支付的交易款项中扣除该</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现金补偿部分。同时，如标的公司上年度超额完成承诺利</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8" w:hRule="exact"/>
        </w:trPr>
        <w:tc>
          <w:tcPr>
            <w:tcW w:w="5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single" w:sz="4" w:space="0" w:color="000000"/>
              <w:right w:val="single" w:sz="4" w:space="0" w:color="000000"/>
            </w:tcBorders>
            <w:shd w:val="clear" w:color="auto" w:fill="C7EDCC"/>
          </w:tcPr>
          <w:p>
            <w:pPr/>
          </w:p>
        </w:tc>
        <w:tc>
          <w:tcPr>
            <w:tcW w:w="805" w:type="dxa"/>
            <w:tcBorders>
              <w:top w:val="nil" w:sz="6" w:space="0" w:color="auto"/>
              <w:left w:val="single" w:sz="4" w:space="0" w:color="000000"/>
              <w:bottom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润，则超额部分可以用于填补以后年度承诺净利润。根据</w:t>
            </w:r>
          </w:p>
        </w:tc>
        <w:tc>
          <w:tcPr>
            <w:tcW w:w="548" w:type="dxa"/>
            <w:tcBorders>
              <w:top w:val="nil" w:sz="6" w:space="0" w:color="auto"/>
              <w:left w:val="single" w:sz="4" w:space="0" w:color="000000"/>
              <w:bottom w:val="single" w:sz="4" w:space="0" w:color="000000"/>
              <w:right w:val="single" w:sz="4" w:space="0" w:color="000000"/>
            </w:tcBorders>
          </w:tcPr>
          <w:p>
            <w:pPr/>
          </w:p>
        </w:tc>
        <w:tc>
          <w:tcPr>
            <w:tcW w:w="985" w:type="dxa"/>
            <w:tcBorders>
              <w:top w:val="nil" w:sz="6" w:space="0" w:color="auto"/>
              <w:left w:val="single" w:sz="4" w:space="0" w:color="000000"/>
              <w:bottom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422.76001pt;margin-top:193pt;width:26.95pt;height:120pt;mso-position-horizontal-relative:page;mso-position-vertical-relative:page;z-index:-1169080" coordorigin="8455,3860" coordsize="539,2400">
            <v:shape style="position:absolute;left:8455;top:3860;width:539;height:2400" coordorigin="8455,3860" coordsize="539,2400" path="m8455,6260l8994,6260,8994,3860,8455,3860,8455,6260xe" filled="true" fillcolor="#ffffff" stroked="false">
              <v:path arrowok="t"/>
              <v:fill type="solid"/>
            </v:shape>
            <w10:wrap type="none"/>
          </v:group>
        </w:pict>
      </w:r>
      <w:r>
        <w:rPr/>
        <w:pict>
          <v:group style="position:absolute;margin-left:423.899994pt;margin-top:596.520020pt;width:24.7pt;height:24pt;mso-position-horizontal-relative:page;mso-position-vertical-relative:page;z-index:-1169056" coordorigin="8478,11930" coordsize="494,480">
            <v:group style="position:absolute;left:8478;top:11930;width:494;height:240" coordorigin="8478,11930" coordsize="494,240">
              <v:shape style="position:absolute;left:8478;top:11930;width:494;height:240" coordorigin="8478,11930" coordsize="494,240" path="m8478,12170l8971,12170,8971,11930,8478,11930,8478,12170xe" filled="true" fillcolor="#ffffff" stroked="false">
                <v:path arrowok="t"/>
                <v:fill type="solid"/>
              </v:shape>
            </v:group>
            <v:group style="position:absolute;left:8478;top:12170;width:494;height:240" coordorigin="8478,12170" coordsize="494,240">
              <v:shape style="position:absolute;left:8478;top:12170;width:494;height:240" coordorigin="8478,12170" coordsize="494,240" path="m8478,12410l8971,12410,8971,12170,8478,12170,8478,1241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580"/>
        <w:gridCol w:w="1444"/>
        <w:gridCol w:w="805"/>
        <w:gridCol w:w="4516"/>
        <w:gridCol w:w="548"/>
        <w:gridCol w:w="985"/>
        <w:gridCol w:w="816"/>
      </w:tblGrid>
      <w:tr>
        <w:trPr>
          <w:trHeight w:val="252" w:hRule="exact"/>
        </w:trPr>
        <w:tc>
          <w:tcPr>
            <w:tcW w:w="580" w:type="dxa"/>
            <w:vMerge w:val="restart"/>
            <w:tcBorders>
              <w:top w:val="single" w:sz="4" w:space="0" w:color="000000"/>
              <w:left w:val="single" w:sz="4" w:space="0" w:color="000000"/>
              <w:right w:val="single" w:sz="4" w:space="0" w:color="000000"/>
            </w:tcBorders>
            <w:shd w:val="clear" w:color="auto" w:fill="D3D3D3"/>
          </w:tcPr>
          <w:p>
            <w:pPr/>
          </w:p>
        </w:tc>
        <w:tc>
          <w:tcPr>
            <w:tcW w:w="1444" w:type="dxa"/>
            <w:vMerge w:val="restart"/>
            <w:tcBorders>
              <w:top w:val="single" w:sz="4" w:space="0" w:color="000000"/>
              <w:left w:val="single" w:sz="4" w:space="0" w:color="000000"/>
              <w:right w:val="single" w:sz="4" w:space="0" w:color="000000"/>
            </w:tcBorders>
            <w:shd w:val="clear" w:color="auto" w:fill="C7EDCC"/>
          </w:tcPr>
          <w:p>
            <w:pPr/>
          </w:p>
        </w:tc>
        <w:tc>
          <w:tcPr>
            <w:tcW w:w="805" w:type="dxa"/>
            <w:vMerge w:val="restart"/>
            <w:tcBorders>
              <w:top w:val="single" w:sz="4" w:space="0" w:color="000000"/>
              <w:left w:val="single" w:sz="4" w:space="0" w:color="000000"/>
              <w:right w:val="single" w:sz="4" w:space="0" w:color="000000"/>
            </w:tcBorders>
            <w:shd w:val="clear" w:color="auto" w:fill="C7EDCC"/>
          </w:tcPr>
          <w:p>
            <w:pPr/>
          </w:p>
        </w:tc>
        <w:tc>
          <w:tcPr>
            <w:tcW w:w="451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上述公式计算的当期应补偿的现金为负数的，甲方没有义</w:t>
            </w:r>
          </w:p>
        </w:tc>
        <w:tc>
          <w:tcPr>
            <w:tcW w:w="548" w:type="dxa"/>
            <w:vMerge w:val="restart"/>
            <w:tcBorders>
              <w:top w:val="single" w:sz="4" w:space="0" w:color="000000"/>
              <w:left w:val="single" w:sz="4" w:space="0" w:color="000000"/>
              <w:right w:val="single" w:sz="4" w:space="0" w:color="000000"/>
            </w:tcBorders>
          </w:tcPr>
          <w:p>
            <w:pPr/>
          </w:p>
        </w:tc>
        <w:tc>
          <w:tcPr>
            <w:tcW w:w="985" w:type="dxa"/>
            <w:vMerge w:val="restart"/>
            <w:tcBorders>
              <w:top w:val="single" w:sz="4" w:space="0" w:color="000000"/>
              <w:left w:val="single" w:sz="4" w:space="0" w:color="000000"/>
              <w:right w:val="single" w:sz="4" w:space="0" w:color="000000"/>
            </w:tcBorders>
            <w:shd w:val="clear" w:color="auto" w:fill="C7EDCC"/>
          </w:tcPr>
          <w:p>
            <w:pPr/>
          </w:p>
        </w:tc>
        <w:tc>
          <w:tcPr>
            <w:tcW w:w="816" w:type="dxa"/>
            <w:vMerge w:val="restart"/>
            <w:tcBorders>
              <w:top w:val="single" w:sz="4" w:space="0" w:color="000000"/>
              <w:left w:val="single" w:sz="4" w:space="0" w:color="000000"/>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right w:val="single" w:sz="4" w:space="0" w:color="000000"/>
            </w:tcBorders>
            <w:shd w:val="clear" w:color="auto" w:fill="C7EDCC"/>
          </w:tcPr>
          <w:p>
            <w:pPr/>
          </w:p>
        </w:tc>
        <w:tc>
          <w:tcPr>
            <w:tcW w:w="805" w:type="dxa"/>
            <w:vMerge/>
            <w:tcBorders>
              <w:left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务向乙方、丙方退还此前向乙方、丙方收取的任何补偿款</w:t>
            </w:r>
          </w:p>
        </w:tc>
        <w:tc>
          <w:tcPr>
            <w:tcW w:w="548"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right w:val="single" w:sz="4" w:space="0" w:color="000000"/>
            </w:tcBorders>
            <w:shd w:val="clear" w:color="auto" w:fill="C7EDCC"/>
          </w:tcPr>
          <w:p>
            <w:pPr/>
          </w:p>
        </w:tc>
        <w:tc>
          <w:tcPr>
            <w:tcW w:w="805" w:type="dxa"/>
            <w:vMerge/>
            <w:tcBorders>
              <w:left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项。甲方在业绩承诺期间届满后将聘请具有证券期货业务</w:t>
            </w:r>
          </w:p>
        </w:tc>
        <w:tc>
          <w:tcPr>
            <w:tcW w:w="548"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right w:val="single" w:sz="4" w:space="0" w:color="000000"/>
            </w:tcBorders>
            <w:shd w:val="clear" w:color="auto" w:fill="C7EDCC"/>
          </w:tcPr>
          <w:p>
            <w:pPr/>
          </w:p>
        </w:tc>
        <w:tc>
          <w:tcPr>
            <w:tcW w:w="805" w:type="dxa"/>
            <w:vMerge/>
            <w:tcBorders>
              <w:left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资格的会计师事务所对标的公司进行减值测试，并出具专</w:t>
            </w:r>
          </w:p>
        </w:tc>
        <w:tc>
          <w:tcPr>
            <w:tcW w:w="548"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right w:val="single" w:sz="4" w:space="0" w:color="000000"/>
            </w:tcBorders>
            <w:shd w:val="clear" w:color="auto" w:fill="C7EDCC"/>
          </w:tcPr>
          <w:p>
            <w:pPr/>
          </w:p>
        </w:tc>
        <w:tc>
          <w:tcPr>
            <w:tcW w:w="805" w:type="dxa"/>
            <w:vMerge/>
            <w:tcBorders>
              <w:left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项审核意见。根据上述专项审核意见，如标的公司期末减</w:t>
            </w:r>
          </w:p>
        </w:tc>
        <w:tc>
          <w:tcPr>
            <w:tcW w:w="548"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r>
      <w:tr>
        <w:trPr>
          <w:trHeight w:val="245"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right w:val="single" w:sz="4" w:space="0" w:color="000000"/>
            </w:tcBorders>
            <w:shd w:val="clear" w:color="auto" w:fill="C7EDCC"/>
          </w:tcPr>
          <w:p>
            <w:pPr/>
          </w:p>
        </w:tc>
        <w:tc>
          <w:tcPr>
            <w:tcW w:w="805" w:type="dxa"/>
            <w:vMerge/>
            <w:tcBorders>
              <w:left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值额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标的公司评估值</w:t>
            </w:r>
            <w:r>
              <w:rPr>
                <w:rFonts w:ascii="Times New Roman" w:hAnsi="Times New Roman" w:cs="Times New Roman" w:eastAsia="Times New Roman" w:hint="default"/>
                <w:spacing w:val="-3"/>
                <w:sz w:val="18"/>
                <w:szCs w:val="18"/>
              </w:rPr>
              <w:t>&gt;</w:t>
            </w:r>
            <w:r>
              <w:rPr>
                <w:rFonts w:ascii="宋体" w:hAnsi="宋体" w:cs="宋体" w:eastAsia="宋体" w:hint="default"/>
                <w:spacing w:val="-3"/>
                <w:sz w:val="18"/>
                <w:szCs w:val="18"/>
              </w:rPr>
              <w:t>业绩承诺期间乙方、丙方已补偿现</w:t>
            </w:r>
          </w:p>
        </w:tc>
        <w:tc>
          <w:tcPr>
            <w:tcW w:w="548"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right w:val="single" w:sz="4" w:space="0" w:color="000000"/>
            </w:tcBorders>
            <w:shd w:val="clear" w:color="auto" w:fill="C7EDCC"/>
          </w:tcPr>
          <w:p>
            <w:pPr/>
          </w:p>
        </w:tc>
        <w:tc>
          <w:tcPr>
            <w:tcW w:w="805" w:type="dxa"/>
            <w:vMerge/>
            <w:tcBorders>
              <w:left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金总数</w:t>
            </w:r>
            <w:r>
              <w:rPr>
                <w:rFonts w:ascii="Times New Roman" w:hAnsi="Times New Roman" w:cs="Times New Roman" w:eastAsia="Times New Roman" w:hint="default"/>
                <w:sz w:val="18"/>
                <w:szCs w:val="18"/>
              </w:rPr>
              <w:t>÷</w:t>
            </w:r>
            <w:r>
              <w:rPr>
                <w:rFonts w:ascii="宋体" w:hAnsi="宋体" w:cs="宋体" w:eastAsia="宋体" w:hint="default"/>
                <w:sz w:val="18"/>
                <w:szCs w:val="18"/>
              </w:rPr>
              <w:t>标的公司转让价款，则乙方、丙方将另行补偿现</w:t>
            </w:r>
          </w:p>
        </w:tc>
        <w:tc>
          <w:tcPr>
            <w:tcW w:w="548"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r>
      <w:tr>
        <w:trPr>
          <w:trHeight w:val="235"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right w:val="single" w:sz="4" w:space="0" w:color="000000"/>
            </w:tcBorders>
            <w:shd w:val="clear" w:color="auto" w:fill="C7EDCC"/>
          </w:tcPr>
          <w:p>
            <w:pPr/>
          </w:p>
        </w:tc>
        <w:tc>
          <w:tcPr>
            <w:tcW w:w="805" w:type="dxa"/>
            <w:vMerge/>
            <w:tcBorders>
              <w:left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金。另需补偿的现金数量为：标的公司期末减值额－已补</w:t>
            </w:r>
          </w:p>
        </w:tc>
        <w:tc>
          <w:tcPr>
            <w:tcW w:w="548"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right w:val="single" w:sz="4" w:space="0" w:color="000000"/>
            </w:tcBorders>
            <w:shd w:val="clear" w:color="auto" w:fill="C7EDCC"/>
          </w:tcPr>
          <w:p>
            <w:pPr/>
          </w:p>
        </w:tc>
        <w:tc>
          <w:tcPr>
            <w:tcW w:w="805" w:type="dxa"/>
            <w:vMerge/>
            <w:tcBorders>
              <w:left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偿的现金。乙方、丙方应在前述专项审核意见出具之日起</w:t>
            </w:r>
          </w:p>
        </w:tc>
        <w:tc>
          <w:tcPr>
            <w:tcW w:w="548"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r>
      <w:tr>
        <w:trPr>
          <w:trHeight w:val="238" w:hRule="exact"/>
        </w:trPr>
        <w:tc>
          <w:tcPr>
            <w:tcW w:w="580" w:type="dxa"/>
            <w:vMerge/>
            <w:tcBorders>
              <w:left w:val="single" w:sz="4" w:space="0" w:color="000000"/>
              <w:right w:val="single" w:sz="4" w:space="0" w:color="000000"/>
            </w:tcBorders>
            <w:shd w:val="clear" w:color="auto" w:fill="D3D3D3"/>
          </w:tcPr>
          <w:p>
            <w:pPr/>
          </w:p>
        </w:tc>
        <w:tc>
          <w:tcPr>
            <w:tcW w:w="1444" w:type="dxa"/>
            <w:vMerge/>
            <w:tcBorders>
              <w:left w:val="single" w:sz="4" w:space="0" w:color="000000"/>
              <w:bottom w:val="single" w:sz="4" w:space="0" w:color="000000"/>
              <w:right w:val="single" w:sz="4" w:space="0" w:color="000000"/>
            </w:tcBorders>
            <w:shd w:val="clear" w:color="auto" w:fill="C7EDCC"/>
          </w:tcPr>
          <w:p>
            <w:pPr/>
          </w:p>
        </w:tc>
        <w:tc>
          <w:tcPr>
            <w:tcW w:w="805" w:type="dxa"/>
            <w:vMerge/>
            <w:tcBorders>
              <w:left w:val="single" w:sz="4" w:space="0" w:color="000000"/>
              <w:bottom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十个工作日内支付因减值而发生的现金补偿。</w:t>
            </w:r>
          </w:p>
        </w:tc>
        <w:tc>
          <w:tcPr>
            <w:tcW w:w="548" w:type="dxa"/>
            <w:vMerge/>
            <w:tcBorders>
              <w:left w:val="single" w:sz="4" w:space="0" w:color="000000"/>
              <w:bottom w:val="single" w:sz="4" w:space="0" w:color="000000"/>
              <w:right w:val="single" w:sz="4" w:space="0" w:color="000000"/>
            </w:tcBorders>
          </w:tcPr>
          <w:p>
            <w:pPr/>
          </w:p>
        </w:tc>
        <w:tc>
          <w:tcPr>
            <w:tcW w:w="985" w:type="dxa"/>
            <w:vMerge/>
            <w:tcBorders>
              <w:left w:val="single" w:sz="4" w:space="0" w:color="000000"/>
              <w:bottom w:val="single" w:sz="4" w:space="0" w:color="000000"/>
              <w:right w:val="single" w:sz="4" w:space="0" w:color="000000"/>
            </w:tcBorders>
            <w:shd w:val="clear" w:color="auto" w:fill="C7EDCC"/>
          </w:tcPr>
          <w:p>
            <w:pPr/>
          </w:p>
        </w:tc>
        <w:tc>
          <w:tcPr>
            <w:tcW w:w="816" w:type="dxa"/>
            <w:vMerge/>
            <w:tcBorders>
              <w:left w:val="single" w:sz="4" w:space="0" w:color="000000"/>
              <w:bottom w:val="single" w:sz="4" w:space="0" w:color="000000"/>
              <w:right w:val="single" w:sz="4" w:space="0" w:color="000000"/>
            </w:tcBorders>
            <w:shd w:val="clear" w:color="auto" w:fill="C7EDCC"/>
          </w:tcPr>
          <w:p>
            <w:pPr/>
          </w:p>
        </w:tc>
      </w:tr>
      <w:tr>
        <w:trPr>
          <w:trHeight w:val="253" w:hRule="exact"/>
        </w:trPr>
        <w:tc>
          <w:tcPr>
            <w:tcW w:w="580" w:type="dxa"/>
            <w:vMerge/>
            <w:tcBorders>
              <w:left w:val="single" w:sz="4" w:space="0" w:color="000000"/>
              <w:right w:val="single" w:sz="4" w:space="0" w:color="000000"/>
            </w:tcBorders>
            <w:shd w:val="clear" w:color="auto" w:fill="D3D3D3"/>
          </w:tcPr>
          <w:p>
            <w:pPr/>
          </w:p>
        </w:tc>
        <w:tc>
          <w:tcPr>
            <w:tcW w:w="1444" w:type="dxa"/>
            <w:tcBorders>
              <w:top w:val="single" w:sz="4" w:space="0" w:color="000000"/>
              <w:left w:val="single" w:sz="4" w:space="0" w:color="000000"/>
              <w:bottom w:val="nil" w:sz="6" w:space="0" w:color="auto"/>
              <w:right w:val="single" w:sz="4" w:space="0" w:color="000000"/>
            </w:tcBorders>
            <w:shd w:val="clear" w:color="auto" w:fill="C7EDCC"/>
          </w:tcPr>
          <w:p>
            <w:pPr/>
          </w:p>
        </w:tc>
        <w:tc>
          <w:tcPr>
            <w:tcW w:w="805" w:type="dxa"/>
            <w:tcBorders>
              <w:top w:val="single" w:sz="4" w:space="0" w:color="000000"/>
              <w:left w:val="single" w:sz="4" w:space="0" w:color="000000"/>
              <w:bottom w:val="nil" w:sz="6" w:space="0" w:color="auto"/>
              <w:right w:val="single" w:sz="4" w:space="0" w:color="000000"/>
            </w:tcBorders>
            <w:shd w:val="clear" w:color="auto" w:fill="C7EDCC"/>
          </w:tcPr>
          <w:p>
            <w:pPr/>
          </w:p>
        </w:tc>
        <w:tc>
          <w:tcPr>
            <w:tcW w:w="451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杭州日报报业集团有限公司承诺，标的公司（杭州萧山萧</w:t>
            </w:r>
          </w:p>
        </w:tc>
        <w:tc>
          <w:tcPr>
            <w:tcW w:w="548" w:type="dxa"/>
            <w:tcBorders>
              <w:top w:val="single" w:sz="4" w:space="0" w:color="000000"/>
              <w:left w:val="single" w:sz="4" w:space="0" w:color="000000"/>
              <w:bottom w:val="nil" w:sz="6" w:space="0" w:color="auto"/>
              <w:right w:val="single" w:sz="4" w:space="0" w:color="000000"/>
            </w:tcBorders>
          </w:tcPr>
          <w:p>
            <w:pPr/>
          </w:p>
        </w:tc>
        <w:tc>
          <w:tcPr>
            <w:tcW w:w="985" w:type="dxa"/>
            <w:tcBorders>
              <w:top w:val="single" w:sz="4" w:space="0" w:color="000000"/>
              <w:left w:val="single" w:sz="4" w:space="0" w:color="000000"/>
              <w:bottom w:val="nil" w:sz="6" w:space="0" w:color="auto"/>
              <w:right w:val="single" w:sz="4" w:space="0" w:color="000000"/>
            </w:tcBorders>
            <w:shd w:val="clear" w:color="auto" w:fill="C7EDCC"/>
          </w:tcPr>
          <w:p>
            <w:pPr/>
          </w:p>
        </w:tc>
        <w:tc>
          <w:tcPr>
            <w:tcW w:w="81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245"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报教育咨询有限公司）</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5"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经具有合法证券从业资质的会计师事务所审计的扣除非</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经常性损益后实现净利润分别不低于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 </w:t>
            </w:r>
            <w:r>
              <w:rPr>
                <w:rFonts w:ascii="宋体" w:hAnsi="宋体" w:cs="宋体" w:eastAsia="宋体" w:hint="default"/>
                <w:sz w:val="18"/>
                <w:szCs w:val="18"/>
              </w:rPr>
              <w:t>万元</w:t>
            </w:r>
            <w:r>
              <w:rPr>
                <w:rFonts w:ascii="宋体" w:hAnsi="宋体" w:cs="宋体" w:eastAsia="宋体" w:hint="default"/>
                <w:spacing w:val="-87"/>
                <w:sz w:val="18"/>
                <w:szCs w:val="18"/>
              </w:rPr>
              <w:t>、</w:t>
            </w:r>
            <w:r>
              <w:rPr>
                <w:rFonts w:ascii="Times New Roman" w:hAnsi="Times New Roman" w:cs="Times New Roman" w:eastAsia="Times New Roman" w:hint="default"/>
                <w:sz w:val="18"/>
                <w:szCs w:val="18"/>
              </w:rPr>
              <w:t>182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万元。标的公司的财务报表编制应符合《企业会计准</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5"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则》及其他法律、法规的规定，并与华媒教育会计政策及</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会计估计不存在重大差异。除非法律法规规定或华媒教育</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在法律允许的范围内改变会计政策、会计估计，否则，业</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绩承诺期内，未经标的公司董事会批准，不得改变标的公</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14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4" w:lineRule="auto"/>
              <w:ind w:left="22" w:right="149"/>
              <w:jc w:val="left"/>
              <w:rPr>
                <w:rFonts w:ascii="宋体" w:hAnsi="宋体" w:cs="宋体" w:eastAsia="宋体" w:hint="default"/>
                <w:sz w:val="18"/>
                <w:szCs w:val="18"/>
              </w:rPr>
            </w:pPr>
            <w:r>
              <w:rPr>
                <w:rFonts w:ascii="宋体" w:hAnsi="宋体" w:cs="宋体" w:eastAsia="宋体" w:hint="default"/>
                <w:sz w:val="18"/>
                <w:szCs w:val="18"/>
              </w:rPr>
              <w:t>杭州日报报业集 团有限公司</w:t>
            </w:r>
          </w:p>
        </w:tc>
        <w:tc>
          <w:tcPr>
            <w:tcW w:w="80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7"/>
              <w:ind w:left="23" w:right="49"/>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司会计政策、会计估计。经双方确认，在业绩承诺期的每</w:t>
            </w:r>
          </w:p>
          <w:p>
            <w:pPr>
              <w:pStyle w:val="TableParagraph"/>
              <w:spacing w:line="244" w:lineRule="auto" w:before="4"/>
              <w:ind w:left="22" w:right="23"/>
              <w:jc w:val="left"/>
              <w:rPr>
                <w:rFonts w:ascii="宋体" w:hAnsi="宋体" w:cs="宋体" w:eastAsia="宋体" w:hint="default"/>
                <w:sz w:val="18"/>
                <w:szCs w:val="18"/>
              </w:rPr>
            </w:pPr>
            <w:r>
              <w:rPr>
                <w:rFonts w:ascii="宋体" w:hAnsi="宋体" w:cs="宋体" w:eastAsia="宋体" w:hint="default"/>
                <w:spacing w:val="-2"/>
                <w:sz w:val="18"/>
                <w:szCs w:val="18"/>
              </w:rPr>
              <w:t>一会计年度结束后，浙江华媒教育科技有限公司应聘请经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双方共同认可的具有合法证券从业资质的会计师事务所 </w:t>
            </w:r>
            <w:r>
              <w:rPr>
                <w:rFonts w:ascii="宋体" w:hAnsi="宋体" w:cs="宋体" w:eastAsia="宋体" w:hint="default"/>
                <w:spacing w:val="-4"/>
                <w:sz w:val="18"/>
                <w:szCs w:val="18"/>
              </w:rPr>
              <w:t>出具《专项审计报告》，标的公司在业绩承诺期间各年度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的实际净利润金额，以该等专项审计报告确定的数值为 </w:t>
            </w:r>
            <w:r>
              <w:rPr>
                <w:rFonts w:ascii="宋体" w:hAnsi="宋体" w:cs="宋体" w:eastAsia="宋体" w:hint="default"/>
                <w:spacing w:val="-2"/>
                <w:sz w:val="18"/>
                <w:szCs w:val="18"/>
              </w:rPr>
              <w:t>准。杭报集团公司承诺，若标的公司在上述承诺期间内未</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4"/>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年承 诺已履行 完毕，其 余正常履 行中</w:t>
            </w: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达到各期经营目标，则通过现金方式对华媒教育予以补</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偿，计算方式为：每年现金补偿款金额</w:t>
            </w:r>
            <w:r>
              <w:rPr>
                <w:rFonts w:ascii="Times New Roman" w:hAnsi="Times New Roman" w:cs="Times New Roman" w:eastAsia="Times New Roman" w:hint="default"/>
                <w:sz w:val="18"/>
                <w:szCs w:val="18"/>
              </w:rPr>
              <w:t>=</w:t>
            </w:r>
            <w:r>
              <w:rPr>
                <w:rFonts w:ascii="宋体" w:hAnsi="宋体" w:cs="宋体" w:eastAsia="宋体" w:hint="default"/>
                <w:sz w:val="18"/>
                <w:szCs w:val="18"/>
              </w:rPr>
              <w:t>华媒教育投资总</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×(1-</w:t>
            </w:r>
            <w:r>
              <w:rPr>
                <w:rFonts w:ascii="宋体" w:hAnsi="宋体" w:cs="宋体" w:eastAsia="宋体" w:hint="default"/>
                <w:sz w:val="18"/>
                <w:szCs w:val="18"/>
              </w:rPr>
              <w:t>当年度实际净利润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当年度承诺净利润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。华媒教育</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5"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要求上述补偿，应向杭报集团公司发出书面通知，杭报集</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5"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团公司应在收到华媒教育书面通知后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日内将所需补偿</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5"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的现金支付至华媒教育指定的银行账户内。如杭报集团公</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司未能依据本协议的约定按期履行补偿义务，杭报集团公</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45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司应按照未补偿金额每日万分之五的标准向华媒教育支</w:t>
            </w:r>
          </w:p>
        </w:tc>
        <w:tc>
          <w:tcPr>
            <w:tcW w:w="548"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37"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single" w:sz="4" w:space="0" w:color="000000"/>
              <w:right w:val="single" w:sz="4" w:space="0" w:color="000000"/>
            </w:tcBorders>
            <w:shd w:val="clear" w:color="auto" w:fill="C7EDCC"/>
          </w:tcPr>
          <w:p>
            <w:pPr/>
          </w:p>
        </w:tc>
        <w:tc>
          <w:tcPr>
            <w:tcW w:w="805" w:type="dxa"/>
            <w:tcBorders>
              <w:top w:val="nil" w:sz="6" w:space="0" w:color="auto"/>
              <w:left w:val="single" w:sz="4" w:space="0" w:color="000000"/>
              <w:bottom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付违约金。</w:t>
            </w:r>
          </w:p>
        </w:tc>
        <w:tc>
          <w:tcPr>
            <w:tcW w:w="548" w:type="dxa"/>
            <w:tcBorders>
              <w:top w:val="nil" w:sz="6" w:space="0" w:color="auto"/>
              <w:left w:val="single" w:sz="4" w:space="0" w:color="000000"/>
              <w:bottom w:val="single" w:sz="4" w:space="0" w:color="000000"/>
              <w:right w:val="single" w:sz="4" w:space="0" w:color="000000"/>
            </w:tcBorders>
          </w:tcPr>
          <w:p>
            <w:pPr/>
          </w:p>
        </w:tc>
        <w:tc>
          <w:tcPr>
            <w:tcW w:w="985" w:type="dxa"/>
            <w:tcBorders>
              <w:top w:val="nil" w:sz="6" w:space="0" w:color="auto"/>
              <w:left w:val="single" w:sz="4" w:space="0" w:color="000000"/>
              <w:bottom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257" w:hRule="exact"/>
        </w:trPr>
        <w:tc>
          <w:tcPr>
            <w:tcW w:w="580" w:type="dxa"/>
            <w:vMerge/>
            <w:tcBorders>
              <w:left w:val="single" w:sz="4" w:space="0" w:color="000000"/>
              <w:right w:val="single" w:sz="4" w:space="0" w:color="000000"/>
            </w:tcBorders>
            <w:shd w:val="clear" w:color="auto" w:fill="D3D3D3"/>
          </w:tcPr>
          <w:p>
            <w:pPr/>
          </w:p>
        </w:tc>
        <w:tc>
          <w:tcPr>
            <w:tcW w:w="1444" w:type="dxa"/>
            <w:tcBorders>
              <w:top w:val="single" w:sz="4" w:space="0" w:color="000000"/>
              <w:left w:val="single" w:sz="4" w:space="0" w:color="000000"/>
              <w:bottom w:val="nil" w:sz="6" w:space="0" w:color="auto"/>
              <w:right w:val="single" w:sz="4" w:space="0" w:color="000000"/>
            </w:tcBorders>
            <w:shd w:val="clear" w:color="auto" w:fill="C7EDCC"/>
          </w:tcPr>
          <w:p>
            <w:pPr/>
          </w:p>
        </w:tc>
        <w:tc>
          <w:tcPr>
            <w:tcW w:w="805" w:type="dxa"/>
            <w:tcBorders>
              <w:top w:val="single" w:sz="4" w:space="0" w:color="000000"/>
              <w:left w:val="single" w:sz="4" w:space="0" w:color="000000"/>
              <w:bottom w:val="nil" w:sz="6" w:space="0" w:color="auto"/>
              <w:right w:val="single" w:sz="4" w:space="0" w:color="000000"/>
            </w:tcBorders>
            <w:shd w:val="clear" w:color="auto" w:fill="C7EDCC"/>
          </w:tcPr>
          <w:p>
            <w:pPr/>
          </w:p>
        </w:tc>
        <w:tc>
          <w:tcPr>
            <w:tcW w:w="4516" w:type="dxa"/>
            <w:tcBorders>
              <w:top w:val="single" w:sz="4" w:space="0" w:color="000000"/>
              <w:left w:val="single" w:sz="4" w:space="0" w:color="000000"/>
              <w:bottom w:val="nil" w:sz="6" w:space="0" w:color="auto"/>
              <w:right w:val="single" w:sz="9" w:space="0" w:color="FFFFFF"/>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在本次对外提供财务资助后的十二个月内，除已经收回对</w:t>
            </w:r>
          </w:p>
        </w:tc>
        <w:tc>
          <w:tcPr>
            <w:tcW w:w="548" w:type="dxa"/>
            <w:tcBorders>
              <w:top w:val="single" w:sz="4" w:space="0" w:color="000000"/>
              <w:left w:val="single" w:sz="9" w:space="0" w:color="FFFFFF"/>
              <w:bottom w:val="nil" w:sz="6" w:space="0" w:color="auto"/>
              <w:right w:val="single" w:sz="4" w:space="0" w:color="000000"/>
            </w:tcBorders>
          </w:tcPr>
          <w:p>
            <w:pPr>
              <w:pStyle w:val="TableParagraph"/>
              <w:spacing w:line="240" w:lineRule="auto" w:before="24"/>
              <w:ind w:left="16" w:right="0"/>
              <w:jc w:val="left"/>
              <w:rPr>
                <w:rFonts w:ascii="Times New Roman" w:hAnsi="Times New Roman" w:cs="Times New Roman" w:eastAsia="Times New Roman" w:hint="default"/>
                <w:sz w:val="18"/>
                <w:szCs w:val="18"/>
              </w:rPr>
            </w:pPr>
            <w:r>
              <w:rPr>
                <w:rFonts w:ascii="Times New Roman"/>
                <w:sz w:val="18"/>
              </w:rPr>
              <w:t>2017</w:t>
            </w:r>
          </w:p>
        </w:tc>
        <w:tc>
          <w:tcPr>
            <w:tcW w:w="985" w:type="dxa"/>
            <w:tcBorders>
              <w:top w:val="single" w:sz="4" w:space="0" w:color="000000"/>
              <w:left w:val="single" w:sz="4" w:space="0" w:color="000000"/>
              <w:bottom w:val="nil" w:sz="6" w:space="0" w:color="auto"/>
              <w:right w:val="single" w:sz="4" w:space="0" w:color="000000"/>
            </w:tcBorders>
            <w:shd w:val="clear" w:color="auto" w:fill="C7EDCC"/>
          </w:tcPr>
          <w:p>
            <w:pPr/>
          </w:p>
        </w:tc>
        <w:tc>
          <w:tcPr>
            <w:tcW w:w="81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480"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浙江华媒控股股</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80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16" w:type="dxa"/>
            <w:tcBorders>
              <w:top w:val="nil" w:sz="6" w:space="0" w:color="auto"/>
              <w:left w:val="single" w:sz="4" w:space="0" w:color="000000"/>
              <w:bottom w:val="nil" w:sz="6" w:space="0" w:color="auto"/>
              <w:right w:val="single" w:sz="9" w:space="0" w:color="FFFFFF"/>
            </w:tcBorders>
            <w:shd w:val="clear" w:color="auto" w:fill="C7EDCC"/>
          </w:tcPr>
          <w:p>
            <w:pPr>
              <w:pStyle w:val="TableParagraph"/>
              <w:spacing w:line="205" w:lineRule="exact"/>
              <w:ind w:left="22" w:right="-24"/>
              <w:jc w:val="left"/>
              <w:rPr>
                <w:rFonts w:ascii="宋体" w:hAnsi="宋体" w:cs="宋体" w:eastAsia="宋体" w:hint="default"/>
                <w:sz w:val="18"/>
                <w:szCs w:val="18"/>
              </w:rPr>
            </w:pPr>
            <w:r>
              <w:rPr>
                <w:rFonts w:ascii="宋体" w:hAnsi="宋体" w:cs="宋体" w:eastAsia="宋体" w:hint="default"/>
                <w:sz w:val="18"/>
                <w:szCs w:val="18"/>
              </w:rPr>
              <w:t>外财务资助外，不使用闲置募集资金暂时补充流动资金、</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pacing w:val="-2"/>
                <w:sz w:val="18"/>
                <w:szCs w:val="18"/>
              </w:rPr>
              <w:t>将募集资金投向变更为永久性补充流动资金、将超募资金</w:t>
            </w:r>
          </w:p>
        </w:tc>
        <w:tc>
          <w:tcPr>
            <w:tcW w:w="548" w:type="dxa"/>
            <w:tcBorders>
              <w:top w:val="nil" w:sz="6" w:space="0" w:color="auto"/>
              <w:left w:val="single" w:sz="9" w:space="0" w:color="FFFFFF"/>
              <w:bottom w:val="nil" w:sz="6" w:space="0" w:color="auto"/>
              <w:right w:val="single" w:sz="4" w:space="0" w:color="000000"/>
            </w:tcBorders>
          </w:tcPr>
          <w:p>
            <w:pPr>
              <w:pStyle w:val="TableParagraph"/>
              <w:spacing w:line="214"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5"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9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233" w:hRule="exact"/>
        </w:trPr>
        <w:tc>
          <w:tcPr>
            <w:tcW w:w="580" w:type="dxa"/>
            <w:vMerge/>
            <w:tcBorders>
              <w:left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single" w:sz="4" w:space="0" w:color="000000"/>
              <w:right w:val="single" w:sz="4" w:space="0" w:color="000000"/>
            </w:tcBorders>
            <w:shd w:val="clear" w:color="auto" w:fill="C7EDCC"/>
          </w:tcPr>
          <w:p>
            <w:pPr/>
          </w:p>
        </w:tc>
        <w:tc>
          <w:tcPr>
            <w:tcW w:w="805" w:type="dxa"/>
            <w:tcBorders>
              <w:top w:val="nil" w:sz="6" w:space="0" w:color="auto"/>
              <w:left w:val="single" w:sz="4" w:space="0" w:color="000000"/>
              <w:bottom w:val="single" w:sz="4" w:space="0" w:color="000000"/>
              <w:right w:val="single" w:sz="4" w:space="0" w:color="000000"/>
            </w:tcBorders>
            <w:shd w:val="clear" w:color="auto" w:fill="C7EDCC"/>
          </w:tcPr>
          <w:p>
            <w:pPr/>
          </w:p>
        </w:tc>
        <w:tc>
          <w:tcPr>
            <w:tcW w:w="4516" w:type="dxa"/>
            <w:tcBorders>
              <w:top w:val="nil" w:sz="6" w:space="0" w:color="auto"/>
              <w:left w:val="single" w:sz="4" w:space="0" w:color="000000"/>
              <w:bottom w:val="single" w:sz="4" w:space="0" w:color="000000"/>
              <w:right w:val="single" w:sz="9" w:space="0" w:color="FFFFFF"/>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永久性用于补充流动资金或者归还银行贷款。</w:t>
            </w:r>
          </w:p>
        </w:tc>
        <w:tc>
          <w:tcPr>
            <w:tcW w:w="548" w:type="dxa"/>
            <w:tcBorders>
              <w:top w:val="nil" w:sz="6" w:space="0" w:color="auto"/>
              <w:left w:val="single" w:sz="9" w:space="0" w:color="FFFFFF"/>
              <w:bottom w:val="single" w:sz="4" w:space="0" w:color="000000"/>
              <w:right w:val="single" w:sz="4"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5" w:type="dxa"/>
            <w:tcBorders>
              <w:top w:val="nil" w:sz="6" w:space="0" w:color="auto"/>
              <w:left w:val="single" w:sz="4" w:space="0" w:color="000000"/>
              <w:bottom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1210" w:hRule="exact"/>
        </w:trPr>
        <w:tc>
          <w:tcPr>
            <w:tcW w:w="580" w:type="dxa"/>
            <w:vMerge/>
            <w:tcBorders>
              <w:left w:val="single" w:sz="4" w:space="0" w:color="000000"/>
              <w:right w:val="single" w:sz="4" w:space="0" w:color="000000"/>
            </w:tcBorders>
            <w:shd w:val="clear" w:color="auto" w:fill="D3D3D3"/>
          </w:tcPr>
          <w:p>
            <w:pPr/>
          </w:p>
        </w:tc>
        <w:tc>
          <w:tcPr>
            <w:tcW w:w="14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4"/>
              <w:ind w:left="22" w:right="149"/>
              <w:jc w:val="left"/>
              <w:rPr>
                <w:rFonts w:ascii="宋体" w:hAnsi="宋体" w:cs="宋体" w:eastAsia="宋体" w:hint="default"/>
                <w:sz w:val="18"/>
                <w:szCs w:val="18"/>
              </w:rPr>
            </w:pPr>
            <w:r>
              <w:rPr>
                <w:rFonts w:ascii="宋体" w:hAnsi="宋体" w:cs="宋体" w:eastAsia="宋体" w:hint="default"/>
                <w:sz w:val="18"/>
                <w:szCs w:val="18"/>
              </w:rPr>
              <w:t>浙江华媒控股股 份有限公司</w:t>
            </w:r>
          </w:p>
        </w:tc>
        <w:tc>
          <w:tcPr>
            <w:tcW w:w="8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23"/>
              <w:jc w:val="both"/>
              <w:rPr>
                <w:rFonts w:ascii="宋体" w:hAnsi="宋体" w:cs="宋体" w:eastAsia="宋体" w:hint="default"/>
                <w:sz w:val="18"/>
                <w:szCs w:val="18"/>
              </w:rPr>
            </w:pPr>
            <w:r>
              <w:rPr>
                <w:rFonts w:ascii="宋体" w:hAnsi="宋体" w:cs="宋体" w:eastAsia="宋体" w:hint="default"/>
                <w:spacing w:val="-2"/>
                <w:sz w:val="18"/>
                <w:szCs w:val="18"/>
              </w:rPr>
              <w:t>在参与投资后的十二个月内（涉及分期投资的，为分期投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资期间及全部投资完毕后的十二个月内），不使用闲置募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集资金暂时补充流动资金、将募集资金投向变更为永久性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补充流动资金（不含节余募集资金）、将超募资金永久性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用于补充流动资金或者归还银行贷款。</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144"/>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2019-03-04</w:t>
            </w:r>
          </w:p>
        </w:tc>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4"/>
              <w:ind w:left="22" w:right="61"/>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210" w:hRule="exact"/>
        </w:trPr>
        <w:tc>
          <w:tcPr>
            <w:tcW w:w="580" w:type="dxa"/>
            <w:vMerge/>
            <w:tcBorders>
              <w:left w:val="single" w:sz="4" w:space="0" w:color="000000"/>
              <w:bottom w:val="single" w:sz="4" w:space="0" w:color="000000"/>
              <w:right w:val="single" w:sz="4" w:space="0" w:color="000000"/>
            </w:tcBorders>
            <w:shd w:val="clear" w:color="auto" w:fill="D3D3D3"/>
          </w:tcPr>
          <w:p>
            <w:pPr/>
          </w:p>
        </w:tc>
        <w:tc>
          <w:tcPr>
            <w:tcW w:w="14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5"/>
              <w:ind w:left="22" w:right="149"/>
              <w:jc w:val="left"/>
              <w:rPr>
                <w:rFonts w:ascii="宋体" w:hAnsi="宋体" w:cs="宋体" w:eastAsia="宋体" w:hint="default"/>
                <w:sz w:val="18"/>
                <w:szCs w:val="18"/>
              </w:rPr>
            </w:pPr>
            <w:r>
              <w:rPr>
                <w:rFonts w:ascii="宋体" w:hAnsi="宋体" w:cs="宋体" w:eastAsia="宋体" w:hint="default"/>
                <w:sz w:val="18"/>
                <w:szCs w:val="18"/>
              </w:rPr>
              <w:t>浙江华媒控股股 份有限公司</w:t>
            </w:r>
          </w:p>
        </w:tc>
        <w:tc>
          <w:tcPr>
            <w:tcW w:w="8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16" w:type="dxa"/>
            <w:tcBorders>
              <w:top w:val="single" w:sz="4" w:space="0" w:color="000000"/>
              <w:left w:val="single" w:sz="4" w:space="0" w:color="000000"/>
              <w:bottom w:val="single" w:sz="4" w:space="0" w:color="000000"/>
              <w:right w:val="single" w:sz="9" w:space="0" w:color="FFFFFF"/>
            </w:tcBorders>
            <w:shd w:val="clear" w:color="auto" w:fill="C7EDCC"/>
          </w:tcPr>
          <w:p>
            <w:pPr>
              <w:pStyle w:val="TableParagraph"/>
              <w:spacing w:line="240" w:lineRule="exact"/>
              <w:ind w:left="22" w:right="15"/>
              <w:jc w:val="left"/>
              <w:rPr>
                <w:rFonts w:ascii="宋体" w:hAnsi="宋体" w:cs="宋体" w:eastAsia="宋体" w:hint="default"/>
                <w:sz w:val="18"/>
                <w:szCs w:val="18"/>
              </w:rPr>
            </w:pPr>
            <w:r>
              <w:rPr>
                <w:rFonts w:ascii="宋体" w:hAnsi="宋体" w:cs="宋体" w:eastAsia="宋体" w:hint="default"/>
                <w:spacing w:val="-2"/>
                <w:sz w:val="18"/>
                <w:szCs w:val="18"/>
              </w:rPr>
              <w:t>在参与投资或设立投资基金后的十二个月内（涉及分期投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资的，为分期投资期间及全部投资完毕后的十二个月内）</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不使用闲置募集资金暂时补充流动资金、将募集资金投向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变更为永久性补充流动资金（不含节余募集资金）、将超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募资金永久性用于补充流动资金或者归还银行贷款。</w:t>
            </w:r>
          </w:p>
        </w:tc>
        <w:tc>
          <w:tcPr>
            <w:tcW w:w="548" w:type="dxa"/>
            <w:tcBorders>
              <w:top w:val="single" w:sz="4" w:space="0" w:color="000000"/>
              <w:left w:val="single" w:sz="9" w:space="0" w:color="FFFFFF"/>
              <w:bottom w:val="single" w:sz="4" w:space="0" w:color="000000"/>
              <w:right w:val="single" w:sz="4" w:space="0" w:color="000000"/>
            </w:tcBorders>
          </w:tcPr>
          <w:p>
            <w:pPr>
              <w:pStyle w:val="TableParagraph"/>
              <w:spacing w:line="142" w:lineRule="exact" w:before="144"/>
              <w:ind w:left="16"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113"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31" w:lineRule="exact"/>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2019-03-11</w:t>
            </w:r>
          </w:p>
        </w:tc>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5"/>
              <w:ind w:left="22" w:right="61"/>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52" w:hRule="exact"/>
        </w:trPr>
        <w:tc>
          <w:tcPr>
            <w:tcW w:w="58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9114" w:type="dxa"/>
            <w:gridSpan w:val="6"/>
            <w:tcBorders>
              <w:top w:val="single" w:sz="4" w:space="0" w:color="000000"/>
              <w:left w:val="single" w:sz="4" w:space="0" w:color="000000"/>
              <w:bottom w:val="nil" w:sz="6" w:space="0" w:color="auto"/>
              <w:right w:val="single" w:sz="4" w:space="0" w:color="000000"/>
            </w:tcBorders>
          </w:tcPr>
          <w:p>
            <w:pPr/>
          </w:p>
        </w:tc>
      </w:tr>
      <w:tr>
        <w:trPr>
          <w:trHeight w:val="480" w:hRule="exact"/>
        </w:trPr>
        <w:tc>
          <w:tcPr>
            <w:tcW w:w="5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按时</w:t>
            </w:r>
          </w:p>
        </w:tc>
        <w:tc>
          <w:tcPr>
            <w:tcW w:w="9114"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37" w:hRule="exact"/>
        </w:trPr>
        <w:tc>
          <w:tcPr>
            <w:tcW w:w="58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履行</w:t>
            </w:r>
          </w:p>
        </w:tc>
        <w:tc>
          <w:tcPr>
            <w:tcW w:w="9114" w:type="dxa"/>
            <w:gridSpan w:val="6"/>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2796"/>
        <w:gridCol w:w="866"/>
        <w:gridCol w:w="868"/>
        <w:gridCol w:w="1021"/>
        <w:gridCol w:w="1157"/>
        <w:gridCol w:w="1138"/>
        <w:gridCol w:w="868"/>
        <w:gridCol w:w="980"/>
      </w:tblGrid>
      <w:tr>
        <w:trPr>
          <w:trHeight w:val="714" w:hRule="exact"/>
        </w:trPr>
        <w:tc>
          <w:tcPr>
            <w:tcW w:w="2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2" w:right="0"/>
              <w:jc w:val="left"/>
              <w:rPr>
                <w:rFonts w:ascii="宋体" w:hAnsi="宋体" w:cs="宋体" w:eastAsia="宋体" w:hint="default"/>
                <w:sz w:val="18"/>
                <w:szCs w:val="18"/>
              </w:rPr>
            </w:pPr>
            <w:r>
              <w:rPr>
                <w:rFonts w:ascii="宋体" w:hAnsi="宋体" w:cs="宋体" w:eastAsia="宋体" w:hint="default"/>
                <w:sz w:val="18"/>
                <w:szCs w:val="18"/>
              </w:rPr>
              <w:t>盈利预测资产或项目名称</w:t>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8" w:right="66"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8" w:right="67"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10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5" w:right="54"/>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 w:right="23"/>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58" w:right="67" w:hanging="90"/>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04" w:right="35" w:hanging="270"/>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714" w:hRule="exact"/>
        </w:trPr>
        <w:tc>
          <w:tcPr>
            <w:tcW w:w="27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4,140.25</w:t>
            </w:r>
          </w:p>
        </w:tc>
        <w:tc>
          <w:tcPr>
            <w:tcW w:w="11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714" w:hRule="exact"/>
        </w:trPr>
        <w:tc>
          <w:tcPr>
            <w:tcW w:w="27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中教未来国际教育科技（北京）有 限公司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6,957.14</w:t>
            </w:r>
          </w:p>
        </w:tc>
        <w:tc>
          <w:tcPr>
            <w:tcW w:w="11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1026" w:hRule="exact"/>
        </w:trPr>
        <w:tc>
          <w:tcPr>
            <w:tcW w:w="27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61"/>
              <w:jc w:val="both"/>
              <w:rPr>
                <w:rFonts w:ascii="宋体" w:hAnsi="宋体" w:cs="宋体" w:eastAsia="宋体" w:hint="default"/>
                <w:sz w:val="18"/>
                <w:szCs w:val="18"/>
              </w:rPr>
            </w:pPr>
            <w:r>
              <w:rPr>
                <w:rFonts w:ascii="宋体" w:hAnsi="宋体" w:cs="宋体" w:eastAsia="宋体" w:hint="default"/>
                <w:sz w:val="18"/>
                <w:szCs w:val="18"/>
              </w:rPr>
              <w:t>布朗睿智（北京）国际教育科技有 限公司、布朗时代（北京）教育投 资有限公司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3,602.1</w:t>
            </w:r>
          </w:p>
        </w:tc>
        <w:tc>
          <w:tcPr>
            <w:tcW w:w="11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715" w:hRule="exact"/>
        </w:trPr>
        <w:tc>
          <w:tcPr>
            <w:tcW w:w="27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杭州萧山萧报教育咨询有限公司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170.42</w:t>
            </w:r>
          </w:p>
        </w:tc>
        <w:tc>
          <w:tcPr>
            <w:tcW w:w="11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公告</w:t>
            </w:r>
          </w:p>
        </w:tc>
      </w:tr>
    </w:tbl>
    <w:p>
      <w:pPr>
        <w:pStyle w:val="BodyText"/>
        <w:spacing w:line="240" w:lineRule="auto" w:before="51"/>
        <w:ind w:right="0"/>
        <w:jc w:val="left"/>
      </w:pPr>
      <w:r>
        <w:rPr/>
        <w:t>公司股东、交易对手方在报告年度经营业绩做出的承诺情况</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51" w:firstLine="420"/>
        <w:jc w:val="both"/>
      </w:pPr>
      <w:r>
        <w:rPr/>
        <w:t>林鹭华、韩锋、杨治国、蒋谢珍、刘志英、郑美月、冯岚承诺快点传播在</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2017</w:t>
      </w:r>
      <w:r>
        <w:rPr/>
        <w:t>年实现的归属母公司净利 </w:t>
      </w:r>
      <w:r>
        <w:rPr>
          <w:spacing w:val="-1"/>
        </w:rPr>
        <w:t>润（根据标的企业扣除非经常性损益前后孰低原则确定）分别为</w:t>
      </w:r>
      <w:r>
        <w:rPr>
          <w:rFonts w:ascii="Times New Roman" w:hAnsi="Times New Roman" w:cs="Times New Roman" w:eastAsia="Times New Roman" w:hint="default"/>
          <w:spacing w:val="-1"/>
        </w:rPr>
        <w:t>3,100</w:t>
      </w:r>
      <w:r>
        <w:rPr>
          <w:spacing w:val="-1"/>
        </w:rPr>
        <w:t>万元、</w:t>
      </w:r>
      <w:r>
        <w:rPr>
          <w:rFonts w:ascii="Times New Roman" w:hAnsi="Times New Roman" w:cs="Times New Roman" w:eastAsia="Times New Roman" w:hint="default"/>
          <w:spacing w:val="-1"/>
        </w:rPr>
        <w:t>3,700</w:t>
      </w:r>
      <w:r>
        <w:rPr>
          <w:spacing w:val="-1"/>
        </w:rPr>
        <w:t>万元、</w:t>
      </w:r>
      <w:r>
        <w:rPr>
          <w:rFonts w:ascii="Times New Roman" w:hAnsi="Times New Roman" w:cs="Times New Roman" w:eastAsia="Times New Roman" w:hint="default"/>
          <w:spacing w:val="-1"/>
        </w:rPr>
        <w:t>4,400</w:t>
      </w:r>
      <w:r>
        <w:rPr>
          <w:spacing w:val="-1"/>
        </w:rPr>
        <w:t>万元。</w:t>
      </w:r>
      <w:r>
        <w:rPr>
          <w:rFonts w:ascii="Times New Roman" w:hAnsi="Times New Roman" w:cs="Times New Roman" w:eastAsia="Times New Roman" w:hint="default"/>
          <w:spacing w:val="-1"/>
        </w:rPr>
        <w:t>2015</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2017</w:t>
      </w:r>
      <w:r>
        <w:rPr>
          <w:spacing w:val="-1"/>
        </w:rPr>
        <w:t>年</w:t>
      </w:r>
      <w:r>
        <w:rPr>
          <w:spacing w:val="-65"/>
        </w:rPr>
        <w:t> </w:t>
      </w:r>
      <w:r>
        <w:rPr/>
        <w:t>实际实现分别为：</w:t>
      </w:r>
      <w:r>
        <w:rPr>
          <w:rFonts w:ascii="Times New Roman" w:hAnsi="Times New Roman" w:cs="Times New Roman" w:eastAsia="Times New Roman" w:hint="default"/>
        </w:rPr>
        <w:t>3,101.70</w:t>
      </w:r>
      <w:r>
        <w:rPr/>
        <w:t>万元、</w:t>
      </w:r>
      <w:r>
        <w:rPr>
          <w:rFonts w:ascii="Times New Roman" w:hAnsi="Times New Roman" w:cs="Times New Roman" w:eastAsia="Times New Roman" w:hint="default"/>
        </w:rPr>
        <w:t>4,018.38</w:t>
      </w:r>
      <w:r>
        <w:rPr/>
        <w:t>万元、</w:t>
      </w:r>
      <w:r>
        <w:rPr>
          <w:rFonts w:ascii="Times New Roman" w:hAnsi="Times New Roman" w:cs="Times New Roman" w:eastAsia="Times New Roman" w:hint="default"/>
        </w:rPr>
        <w:t>4,140.25</w:t>
      </w:r>
      <w:r>
        <w:rPr/>
        <w:t>万元，经审计，三年累计已完成承诺业绩。</w:t>
      </w:r>
    </w:p>
    <w:p>
      <w:pPr>
        <w:pStyle w:val="BodyText"/>
        <w:spacing w:line="307" w:lineRule="auto" w:before="51"/>
        <w:ind w:right="148" w:firstLine="420"/>
        <w:jc w:val="both"/>
      </w:pPr>
      <w:r>
        <w:rPr/>
        <w:t>曲水华航投资有限公司、宁波高新区新愿景股权投资有限公司、宁波高新区新未来教育科技有限公司、曲水华唐投资 </w:t>
      </w:r>
      <w:r>
        <w:rPr>
          <w:spacing w:val="-2"/>
        </w:rPr>
        <w:t>有限公司、宁波高新区红山远景投资管理中心（有限合伙）承诺中教未来</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2018</w:t>
      </w:r>
      <w:r>
        <w:rPr>
          <w:spacing w:val="-2"/>
        </w:rPr>
        <w:t>年归属母公司净利润（根据标的</w:t>
      </w:r>
      <w:r>
        <w:rPr>
          <w:spacing w:val="-56"/>
        </w:rPr>
        <w:t> </w:t>
      </w:r>
      <w:r>
        <w:rPr>
          <w:spacing w:val="-56"/>
        </w:rPr>
      </w:r>
      <w:r>
        <w:rPr>
          <w:spacing w:val="-1"/>
        </w:rPr>
        <w:t>企业扣除非经常性损益前后孰低原则确定）分别为不低于</w:t>
      </w:r>
      <w:r>
        <w:rPr>
          <w:rFonts w:ascii="Times New Roman" w:hAnsi="Times New Roman" w:cs="Times New Roman" w:eastAsia="Times New Roman" w:hint="default"/>
          <w:spacing w:val="-1"/>
        </w:rPr>
        <w:t>5,800</w:t>
      </w:r>
      <w:r>
        <w:rPr>
          <w:spacing w:val="-1"/>
        </w:rPr>
        <w:t>万元、</w:t>
      </w:r>
      <w:r>
        <w:rPr>
          <w:rFonts w:ascii="Times New Roman" w:hAnsi="Times New Roman" w:cs="Times New Roman" w:eastAsia="Times New Roman" w:hint="default"/>
          <w:spacing w:val="-1"/>
        </w:rPr>
        <w:t>6,800</w:t>
      </w:r>
      <w:r>
        <w:rPr>
          <w:spacing w:val="-1"/>
        </w:rPr>
        <w:t>万元、</w:t>
      </w:r>
      <w:r>
        <w:rPr>
          <w:rFonts w:ascii="Times New Roman" w:hAnsi="Times New Roman" w:cs="Times New Roman" w:eastAsia="Times New Roman" w:hint="default"/>
          <w:spacing w:val="-1"/>
        </w:rPr>
        <w:t>7,900</w:t>
      </w:r>
      <w:r>
        <w:rPr>
          <w:spacing w:val="-1"/>
        </w:rPr>
        <w:t>万元。</w:t>
      </w:r>
      <w:r>
        <w:rPr>
          <w:rFonts w:ascii="Times New Roman" w:hAnsi="Times New Roman" w:cs="Times New Roman" w:eastAsia="Times New Roman" w:hint="default"/>
          <w:spacing w:val="-1"/>
        </w:rPr>
        <w:t>2016</w:t>
      </w:r>
      <w:r>
        <w:rPr>
          <w:spacing w:val="-1"/>
        </w:rPr>
        <w:t>年业绩承诺已完成。</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23"/>
        </w:rPr>
        <w:t> </w:t>
      </w:r>
      <w:r>
        <w:rPr/>
        <w:t>年实际实现</w:t>
      </w:r>
      <w:r>
        <w:rPr>
          <w:rFonts w:ascii="Times New Roman" w:hAnsi="Times New Roman" w:cs="Times New Roman" w:eastAsia="Times New Roman" w:hint="default"/>
        </w:rPr>
        <w:t>6,957.14</w:t>
      </w:r>
      <w:r>
        <w:rPr/>
        <w:t>万元，完成当年度业绩承诺。</w:t>
      </w:r>
    </w:p>
    <w:p>
      <w:pPr>
        <w:pStyle w:val="BodyText"/>
        <w:spacing w:line="307" w:lineRule="auto" w:before="45"/>
        <w:ind w:left="153" w:right="149" w:firstLine="420"/>
        <w:jc w:val="both"/>
      </w:pPr>
      <w:r>
        <w:rPr/>
        <w:t>宁波高新区尚兆教育科技发展有限公司、宁波高新区育维德教育科技发展有限公司、马驰、郭倩卿承诺布朗睿智（北 </w:t>
      </w:r>
      <w:r>
        <w:rPr>
          <w:spacing w:val="-2"/>
        </w:rPr>
        <w:t>京）国际教育科技有限公司、布朗时代（北京）教育投资有限公司</w:t>
      </w:r>
      <w:r>
        <w:rPr>
          <w:rFonts w:ascii="Times New Roman" w:hAnsi="Times New Roman" w:cs="Times New Roman" w:eastAsia="Times New Roman" w:hint="default"/>
          <w:spacing w:val="-2"/>
        </w:rPr>
        <w:t>2017</w:t>
      </w:r>
      <w:r>
        <w:rPr>
          <w:spacing w:val="-2"/>
        </w:rPr>
        <w:t>年实现的净利润（根据标的公司扣除非经常性损益前</w:t>
      </w:r>
      <w:r>
        <w:rPr>
          <w:spacing w:val="-63"/>
        </w:rPr>
        <w:t> </w:t>
      </w:r>
      <w:r>
        <w:rPr>
          <w:spacing w:val="-63"/>
        </w:rPr>
      </w:r>
      <w:r>
        <w:rPr>
          <w:spacing w:val="-6"/>
        </w:rPr>
        <w:t>后孰低原则确定，标的公司净利润是指标的公司以及标的公司合并报表范围内子公司的全部净利润，下同），合计不少于</w:t>
      </w:r>
      <w:r>
        <w:rPr>
          <w:rFonts w:ascii="Times New Roman" w:hAnsi="Times New Roman" w:cs="Times New Roman" w:eastAsia="Times New Roman" w:hint="default"/>
          <w:spacing w:val="-6"/>
        </w:rPr>
        <w:t>2,910</w:t>
      </w:r>
      <w:r>
        <w:rPr>
          <w:rFonts w:ascii="Times New Roman" w:hAnsi="Times New Roman" w:cs="Times New Roman" w:eastAsia="Times New Roman" w:hint="default"/>
          <w:spacing w:val="-5"/>
        </w:rPr>
        <w:t> </w:t>
      </w:r>
      <w:r>
        <w:rPr/>
        <w:t>万元，</w:t>
      </w:r>
      <w:r>
        <w:rPr>
          <w:rFonts w:ascii="Times New Roman" w:hAnsi="Times New Roman" w:cs="Times New Roman" w:eastAsia="Times New Roman" w:hint="default"/>
        </w:rPr>
        <w:t>2018</w:t>
      </w:r>
      <w:r>
        <w:rPr/>
        <w:t>年实现的净利润，合计不少于</w:t>
      </w:r>
      <w:r>
        <w:rPr>
          <w:rFonts w:ascii="Times New Roman" w:hAnsi="Times New Roman" w:cs="Times New Roman" w:eastAsia="Times New Roman" w:hint="default"/>
        </w:rPr>
        <w:t>3,210</w:t>
      </w:r>
      <w:r>
        <w:rPr/>
        <w:t>万元。</w:t>
      </w:r>
      <w:r>
        <w:rPr>
          <w:rFonts w:ascii="Times New Roman" w:hAnsi="Times New Roman" w:cs="Times New Roman" w:eastAsia="Times New Roman" w:hint="default"/>
        </w:rPr>
        <w:t>2017</w:t>
      </w:r>
      <w:r>
        <w:rPr/>
        <w:t>年实际实现</w:t>
      </w:r>
      <w:r>
        <w:rPr>
          <w:rFonts w:ascii="Times New Roman" w:hAnsi="Times New Roman" w:cs="Times New Roman" w:eastAsia="Times New Roman" w:hint="default"/>
        </w:rPr>
        <w:t>3,602.10</w:t>
      </w:r>
      <w:r>
        <w:rPr/>
        <w:t>万元，完成当年度业绩承诺。</w:t>
      </w:r>
    </w:p>
    <w:p>
      <w:pPr>
        <w:pStyle w:val="BodyText"/>
        <w:spacing w:line="302" w:lineRule="auto" w:before="46"/>
        <w:ind w:left="153" w:right="188" w:firstLine="420"/>
        <w:jc w:val="both"/>
      </w:pPr>
      <w:r>
        <w:rPr/>
        <w:t>杭州日报报业集团有限公司承诺杭州萧山萧报教育咨询有限公司</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年度扣除非经常性损益后 实现的净利润分别不低于</w:t>
      </w:r>
      <w:r>
        <w:rPr>
          <w:rFonts w:ascii="Times New Roman" w:hAnsi="Times New Roman" w:cs="Times New Roman" w:eastAsia="Times New Roman" w:hint="default"/>
        </w:rPr>
        <w:t>163</w:t>
      </w:r>
      <w:r>
        <w:rPr/>
        <w:t>万元、</w:t>
      </w:r>
      <w:r>
        <w:rPr>
          <w:rFonts w:ascii="Times New Roman" w:hAnsi="Times New Roman" w:cs="Times New Roman" w:eastAsia="Times New Roman" w:hint="default"/>
        </w:rPr>
        <w:t>182</w:t>
      </w:r>
      <w:r>
        <w:rPr/>
        <w:t>万元、</w:t>
      </w:r>
      <w:r>
        <w:rPr>
          <w:rFonts w:ascii="Times New Roman" w:hAnsi="Times New Roman" w:cs="Times New Roman" w:eastAsia="Times New Roman" w:hint="default"/>
        </w:rPr>
        <w:t>145</w:t>
      </w:r>
      <w:r>
        <w:rPr/>
        <w:t>万元。</w:t>
      </w:r>
      <w:r>
        <w:rPr>
          <w:rFonts w:ascii="Times New Roman" w:hAnsi="Times New Roman" w:cs="Times New Roman" w:eastAsia="Times New Roman" w:hint="default"/>
        </w:rPr>
        <w:t>2017</w:t>
      </w:r>
      <w:r>
        <w:rPr/>
        <w:t>年实际实现</w:t>
      </w:r>
      <w:r>
        <w:rPr>
          <w:rFonts w:ascii="Times New Roman" w:hAnsi="Times New Roman" w:cs="Times New Roman" w:eastAsia="Times New Roman" w:hint="default"/>
        </w:rPr>
        <w:t>170.42</w:t>
      </w:r>
      <w:r>
        <w:rPr/>
        <w:t>万元，完成当年度业绩承诺。</w:t>
      </w:r>
    </w:p>
    <w:p>
      <w:pPr>
        <w:spacing w:line="240" w:lineRule="auto" w:before="13"/>
        <w:rPr>
          <w:rFonts w:ascii="宋体" w:hAnsi="宋体" w:cs="宋体" w:eastAsia="宋体" w:hint="default"/>
          <w:sz w:val="19"/>
          <w:szCs w:val="19"/>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0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634" w:right="125"/>
        <w:jc w:val="left"/>
        <w:rPr>
          <w:rFonts w:ascii="Times New Roman" w:hAnsi="Times New Roman" w:cs="Times New Roman" w:eastAsia="Times New Roman" w:hint="default"/>
        </w:rPr>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10 </w:t>
      </w:r>
      <w:r>
        <w:rPr/>
        <w:t>日，财政部公布了修订后的《企业会计准则第 </w:t>
      </w:r>
      <w:r>
        <w:rPr>
          <w:rFonts w:ascii="Times New Roman" w:hAnsi="Times New Roman" w:cs="Times New Roman" w:eastAsia="Times New Roman" w:hint="default"/>
        </w:rPr>
        <w:t>16 </w:t>
      </w:r>
      <w:r>
        <w:rPr/>
        <w:t>号</w:t>
      </w:r>
      <w:r>
        <w:rPr>
          <w:rFonts w:ascii="Times New Roman" w:hAnsi="Times New Roman" w:cs="Times New Roman" w:eastAsia="Times New Roman" w:hint="default"/>
        </w:rPr>
        <w:t>——</w:t>
      </w:r>
      <w:r>
        <w:rPr/>
        <w:t>政府补助》，该修订后的准则自 </w:t>
      </w:r>
      <w:r>
        <w:rPr>
          <w:rFonts w:ascii="Times New Roman" w:hAnsi="Times New Roman" w:cs="Times New Roman" w:eastAsia="Times New Roman" w:hint="default"/>
        </w:rPr>
        <w:t>2017 </w:t>
      </w:r>
      <w:r>
        <w:rPr/>
        <w:t>年</w:t>
      </w:r>
      <w:r>
        <w:rPr>
          <w:spacing w:val="20"/>
        </w:rPr>
        <w:t> </w:t>
      </w:r>
      <w:r>
        <w:rPr>
          <w:rFonts w:ascii="Times New Roman" w:hAnsi="Times New Roman" w:cs="Times New Roman" w:eastAsia="Times New Roman" w:hint="default"/>
        </w:rPr>
        <w:t>6</w:t>
      </w:r>
    </w:p>
    <w:p>
      <w:pPr>
        <w:pStyle w:val="BodyText"/>
        <w:spacing w:line="300" w:lineRule="auto" w:before="63"/>
        <w:ind w:right="238"/>
        <w:jc w:val="left"/>
      </w:pPr>
      <w:r>
        <w:rPr/>
        <w:t>月 </w:t>
      </w:r>
      <w:r>
        <w:rPr>
          <w:rFonts w:ascii="Times New Roman" w:hAnsi="Times New Roman" w:cs="Times New Roman" w:eastAsia="Times New Roman" w:hint="default"/>
        </w:rPr>
        <w:t>12</w:t>
      </w:r>
      <w:r>
        <w:rPr/>
        <w:t>日起施行，对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 </w:t>
      </w:r>
      <w:r>
        <w:rPr/>
        <w:t>日存在的政府补助采用未来适用法处理，对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日至该准则施行日之间新 增的政府补助根据该修订后的准则进行调整。</w:t>
      </w:r>
    </w:p>
    <w:p>
      <w:pPr>
        <w:pStyle w:val="BodyText"/>
        <w:spacing w:line="240" w:lineRule="auto" w:before="31"/>
        <w:ind w:left="634" w:right="125"/>
        <w:jc w:val="left"/>
        <w:rPr>
          <w:rFonts w:ascii="Times New Roman" w:hAnsi="Times New Roman" w:cs="Times New Roman" w:eastAsia="Times New Roman" w:hint="default"/>
        </w:rPr>
      </w:pPr>
      <w:r>
        <w:rPr/>
        <w:t>本公司自</w:t>
      </w:r>
      <w:r>
        <w:rPr>
          <w:spacing w:val="-17"/>
        </w:rPr>
        <w:t> </w:t>
      </w:r>
      <w:r>
        <w:rPr>
          <w:rFonts w:ascii="Times New Roman" w:hAnsi="Times New Roman" w:cs="Times New Roman" w:eastAsia="Times New Roman" w:hint="default"/>
        </w:rPr>
        <w:t>2017 </w:t>
      </w:r>
      <w:r>
        <w:rPr>
          <w:rFonts w:ascii="Times New Roman" w:hAnsi="Times New Roman" w:cs="Times New Roman" w:eastAsia="Times New Roman" w:hint="default"/>
          <w:spacing w:val="-20"/>
        </w:rPr>
        <w:t> </w:t>
      </w:r>
      <w:r>
        <w:rPr/>
        <w:t>年</w:t>
      </w:r>
      <w:r>
        <w:rPr>
          <w:spacing w:val="-17"/>
        </w:rPr>
        <w:t> </w:t>
      </w:r>
      <w:r>
        <w:rPr>
          <w:rFonts w:ascii="Times New Roman" w:hAnsi="Times New Roman" w:cs="Times New Roman" w:eastAsia="Times New Roman" w:hint="default"/>
        </w:rPr>
        <w:t>6 </w:t>
      </w:r>
      <w:r>
        <w:rPr>
          <w:rFonts w:ascii="Times New Roman" w:hAnsi="Times New Roman" w:cs="Times New Roman" w:eastAsia="Times New Roman" w:hint="default"/>
          <w:spacing w:val="-18"/>
        </w:rPr>
        <w:t> </w:t>
      </w:r>
      <w:r>
        <w:rPr/>
        <w:t>月</w:t>
      </w:r>
      <w:r>
        <w:rPr>
          <w:spacing w:val="-18"/>
        </w:rPr>
        <w:t> </w:t>
      </w:r>
      <w:r>
        <w:rPr>
          <w:rFonts w:ascii="Times New Roman" w:hAnsi="Times New Roman" w:cs="Times New Roman" w:eastAsia="Times New Roman" w:hint="default"/>
        </w:rPr>
        <w:t>12 </w:t>
      </w:r>
      <w:r>
        <w:rPr>
          <w:rFonts w:ascii="Times New Roman" w:hAnsi="Times New Roman" w:cs="Times New Roman" w:eastAsia="Times New Roman" w:hint="default"/>
          <w:spacing w:val="-18"/>
        </w:rPr>
        <w:t> </w:t>
      </w:r>
      <w:r>
        <w:rPr>
          <w:spacing w:val="-2"/>
        </w:rPr>
        <w:t>日</w:t>
      </w:r>
      <w:r>
        <w:rPr/>
        <w:t>开始采用该修订后的准则</w:t>
      </w:r>
      <w:r>
        <w:rPr>
          <w:spacing w:val="-83"/>
        </w:rPr>
        <w:t>。</w:t>
      </w:r>
      <w:r>
        <w:rPr/>
        <w:t>根据该准则及有关规定</w:t>
      </w:r>
      <w:r>
        <w:rPr>
          <w:spacing w:val="-83"/>
        </w:rPr>
        <w:t>，</w:t>
      </w:r>
      <w:r>
        <w:rPr/>
        <w:t>本公司在利润表中新增了</w:t>
      </w:r>
      <w:r>
        <w:rPr>
          <w:rFonts w:ascii="Times New Roman" w:hAnsi="Times New Roman" w:cs="Times New Roman" w:eastAsia="Times New Roman" w:hint="default"/>
          <w:spacing w:val="-1"/>
        </w:rPr>
        <w:t>“</w:t>
      </w:r>
      <w:r>
        <w:rPr/>
        <w:t>其他收</w:t>
      </w:r>
      <w:r>
        <w:rPr>
          <w:spacing w:val="1"/>
        </w:rPr>
        <w:t>益</w:t>
      </w:r>
      <w:r>
        <w:rPr>
          <w:rFonts w:ascii="Times New Roman" w:hAnsi="Times New Roman" w:cs="Times New Roman" w:eastAsia="Times New Roman" w:hint="default"/>
        </w:rPr>
        <w:t>”</w:t>
      </w:r>
    </w:p>
    <w:p>
      <w:pPr>
        <w:pStyle w:val="BodyText"/>
        <w:spacing w:line="240" w:lineRule="auto" w:before="63"/>
        <w:ind w:right="0"/>
        <w:jc w:val="both"/>
      </w:pPr>
      <w:r>
        <w:rPr/>
        <w:t>项目，并对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日至该准则施行日之间新增的政府补助进行了调整，从</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调整至</w:t>
      </w:r>
      <w:r>
        <w:rPr>
          <w:rFonts w:ascii="Times New Roman" w:hAnsi="Times New Roman" w:cs="Times New Roman" w:eastAsia="Times New Roman" w:hint="default"/>
        </w:rPr>
        <w:t>“</w:t>
      </w:r>
      <w:r>
        <w:rPr/>
        <w:t>其他收</w:t>
      </w:r>
    </w:p>
    <w:p>
      <w:pPr>
        <w:pStyle w:val="BodyText"/>
        <w:spacing w:line="240" w:lineRule="auto" w:before="63"/>
        <w:ind w:right="0"/>
        <w:jc w:val="both"/>
      </w:pPr>
      <w:r>
        <w:rPr/>
        <w:t>益</w:t>
      </w:r>
      <w:r>
        <w:rPr>
          <w:rFonts w:ascii="Times New Roman" w:hAnsi="Times New Roman" w:cs="Times New Roman" w:eastAsia="Times New Roman" w:hint="default"/>
        </w:rPr>
        <w:t>”9,265,910.72</w:t>
      </w:r>
      <w:r>
        <w:rPr/>
        <w:t>元。对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年度财务报表不进行追溯调整。</w:t>
      </w:r>
    </w:p>
    <w:p>
      <w:pPr>
        <w:pStyle w:val="BodyText"/>
        <w:spacing w:line="240" w:lineRule="auto" w:before="63"/>
        <w:ind w:left="634" w:right="125"/>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28 </w:t>
      </w:r>
      <w:r>
        <w:rPr>
          <w:spacing w:val="-3"/>
        </w:rPr>
        <w:t>日，财政部发布了《企业会计准则第 </w:t>
      </w:r>
      <w:r>
        <w:rPr>
          <w:rFonts w:ascii="Times New Roman" w:hAnsi="Times New Roman" w:cs="Times New Roman" w:eastAsia="Times New Roman" w:hint="default"/>
        </w:rPr>
        <w:t>42</w:t>
      </w:r>
      <w:r>
        <w:rPr>
          <w:rFonts w:ascii="Times New Roman" w:hAnsi="Times New Roman" w:cs="Times New Roman" w:eastAsia="Times New Roman" w:hint="default"/>
          <w:spacing w:val="23"/>
        </w:rPr>
        <w:t> </w:t>
      </w:r>
      <w:r>
        <w:rPr/>
        <w:t>号</w:t>
      </w:r>
      <w:r>
        <w:rPr>
          <w:rFonts w:ascii="Times New Roman" w:hAnsi="Times New Roman" w:cs="Times New Roman" w:eastAsia="Times New Roman" w:hint="default"/>
        </w:rPr>
        <w:t>——</w:t>
      </w:r>
      <w:r>
        <w:rPr/>
        <w:t>持有待售的非流动资产、处置组和终止经营》，该准</w:t>
      </w:r>
    </w:p>
    <w:p>
      <w:pPr>
        <w:pStyle w:val="BodyText"/>
        <w:spacing w:line="240" w:lineRule="auto" w:before="63"/>
        <w:ind w:right="0"/>
        <w:jc w:val="both"/>
      </w:pPr>
      <w:r>
        <w:rPr/>
        <w:t>则自</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6"/>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35"/>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日起施行。本公司根据该准则及财政部《关于修订印发一般企业财务报表格式的通知》（财会〔</w:t>
      </w:r>
      <w:r>
        <w:rPr>
          <w:rFonts w:ascii="Times New Roman" w:hAnsi="Times New Roman" w:cs="Times New Roman" w:eastAsia="Times New Roman" w:hint="default"/>
        </w:rPr>
        <w:t>2017</w:t>
      </w:r>
      <w:r>
        <w:rPr/>
        <w:t>〕</w:t>
      </w:r>
    </w:p>
    <w:p>
      <w:pPr>
        <w:pStyle w:val="BodyText"/>
        <w:spacing w:line="300" w:lineRule="auto" w:before="63"/>
        <w:ind w:right="235"/>
        <w:jc w:val="both"/>
      </w:pPr>
      <w:r>
        <w:rPr>
          <w:rFonts w:ascii="Times New Roman" w:hAnsi="Times New Roman" w:cs="Times New Roman" w:eastAsia="Times New Roman" w:hint="default"/>
        </w:rPr>
        <w:t>30</w:t>
      </w:r>
      <w:r>
        <w:rPr>
          <w:rFonts w:ascii="Times New Roman" w:hAnsi="Times New Roman" w:cs="Times New Roman" w:eastAsia="Times New Roman" w:hint="default"/>
          <w:spacing w:val="26"/>
        </w:rPr>
        <w:t> </w:t>
      </w:r>
      <w:r>
        <w:rPr/>
        <w:t>号）的规定，在利润表中新增了</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项目，并对净利润按经营持续性进行分类列报。本公司按照《企业会计 准则第</w:t>
      </w:r>
      <w:r>
        <w:rPr>
          <w:rFonts w:ascii="Times New Roman" w:hAnsi="Times New Roman" w:cs="Times New Roman" w:eastAsia="Times New Roman" w:hint="default"/>
        </w:rPr>
        <w:t>30</w:t>
      </w:r>
      <w:r>
        <w:rPr>
          <w:rFonts w:ascii="Times New Roman" w:hAnsi="Times New Roman" w:cs="Times New Roman" w:eastAsia="Times New Roman" w:hint="default"/>
          <w:spacing w:val="25"/>
        </w:rPr>
        <w:t> </w:t>
      </w:r>
      <w:r>
        <w:rPr/>
        <w:t>号</w:t>
      </w:r>
      <w:r>
        <w:rPr>
          <w:rFonts w:ascii="Times New Roman" w:hAnsi="Times New Roman" w:cs="Times New Roman" w:eastAsia="Times New Roman" w:hint="default"/>
        </w:rPr>
        <w:t>——</w:t>
      </w:r>
      <w:r>
        <w:rPr/>
        <w:t>财务报表列报》等的相关规定，对可比期间的比较数据进行调整。调整</w:t>
      </w:r>
      <w:r>
        <w:rPr>
          <w:rFonts w:ascii="Times New Roman" w:hAnsi="Times New Roman" w:cs="Times New Roman" w:eastAsia="Times New Roman" w:hint="default"/>
        </w:rPr>
        <w:t>2016</w:t>
      </w:r>
      <w:r>
        <w:rPr/>
        <w:t>年度资产处置收益</w:t>
      </w:r>
      <w:r>
        <w:rPr>
          <w:rFonts w:ascii="Times New Roman" w:hAnsi="Times New Roman" w:cs="Times New Roman" w:eastAsia="Times New Roman" w:hint="default"/>
        </w:rPr>
        <w:t>-307,168.94 </w:t>
      </w:r>
      <w:r>
        <w:rPr/>
        <w:t>元，调减营业外收入</w:t>
      </w:r>
      <w:r>
        <w:rPr>
          <w:rFonts w:ascii="Times New Roman" w:hAnsi="Times New Roman" w:cs="Times New Roman" w:eastAsia="Times New Roman" w:hint="default"/>
        </w:rPr>
        <w:t>16,224.42</w:t>
      </w:r>
      <w:r>
        <w:rPr/>
        <w:t>元，调减营业外支出</w:t>
      </w:r>
      <w:r>
        <w:rPr>
          <w:rFonts w:ascii="Times New Roman" w:hAnsi="Times New Roman" w:cs="Times New Roman" w:eastAsia="Times New Roman" w:hint="default"/>
        </w:rPr>
        <w:t>323,393.36</w:t>
      </w:r>
      <w:r>
        <w:rPr/>
        <w:t>元。</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5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25" w:firstLine="480"/>
        <w:jc w:val="left"/>
      </w:pPr>
      <w:r>
        <w:rPr/>
        <w:t>本公司</w:t>
      </w:r>
      <w:r>
        <w:rPr>
          <w:rFonts w:ascii="Times New Roman" w:hAnsi="Times New Roman" w:cs="Times New Roman" w:eastAsia="Times New Roman" w:hint="default"/>
        </w:rPr>
        <w:t>2017</w:t>
      </w:r>
      <w:r>
        <w:rPr/>
        <w:t>年度纳入合并范围的二级子公司共</w:t>
      </w:r>
      <w:r>
        <w:rPr>
          <w:rFonts w:ascii="Times New Roman" w:hAnsi="Times New Roman" w:cs="Times New Roman" w:eastAsia="Times New Roman" w:hint="default"/>
        </w:rPr>
        <w:t>15</w:t>
      </w:r>
      <w:r>
        <w:rPr/>
        <w:t>户，详见本附注八</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。本公司本年度合并范围比 上年度增加</w:t>
      </w:r>
      <w:r>
        <w:rPr>
          <w:rFonts w:ascii="Times New Roman" w:hAnsi="Times New Roman" w:cs="Times New Roman" w:eastAsia="Times New Roman" w:hint="default"/>
        </w:rPr>
        <w:t>1</w:t>
      </w:r>
      <w:r>
        <w:rPr/>
        <w:t>户二级子公司，详见本附注七</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8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8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徐殷鹏、叶凌超</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8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徐殷鹏审计服务已连续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年，叶凌超审计服务已连续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r>
    </w:tbl>
    <w:p>
      <w:pPr>
        <w:pStyle w:val="BodyText"/>
        <w:spacing w:line="240" w:lineRule="auto" w:before="51"/>
        <w:ind w:right="125"/>
        <w:jc w:val="left"/>
      </w:pPr>
      <w:r>
        <w:rPr/>
        <w:t>当期是否改聘会计师事务所</w:t>
      </w:r>
    </w:p>
    <w:p>
      <w:pPr>
        <w:pStyle w:val="BodyText"/>
        <w:spacing w:line="338" w:lineRule="auto" w:before="117"/>
        <w:ind w:right="53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right="1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74" w:right="125"/>
        <w:jc w:val="left"/>
      </w:pPr>
      <w:r>
        <w:rPr/>
        <w:t>报告期内，公司聘请瑞华会计师事务所（特殊普通合伙）为内部控制审计会计师事务所，支付的费用为</w:t>
      </w:r>
      <w:r>
        <w:rPr>
          <w:rFonts w:ascii="Times New Roman" w:hAnsi="Times New Roman" w:cs="Times New Roman" w:eastAsia="Times New Roman" w:hint="default"/>
        </w:rPr>
        <w:t>30</w:t>
      </w:r>
      <w:r>
        <w:rPr/>
        <w:t>万元。</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left="194" w:right="1352"/>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94" w:right="13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94" w:right="1352"/>
        <w:jc w:val="left"/>
        <w:rPr>
          <w:b w:val="0"/>
          <w:bCs w:val="0"/>
        </w:rPr>
      </w:pP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94" w:right="67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left="194" w:right="1352"/>
        <w:jc w:val="left"/>
        <w:rPr>
          <w:b w:val="0"/>
          <w:bCs w:val="0"/>
        </w:rPr>
      </w:pP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94" w:right="13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本报告期公司无重大诉讼、仲裁事项。未达重大诉讼披露标准的其他诉讼事项涉案金额合计</w:t>
      </w:r>
      <w:r>
        <w:rPr>
          <w:spacing w:val="-46"/>
        </w:rPr>
        <w:t> </w:t>
      </w:r>
      <w:r>
        <w:rPr>
          <w:rFonts w:ascii="Times New Roman" w:hAnsi="Times New Roman" w:cs="Times New Roman" w:eastAsia="Times New Roman" w:hint="default"/>
        </w:rPr>
        <w:t>2,642.90</w:t>
      </w:r>
      <w:r>
        <w:rPr>
          <w:rFonts w:ascii="Times New Roman" w:hAnsi="Times New Roman" w:cs="Times New Roman" w:eastAsia="Times New Roman" w:hint="default"/>
          <w:spacing w:val="-1"/>
        </w:rPr>
        <w:t> </w:t>
      </w:r>
      <w:r>
        <w:rPr/>
        <w:t>万元。</w:t>
      </w:r>
    </w:p>
    <w:p>
      <w:pPr>
        <w:spacing w:line="240" w:lineRule="auto" w:before="9"/>
        <w:rPr>
          <w:rFonts w:ascii="宋体" w:hAnsi="宋体" w:cs="宋体" w:eastAsia="宋体" w:hint="default"/>
          <w:sz w:val="17"/>
          <w:szCs w:val="17"/>
        </w:rPr>
      </w:pPr>
    </w:p>
    <w:p>
      <w:pPr>
        <w:pStyle w:val="Heading2"/>
        <w:spacing w:line="240" w:lineRule="auto"/>
        <w:ind w:left="194" w:right="1352"/>
        <w:jc w:val="left"/>
        <w:rPr>
          <w:b w:val="0"/>
          <w:bCs w:val="0"/>
        </w:rPr>
      </w:pP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94" w:right="69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left="194" w:right="1352"/>
        <w:jc w:val="left"/>
        <w:rPr>
          <w:b w:val="0"/>
          <w:bCs w:val="0"/>
        </w:rPr>
      </w:pP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94" w:right="13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194" w:right="1352"/>
        <w:jc w:val="left"/>
        <w:rPr>
          <w:b w:val="0"/>
          <w:bCs w:val="0"/>
        </w:rPr>
      </w:pP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194" w:right="35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3"/>
        <w:rPr>
          <w:rFonts w:ascii="宋体" w:hAnsi="宋体" w:cs="宋体" w:eastAsia="宋体" w:hint="default"/>
          <w:sz w:val="19"/>
          <w:szCs w:val="19"/>
        </w:rPr>
      </w:pPr>
    </w:p>
    <w:p>
      <w:pPr>
        <w:pStyle w:val="Heading2"/>
        <w:spacing w:line="240" w:lineRule="auto"/>
        <w:ind w:left="194" w:right="1352"/>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94" w:right="1352"/>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94" w:right="13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709"/>
        <w:gridCol w:w="677"/>
        <w:gridCol w:w="677"/>
        <w:gridCol w:w="704"/>
        <w:gridCol w:w="680"/>
        <w:gridCol w:w="714"/>
        <w:gridCol w:w="749"/>
        <w:gridCol w:w="674"/>
        <w:gridCol w:w="845"/>
        <w:gridCol w:w="568"/>
        <w:gridCol w:w="673"/>
        <w:gridCol w:w="808"/>
        <w:gridCol w:w="670"/>
        <w:gridCol w:w="642"/>
      </w:tblGrid>
      <w:tr>
        <w:trPr>
          <w:trHeight w:val="966" w:hRule="exact"/>
        </w:trPr>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7"/>
                <w:szCs w:val="17"/>
              </w:rPr>
            </w:pPr>
          </w:p>
          <w:p>
            <w:pPr>
              <w:pStyle w:val="TableParagraph"/>
              <w:spacing w:line="244" w:lineRule="auto"/>
              <w:ind w:left="169" w:right="78" w:hanging="90"/>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7"/>
                <w:szCs w:val="17"/>
              </w:rPr>
            </w:pPr>
          </w:p>
          <w:p>
            <w:pPr>
              <w:pStyle w:val="TableParagraph"/>
              <w:spacing w:line="244"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7"/>
                <w:szCs w:val="17"/>
              </w:rPr>
            </w:pPr>
          </w:p>
          <w:p>
            <w:pPr>
              <w:pStyle w:val="TableParagraph"/>
              <w:spacing w:line="244" w:lineRule="auto"/>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7"/>
                <w:szCs w:val="17"/>
              </w:rPr>
            </w:pPr>
          </w:p>
          <w:p>
            <w:pPr>
              <w:pStyle w:val="TableParagraph"/>
              <w:spacing w:line="244" w:lineRule="auto"/>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2"/>
              <w:ind w:left="65"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7"/>
                <w:szCs w:val="17"/>
              </w:rPr>
            </w:pPr>
          </w:p>
          <w:p>
            <w:pPr>
              <w:pStyle w:val="TableParagraph"/>
              <w:spacing w:line="244" w:lineRule="auto"/>
              <w:ind w:left="81" w:right="8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7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2"/>
              <w:ind w:left="98" w:right="98"/>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1"/>
              <w:ind w:left="22" w:right="-4"/>
              <w:jc w:val="left"/>
              <w:rPr>
                <w:rFonts w:ascii="宋体" w:hAnsi="宋体" w:cs="宋体" w:eastAsia="宋体" w:hint="default"/>
                <w:sz w:val="18"/>
                <w:szCs w:val="18"/>
              </w:rPr>
            </w:pPr>
            <w:r>
              <w:rPr>
                <w:rFonts w:ascii="宋体" w:hAnsi="宋体" w:cs="宋体" w:eastAsia="宋体" w:hint="default"/>
                <w:sz w:val="18"/>
                <w:szCs w:val="18"/>
              </w:rPr>
              <w:t>（万元）</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61" w:right="61"/>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2"/>
              <w:ind w:left="146" w:right="56" w:hanging="90"/>
              <w:jc w:val="left"/>
              <w:rPr>
                <w:rFonts w:ascii="宋体" w:hAnsi="宋体" w:cs="宋体" w:eastAsia="宋体" w:hint="default"/>
                <w:sz w:val="18"/>
                <w:szCs w:val="18"/>
              </w:rPr>
            </w:pPr>
            <w:r>
              <w:rPr>
                <w:rFonts w:ascii="宋体" w:hAnsi="宋体" w:cs="宋体" w:eastAsia="宋体" w:hint="default"/>
                <w:sz w:val="18"/>
                <w:szCs w:val="18"/>
              </w:rPr>
              <w:t>获批的交 易额度</w:t>
            </w:r>
          </w:p>
          <w:p>
            <w:pPr>
              <w:pStyle w:val="TableParagraph"/>
              <w:spacing w:line="240" w:lineRule="auto" w:before="1"/>
              <w:ind w:left="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98" w:right="97"/>
              <w:jc w:val="both"/>
              <w:rPr>
                <w:rFonts w:ascii="宋体" w:hAnsi="宋体" w:cs="宋体" w:eastAsia="宋体" w:hint="default"/>
                <w:sz w:val="18"/>
                <w:szCs w:val="18"/>
              </w:rPr>
            </w:pPr>
            <w:r>
              <w:rPr>
                <w:rFonts w:ascii="宋体" w:hAnsi="宋体" w:cs="宋体" w:eastAsia="宋体" w:hint="default"/>
                <w:sz w:val="18"/>
                <w:szCs w:val="18"/>
              </w:rPr>
              <w:t>是否 超过 获批 额度</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2"/>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2"/>
              <w:ind w:left="38" w:right="37"/>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7"/>
                <w:szCs w:val="17"/>
              </w:rPr>
            </w:pPr>
          </w:p>
          <w:p>
            <w:pPr>
              <w:pStyle w:val="TableParagraph"/>
              <w:spacing w:line="244"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7"/>
                <w:szCs w:val="17"/>
              </w:rPr>
            </w:pPr>
          </w:p>
          <w:p>
            <w:pPr>
              <w:pStyle w:val="TableParagraph"/>
              <w:spacing w:line="244" w:lineRule="auto"/>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734"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06"/>
              <w:ind w:left="22" w:right="134"/>
              <w:jc w:val="left"/>
              <w:rPr>
                <w:rFonts w:ascii="宋体" w:hAnsi="宋体" w:cs="宋体" w:eastAsia="宋体" w:hint="default"/>
                <w:sz w:val="18"/>
                <w:szCs w:val="18"/>
              </w:rPr>
            </w:pPr>
            <w:r>
              <w:rPr>
                <w:rFonts w:ascii="宋体" w:hAnsi="宋体" w:cs="宋体" w:eastAsia="宋体" w:hint="default"/>
                <w:sz w:val="18"/>
                <w:szCs w:val="18"/>
              </w:rPr>
              <w:t>都市快 报社</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4"/>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方控制</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06"/>
              <w:ind w:left="22" w:right="102"/>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7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06"/>
              <w:ind w:left="22" w:right="131"/>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4"/>
              <w:ind w:left="23" w:right="104"/>
              <w:jc w:val="both"/>
              <w:rPr>
                <w:rFonts w:ascii="宋体" w:hAnsi="宋体" w:cs="宋体" w:eastAsia="宋体" w:hint="default"/>
                <w:sz w:val="18"/>
                <w:szCs w:val="18"/>
              </w:rPr>
            </w:pPr>
            <w:r>
              <w:rPr>
                <w:rFonts w:ascii="宋体" w:hAnsi="宋体" w:cs="宋体" w:eastAsia="宋体" w:hint="default"/>
                <w:sz w:val="18"/>
                <w:szCs w:val="18"/>
              </w:rPr>
              <w:t>《收入 分成协 议》</w:t>
            </w:r>
          </w:p>
        </w:tc>
        <w:tc>
          <w:tcPr>
            <w:tcW w:w="7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8,524.53</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8,524.53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9,036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8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8,524.53</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2" w:lineRule="exact" w:before="28"/>
              <w:ind w:left="22" w:right="0"/>
              <w:jc w:val="left"/>
              <w:rPr>
                <w:rFonts w:ascii="Times New Roman" w:hAnsi="Times New Roman" w:cs="Times New Roman" w:eastAsia="Times New Roman" w:hint="default"/>
                <w:sz w:val="18"/>
                <w:szCs w:val="18"/>
              </w:rPr>
            </w:pPr>
            <w:r>
              <w:rPr>
                <w:rFonts w:ascii="Times New Roman"/>
                <w:sz w:val="18"/>
              </w:rPr>
              <w:t>2016-0</w:t>
            </w:r>
          </w:p>
          <w:p>
            <w:pPr>
              <w:pStyle w:val="TableParagraph"/>
              <w:spacing w:line="240" w:lineRule="exact" w:before="1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 告</w:t>
            </w:r>
          </w:p>
        </w:tc>
      </w:tr>
      <w:tr>
        <w:trPr>
          <w:trHeight w:val="252" w:hRule="exact"/>
        </w:trPr>
        <w:tc>
          <w:tcPr>
            <w:tcW w:w="709"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杭州日</w:t>
            </w: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
        </w:tc>
        <w:tc>
          <w:tcPr>
            <w:tcW w:w="704" w:type="dxa"/>
            <w:tcBorders>
              <w:top w:val="single" w:sz="4" w:space="0" w:color="000000"/>
              <w:left w:val="single" w:sz="4" w:space="0" w:color="000000"/>
              <w:bottom w:val="nil" w:sz="6" w:space="0" w:color="auto"/>
              <w:right w:val="single" w:sz="4" w:space="0" w:color="000000"/>
            </w:tcBorders>
            <w:shd w:val="clear" w:color="auto" w:fill="C7EDCC"/>
          </w:tcPr>
          <w:p>
            <w:pPr/>
          </w:p>
        </w:tc>
        <w:tc>
          <w:tcPr>
            <w:tcW w:w="680" w:type="dxa"/>
            <w:tcBorders>
              <w:top w:val="single" w:sz="4" w:space="0" w:color="000000"/>
              <w:left w:val="single" w:sz="4" w:space="0" w:color="000000"/>
              <w:bottom w:val="nil" w:sz="6" w:space="0" w:color="auto"/>
              <w:right w:val="single" w:sz="4" w:space="0" w:color="000000"/>
            </w:tcBorders>
            <w:shd w:val="clear" w:color="auto" w:fill="C7EDCC"/>
          </w:tcPr>
          <w:p>
            <w:pPr/>
          </w:p>
        </w:tc>
        <w:tc>
          <w:tcPr>
            <w:tcW w:w="714" w:type="dxa"/>
            <w:tcBorders>
              <w:top w:val="single" w:sz="4" w:space="0" w:color="000000"/>
              <w:left w:val="single" w:sz="4" w:space="0" w:color="000000"/>
              <w:bottom w:val="nil" w:sz="6" w:space="0" w:color="auto"/>
              <w:right w:val="single" w:sz="4" w:space="0" w:color="000000"/>
            </w:tcBorders>
            <w:shd w:val="clear" w:color="auto" w:fill="C7EDCC"/>
          </w:tcPr>
          <w:p>
            <w:pPr/>
          </w:p>
        </w:tc>
        <w:tc>
          <w:tcPr>
            <w:tcW w:w="749"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845"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670" w:type="dxa"/>
            <w:tcBorders>
              <w:top w:val="single" w:sz="4" w:space="0" w:color="000000"/>
              <w:left w:val="single" w:sz="4" w:space="0" w:color="000000"/>
              <w:bottom w:val="nil" w:sz="6" w:space="0" w:color="auto"/>
              <w:right w:val="single" w:sz="4" w:space="0" w:color="000000"/>
            </w:tcBorders>
          </w:tcPr>
          <w:p>
            <w:pPr/>
          </w:p>
        </w:tc>
        <w:tc>
          <w:tcPr>
            <w:tcW w:w="642"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720" w:hRule="exact"/>
        </w:trPr>
        <w:tc>
          <w:tcPr>
            <w:tcW w:w="7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报报业</w:t>
            </w:r>
          </w:p>
          <w:p>
            <w:pPr>
              <w:pStyle w:val="TableParagraph"/>
              <w:spacing w:line="244" w:lineRule="auto" w:before="4"/>
              <w:ind w:left="22" w:right="23"/>
              <w:jc w:val="left"/>
              <w:rPr>
                <w:rFonts w:ascii="宋体" w:hAnsi="宋体" w:cs="宋体" w:eastAsia="宋体" w:hint="default"/>
                <w:sz w:val="18"/>
                <w:szCs w:val="18"/>
              </w:rPr>
            </w:pPr>
            <w:r>
              <w:rPr>
                <w:rFonts w:ascii="宋体" w:hAnsi="宋体" w:cs="宋体" w:eastAsia="宋体" w:hint="default"/>
                <w:spacing w:val="-17"/>
                <w:sz w:val="18"/>
                <w:szCs w:val="18"/>
              </w:rPr>
              <w:t>集团（杭</w:t>
            </w:r>
            <w:r>
              <w:rPr>
                <w:rFonts w:ascii="宋体" w:hAnsi="宋体" w:cs="宋体" w:eastAsia="宋体" w:hint="default"/>
                <w:sz w:val="18"/>
                <w:szCs w:val="18"/>
              </w:rPr>
              <w:t> 州日报</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同一最</w:t>
            </w:r>
          </w:p>
          <w:p>
            <w:pPr>
              <w:pStyle w:val="TableParagraph"/>
              <w:spacing w:line="244" w:lineRule="auto" w:before="4"/>
              <w:ind w:left="22" w:right="102"/>
              <w:jc w:val="left"/>
              <w:rPr>
                <w:rFonts w:ascii="宋体" w:hAnsi="宋体" w:cs="宋体" w:eastAsia="宋体" w:hint="default"/>
                <w:sz w:val="18"/>
                <w:szCs w:val="18"/>
              </w:rPr>
            </w:pPr>
            <w:r>
              <w:rPr>
                <w:rFonts w:ascii="宋体" w:hAnsi="宋体" w:cs="宋体" w:eastAsia="宋体" w:hint="default"/>
                <w:sz w:val="18"/>
                <w:szCs w:val="18"/>
              </w:rPr>
              <w:t>终控制 方控制</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4" w:lineRule="auto" w:before="94"/>
              <w:ind w:left="22" w:right="102"/>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70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4" w:lineRule="auto" w:before="94"/>
              <w:ind w:left="22" w:right="131"/>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《收入</w:t>
            </w:r>
          </w:p>
          <w:p>
            <w:pPr>
              <w:pStyle w:val="TableParagraph"/>
              <w:spacing w:line="244" w:lineRule="auto" w:before="4"/>
              <w:ind w:left="23" w:right="104"/>
              <w:jc w:val="left"/>
              <w:rPr>
                <w:rFonts w:ascii="宋体" w:hAnsi="宋体" w:cs="宋体" w:eastAsia="宋体" w:hint="default"/>
                <w:sz w:val="18"/>
                <w:szCs w:val="18"/>
              </w:rPr>
            </w:pPr>
            <w:r>
              <w:rPr>
                <w:rFonts w:ascii="宋体" w:hAnsi="宋体" w:cs="宋体" w:eastAsia="宋体" w:hint="default"/>
                <w:sz w:val="18"/>
                <w:szCs w:val="18"/>
              </w:rPr>
              <w:t>分成协 议》</w:t>
            </w:r>
          </w:p>
        </w:tc>
        <w:tc>
          <w:tcPr>
            <w:tcW w:w="71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6,757.02</w:t>
            </w:r>
          </w:p>
        </w:tc>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6,757.02</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31.82%</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6,757.02</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6,757.02</w:t>
            </w:r>
          </w:p>
        </w:tc>
        <w:tc>
          <w:tcPr>
            <w:tcW w:w="670"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2" w:lineRule="exact" w:before="16"/>
              <w:ind w:left="22" w:right="0"/>
              <w:jc w:val="left"/>
              <w:rPr>
                <w:rFonts w:ascii="Times New Roman" w:hAnsi="Times New Roman" w:cs="Times New Roman" w:eastAsia="Times New Roman" w:hint="default"/>
                <w:sz w:val="18"/>
                <w:szCs w:val="18"/>
              </w:rPr>
            </w:pPr>
            <w:r>
              <w:rPr>
                <w:rFonts w:ascii="Times New Roman"/>
                <w:sz w:val="18"/>
              </w:rPr>
              <w:t>2016-0</w:t>
            </w:r>
          </w:p>
          <w:p>
            <w:pPr>
              <w:pStyle w:val="TableParagraph"/>
              <w:spacing w:line="240" w:lineRule="exact" w:before="1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 告</w:t>
            </w:r>
          </w:p>
        </w:tc>
      </w:tr>
      <w:tr>
        <w:trPr>
          <w:trHeight w:val="237" w:hRule="exact"/>
        </w:trPr>
        <w:tc>
          <w:tcPr>
            <w:tcW w:w="709"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社）</w:t>
            </w: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704" w:type="dxa"/>
            <w:tcBorders>
              <w:top w:val="nil" w:sz="6" w:space="0" w:color="auto"/>
              <w:left w:val="single" w:sz="4" w:space="0" w:color="000000"/>
              <w:bottom w:val="single" w:sz="4" w:space="0" w:color="000000"/>
              <w:right w:val="single" w:sz="4" w:space="0" w:color="000000"/>
            </w:tcBorders>
            <w:shd w:val="clear" w:color="auto" w:fill="C7EDCC"/>
          </w:tcPr>
          <w:p>
            <w:pPr/>
          </w:p>
        </w:tc>
        <w:tc>
          <w:tcPr>
            <w:tcW w:w="680" w:type="dxa"/>
            <w:tcBorders>
              <w:top w:val="nil" w:sz="6" w:space="0" w:color="auto"/>
              <w:left w:val="single" w:sz="4" w:space="0" w:color="000000"/>
              <w:bottom w:val="single" w:sz="4" w:space="0" w:color="000000"/>
              <w:right w:val="single" w:sz="4" w:space="0" w:color="000000"/>
            </w:tcBorders>
            <w:shd w:val="clear" w:color="auto" w:fill="C7EDCC"/>
          </w:tcPr>
          <w:p>
            <w:pPr/>
          </w:p>
        </w:tc>
        <w:tc>
          <w:tcPr>
            <w:tcW w:w="714" w:type="dxa"/>
            <w:tcBorders>
              <w:top w:val="nil" w:sz="6" w:space="0" w:color="auto"/>
              <w:left w:val="single" w:sz="4" w:space="0" w:color="000000"/>
              <w:bottom w:val="single" w:sz="4" w:space="0" w:color="000000"/>
              <w:right w:val="single" w:sz="4" w:space="0" w:color="000000"/>
            </w:tcBorders>
            <w:shd w:val="clear" w:color="auto" w:fill="C7EDCC"/>
          </w:tcPr>
          <w:p>
            <w:pPr/>
          </w:p>
        </w:tc>
        <w:tc>
          <w:tcPr>
            <w:tcW w:w="749"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845"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670" w:type="dxa"/>
            <w:tcBorders>
              <w:top w:val="nil" w:sz="6" w:space="0" w:color="auto"/>
              <w:left w:val="single" w:sz="4" w:space="0" w:color="000000"/>
              <w:bottom w:val="single" w:sz="4" w:space="0" w:color="000000"/>
              <w:right w:val="single" w:sz="4" w:space="0" w:color="000000"/>
            </w:tcBorders>
          </w:tcPr>
          <w:p>
            <w:pPr/>
          </w:p>
        </w:tc>
        <w:tc>
          <w:tcPr>
            <w:tcW w:w="642"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491"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2" w:right="134"/>
              <w:jc w:val="left"/>
              <w:rPr>
                <w:rFonts w:ascii="宋体" w:hAnsi="宋体" w:cs="宋体" w:eastAsia="宋体" w:hint="default"/>
                <w:sz w:val="18"/>
                <w:szCs w:val="18"/>
              </w:rPr>
            </w:pPr>
            <w:r>
              <w:rPr>
                <w:rFonts w:ascii="宋体" w:hAnsi="宋体" w:cs="宋体" w:eastAsia="宋体" w:hint="default"/>
                <w:sz w:val="18"/>
                <w:szCs w:val="18"/>
              </w:rPr>
              <w:t>每日商 报社</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2" w:right="102"/>
              <w:jc w:val="left"/>
              <w:rPr>
                <w:rFonts w:ascii="宋体" w:hAnsi="宋体" w:cs="宋体" w:eastAsia="宋体" w:hint="default"/>
                <w:sz w:val="18"/>
                <w:szCs w:val="18"/>
              </w:rPr>
            </w:pPr>
            <w:r>
              <w:rPr>
                <w:rFonts w:ascii="宋体" w:hAnsi="宋体" w:cs="宋体" w:eastAsia="宋体" w:hint="default"/>
                <w:sz w:val="18"/>
                <w:szCs w:val="18"/>
              </w:rPr>
              <w:t>同一最 终控制</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2" w:right="102"/>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7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2" w:right="131"/>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3" w:right="104"/>
              <w:jc w:val="left"/>
              <w:rPr>
                <w:rFonts w:ascii="宋体" w:hAnsi="宋体" w:cs="宋体" w:eastAsia="宋体" w:hint="default"/>
                <w:sz w:val="18"/>
                <w:szCs w:val="18"/>
              </w:rPr>
            </w:pPr>
            <w:r>
              <w:rPr>
                <w:rFonts w:ascii="宋体" w:hAnsi="宋体" w:cs="宋体" w:eastAsia="宋体" w:hint="default"/>
                <w:sz w:val="18"/>
                <w:szCs w:val="18"/>
              </w:rPr>
              <w:t>《收入 分成协</w:t>
            </w:r>
          </w:p>
        </w:tc>
        <w:tc>
          <w:tcPr>
            <w:tcW w:w="7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1,650.94</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2" w:right="0"/>
              <w:jc w:val="center"/>
              <w:rPr>
                <w:rFonts w:ascii="Times New Roman" w:hAnsi="Times New Roman" w:cs="Times New Roman" w:eastAsia="Times New Roman" w:hint="default"/>
                <w:sz w:val="18"/>
                <w:szCs w:val="18"/>
              </w:rPr>
            </w:pPr>
            <w:r>
              <w:rPr>
                <w:rFonts w:ascii="Times New Roman"/>
                <w:sz w:val="18"/>
              </w:rPr>
              <w:t>1,650.94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7.77%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1,750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8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1,650.94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2" w:lineRule="exact" w:before="25"/>
              <w:ind w:left="22" w:right="0"/>
              <w:jc w:val="left"/>
              <w:rPr>
                <w:rFonts w:ascii="Times New Roman" w:hAnsi="Times New Roman" w:cs="Times New Roman" w:eastAsia="Times New Roman" w:hint="default"/>
                <w:sz w:val="18"/>
                <w:szCs w:val="18"/>
              </w:rPr>
            </w:pPr>
            <w:r>
              <w:rPr>
                <w:rFonts w:ascii="Times New Roman"/>
                <w:sz w:val="18"/>
              </w:rPr>
              <w:t>2016-0</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w:t>
            </w:r>
          </w:p>
        </w:tc>
      </w:tr>
    </w:tbl>
    <w:p>
      <w:pPr>
        <w:spacing w:after="0" w:line="245" w:lineRule="exact"/>
        <w:jc w:val="left"/>
        <w:rPr>
          <w:rFonts w:ascii="宋体" w:hAnsi="宋体" w:cs="宋体" w:eastAsia="宋体" w:hint="default"/>
          <w:sz w:val="18"/>
          <w:szCs w:val="18"/>
        </w:rPr>
        <w:sectPr>
          <w:pgSz w:w="11910" w:h="16840"/>
          <w:pgMar w:header="747" w:footer="982" w:top="1060" w:bottom="1180" w:left="94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before="44"/>
        <w:ind w:left="0" w:right="113"/>
        <w:jc w:val="right"/>
      </w:pPr>
      <w:r>
        <w:rPr/>
        <w:pict>
          <v:shape style="position:absolute;margin-left:52.68pt;margin-top:-144.368027pt;width:490.2pt;height:208.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9"/>
                    <w:gridCol w:w="677"/>
                    <w:gridCol w:w="677"/>
                    <w:gridCol w:w="693"/>
                    <w:gridCol w:w="692"/>
                    <w:gridCol w:w="714"/>
                    <w:gridCol w:w="749"/>
                    <w:gridCol w:w="674"/>
                    <w:gridCol w:w="845"/>
                    <w:gridCol w:w="568"/>
                    <w:gridCol w:w="673"/>
                    <w:gridCol w:w="808"/>
                    <w:gridCol w:w="670"/>
                    <w:gridCol w:w="642"/>
                  </w:tblGrid>
                  <w:tr>
                    <w:trPr>
                      <w:trHeight w:val="250"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方控制</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9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right="284"/>
                          <w:jc w:val="right"/>
                          <w:rPr>
                            <w:rFonts w:ascii="宋体" w:hAnsi="宋体" w:cs="宋体" w:eastAsia="宋体" w:hint="default"/>
                            <w:sz w:val="18"/>
                            <w:szCs w:val="18"/>
                          </w:rPr>
                        </w:pPr>
                        <w:r>
                          <w:rPr>
                            <w:rFonts w:ascii="宋体" w:hAnsi="宋体" w:cs="宋体" w:eastAsia="宋体" w:hint="default"/>
                            <w:sz w:val="18"/>
                            <w:szCs w:val="18"/>
                          </w:rPr>
                          <w:t>议》</w:t>
                        </w:r>
                      </w:p>
                    </w:tc>
                    <w:tc>
                      <w:tcPr>
                        <w:tcW w:w="71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0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告</w:t>
                        </w:r>
                      </w:p>
                    </w:tc>
                  </w:tr>
                  <w:tr>
                    <w:trPr>
                      <w:trHeight w:val="730"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02"/>
                          <w:ind w:left="22" w:right="134"/>
                          <w:jc w:val="left"/>
                          <w:rPr>
                            <w:rFonts w:ascii="宋体" w:hAnsi="宋体" w:cs="宋体" w:eastAsia="宋体" w:hint="default"/>
                            <w:sz w:val="18"/>
                            <w:szCs w:val="18"/>
                          </w:rPr>
                        </w:pPr>
                        <w:r>
                          <w:rPr>
                            <w:rFonts w:ascii="宋体" w:hAnsi="宋体" w:cs="宋体" w:eastAsia="宋体" w:hint="default"/>
                            <w:sz w:val="18"/>
                            <w:szCs w:val="18"/>
                          </w:rPr>
                          <w:t>萧山日 报社</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方控制</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02"/>
                          <w:ind w:left="22" w:right="102"/>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02"/>
                          <w:ind w:left="22" w:right="118"/>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35" w:right="104"/>
                          <w:jc w:val="both"/>
                          <w:rPr>
                            <w:rFonts w:ascii="宋体" w:hAnsi="宋体" w:cs="宋体" w:eastAsia="宋体" w:hint="default"/>
                            <w:sz w:val="18"/>
                            <w:szCs w:val="18"/>
                          </w:rPr>
                        </w:pPr>
                        <w:r>
                          <w:rPr>
                            <w:rFonts w:ascii="宋体" w:hAnsi="宋体" w:cs="宋体" w:eastAsia="宋体" w:hint="default"/>
                            <w:sz w:val="18"/>
                            <w:szCs w:val="18"/>
                          </w:rPr>
                          <w:t>《收入 分成协 议》</w:t>
                        </w:r>
                      </w:p>
                    </w:tc>
                    <w:tc>
                      <w:tcPr>
                        <w:tcW w:w="7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2,068.94</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2,068.94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2,068.94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货币</w:t>
                        </w:r>
                      </w:p>
                    </w:tc>
                    <w:tc>
                      <w:tcPr>
                        <w:tcW w:w="8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2,068.94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2" w:lineRule="exact" w:before="24"/>
                          <w:ind w:left="22" w:right="0"/>
                          <w:jc w:val="left"/>
                          <w:rPr>
                            <w:rFonts w:ascii="Times New Roman" w:hAnsi="Times New Roman" w:cs="Times New Roman" w:eastAsia="Times New Roman" w:hint="default"/>
                            <w:sz w:val="18"/>
                            <w:szCs w:val="18"/>
                          </w:rPr>
                        </w:pPr>
                        <w:r>
                          <w:rPr>
                            <w:rFonts w:ascii="Times New Roman"/>
                            <w:sz w:val="18"/>
                          </w:rPr>
                          <w:t>2016-0</w:t>
                        </w:r>
                      </w:p>
                      <w:p>
                        <w:pPr>
                          <w:pStyle w:val="TableParagraph"/>
                          <w:spacing w:line="240" w:lineRule="exact" w:before="1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 告</w:t>
                        </w:r>
                      </w:p>
                    </w:tc>
                  </w:tr>
                  <w:tr>
                    <w:trPr>
                      <w:trHeight w:val="730"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02"/>
                          <w:ind w:left="22" w:right="134"/>
                          <w:jc w:val="left"/>
                          <w:rPr>
                            <w:rFonts w:ascii="宋体" w:hAnsi="宋体" w:cs="宋体" w:eastAsia="宋体" w:hint="default"/>
                            <w:sz w:val="18"/>
                            <w:szCs w:val="18"/>
                          </w:rPr>
                        </w:pPr>
                        <w:r>
                          <w:rPr>
                            <w:rFonts w:ascii="宋体" w:hAnsi="宋体" w:cs="宋体" w:eastAsia="宋体" w:hint="default"/>
                            <w:sz w:val="18"/>
                            <w:szCs w:val="18"/>
                          </w:rPr>
                          <w:t>余杭晨 报社</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方控制</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02"/>
                          <w:ind w:left="22" w:right="102"/>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02"/>
                          <w:ind w:left="22" w:right="118"/>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35" w:right="104"/>
                          <w:jc w:val="both"/>
                          <w:rPr>
                            <w:rFonts w:ascii="宋体" w:hAnsi="宋体" w:cs="宋体" w:eastAsia="宋体" w:hint="default"/>
                            <w:sz w:val="18"/>
                            <w:szCs w:val="18"/>
                          </w:rPr>
                        </w:pPr>
                        <w:r>
                          <w:rPr>
                            <w:rFonts w:ascii="宋体" w:hAnsi="宋体" w:cs="宋体" w:eastAsia="宋体" w:hint="default"/>
                            <w:sz w:val="18"/>
                            <w:szCs w:val="18"/>
                          </w:rPr>
                          <w:t>《收入 分成协 议》</w:t>
                        </w:r>
                      </w:p>
                    </w:tc>
                    <w:tc>
                      <w:tcPr>
                        <w:tcW w:w="7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1,138.31</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1,138.31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1,138.31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货币</w:t>
                        </w:r>
                      </w:p>
                    </w:tc>
                    <w:tc>
                      <w:tcPr>
                        <w:tcW w:w="8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1,138.31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2" w:lineRule="exact" w:before="24"/>
                          <w:ind w:left="22" w:right="0"/>
                          <w:jc w:val="left"/>
                          <w:rPr>
                            <w:rFonts w:ascii="Times New Roman" w:hAnsi="Times New Roman" w:cs="Times New Roman" w:eastAsia="Times New Roman" w:hint="default"/>
                            <w:sz w:val="18"/>
                            <w:szCs w:val="18"/>
                          </w:rPr>
                        </w:pPr>
                        <w:r>
                          <w:rPr>
                            <w:rFonts w:ascii="Times New Roman"/>
                            <w:sz w:val="18"/>
                          </w:rPr>
                          <w:t>2016-0</w:t>
                        </w:r>
                      </w:p>
                      <w:p>
                        <w:pPr>
                          <w:pStyle w:val="TableParagraph"/>
                          <w:spacing w:line="240" w:lineRule="exact" w:before="1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 告</w:t>
                        </w:r>
                      </w:p>
                    </w:tc>
                  </w:tr>
                  <w:tr>
                    <w:trPr>
                      <w:trHeight w:val="729"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01"/>
                          <w:ind w:left="22" w:right="134"/>
                          <w:jc w:val="left"/>
                          <w:rPr>
                            <w:rFonts w:ascii="宋体" w:hAnsi="宋体" w:cs="宋体" w:eastAsia="宋体" w:hint="default"/>
                            <w:sz w:val="18"/>
                            <w:szCs w:val="18"/>
                          </w:rPr>
                        </w:pPr>
                        <w:r>
                          <w:rPr>
                            <w:rFonts w:ascii="宋体" w:hAnsi="宋体" w:cs="宋体" w:eastAsia="宋体" w:hint="default"/>
                            <w:sz w:val="18"/>
                            <w:szCs w:val="18"/>
                          </w:rPr>
                          <w:t>富阳日 报社</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同一最</w:t>
                        </w:r>
                      </w:p>
                      <w:p>
                        <w:pPr>
                          <w:pStyle w:val="TableParagraph"/>
                          <w:spacing w:line="244" w:lineRule="auto" w:before="4"/>
                          <w:ind w:left="22" w:right="102"/>
                          <w:jc w:val="left"/>
                          <w:rPr>
                            <w:rFonts w:ascii="宋体" w:hAnsi="宋体" w:cs="宋体" w:eastAsia="宋体" w:hint="default"/>
                            <w:sz w:val="18"/>
                            <w:szCs w:val="18"/>
                          </w:rPr>
                        </w:pPr>
                        <w:r>
                          <w:rPr>
                            <w:rFonts w:ascii="宋体" w:hAnsi="宋体" w:cs="宋体" w:eastAsia="宋体" w:hint="default"/>
                            <w:sz w:val="18"/>
                            <w:szCs w:val="18"/>
                          </w:rPr>
                          <w:t>终控制 方控制</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01"/>
                          <w:ind w:left="22" w:right="102"/>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01"/>
                          <w:ind w:left="22" w:right="118"/>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《收入</w:t>
                        </w:r>
                      </w:p>
                      <w:p>
                        <w:pPr>
                          <w:pStyle w:val="TableParagraph"/>
                          <w:spacing w:line="244" w:lineRule="auto" w:before="4"/>
                          <w:ind w:left="35" w:right="104"/>
                          <w:jc w:val="left"/>
                          <w:rPr>
                            <w:rFonts w:ascii="宋体" w:hAnsi="宋体" w:cs="宋体" w:eastAsia="宋体" w:hint="default"/>
                            <w:sz w:val="18"/>
                            <w:szCs w:val="18"/>
                          </w:rPr>
                        </w:pPr>
                        <w:r>
                          <w:rPr>
                            <w:rFonts w:ascii="宋体" w:hAnsi="宋体" w:cs="宋体" w:eastAsia="宋体" w:hint="default"/>
                            <w:sz w:val="18"/>
                            <w:szCs w:val="18"/>
                          </w:rPr>
                          <w:t>分成协 议》</w:t>
                        </w:r>
                      </w:p>
                    </w:tc>
                    <w:tc>
                      <w:tcPr>
                        <w:tcW w:w="7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1,094.56</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1,094.56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1,094.56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货币</w:t>
                        </w:r>
                      </w:p>
                    </w:tc>
                    <w:tc>
                      <w:tcPr>
                        <w:tcW w:w="8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1,094.56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02" w:lineRule="exact" w:before="23"/>
                          <w:ind w:left="22" w:right="0"/>
                          <w:jc w:val="left"/>
                          <w:rPr>
                            <w:rFonts w:ascii="Times New Roman" w:hAnsi="Times New Roman" w:cs="Times New Roman" w:eastAsia="Times New Roman" w:hint="default"/>
                            <w:sz w:val="18"/>
                            <w:szCs w:val="18"/>
                          </w:rPr>
                        </w:pPr>
                        <w:r>
                          <w:rPr>
                            <w:rFonts w:ascii="Times New Roman"/>
                            <w:sz w:val="18"/>
                          </w:rPr>
                          <w:t>2016-0</w:t>
                        </w:r>
                      </w:p>
                      <w:p>
                        <w:pPr>
                          <w:pStyle w:val="TableParagraph"/>
                          <w:spacing w:line="240" w:lineRule="exact" w:before="1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 告</w:t>
                        </w:r>
                      </w:p>
                    </w:tc>
                  </w:tr>
                  <w:tr>
                    <w:trPr>
                      <w:trHeight w:val="251" w:hRule="exact"/>
                    </w:trPr>
                    <w:tc>
                      <w:tcPr>
                        <w:tcW w:w="275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272"/>
                          <w:jc w:val="right"/>
                          <w:rPr>
                            <w:rFonts w:ascii="Times New Roman" w:hAnsi="Times New Roman" w:cs="Times New Roman" w:eastAsia="Times New Roman" w:hint="default"/>
                            <w:sz w:val="18"/>
                            <w:szCs w:val="18"/>
                          </w:rPr>
                        </w:pPr>
                        <w:r>
                          <w:rPr>
                            <w:rFonts w:ascii="Times New Roman"/>
                            <w:sz w:val="18"/>
                          </w:rPr>
                          <w:t>--</w:t>
                        </w:r>
                      </w:p>
                    </w:tc>
                    <w:tc>
                      <w:tcPr>
                        <w:tcW w:w="7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Times New Roman" w:hAnsi="Times New Roman" w:cs="Times New Roman" w:eastAsia="Times New Roman" w:hint="default"/>
                            <w:sz w:val="18"/>
                            <w:szCs w:val="18"/>
                          </w:rPr>
                        </w:pPr>
                        <w:r>
                          <w:rPr>
                            <w:rFonts w:ascii="Times New Roman"/>
                            <w:sz w:val="18"/>
                          </w:rPr>
                          <w:t>--</w:t>
                        </w:r>
                      </w:p>
                    </w:tc>
                    <w:tc>
                      <w:tcPr>
                        <w:tcW w:w="74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left="51" w:right="0"/>
                          <w:jc w:val="center"/>
                          <w:rPr>
                            <w:rFonts w:ascii="Times New Roman" w:hAnsi="Times New Roman" w:cs="Times New Roman" w:eastAsia="Times New Roman" w:hint="default"/>
                            <w:sz w:val="18"/>
                            <w:szCs w:val="18"/>
                          </w:rPr>
                        </w:pPr>
                        <w:r>
                          <w:rPr>
                            <w:rFonts w:ascii="Times New Roman"/>
                            <w:sz w:val="18"/>
                          </w:rPr>
                          <w:t>21,234.3</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5"/>
                          <w:ind w:left="61" w:right="0"/>
                          <w:jc w:val="center"/>
                          <w:rPr>
                            <w:rFonts w:ascii="Times New Roman" w:hAnsi="Times New Roman" w:cs="Times New Roman" w:eastAsia="Times New Roman" w:hint="default"/>
                            <w:sz w:val="18"/>
                            <w:szCs w:val="18"/>
                          </w:rPr>
                        </w:pPr>
                        <w:r>
                          <w:rPr>
                            <w:rFonts w:ascii="Times New Roman"/>
                            <w:sz w:val="18"/>
                          </w:rPr>
                          <w:t>21,844.83</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270"/>
                          <w:jc w:val="right"/>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Times New Roman" w:hAnsi="Times New Roman" w:cs="Times New Roman" w:eastAsia="Times New Roman" w:hint="default"/>
                            <w:sz w:val="18"/>
                            <w:szCs w:val="18"/>
                          </w:rPr>
                        </w:pPr>
                        <w:r>
                          <w:rPr>
                            <w:rFonts w:ascii="Times New Roman"/>
                            <w:sz w:val="18"/>
                          </w:rPr>
                          <w:t>--</w:t>
                        </w:r>
                      </w:p>
                    </w:tc>
                  </w:tr>
                  <w:tr>
                    <w:trPr>
                      <w:trHeight w:val="250" w:hRule="exact"/>
                    </w:trPr>
                    <w:tc>
                      <w:tcPr>
                        <w:tcW w:w="275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7034" w:type="dxa"/>
                        <w:gridSpan w:val="10"/>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30" w:hRule="exact"/>
                    </w:trPr>
                    <w:tc>
                      <w:tcPr>
                        <w:tcW w:w="275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2" w:right="21"/>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 易进行总金额预计的，在报告期内 的实际履行情况</w:t>
                        </w:r>
                      </w:p>
                    </w:tc>
                    <w:tc>
                      <w:tcPr>
                        <w:tcW w:w="7034" w:type="dxa"/>
                        <w:gridSpan w:val="10"/>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预计向关联人采购原材料</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22,878</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万元，实际发生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22,462.06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万元；预计向关联人销售产品</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5,886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万元，实际发生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4,127.05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万元；预计接受关联方劳务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万元，实际发生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94.34</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90" w:hRule="exact"/>
                    </w:trPr>
                    <w:tc>
                      <w:tcPr>
                        <w:tcW w:w="275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2" w:right="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w:t>
                        </w:r>
                      </w:p>
                    </w:tc>
                    <w:tc>
                      <w:tcPr>
                        <w:tcW w:w="7034" w:type="dxa"/>
                        <w:gridSpan w:val="10"/>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3"/>
        <w:spacing w:line="240" w:lineRule="auto" w:before="35"/>
        <w:ind w:left="194" w:right="415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94" w:right="4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61" w:type="dxa"/>
        <w:tblLayout w:type="fixed"/>
        <w:tblCellMar>
          <w:top w:w="0" w:type="dxa"/>
          <w:left w:w="0" w:type="dxa"/>
          <w:bottom w:w="0" w:type="dxa"/>
          <w:right w:w="0" w:type="dxa"/>
        </w:tblCellMar>
        <w:tblLook w:val="01E0"/>
      </w:tblPr>
      <w:tblGrid>
        <w:gridCol w:w="808"/>
        <w:gridCol w:w="808"/>
        <w:gridCol w:w="808"/>
        <w:gridCol w:w="816"/>
        <w:gridCol w:w="806"/>
        <w:gridCol w:w="810"/>
        <w:gridCol w:w="808"/>
        <w:gridCol w:w="808"/>
        <w:gridCol w:w="807"/>
        <w:gridCol w:w="808"/>
        <w:gridCol w:w="808"/>
        <w:gridCol w:w="800"/>
      </w:tblGrid>
      <w:tr>
        <w:trPr>
          <w:trHeight w:val="1025" w:hRule="exact"/>
        </w:trPr>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8"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9" w:right="3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2" w:right="42"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8" w:right="36"/>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 w:right="-34" w:firstLine="16"/>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19"/>
                <w:sz w:val="18"/>
                <w:szCs w:val="18"/>
              </w:rPr>
              <w:t>值（万元）</w:t>
            </w:r>
            <w:r>
              <w:rPr>
                <w:rFonts w:ascii="宋体" w:hAnsi="宋体" w:cs="宋体" w:eastAsia="宋体" w:hint="default"/>
                <w:sz w:val="18"/>
                <w:szCs w:val="18"/>
              </w:rPr>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 w:right="36" w:firstLine="15"/>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5"/>
                <w:sz w:val="18"/>
                <w:szCs w:val="18"/>
              </w:rPr>
              <w:t>值（万元</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6" w:lineRule="exact" w:before="76"/>
              <w:ind w:left="38"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8" w:right="38"/>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3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8" w:hRule="exact"/>
        </w:trPr>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系本公司</w:t>
            </w: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16" w:type="dxa"/>
            <w:tcBorders>
              <w:top w:val="single" w:sz="4" w:space="0" w:color="000000"/>
              <w:left w:val="single" w:sz="4" w:space="0" w:color="000000"/>
              <w:bottom w:val="nil" w:sz="6" w:space="0" w:color="auto"/>
              <w:right w:val="single" w:sz="4" w:space="0" w:color="000000"/>
            </w:tcBorders>
            <w:shd w:val="clear" w:color="auto" w:fill="C7EDCC"/>
          </w:tcPr>
          <w:p>
            <w:pPr/>
          </w:p>
        </w:tc>
        <w:tc>
          <w:tcPr>
            <w:tcW w:w="806" w:type="dxa"/>
            <w:tcBorders>
              <w:top w:val="single" w:sz="4" w:space="0" w:color="000000"/>
              <w:left w:val="single" w:sz="4" w:space="0" w:color="000000"/>
              <w:bottom w:val="nil" w:sz="6" w:space="0" w:color="auto"/>
              <w:right w:val="single" w:sz="4" w:space="0" w:color="000000"/>
            </w:tcBorders>
            <w:shd w:val="clear" w:color="auto" w:fill="C7EDCC"/>
          </w:tcPr>
          <w:p>
            <w:pPr/>
          </w:p>
        </w:tc>
        <w:tc>
          <w:tcPr>
            <w:tcW w:w="810"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7"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2" w:hRule="exact"/>
        </w:trPr>
        <w:tc>
          <w:tcPr>
            <w:tcW w:w="808" w:type="dxa"/>
            <w:tcBorders>
              <w:top w:val="nil" w:sz="6" w:space="0" w:color="auto"/>
              <w:left w:val="single" w:sz="4" w:space="0" w:color="000000"/>
              <w:bottom w:val="nil" w:sz="6" w:space="0" w:color="auto"/>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转让北京</w:t>
            </w:r>
          </w:p>
        </w:tc>
        <w:tc>
          <w:tcPr>
            <w:tcW w:w="806" w:type="dxa"/>
            <w:tcBorders>
              <w:top w:val="nil" w:sz="6" w:space="0" w:color="auto"/>
              <w:left w:val="single" w:sz="4" w:space="0" w:color="000000"/>
              <w:bottom w:val="nil" w:sz="6" w:space="0" w:color="auto"/>
              <w:right w:val="single" w:sz="4" w:space="0" w:color="000000"/>
            </w:tcBorders>
            <w:shd w:val="clear" w:color="auto" w:fill="C7EDCC"/>
          </w:tcPr>
          <w:p>
            <w:pPr/>
          </w:p>
        </w:tc>
        <w:tc>
          <w:tcPr>
            <w:tcW w:w="810"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7" w:type="dxa"/>
            <w:tcBorders>
              <w:top w:val="nil" w:sz="6" w:space="0" w:color="auto"/>
              <w:left w:val="single" w:sz="4" w:space="0" w:color="000000"/>
              <w:bottom w:val="nil" w:sz="6" w:space="0" w:color="auto"/>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936" w:hRule="exact"/>
        </w:trPr>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53"/>
              <w:jc w:val="both"/>
              <w:rPr>
                <w:rFonts w:ascii="宋体" w:hAnsi="宋体" w:cs="宋体" w:eastAsia="宋体" w:hint="default"/>
                <w:sz w:val="18"/>
                <w:szCs w:val="18"/>
              </w:rPr>
            </w:pPr>
            <w:r>
              <w:rPr>
                <w:rFonts w:ascii="宋体" w:hAnsi="宋体" w:cs="宋体" w:eastAsia="宋体" w:hint="default"/>
                <w:sz w:val="18"/>
                <w:szCs w:val="18"/>
              </w:rPr>
              <w:t>浙江华朗 实业有限 公司</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53"/>
              <w:jc w:val="both"/>
              <w:rPr>
                <w:rFonts w:ascii="宋体" w:hAnsi="宋体" w:cs="宋体" w:eastAsia="宋体" w:hint="default"/>
                <w:sz w:val="18"/>
                <w:szCs w:val="18"/>
              </w:rPr>
            </w:pPr>
            <w:r>
              <w:rPr>
                <w:rFonts w:ascii="宋体" w:hAnsi="宋体" w:cs="宋体" w:eastAsia="宋体" w:hint="default"/>
                <w:sz w:val="18"/>
                <w:szCs w:val="18"/>
              </w:rPr>
              <w:t>杭州日报 报业集团 有限公司</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3" w:right="53"/>
              <w:jc w:val="left"/>
              <w:rPr>
                <w:rFonts w:ascii="宋体" w:hAnsi="宋体" w:cs="宋体" w:eastAsia="宋体" w:hint="default"/>
                <w:sz w:val="18"/>
                <w:szCs w:val="18"/>
              </w:rPr>
            </w:pPr>
            <w:r>
              <w:rPr>
                <w:rFonts w:ascii="宋体" w:hAnsi="宋体" w:cs="宋体" w:eastAsia="宋体" w:hint="default"/>
                <w:sz w:val="18"/>
                <w:szCs w:val="18"/>
              </w:rPr>
              <w:t>向关联方 出售股权</w:t>
            </w:r>
          </w:p>
        </w:tc>
        <w:tc>
          <w:tcPr>
            <w:tcW w:w="8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61"/>
              <w:jc w:val="both"/>
              <w:rPr>
                <w:rFonts w:ascii="宋体" w:hAnsi="宋体" w:cs="宋体" w:eastAsia="宋体" w:hint="default"/>
                <w:sz w:val="18"/>
                <w:szCs w:val="18"/>
              </w:rPr>
            </w:pPr>
            <w:r>
              <w:rPr>
                <w:rFonts w:ascii="宋体" w:hAnsi="宋体" w:cs="宋体" w:eastAsia="宋体" w:hint="default"/>
                <w:sz w:val="18"/>
                <w:szCs w:val="18"/>
              </w:rPr>
              <w:t>精典博维 文化传媒 有限公司</w:t>
            </w:r>
          </w:p>
        </w:tc>
        <w:tc>
          <w:tcPr>
            <w:tcW w:w="8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协议转让</w:t>
            </w:r>
          </w:p>
        </w:tc>
        <w:tc>
          <w:tcPr>
            <w:tcW w:w="8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13,327.49</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13,020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13,020</w:t>
            </w:r>
          </w:p>
        </w:tc>
        <w:tc>
          <w:tcPr>
            <w:tcW w:w="80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现金结算</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-307.49</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2017-025</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318" w:hRule="exact"/>
        </w:trPr>
        <w:tc>
          <w:tcPr>
            <w:tcW w:w="808" w:type="dxa"/>
            <w:tcBorders>
              <w:top w:val="nil" w:sz="6" w:space="0" w:color="auto"/>
              <w:left w:val="single" w:sz="4" w:space="0" w:color="000000"/>
              <w:bottom w:val="nil" w:sz="6" w:space="0" w:color="auto"/>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全资子公</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股权</w:t>
            </w:r>
          </w:p>
        </w:tc>
        <w:tc>
          <w:tcPr>
            <w:tcW w:w="806" w:type="dxa"/>
            <w:tcBorders>
              <w:top w:val="nil" w:sz="6" w:space="0" w:color="auto"/>
              <w:left w:val="single" w:sz="4" w:space="0" w:color="000000"/>
              <w:bottom w:val="nil" w:sz="6" w:space="0" w:color="auto"/>
              <w:right w:val="single" w:sz="4" w:space="0" w:color="000000"/>
            </w:tcBorders>
            <w:shd w:val="clear" w:color="auto" w:fill="C7EDCC"/>
          </w:tcPr>
          <w:p>
            <w:pPr/>
          </w:p>
        </w:tc>
        <w:tc>
          <w:tcPr>
            <w:tcW w:w="810"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7" w:type="dxa"/>
            <w:tcBorders>
              <w:top w:val="nil" w:sz="6" w:space="0" w:color="auto"/>
              <w:left w:val="single" w:sz="4" w:space="0" w:color="000000"/>
              <w:bottom w:val="nil" w:sz="6" w:space="0" w:color="auto"/>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0" w:hRule="exact"/>
        </w:trPr>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single" w:sz="4" w:space="0" w:color="000000"/>
              <w:right w:val="single" w:sz="4" w:space="0" w:color="000000"/>
            </w:tcBorders>
            <w:shd w:val="clear" w:color="auto" w:fill="C7EDCC"/>
          </w:tcPr>
          <w:p>
            <w:pPr/>
          </w:p>
        </w:tc>
        <w:tc>
          <w:tcPr>
            <w:tcW w:w="806" w:type="dxa"/>
            <w:tcBorders>
              <w:top w:val="nil" w:sz="6" w:space="0" w:color="auto"/>
              <w:left w:val="single" w:sz="4" w:space="0" w:color="000000"/>
              <w:bottom w:val="single" w:sz="4" w:space="0" w:color="000000"/>
              <w:right w:val="single" w:sz="4" w:space="0" w:color="000000"/>
            </w:tcBorders>
            <w:shd w:val="clear" w:color="auto" w:fill="C7EDCC"/>
          </w:tcPr>
          <w:p>
            <w:pPr/>
          </w:p>
        </w:tc>
        <w:tc>
          <w:tcPr>
            <w:tcW w:w="810"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7"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58" w:hRule="exact"/>
        </w:trPr>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1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收购杭州</w:t>
            </w:r>
          </w:p>
        </w:tc>
        <w:tc>
          <w:tcPr>
            <w:tcW w:w="806" w:type="dxa"/>
            <w:tcBorders>
              <w:top w:val="single" w:sz="4" w:space="0" w:color="000000"/>
              <w:left w:val="single" w:sz="4" w:space="0" w:color="000000"/>
              <w:bottom w:val="nil" w:sz="6" w:space="0" w:color="auto"/>
              <w:right w:val="single" w:sz="4" w:space="0" w:color="000000"/>
            </w:tcBorders>
            <w:shd w:val="clear" w:color="auto" w:fill="C7EDCC"/>
          </w:tcPr>
          <w:p>
            <w:pPr/>
          </w:p>
        </w:tc>
        <w:tc>
          <w:tcPr>
            <w:tcW w:w="810"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7"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1253" w:hRule="exact"/>
        </w:trPr>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53"/>
              <w:jc w:val="both"/>
              <w:rPr>
                <w:rFonts w:ascii="宋体" w:hAnsi="宋体" w:cs="宋体" w:eastAsia="宋体" w:hint="default"/>
                <w:sz w:val="18"/>
                <w:szCs w:val="18"/>
              </w:rPr>
            </w:pPr>
            <w:r>
              <w:rPr>
                <w:rFonts w:ascii="宋体" w:hAnsi="宋体" w:cs="宋体" w:eastAsia="宋体" w:hint="default"/>
                <w:sz w:val="18"/>
                <w:szCs w:val="18"/>
              </w:rPr>
              <w:t>杭州日报 报业集团 有限公司</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系本公司 控股股东</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3" w:right="53"/>
              <w:jc w:val="left"/>
              <w:rPr>
                <w:rFonts w:ascii="宋体" w:hAnsi="宋体" w:cs="宋体" w:eastAsia="宋体" w:hint="default"/>
                <w:sz w:val="18"/>
                <w:szCs w:val="18"/>
              </w:rPr>
            </w:pPr>
            <w:r>
              <w:rPr>
                <w:rFonts w:ascii="宋体" w:hAnsi="宋体" w:cs="宋体" w:eastAsia="宋体" w:hint="default"/>
                <w:sz w:val="18"/>
                <w:szCs w:val="18"/>
              </w:rPr>
              <w:t>向关联方 购买股权</w:t>
            </w:r>
          </w:p>
        </w:tc>
        <w:tc>
          <w:tcPr>
            <w:tcW w:w="8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61"/>
              <w:jc w:val="both"/>
              <w:rPr>
                <w:rFonts w:ascii="宋体" w:hAnsi="宋体" w:cs="宋体" w:eastAsia="宋体" w:hint="default"/>
                <w:sz w:val="18"/>
                <w:szCs w:val="18"/>
              </w:rPr>
            </w:pPr>
            <w:r>
              <w:rPr>
                <w:rFonts w:ascii="宋体" w:hAnsi="宋体" w:cs="宋体" w:eastAsia="宋体" w:hint="default"/>
                <w:sz w:val="18"/>
                <w:szCs w:val="18"/>
              </w:rPr>
              <w:t>萧山萧报 教育咨询 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tc>
        <w:tc>
          <w:tcPr>
            <w:tcW w:w="8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协议转让</w:t>
            </w:r>
          </w:p>
        </w:tc>
        <w:tc>
          <w:tcPr>
            <w:tcW w:w="8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464.83</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1,575.29</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1,575.29</w:t>
            </w:r>
          </w:p>
        </w:tc>
        <w:tc>
          <w:tcPr>
            <w:tcW w:w="80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现金结算</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2017-046</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351" w:hRule="exact"/>
        </w:trPr>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权</w:t>
            </w:r>
          </w:p>
        </w:tc>
        <w:tc>
          <w:tcPr>
            <w:tcW w:w="806" w:type="dxa"/>
            <w:tcBorders>
              <w:top w:val="nil" w:sz="6" w:space="0" w:color="auto"/>
              <w:left w:val="single" w:sz="4" w:space="0" w:color="000000"/>
              <w:bottom w:val="single" w:sz="4" w:space="0" w:color="000000"/>
              <w:right w:val="single" w:sz="4" w:space="0" w:color="000000"/>
            </w:tcBorders>
            <w:shd w:val="clear" w:color="auto" w:fill="C7EDCC"/>
          </w:tcPr>
          <w:p>
            <w:pPr/>
          </w:p>
        </w:tc>
        <w:tc>
          <w:tcPr>
            <w:tcW w:w="810"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7"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58" w:hRule="exact"/>
        </w:trPr>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1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收购杭州</w:t>
            </w:r>
          </w:p>
        </w:tc>
        <w:tc>
          <w:tcPr>
            <w:tcW w:w="806" w:type="dxa"/>
            <w:tcBorders>
              <w:top w:val="single" w:sz="4" w:space="0" w:color="000000"/>
              <w:left w:val="single" w:sz="4" w:space="0" w:color="000000"/>
              <w:bottom w:val="nil" w:sz="6" w:space="0" w:color="auto"/>
              <w:right w:val="single" w:sz="4" w:space="0" w:color="000000"/>
            </w:tcBorders>
            <w:shd w:val="clear" w:color="auto" w:fill="C7EDCC"/>
          </w:tcPr>
          <w:p>
            <w:pPr/>
          </w:p>
        </w:tc>
        <w:tc>
          <w:tcPr>
            <w:tcW w:w="810"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7"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1" w:hRule="exact"/>
        </w:trPr>
        <w:tc>
          <w:tcPr>
            <w:tcW w:w="808" w:type="dxa"/>
            <w:tcBorders>
              <w:top w:val="nil" w:sz="6" w:space="0" w:color="auto"/>
              <w:left w:val="single" w:sz="4" w:space="0" w:color="000000"/>
              <w:bottom w:val="nil" w:sz="6" w:space="0" w:color="auto"/>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华媒企业</w:t>
            </w:r>
          </w:p>
        </w:tc>
        <w:tc>
          <w:tcPr>
            <w:tcW w:w="806" w:type="dxa"/>
            <w:tcBorders>
              <w:top w:val="nil" w:sz="6" w:space="0" w:color="auto"/>
              <w:left w:val="single" w:sz="4" w:space="0" w:color="000000"/>
              <w:bottom w:val="nil" w:sz="6" w:space="0" w:color="auto"/>
              <w:right w:val="single" w:sz="4" w:space="0" w:color="000000"/>
            </w:tcBorders>
            <w:shd w:val="clear" w:color="auto" w:fill="C7EDCC"/>
          </w:tcPr>
          <w:p>
            <w:pPr/>
          </w:p>
        </w:tc>
        <w:tc>
          <w:tcPr>
            <w:tcW w:w="810"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7" w:type="dxa"/>
            <w:tcBorders>
              <w:top w:val="nil" w:sz="6" w:space="0" w:color="auto"/>
              <w:left w:val="single" w:sz="4" w:space="0" w:color="000000"/>
              <w:bottom w:val="nil" w:sz="6" w:space="0" w:color="auto"/>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08" w:type="dxa"/>
            <w:tcBorders>
              <w:top w:val="nil" w:sz="6" w:space="0" w:color="auto"/>
              <w:left w:val="single" w:sz="4" w:space="0" w:color="000000"/>
              <w:bottom w:val="nil" w:sz="6" w:space="0" w:color="auto"/>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管理有限</w:t>
            </w:r>
          </w:p>
        </w:tc>
        <w:tc>
          <w:tcPr>
            <w:tcW w:w="806" w:type="dxa"/>
            <w:tcBorders>
              <w:top w:val="nil" w:sz="6" w:space="0" w:color="auto"/>
              <w:left w:val="single" w:sz="4" w:space="0" w:color="000000"/>
              <w:bottom w:val="nil" w:sz="6" w:space="0" w:color="auto"/>
              <w:right w:val="single" w:sz="4" w:space="0" w:color="000000"/>
            </w:tcBorders>
            <w:shd w:val="clear" w:color="auto" w:fill="C7EDCC"/>
          </w:tcPr>
          <w:p>
            <w:pPr/>
          </w:p>
        </w:tc>
        <w:tc>
          <w:tcPr>
            <w:tcW w:w="810"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7" w:type="dxa"/>
            <w:tcBorders>
              <w:top w:val="nil" w:sz="6" w:space="0" w:color="auto"/>
              <w:left w:val="single" w:sz="4" w:space="0" w:color="000000"/>
              <w:bottom w:val="nil" w:sz="6" w:space="0" w:color="auto"/>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937" w:hRule="exact"/>
        </w:trPr>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53"/>
              <w:jc w:val="both"/>
              <w:rPr>
                <w:rFonts w:ascii="宋体" w:hAnsi="宋体" w:cs="宋体" w:eastAsia="宋体" w:hint="default"/>
                <w:sz w:val="18"/>
                <w:szCs w:val="18"/>
              </w:rPr>
            </w:pPr>
            <w:r>
              <w:rPr>
                <w:rFonts w:ascii="宋体" w:hAnsi="宋体" w:cs="宋体" w:eastAsia="宋体" w:hint="default"/>
                <w:sz w:val="18"/>
                <w:szCs w:val="18"/>
              </w:rPr>
              <w:t>杭州日报 报业集团 有限公司</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系本公司 控股股东</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3" w:right="53"/>
              <w:jc w:val="left"/>
              <w:rPr>
                <w:rFonts w:ascii="宋体" w:hAnsi="宋体" w:cs="宋体" w:eastAsia="宋体" w:hint="default"/>
                <w:sz w:val="18"/>
                <w:szCs w:val="18"/>
              </w:rPr>
            </w:pPr>
            <w:r>
              <w:rPr>
                <w:rFonts w:ascii="宋体" w:hAnsi="宋体" w:cs="宋体" w:eastAsia="宋体" w:hint="default"/>
                <w:sz w:val="18"/>
                <w:szCs w:val="18"/>
              </w:rPr>
              <w:t>向关联方 购买股权</w:t>
            </w:r>
          </w:p>
        </w:tc>
        <w:tc>
          <w:tcPr>
            <w:tcW w:w="8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61"/>
              <w:jc w:val="both"/>
              <w:rPr>
                <w:rFonts w:ascii="宋体" w:hAnsi="宋体" w:cs="宋体" w:eastAsia="宋体" w:hint="default"/>
                <w:sz w:val="18"/>
                <w:szCs w:val="18"/>
              </w:rPr>
            </w:pPr>
            <w:r>
              <w:rPr>
                <w:rFonts w:ascii="宋体" w:hAnsi="宋体" w:cs="宋体" w:eastAsia="宋体" w:hint="default"/>
                <w:sz w:val="18"/>
                <w:szCs w:val="18"/>
              </w:rPr>
              <w:t>公司（原 名浙江世 文教育科</w:t>
            </w:r>
          </w:p>
        </w:tc>
        <w:tc>
          <w:tcPr>
            <w:tcW w:w="8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协议转让</w:t>
            </w:r>
          </w:p>
        </w:tc>
        <w:tc>
          <w:tcPr>
            <w:tcW w:w="8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1,295.92</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9,056.5</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9,056.5</w:t>
            </w:r>
          </w:p>
        </w:tc>
        <w:tc>
          <w:tcPr>
            <w:tcW w:w="80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现金结算</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2017-051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311" w:hRule="exact"/>
        </w:trPr>
        <w:tc>
          <w:tcPr>
            <w:tcW w:w="808" w:type="dxa"/>
            <w:tcBorders>
              <w:top w:val="nil" w:sz="6" w:space="0" w:color="auto"/>
              <w:left w:val="single" w:sz="4" w:space="0" w:color="000000"/>
              <w:bottom w:val="nil" w:sz="6" w:space="0" w:color="auto"/>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技有限公</w:t>
            </w:r>
          </w:p>
        </w:tc>
        <w:tc>
          <w:tcPr>
            <w:tcW w:w="806" w:type="dxa"/>
            <w:tcBorders>
              <w:top w:val="nil" w:sz="6" w:space="0" w:color="auto"/>
              <w:left w:val="single" w:sz="4" w:space="0" w:color="000000"/>
              <w:bottom w:val="nil" w:sz="6" w:space="0" w:color="auto"/>
              <w:right w:val="single" w:sz="4" w:space="0" w:color="000000"/>
            </w:tcBorders>
            <w:shd w:val="clear" w:color="auto" w:fill="C7EDCC"/>
          </w:tcPr>
          <w:p>
            <w:pPr/>
          </w:p>
        </w:tc>
        <w:tc>
          <w:tcPr>
            <w:tcW w:w="810"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7" w:type="dxa"/>
            <w:tcBorders>
              <w:top w:val="nil" w:sz="6" w:space="0" w:color="auto"/>
              <w:left w:val="single" w:sz="4" w:space="0" w:color="000000"/>
              <w:bottom w:val="nil" w:sz="6" w:space="0" w:color="auto"/>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8" w:hRule="exact"/>
        </w:trPr>
        <w:tc>
          <w:tcPr>
            <w:tcW w:w="808" w:type="dxa"/>
            <w:tcBorders>
              <w:top w:val="nil" w:sz="6" w:space="0" w:color="auto"/>
              <w:left w:val="single" w:sz="4" w:space="0" w:color="000000"/>
              <w:bottom w:val="nil" w:sz="6" w:space="0" w:color="auto"/>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shd w:val="clear" w:color="auto" w:fill="C7EDCC"/>
          </w:tcPr>
          <w:p>
            <w:pPr/>
          </w:p>
        </w:tc>
        <w:tc>
          <w:tcPr>
            <w:tcW w:w="8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司）</w:t>
            </w:r>
            <w:r>
              <w:rPr>
                <w:rFonts w:ascii="Times New Roman" w:hAnsi="Times New Roman" w:cs="Times New Roman" w:eastAsia="Times New Roman" w:hint="default"/>
                <w:spacing w:val="-4"/>
                <w:sz w:val="18"/>
                <w:szCs w:val="18"/>
              </w:rPr>
              <w:t>100%</w:t>
            </w:r>
          </w:p>
        </w:tc>
        <w:tc>
          <w:tcPr>
            <w:tcW w:w="806" w:type="dxa"/>
            <w:tcBorders>
              <w:top w:val="nil" w:sz="6" w:space="0" w:color="auto"/>
              <w:left w:val="single" w:sz="4" w:space="0" w:color="000000"/>
              <w:bottom w:val="nil" w:sz="6" w:space="0" w:color="auto"/>
              <w:right w:val="single" w:sz="4" w:space="0" w:color="000000"/>
            </w:tcBorders>
            <w:shd w:val="clear" w:color="auto" w:fill="C7EDCC"/>
          </w:tcPr>
          <w:p>
            <w:pPr/>
          </w:p>
        </w:tc>
        <w:tc>
          <w:tcPr>
            <w:tcW w:w="810"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7" w:type="dxa"/>
            <w:tcBorders>
              <w:top w:val="nil" w:sz="6" w:space="0" w:color="auto"/>
              <w:left w:val="single" w:sz="4" w:space="0" w:color="000000"/>
              <w:bottom w:val="nil" w:sz="6" w:space="0" w:color="auto"/>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2" w:hRule="exact"/>
        </w:trPr>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806" w:type="dxa"/>
            <w:tcBorders>
              <w:top w:val="nil" w:sz="6" w:space="0" w:color="auto"/>
              <w:left w:val="single" w:sz="4" w:space="0" w:color="000000"/>
              <w:bottom w:val="single" w:sz="4" w:space="0" w:color="000000"/>
              <w:right w:val="single" w:sz="4" w:space="0" w:color="000000"/>
            </w:tcBorders>
            <w:shd w:val="clear" w:color="auto" w:fill="C7EDCC"/>
          </w:tcPr>
          <w:p>
            <w:pPr/>
          </w:p>
        </w:tc>
        <w:tc>
          <w:tcPr>
            <w:tcW w:w="810"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7"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4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44"/>
        <w:ind w:left="0" w:right="101"/>
        <w:jc w:val="right"/>
      </w:pPr>
      <w:r>
        <w:rPr/>
        <w:pict>
          <v:shape style="position:absolute;margin-left:55.080002pt;margin-top:-388.748016pt;width:485.4pt;height:424.1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9"/>
                    <w:gridCol w:w="785"/>
                    <w:gridCol w:w="819"/>
                    <w:gridCol w:w="816"/>
                    <w:gridCol w:w="806"/>
                    <w:gridCol w:w="810"/>
                    <w:gridCol w:w="808"/>
                    <w:gridCol w:w="808"/>
                    <w:gridCol w:w="808"/>
                    <w:gridCol w:w="808"/>
                    <w:gridCol w:w="808"/>
                    <w:gridCol w:w="800"/>
                  </w:tblGrid>
                  <w:tr>
                    <w:trPr>
                      <w:trHeight w:val="358" w:hRule="exact"/>
                    </w:trPr>
                    <w:tc>
                      <w:tcPr>
                        <w:tcW w:w="819" w:type="dxa"/>
                        <w:vMerge w:val="restart"/>
                        <w:tcBorders>
                          <w:top w:val="single" w:sz="4" w:space="0" w:color="000000"/>
                          <w:left w:val="single" w:sz="4" w:space="0" w:color="000000"/>
                          <w:right w:val="single" w:sz="4" w:space="0" w:color="000000"/>
                        </w:tcBorders>
                        <w:shd w:val="clear" w:color="auto" w:fill="C7EDCC"/>
                      </w:tcPr>
                      <w:p>
                        <w:pPr/>
                      </w:p>
                    </w:tc>
                    <w:tc>
                      <w:tcPr>
                        <w:tcW w:w="78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公司原副</w:t>
                        </w:r>
                      </w:p>
                    </w:tc>
                    <w:tc>
                      <w:tcPr>
                        <w:tcW w:w="819" w:type="dxa"/>
                        <w:vMerge w:val="restart"/>
                        <w:tcBorders>
                          <w:top w:val="single" w:sz="4" w:space="0" w:color="000000"/>
                          <w:left w:val="single" w:sz="4" w:space="0" w:color="000000"/>
                          <w:right w:val="single" w:sz="4" w:space="0" w:color="000000"/>
                        </w:tcBorders>
                        <w:shd w:val="clear" w:color="auto" w:fill="C7EDCC"/>
                      </w:tcPr>
                      <w:p>
                        <w:pPr/>
                      </w:p>
                    </w:tc>
                    <w:tc>
                      <w:tcPr>
                        <w:tcW w:w="816" w:type="dxa"/>
                        <w:vMerge w:val="restart"/>
                        <w:tcBorders>
                          <w:top w:val="single" w:sz="4" w:space="0" w:color="000000"/>
                          <w:left w:val="single" w:sz="4" w:space="0" w:color="000000"/>
                          <w:right w:val="single" w:sz="4" w:space="0" w:color="000000"/>
                        </w:tcBorders>
                        <w:shd w:val="clear" w:color="auto" w:fill="C7EDCC"/>
                      </w:tcPr>
                      <w:p>
                        <w:pPr/>
                      </w:p>
                    </w:tc>
                    <w:tc>
                      <w:tcPr>
                        <w:tcW w:w="806" w:type="dxa"/>
                        <w:vMerge w:val="restart"/>
                        <w:tcBorders>
                          <w:top w:val="single" w:sz="4" w:space="0" w:color="000000"/>
                          <w:left w:val="single" w:sz="4" w:space="0" w:color="000000"/>
                          <w:right w:val="single" w:sz="4" w:space="0" w:color="000000"/>
                        </w:tcBorders>
                        <w:shd w:val="clear" w:color="auto" w:fill="C7EDCC"/>
                      </w:tcPr>
                      <w:p>
                        <w:pPr/>
                      </w:p>
                    </w:tc>
                    <w:tc>
                      <w:tcPr>
                        <w:tcW w:w="810"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vMerge w:val="restart"/>
                        <w:tcBorders>
                          <w:top w:val="single" w:sz="4" w:space="0" w:color="000000"/>
                          <w:left w:val="single" w:sz="4" w:space="0" w:color="000000"/>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0" w:type="dxa"/>
                        <w:vMerge w:val="restart"/>
                        <w:tcBorders>
                          <w:top w:val="single" w:sz="4" w:space="0" w:color="000000"/>
                          <w:left w:val="single" w:sz="4" w:space="0" w:color="000000"/>
                          <w:right w:val="single" w:sz="4" w:space="0" w:color="000000"/>
                        </w:tcBorders>
                        <w:shd w:val="clear" w:color="auto" w:fill="C7EDCC"/>
                      </w:tcPr>
                      <w:p>
                        <w:pPr/>
                      </w:p>
                    </w:tc>
                  </w:tr>
                  <w:tr>
                    <w:trPr>
                      <w:trHeight w:val="312" w:hRule="exact"/>
                    </w:trPr>
                    <w:tc>
                      <w:tcPr>
                        <w:tcW w:w="819" w:type="dxa"/>
                        <w:vMerge/>
                        <w:tcBorders>
                          <w:left w:val="single" w:sz="4" w:space="0" w:color="000000"/>
                          <w:right w:val="single" w:sz="4" w:space="0" w:color="000000"/>
                        </w:tcBorders>
                        <w:shd w:val="clear" w:color="auto" w:fill="C7EDCC"/>
                      </w:tcPr>
                      <w:p>
                        <w:pPr/>
                      </w:p>
                    </w:tc>
                    <w:tc>
                      <w:tcPr>
                        <w:tcW w:w="7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总经理林</w:t>
                        </w:r>
                      </w:p>
                    </w:tc>
                    <w:tc>
                      <w:tcPr>
                        <w:tcW w:w="819"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c>
                      <w:tcPr>
                        <w:tcW w:w="806" w:type="dxa"/>
                        <w:vMerge/>
                        <w:tcBorders>
                          <w:left w:val="single" w:sz="4" w:space="0" w:color="000000"/>
                          <w:right w:val="single" w:sz="4" w:space="0" w:color="000000"/>
                        </w:tcBorders>
                        <w:shd w:val="clear" w:color="auto" w:fill="C7EDCC"/>
                      </w:tcPr>
                      <w:p>
                        <w:pPr/>
                      </w:p>
                    </w:tc>
                    <w:tc>
                      <w:tcPr>
                        <w:tcW w:w="810"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vMerge/>
                        <w:tcBorders>
                          <w:left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0" w:type="dxa"/>
                        <w:vMerge/>
                        <w:tcBorders>
                          <w:left w:val="single" w:sz="4" w:space="0" w:color="000000"/>
                          <w:right w:val="single" w:sz="4" w:space="0" w:color="000000"/>
                        </w:tcBorders>
                        <w:shd w:val="clear" w:color="auto" w:fill="C7EDCC"/>
                      </w:tcPr>
                      <w:p>
                        <w:pPr/>
                      </w:p>
                    </w:tc>
                  </w:tr>
                  <w:tr>
                    <w:trPr>
                      <w:trHeight w:val="312" w:hRule="exact"/>
                    </w:trPr>
                    <w:tc>
                      <w:tcPr>
                        <w:tcW w:w="819" w:type="dxa"/>
                        <w:vMerge/>
                        <w:tcBorders>
                          <w:left w:val="single" w:sz="4" w:space="0" w:color="000000"/>
                          <w:right w:val="single" w:sz="4" w:space="0" w:color="000000"/>
                        </w:tcBorders>
                        <w:shd w:val="clear" w:color="auto" w:fill="C7EDCC"/>
                      </w:tcPr>
                      <w:p>
                        <w:pPr/>
                      </w:p>
                    </w:tc>
                    <w:tc>
                      <w:tcPr>
                        <w:tcW w:w="7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鹭华持有</w:t>
                        </w:r>
                      </w:p>
                    </w:tc>
                    <w:tc>
                      <w:tcPr>
                        <w:tcW w:w="819"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c>
                      <w:tcPr>
                        <w:tcW w:w="806" w:type="dxa"/>
                        <w:vMerge/>
                        <w:tcBorders>
                          <w:left w:val="single" w:sz="4" w:space="0" w:color="000000"/>
                          <w:right w:val="single" w:sz="4" w:space="0" w:color="000000"/>
                        </w:tcBorders>
                        <w:shd w:val="clear" w:color="auto" w:fill="C7EDCC"/>
                      </w:tcPr>
                      <w:p>
                        <w:pPr/>
                      </w:p>
                    </w:tc>
                    <w:tc>
                      <w:tcPr>
                        <w:tcW w:w="810"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vMerge/>
                        <w:tcBorders>
                          <w:left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0" w:type="dxa"/>
                        <w:vMerge/>
                        <w:tcBorders>
                          <w:left w:val="single" w:sz="4" w:space="0" w:color="000000"/>
                          <w:right w:val="single" w:sz="4" w:space="0" w:color="000000"/>
                        </w:tcBorders>
                        <w:shd w:val="clear" w:color="auto" w:fill="C7EDCC"/>
                      </w:tcPr>
                      <w:p>
                        <w:pPr/>
                      </w:p>
                    </w:tc>
                  </w:tr>
                  <w:tr>
                    <w:trPr>
                      <w:trHeight w:val="312" w:hRule="exact"/>
                    </w:trPr>
                    <w:tc>
                      <w:tcPr>
                        <w:tcW w:w="819" w:type="dxa"/>
                        <w:vMerge/>
                        <w:tcBorders>
                          <w:left w:val="single" w:sz="4" w:space="0" w:color="000000"/>
                          <w:right w:val="single" w:sz="4" w:space="0" w:color="000000"/>
                        </w:tcBorders>
                        <w:shd w:val="clear" w:color="auto" w:fill="C7EDCC"/>
                      </w:tcPr>
                      <w:p>
                        <w:pPr/>
                      </w:p>
                    </w:tc>
                    <w:tc>
                      <w:tcPr>
                        <w:tcW w:w="7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上海泽创</w:t>
                        </w:r>
                      </w:p>
                    </w:tc>
                    <w:tc>
                      <w:tcPr>
                        <w:tcW w:w="819"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c>
                      <w:tcPr>
                        <w:tcW w:w="806" w:type="dxa"/>
                        <w:vMerge/>
                        <w:tcBorders>
                          <w:left w:val="single" w:sz="4" w:space="0" w:color="000000"/>
                          <w:right w:val="single" w:sz="4" w:space="0" w:color="000000"/>
                        </w:tcBorders>
                        <w:shd w:val="clear" w:color="auto" w:fill="C7EDCC"/>
                      </w:tcPr>
                      <w:p>
                        <w:pPr/>
                      </w:p>
                    </w:tc>
                    <w:tc>
                      <w:tcPr>
                        <w:tcW w:w="810"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vMerge/>
                        <w:tcBorders>
                          <w:left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0" w:type="dxa"/>
                        <w:vMerge/>
                        <w:tcBorders>
                          <w:left w:val="single" w:sz="4" w:space="0" w:color="000000"/>
                          <w:right w:val="single" w:sz="4" w:space="0" w:color="000000"/>
                        </w:tcBorders>
                        <w:shd w:val="clear" w:color="auto" w:fill="C7EDCC"/>
                      </w:tcPr>
                      <w:p>
                        <w:pPr/>
                      </w:p>
                    </w:tc>
                  </w:tr>
                  <w:tr>
                    <w:trPr>
                      <w:trHeight w:val="312" w:hRule="exact"/>
                    </w:trPr>
                    <w:tc>
                      <w:tcPr>
                        <w:tcW w:w="819" w:type="dxa"/>
                        <w:vMerge/>
                        <w:tcBorders>
                          <w:left w:val="single" w:sz="4" w:space="0" w:color="000000"/>
                          <w:right w:val="single" w:sz="4" w:space="0" w:color="000000"/>
                        </w:tcBorders>
                        <w:shd w:val="clear" w:color="auto" w:fill="C7EDCC"/>
                      </w:tcPr>
                      <w:p>
                        <w:pPr/>
                      </w:p>
                    </w:tc>
                    <w:tc>
                      <w:tcPr>
                        <w:tcW w:w="7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科技合伙</w:t>
                        </w:r>
                      </w:p>
                    </w:tc>
                    <w:tc>
                      <w:tcPr>
                        <w:tcW w:w="819"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c>
                      <w:tcPr>
                        <w:tcW w:w="806" w:type="dxa"/>
                        <w:vMerge/>
                        <w:tcBorders>
                          <w:left w:val="single" w:sz="4" w:space="0" w:color="000000"/>
                          <w:right w:val="single" w:sz="4" w:space="0" w:color="000000"/>
                        </w:tcBorders>
                        <w:shd w:val="clear" w:color="auto" w:fill="C7EDCC"/>
                      </w:tcPr>
                      <w:p>
                        <w:pPr/>
                      </w:p>
                    </w:tc>
                    <w:tc>
                      <w:tcPr>
                        <w:tcW w:w="810"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vMerge/>
                        <w:tcBorders>
                          <w:left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0" w:type="dxa"/>
                        <w:vMerge/>
                        <w:tcBorders>
                          <w:left w:val="single" w:sz="4" w:space="0" w:color="000000"/>
                          <w:right w:val="single" w:sz="4" w:space="0" w:color="000000"/>
                        </w:tcBorders>
                        <w:shd w:val="clear" w:color="auto" w:fill="C7EDCC"/>
                      </w:tcPr>
                      <w:p>
                        <w:pPr/>
                      </w:p>
                    </w:tc>
                  </w:tr>
                  <w:tr>
                    <w:trPr>
                      <w:trHeight w:val="271" w:hRule="exact"/>
                    </w:trPr>
                    <w:tc>
                      <w:tcPr>
                        <w:tcW w:w="819" w:type="dxa"/>
                        <w:vMerge/>
                        <w:tcBorders>
                          <w:left w:val="single" w:sz="4" w:space="0" w:color="000000"/>
                          <w:bottom w:val="nil" w:sz="6" w:space="0" w:color="auto"/>
                          <w:right w:val="single" w:sz="4" w:space="0" w:color="000000"/>
                        </w:tcBorders>
                        <w:shd w:val="clear" w:color="auto" w:fill="C7EDCC"/>
                      </w:tcPr>
                      <w:p>
                        <w:pPr/>
                      </w:p>
                    </w:tc>
                    <w:tc>
                      <w:tcPr>
                        <w:tcW w:w="7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企业（有</w:t>
                        </w:r>
                      </w:p>
                    </w:tc>
                    <w:tc>
                      <w:tcPr>
                        <w:tcW w:w="819"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c>
                      <w:tcPr>
                        <w:tcW w:w="806" w:type="dxa"/>
                        <w:vMerge/>
                        <w:tcBorders>
                          <w:left w:val="single" w:sz="4" w:space="0" w:color="000000"/>
                          <w:right w:val="single" w:sz="4" w:space="0" w:color="000000"/>
                        </w:tcBorders>
                        <w:shd w:val="clear" w:color="auto" w:fill="C7EDCC"/>
                      </w:tcPr>
                      <w:p>
                        <w:pPr/>
                      </w:p>
                    </w:tc>
                    <w:tc>
                      <w:tcPr>
                        <w:tcW w:w="810"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vMerge/>
                        <w:tcBorders>
                          <w:left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0" w:type="dxa"/>
                        <w:vMerge/>
                        <w:tcBorders>
                          <w:left w:val="single" w:sz="4" w:space="0" w:color="000000"/>
                          <w:right w:val="single" w:sz="4" w:space="0" w:color="000000"/>
                        </w:tcBorders>
                        <w:shd w:val="clear" w:color="auto" w:fill="C7EDCC"/>
                      </w:tcPr>
                      <w:p>
                        <w:pPr/>
                      </w:p>
                    </w:tc>
                  </w:tr>
                  <w:tr>
                    <w:trPr>
                      <w:trHeight w:val="353" w:hRule="exact"/>
                    </w:trPr>
                    <w:tc>
                      <w:tcPr>
                        <w:tcW w:w="81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上海泽创</w:t>
                        </w:r>
                      </w:p>
                    </w:tc>
                    <w:tc>
                      <w:tcPr>
                        <w:tcW w:w="7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819"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c>
                      <w:tcPr>
                        <w:tcW w:w="806" w:type="dxa"/>
                        <w:vMerge/>
                        <w:tcBorders>
                          <w:left w:val="single" w:sz="4" w:space="0" w:color="000000"/>
                          <w:right w:val="single" w:sz="4" w:space="0" w:color="000000"/>
                        </w:tcBorders>
                        <w:shd w:val="clear" w:color="auto" w:fill="C7EDCC"/>
                      </w:tcPr>
                      <w:p>
                        <w:pPr/>
                      </w:p>
                    </w:tc>
                    <w:tc>
                      <w:tcPr>
                        <w:tcW w:w="810"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vMerge/>
                        <w:tcBorders>
                          <w:left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0" w:type="dxa"/>
                        <w:vMerge/>
                        <w:tcBorders>
                          <w:left w:val="single" w:sz="4" w:space="0" w:color="000000"/>
                          <w:right w:val="single" w:sz="4" w:space="0" w:color="000000"/>
                        </w:tcBorders>
                        <w:shd w:val="clear" w:color="auto" w:fill="C7EDCC"/>
                      </w:tcPr>
                      <w:p>
                        <w:pPr/>
                      </w:p>
                    </w:tc>
                  </w:tr>
                  <w:tr>
                    <w:trPr>
                      <w:trHeight w:val="115" w:hRule="exact"/>
                    </w:trPr>
                    <w:tc>
                      <w:tcPr>
                        <w:tcW w:w="819"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科技合伙 企业（有 </w:t>
                        </w:r>
                        <w:r>
                          <w:rPr>
                            <w:rFonts w:ascii="宋体" w:hAnsi="宋体" w:cs="宋体" w:eastAsia="宋体" w:hint="default"/>
                            <w:spacing w:val="-18"/>
                            <w:sz w:val="18"/>
                            <w:szCs w:val="18"/>
                          </w:rPr>
                          <w:t>限合伙）、</w:t>
                        </w:r>
                        <w:r>
                          <w:rPr>
                            <w:rFonts w:ascii="宋体" w:hAnsi="宋体" w:cs="宋体" w:eastAsia="宋体" w:hint="default"/>
                            <w:sz w:val="18"/>
                            <w:szCs w:val="18"/>
                          </w:rPr>
                          <w:t> 舟山泽创 投资合伙 企业（有</w:t>
                        </w:r>
                      </w:p>
                    </w:tc>
                    <w:tc>
                      <w:tcPr>
                        <w:tcW w:w="785" w:type="dxa"/>
                        <w:vMerge w:val="restart"/>
                        <w:tcBorders>
                          <w:top w:val="nil" w:sz="6" w:space="0" w:color="auto"/>
                          <w:left w:val="single" w:sz="4" w:space="0" w:color="000000"/>
                          <w:right w:val="single" w:sz="4" w:space="0" w:color="000000"/>
                        </w:tcBorders>
                        <w:shd w:val="clear" w:color="auto" w:fill="C7EDCC"/>
                      </w:tcPr>
                      <w:p>
                        <w:pPr>
                          <w:pStyle w:val="TableParagraph"/>
                          <w:spacing w:line="240" w:lineRule="auto" w:before="10"/>
                          <w:ind w:left="1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64%</w:t>
                        </w:r>
                        <w:r>
                          <w:rPr>
                            <w:rFonts w:ascii="宋体" w:hAnsi="宋体" w:cs="宋体" w:eastAsia="宋体" w:hint="default"/>
                            <w:sz w:val="18"/>
                            <w:szCs w:val="18"/>
                          </w:rPr>
                          <w:t>股</w:t>
                        </w:r>
                      </w:p>
                      <w:p>
                        <w:pPr>
                          <w:pStyle w:val="TableParagraph"/>
                          <w:spacing w:line="316" w:lineRule="auto" w:before="63"/>
                          <w:ind w:left="11" w:right="41"/>
                          <w:jc w:val="both"/>
                          <w:rPr>
                            <w:rFonts w:ascii="宋体" w:hAnsi="宋体" w:cs="宋体" w:eastAsia="宋体" w:hint="default"/>
                            <w:sz w:val="18"/>
                            <w:szCs w:val="18"/>
                          </w:rPr>
                        </w:pPr>
                        <w:r>
                          <w:rPr>
                            <w:rFonts w:ascii="宋体" w:hAnsi="宋体" w:cs="宋体" w:eastAsia="宋体" w:hint="default"/>
                            <w:sz w:val="18"/>
                            <w:szCs w:val="18"/>
                          </w:rPr>
                          <w:t>权，持有 舟山泽创 投资合伙 企业（有 限合伙）</w:t>
                        </w:r>
                      </w:p>
                    </w:tc>
                    <w:tc>
                      <w:tcPr>
                        <w:tcW w:w="819" w:type="dxa"/>
                        <w:vMerge/>
                        <w:tcBorders>
                          <w:left w:val="single" w:sz="4" w:space="0" w:color="000000"/>
                          <w:right w:val="single" w:sz="4" w:space="0" w:color="000000"/>
                        </w:tcBorders>
                        <w:shd w:val="clear" w:color="auto" w:fill="C7EDCC"/>
                      </w:tcPr>
                      <w:p>
                        <w:pPr/>
                      </w:p>
                    </w:tc>
                    <w:tc>
                      <w:tcPr>
                        <w:tcW w:w="816" w:type="dxa"/>
                        <w:vMerge/>
                        <w:tcBorders>
                          <w:left w:val="single" w:sz="4" w:space="0" w:color="000000"/>
                          <w:bottom w:val="nil" w:sz="6" w:space="0" w:color="auto"/>
                          <w:right w:val="single" w:sz="4" w:space="0" w:color="000000"/>
                        </w:tcBorders>
                        <w:shd w:val="clear" w:color="auto" w:fill="C7EDCC"/>
                      </w:tcPr>
                      <w:p>
                        <w:pPr/>
                      </w:p>
                    </w:tc>
                    <w:tc>
                      <w:tcPr>
                        <w:tcW w:w="806" w:type="dxa"/>
                        <w:vMerge/>
                        <w:tcBorders>
                          <w:left w:val="single" w:sz="4" w:space="0" w:color="000000"/>
                          <w:right w:val="single" w:sz="4" w:space="0" w:color="000000"/>
                        </w:tcBorders>
                        <w:shd w:val="clear" w:color="auto" w:fill="C7EDCC"/>
                      </w:tcPr>
                      <w:p>
                        <w:pPr/>
                      </w:p>
                    </w:tc>
                    <w:tc>
                      <w:tcPr>
                        <w:tcW w:w="810" w:type="dxa"/>
                        <w:vMerge w:val="restart"/>
                        <w:tcBorders>
                          <w:top w:val="nil" w:sz="6" w:space="0" w:color="auto"/>
                          <w:left w:val="single" w:sz="9" w:space="0" w:color="C7EDCC"/>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40" w:right="0"/>
                          <w:jc w:val="left"/>
                          <w:rPr>
                            <w:rFonts w:ascii="Times New Roman" w:hAnsi="Times New Roman" w:cs="Times New Roman" w:eastAsia="Times New Roman" w:hint="default"/>
                            <w:sz w:val="18"/>
                            <w:szCs w:val="18"/>
                          </w:rPr>
                        </w:pPr>
                        <w:r>
                          <w:rPr>
                            <w:rFonts w:ascii="Times New Roman"/>
                            <w:sz w:val="18"/>
                          </w:rPr>
                          <w:t>5,032.52</w:t>
                        </w:r>
                      </w:p>
                    </w:tc>
                    <w:tc>
                      <w:tcPr>
                        <w:tcW w:w="808"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70" w:right="0"/>
                          <w:jc w:val="left"/>
                          <w:rPr>
                            <w:rFonts w:ascii="Times New Roman" w:hAnsi="Times New Roman" w:cs="Times New Roman" w:eastAsia="Times New Roman" w:hint="default"/>
                            <w:sz w:val="18"/>
                            <w:szCs w:val="18"/>
                          </w:rPr>
                        </w:pPr>
                        <w:r>
                          <w:rPr>
                            <w:rFonts w:ascii="Times New Roman"/>
                            <w:sz w:val="18"/>
                          </w:rPr>
                          <w:t>5,940</w:t>
                        </w:r>
                      </w:p>
                    </w:tc>
                    <w:tc>
                      <w:tcPr>
                        <w:tcW w:w="808" w:type="dxa"/>
                        <w:vMerge w:val="restart"/>
                        <w:tcBorders>
                          <w:top w:val="nil" w:sz="6" w:space="0" w:color="auto"/>
                          <w:left w:val="single" w:sz="4" w:space="0" w:color="000000"/>
                          <w:right w:val="single" w:sz="9" w:space="0" w:color="C7ED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70" w:right="0"/>
                          <w:jc w:val="left"/>
                          <w:rPr>
                            <w:rFonts w:ascii="Times New Roman" w:hAnsi="Times New Roman" w:cs="Times New Roman" w:eastAsia="Times New Roman" w:hint="default"/>
                            <w:sz w:val="18"/>
                            <w:szCs w:val="18"/>
                          </w:rPr>
                        </w:pPr>
                        <w:r>
                          <w:rPr>
                            <w:rFonts w:ascii="Times New Roman"/>
                            <w:sz w:val="18"/>
                          </w:rPr>
                          <w:t>5,940</w:t>
                        </w:r>
                      </w:p>
                    </w:tc>
                    <w:tc>
                      <w:tcPr>
                        <w:tcW w:w="808" w:type="dxa"/>
                        <w:vMerge/>
                        <w:tcBorders>
                          <w:left w:val="single" w:sz="4" w:space="0" w:color="000000"/>
                          <w:right w:val="single" w:sz="4" w:space="0" w:color="000000"/>
                        </w:tcBorders>
                        <w:shd w:val="clear" w:color="auto" w:fill="C7EDCC"/>
                      </w:tcPr>
                      <w:p>
                        <w:pPr/>
                      </w:p>
                    </w:tc>
                    <w:tc>
                      <w:tcPr>
                        <w:tcW w:w="808" w:type="dxa"/>
                        <w:vMerge w:val="restart"/>
                        <w:tcBorders>
                          <w:top w:val="nil" w:sz="6" w:space="0" w:color="auto"/>
                          <w:left w:val="single" w:sz="9" w:space="0" w:color="C7EDCC"/>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74" w:right="0"/>
                          <w:jc w:val="left"/>
                          <w:rPr>
                            <w:rFonts w:ascii="Times New Roman" w:hAnsi="Times New Roman" w:cs="Times New Roman" w:eastAsia="Times New Roman" w:hint="default"/>
                            <w:sz w:val="18"/>
                            <w:szCs w:val="18"/>
                          </w:rPr>
                        </w:pPr>
                        <w:r>
                          <w:rPr>
                            <w:rFonts w:ascii="Times New Roman"/>
                            <w:sz w:val="18"/>
                          </w:rPr>
                          <w:t>907.48</w:t>
                        </w:r>
                      </w:p>
                    </w:tc>
                    <w:tc>
                      <w:tcPr>
                        <w:tcW w:w="808" w:type="dxa"/>
                        <w:vMerge w:val="restart"/>
                        <w:tcBorders>
                          <w:top w:val="nil" w:sz="6" w:space="0" w:color="auto"/>
                          <w:left w:val="single" w:sz="4" w:space="0" w:color="000000"/>
                          <w:right w:val="single" w:sz="9" w:space="0" w:color="C7ED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vMerge/>
                        <w:tcBorders>
                          <w:left w:val="single" w:sz="4" w:space="0" w:color="000000"/>
                          <w:right w:val="single" w:sz="4" w:space="0" w:color="000000"/>
                        </w:tcBorders>
                        <w:shd w:val="clear" w:color="auto" w:fill="C7EDCC"/>
                      </w:tcPr>
                      <w:p>
                        <w:pPr/>
                      </w:p>
                    </w:tc>
                  </w:tr>
                  <w:tr>
                    <w:trPr>
                      <w:trHeight w:val="468" w:hRule="exact"/>
                    </w:trPr>
                    <w:tc>
                      <w:tcPr>
                        <w:tcW w:w="819" w:type="dxa"/>
                        <w:vMerge/>
                        <w:tcBorders>
                          <w:left w:val="single" w:sz="4" w:space="0" w:color="000000"/>
                          <w:right w:val="single" w:sz="4" w:space="0" w:color="000000"/>
                        </w:tcBorders>
                        <w:shd w:val="clear" w:color="auto" w:fill="C7EDCC"/>
                      </w:tcPr>
                      <w:p>
                        <w:pPr/>
                      </w:p>
                    </w:tc>
                    <w:tc>
                      <w:tcPr>
                        <w:tcW w:w="785" w:type="dxa"/>
                        <w:vMerge/>
                        <w:tcBorders>
                          <w:left w:val="single" w:sz="4" w:space="0" w:color="000000"/>
                          <w:right w:val="single" w:sz="4" w:space="0" w:color="000000"/>
                        </w:tcBorders>
                        <w:shd w:val="clear" w:color="auto" w:fill="C7EDCC"/>
                      </w:tcPr>
                      <w:p>
                        <w:pPr/>
                      </w:p>
                    </w:tc>
                    <w:tc>
                      <w:tcPr>
                        <w:tcW w:w="819" w:type="dxa"/>
                        <w:vMerge/>
                        <w:tcBorders>
                          <w:left w:val="single" w:sz="4" w:space="0" w:color="000000"/>
                          <w:bottom w:val="nil" w:sz="6" w:space="0" w:color="auto"/>
                          <w:right w:val="single" w:sz="4" w:space="0" w:color="000000"/>
                        </w:tcBorders>
                        <w:shd w:val="clear" w:color="auto" w:fill="C7EDCC"/>
                      </w:tcPr>
                      <w:p>
                        <w:pPr/>
                      </w:p>
                    </w:tc>
                    <w:tc>
                      <w:tcPr>
                        <w:tcW w:w="816"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转让快点 文化传播</w:t>
                        </w:r>
                      </w:p>
                      <w:p>
                        <w:pPr>
                          <w:pStyle w:val="TableParagraph"/>
                          <w:spacing w:line="319" w:lineRule="auto" w:before="19"/>
                          <w:ind w:left="22" w:right="61"/>
                          <w:jc w:val="both"/>
                          <w:rPr>
                            <w:rFonts w:ascii="宋体" w:hAnsi="宋体" w:cs="宋体" w:eastAsia="宋体" w:hint="default"/>
                            <w:sz w:val="18"/>
                            <w:szCs w:val="18"/>
                          </w:rPr>
                        </w:pPr>
                        <w:r>
                          <w:rPr>
                            <w:rFonts w:ascii="宋体" w:hAnsi="宋体" w:cs="宋体" w:eastAsia="宋体" w:hint="default"/>
                            <w:sz w:val="18"/>
                            <w:szCs w:val="18"/>
                          </w:rPr>
                          <w:t>（上海） 有限公司 </w:t>
                        </w:r>
                        <w:r>
                          <w:rPr>
                            <w:rFonts w:ascii="Times New Roman" w:hAnsi="Times New Roman" w:cs="Times New Roman" w:eastAsia="Times New Roman" w:hint="default"/>
                            <w:sz w:val="18"/>
                            <w:szCs w:val="18"/>
                          </w:rPr>
                          <w:t>12%</w:t>
                        </w:r>
                        <w:r>
                          <w:rPr>
                            <w:rFonts w:ascii="宋体" w:hAnsi="宋体" w:cs="宋体" w:eastAsia="宋体" w:hint="default"/>
                            <w:sz w:val="18"/>
                            <w:szCs w:val="18"/>
                          </w:rPr>
                          <w:t>股权</w:t>
                        </w:r>
                      </w:p>
                    </w:tc>
                    <w:tc>
                      <w:tcPr>
                        <w:tcW w:w="806" w:type="dxa"/>
                        <w:vMerge/>
                        <w:tcBorders>
                          <w:left w:val="single" w:sz="4" w:space="0" w:color="000000"/>
                          <w:right w:val="single" w:sz="4" w:space="0" w:color="000000"/>
                        </w:tcBorders>
                        <w:shd w:val="clear" w:color="auto" w:fill="C7EDCC"/>
                      </w:tcPr>
                      <w:p>
                        <w:pPr/>
                      </w:p>
                    </w:tc>
                    <w:tc>
                      <w:tcPr>
                        <w:tcW w:w="810" w:type="dxa"/>
                        <w:vMerge/>
                        <w:tcBorders>
                          <w:left w:val="single" w:sz="9" w:space="0" w:color="C7EDCC"/>
                          <w:right w:val="single" w:sz="4" w:space="0" w:color="000000"/>
                        </w:tcBorders>
                      </w:tcPr>
                      <w:p>
                        <w:pPr/>
                      </w:p>
                    </w:tc>
                    <w:tc>
                      <w:tcPr>
                        <w:tcW w:w="808" w:type="dxa"/>
                        <w:vMerge/>
                        <w:tcBorders>
                          <w:left w:val="single" w:sz="4" w:space="0" w:color="000000"/>
                          <w:right w:val="single" w:sz="4" w:space="0" w:color="000000"/>
                        </w:tcBorders>
                      </w:tcPr>
                      <w:p>
                        <w:pPr/>
                      </w:p>
                    </w:tc>
                    <w:tc>
                      <w:tcPr>
                        <w:tcW w:w="808" w:type="dxa"/>
                        <w:vMerge/>
                        <w:tcBorders>
                          <w:left w:val="single" w:sz="4" w:space="0" w:color="000000"/>
                          <w:right w:val="single" w:sz="9" w:space="0" w:color="C7EDCC"/>
                        </w:tcBorders>
                      </w:tcPr>
                      <w:p>
                        <w:pPr/>
                      </w:p>
                    </w:tc>
                    <w:tc>
                      <w:tcPr>
                        <w:tcW w:w="808" w:type="dxa"/>
                        <w:vMerge/>
                        <w:tcBorders>
                          <w:left w:val="single" w:sz="4" w:space="0" w:color="000000"/>
                          <w:right w:val="single" w:sz="4" w:space="0" w:color="000000"/>
                        </w:tcBorders>
                        <w:shd w:val="clear" w:color="auto" w:fill="C7EDCC"/>
                      </w:tcPr>
                      <w:p>
                        <w:pPr/>
                      </w:p>
                    </w:tc>
                    <w:tc>
                      <w:tcPr>
                        <w:tcW w:w="808" w:type="dxa"/>
                        <w:vMerge/>
                        <w:tcBorders>
                          <w:left w:val="single" w:sz="9" w:space="0" w:color="C7EDCC"/>
                          <w:right w:val="single" w:sz="4" w:space="0" w:color="000000"/>
                        </w:tcBorders>
                      </w:tcPr>
                      <w:p>
                        <w:pPr/>
                      </w:p>
                    </w:tc>
                    <w:tc>
                      <w:tcPr>
                        <w:tcW w:w="808" w:type="dxa"/>
                        <w:vMerge/>
                        <w:tcBorders>
                          <w:left w:val="single" w:sz="4" w:space="0" w:color="000000"/>
                          <w:right w:val="single" w:sz="9" w:space="0" w:color="C7EDCC"/>
                        </w:tcBorders>
                      </w:tcPr>
                      <w:p>
                        <w:pPr/>
                      </w:p>
                    </w:tc>
                    <w:tc>
                      <w:tcPr>
                        <w:tcW w:w="800" w:type="dxa"/>
                        <w:vMerge/>
                        <w:tcBorders>
                          <w:left w:val="single" w:sz="4" w:space="0" w:color="000000"/>
                          <w:bottom w:val="nil" w:sz="6" w:space="0" w:color="auto"/>
                          <w:right w:val="single" w:sz="4" w:space="0" w:color="000000"/>
                        </w:tcBorders>
                        <w:shd w:val="clear" w:color="auto" w:fill="C7EDCC"/>
                      </w:tcPr>
                      <w:p>
                        <w:pPr/>
                      </w:p>
                    </w:tc>
                  </w:tr>
                  <w:tr>
                    <w:trPr>
                      <w:trHeight w:val="156" w:hRule="exact"/>
                    </w:trPr>
                    <w:tc>
                      <w:tcPr>
                        <w:tcW w:w="819" w:type="dxa"/>
                        <w:vMerge/>
                        <w:tcBorders>
                          <w:left w:val="single" w:sz="4" w:space="0" w:color="000000"/>
                          <w:right w:val="single" w:sz="4" w:space="0" w:color="000000"/>
                        </w:tcBorders>
                        <w:shd w:val="clear" w:color="auto" w:fill="C7EDCC"/>
                      </w:tcPr>
                      <w:p>
                        <w:pPr/>
                      </w:p>
                    </w:tc>
                    <w:tc>
                      <w:tcPr>
                        <w:tcW w:w="785" w:type="dxa"/>
                        <w:vMerge/>
                        <w:tcBorders>
                          <w:left w:val="single" w:sz="4" w:space="0" w:color="000000"/>
                          <w:right w:val="single" w:sz="4" w:space="0" w:color="000000"/>
                        </w:tcBorders>
                        <w:shd w:val="clear" w:color="auto" w:fill="C7EDCC"/>
                      </w:tcPr>
                      <w:p>
                        <w:pPr/>
                      </w:p>
                    </w:tc>
                    <w:tc>
                      <w:tcPr>
                        <w:tcW w:w="819" w:type="dxa"/>
                        <w:vMerge w:val="restart"/>
                        <w:tcBorders>
                          <w:top w:val="nil" w:sz="6" w:space="0" w:color="auto"/>
                          <w:left w:val="single" w:sz="4" w:space="0" w:color="000000"/>
                          <w:right w:val="single" w:sz="4" w:space="0" w:color="000000"/>
                        </w:tcBorders>
                        <w:shd w:val="clear" w:color="auto" w:fill="C7EDCC"/>
                      </w:tcPr>
                      <w:p>
                        <w:pPr>
                          <w:pStyle w:val="TableParagraph"/>
                          <w:spacing w:line="319" w:lineRule="auto" w:before="51"/>
                          <w:ind w:left="35" w:right="53"/>
                          <w:jc w:val="left"/>
                          <w:rPr>
                            <w:rFonts w:ascii="宋体" w:hAnsi="宋体" w:cs="宋体" w:eastAsia="宋体" w:hint="default"/>
                            <w:sz w:val="18"/>
                            <w:szCs w:val="18"/>
                          </w:rPr>
                        </w:pPr>
                        <w:r>
                          <w:rPr>
                            <w:rFonts w:ascii="宋体" w:hAnsi="宋体" w:cs="宋体" w:eastAsia="宋体" w:hint="default"/>
                            <w:sz w:val="18"/>
                            <w:szCs w:val="18"/>
                          </w:rPr>
                          <w:t>向关联方 出售股权</w:t>
                        </w:r>
                      </w:p>
                    </w:tc>
                    <w:tc>
                      <w:tcPr>
                        <w:tcW w:w="816" w:type="dxa"/>
                        <w:vMerge/>
                        <w:tcBorders>
                          <w:left w:val="single" w:sz="4" w:space="0" w:color="000000"/>
                          <w:right w:val="single" w:sz="4" w:space="0" w:color="000000"/>
                        </w:tcBorders>
                        <w:shd w:val="clear" w:color="auto" w:fill="C7EDCC"/>
                      </w:tcPr>
                      <w:p>
                        <w:pPr/>
                      </w:p>
                    </w:tc>
                    <w:tc>
                      <w:tcPr>
                        <w:tcW w:w="806" w:type="dxa"/>
                        <w:vMerge/>
                        <w:tcBorders>
                          <w:left w:val="single" w:sz="4" w:space="0" w:color="000000"/>
                          <w:bottom w:val="nil" w:sz="6" w:space="0" w:color="auto"/>
                          <w:right w:val="single" w:sz="4" w:space="0" w:color="000000"/>
                        </w:tcBorders>
                        <w:shd w:val="clear" w:color="auto" w:fill="C7EDCC"/>
                      </w:tcPr>
                      <w:p>
                        <w:pPr/>
                      </w:p>
                    </w:tc>
                    <w:tc>
                      <w:tcPr>
                        <w:tcW w:w="810" w:type="dxa"/>
                        <w:vMerge/>
                        <w:tcBorders>
                          <w:left w:val="single" w:sz="9" w:space="0" w:color="C7EDCC"/>
                          <w:right w:val="single" w:sz="4" w:space="0" w:color="000000"/>
                        </w:tcBorders>
                      </w:tcPr>
                      <w:p>
                        <w:pPr/>
                      </w:p>
                    </w:tc>
                    <w:tc>
                      <w:tcPr>
                        <w:tcW w:w="808" w:type="dxa"/>
                        <w:vMerge/>
                        <w:tcBorders>
                          <w:left w:val="single" w:sz="4" w:space="0" w:color="000000"/>
                          <w:right w:val="single" w:sz="4" w:space="0" w:color="000000"/>
                        </w:tcBorders>
                      </w:tcPr>
                      <w:p>
                        <w:pPr/>
                      </w:p>
                    </w:tc>
                    <w:tc>
                      <w:tcPr>
                        <w:tcW w:w="808" w:type="dxa"/>
                        <w:vMerge/>
                        <w:tcBorders>
                          <w:left w:val="single" w:sz="4" w:space="0" w:color="000000"/>
                          <w:right w:val="single" w:sz="9" w:space="0" w:color="C7EDCC"/>
                        </w:tcBorders>
                      </w:tcPr>
                      <w:p>
                        <w:pPr/>
                      </w:p>
                    </w:tc>
                    <w:tc>
                      <w:tcPr>
                        <w:tcW w:w="808" w:type="dxa"/>
                        <w:vMerge/>
                        <w:tcBorders>
                          <w:left w:val="single" w:sz="4" w:space="0" w:color="000000"/>
                          <w:bottom w:val="nil" w:sz="6" w:space="0" w:color="auto"/>
                          <w:right w:val="single" w:sz="4" w:space="0" w:color="000000"/>
                        </w:tcBorders>
                        <w:shd w:val="clear" w:color="auto" w:fill="C7EDCC"/>
                      </w:tcPr>
                      <w:p>
                        <w:pPr/>
                      </w:p>
                    </w:tc>
                    <w:tc>
                      <w:tcPr>
                        <w:tcW w:w="808" w:type="dxa"/>
                        <w:vMerge/>
                        <w:tcBorders>
                          <w:left w:val="single" w:sz="9" w:space="0" w:color="C7EDCC"/>
                          <w:right w:val="single" w:sz="4" w:space="0" w:color="000000"/>
                        </w:tcBorders>
                      </w:tcPr>
                      <w:p>
                        <w:pPr/>
                      </w:p>
                    </w:tc>
                    <w:tc>
                      <w:tcPr>
                        <w:tcW w:w="808" w:type="dxa"/>
                        <w:vMerge/>
                        <w:tcBorders>
                          <w:left w:val="single" w:sz="4" w:space="0" w:color="000000"/>
                          <w:right w:val="single" w:sz="9" w:space="0" w:color="C7EDCC"/>
                        </w:tcBorders>
                      </w:tcPr>
                      <w:p>
                        <w:pPr/>
                      </w:p>
                    </w:tc>
                    <w:tc>
                      <w:tcPr>
                        <w:tcW w:w="800" w:type="dxa"/>
                        <w:vMerge w:val="restart"/>
                        <w:tcBorders>
                          <w:top w:val="nil" w:sz="6" w:space="0" w:color="auto"/>
                          <w:left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2017-059</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392" w:hRule="exact"/>
                    </w:trPr>
                    <w:tc>
                      <w:tcPr>
                        <w:tcW w:w="819" w:type="dxa"/>
                        <w:vMerge/>
                        <w:tcBorders>
                          <w:left w:val="single" w:sz="4" w:space="0" w:color="000000"/>
                          <w:right w:val="single" w:sz="4" w:space="0" w:color="000000"/>
                        </w:tcBorders>
                        <w:shd w:val="clear" w:color="auto" w:fill="C7EDCC"/>
                      </w:tcPr>
                      <w:p>
                        <w:pPr/>
                      </w:p>
                    </w:tc>
                    <w:tc>
                      <w:tcPr>
                        <w:tcW w:w="785" w:type="dxa"/>
                        <w:vMerge/>
                        <w:tcBorders>
                          <w:left w:val="single" w:sz="4" w:space="0" w:color="000000"/>
                          <w:right w:val="single" w:sz="4" w:space="0" w:color="000000"/>
                        </w:tcBorders>
                        <w:shd w:val="clear" w:color="auto" w:fill="C7EDCC"/>
                      </w:tcPr>
                      <w:p>
                        <w:pPr/>
                      </w:p>
                    </w:tc>
                    <w:tc>
                      <w:tcPr>
                        <w:tcW w:w="819"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c>
                      <w:tcPr>
                        <w:tcW w:w="8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公开竞拍</w:t>
                        </w:r>
                      </w:p>
                    </w:tc>
                    <w:tc>
                      <w:tcPr>
                        <w:tcW w:w="810" w:type="dxa"/>
                        <w:vMerge/>
                        <w:tcBorders>
                          <w:left w:val="single" w:sz="9" w:space="0" w:color="C7EDCC"/>
                          <w:right w:val="single" w:sz="4" w:space="0" w:color="000000"/>
                        </w:tcBorders>
                      </w:tcPr>
                      <w:p>
                        <w:pPr/>
                      </w:p>
                    </w:tc>
                    <w:tc>
                      <w:tcPr>
                        <w:tcW w:w="808" w:type="dxa"/>
                        <w:vMerge/>
                        <w:tcBorders>
                          <w:left w:val="single" w:sz="4" w:space="0" w:color="000000"/>
                          <w:right w:val="single" w:sz="4" w:space="0" w:color="000000"/>
                        </w:tcBorders>
                      </w:tcPr>
                      <w:p>
                        <w:pPr/>
                      </w:p>
                    </w:tc>
                    <w:tc>
                      <w:tcPr>
                        <w:tcW w:w="808" w:type="dxa"/>
                        <w:vMerge/>
                        <w:tcBorders>
                          <w:left w:val="single" w:sz="4" w:space="0" w:color="000000"/>
                          <w:right w:val="single" w:sz="9" w:space="0" w:color="C7EDCC"/>
                        </w:tcBorders>
                      </w:tcPr>
                      <w:p>
                        <w:pP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现金结算</w:t>
                        </w:r>
                      </w:p>
                    </w:tc>
                    <w:tc>
                      <w:tcPr>
                        <w:tcW w:w="808" w:type="dxa"/>
                        <w:vMerge/>
                        <w:tcBorders>
                          <w:left w:val="single" w:sz="9" w:space="0" w:color="C7EDCC"/>
                          <w:right w:val="single" w:sz="4" w:space="0" w:color="000000"/>
                        </w:tcBorders>
                      </w:tcPr>
                      <w:p>
                        <w:pPr/>
                      </w:p>
                    </w:tc>
                    <w:tc>
                      <w:tcPr>
                        <w:tcW w:w="808" w:type="dxa"/>
                        <w:vMerge/>
                        <w:tcBorders>
                          <w:left w:val="single" w:sz="4" w:space="0" w:color="000000"/>
                          <w:right w:val="single" w:sz="9" w:space="0" w:color="C7EDCC"/>
                        </w:tcBorders>
                      </w:tcPr>
                      <w:p>
                        <w:pPr/>
                      </w:p>
                    </w:tc>
                    <w:tc>
                      <w:tcPr>
                        <w:tcW w:w="800" w:type="dxa"/>
                        <w:vMerge/>
                        <w:tcBorders>
                          <w:left w:val="single" w:sz="4" w:space="0" w:color="000000"/>
                          <w:right w:val="single" w:sz="4" w:space="0" w:color="000000"/>
                        </w:tcBorders>
                        <w:shd w:val="clear" w:color="auto" w:fill="C7EDCC"/>
                      </w:tcPr>
                      <w:p>
                        <w:pPr/>
                      </w:p>
                    </w:tc>
                  </w:tr>
                  <w:tr>
                    <w:trPr>
                      <w:trHeight w:val="156" w:hRule="exact"/>
                    </w:trPr>
                    <w:tc>
                      <w:tcPr>
                        <w:tcW w:w="819" w:type="dxa"/>
                        <w:vMerge/>
                        <w:tcBorders>
                          <w:left w:val="single" w:sz="4" w:space="0" w:color="000000"/>
                          <w:right w:val="single" w:sz="4" w:space="0" w:color="000000"/>
                        </w:tcBorders>
                        <w:shd w:val="clear" w:color="auto" w:fill="C7EDCC"/>
                      </w:tcPr>
                      <w:p>
                        <w:pPr/>
                      </w:p>
                    </w:tc>
                    <w:tc>
                      <w:tcPr>
                        <w:tcW w:w="785" w:type="dxa"/>
                        <w:vMerge/>
                        <w:tcBorders>
                          <w:left w:val="single" w:sz="4" w:space="0" w:color="000000"/>
                          <w:right w:val="single" w:sz="4" w:space="0" w:color="000000"/>
                        </w:tcBorders>
                        <w:shd w:val="clear" w:color="auto" w:fill="C7EDCC"/>
                      </w:tcPr>
                      <w:p>
                        <w:pPr/>
                      </w:p>
                    </w:tc>
                    <w:tc>
                      <w:tcPr>
                        <w:tcW w:w="819" w:type="dxa"/>
                        <w:vMerge/>
                        <w:tcBorders>
                          <w:left w:val="single" w:sz="4" w:space="0" w:color="000000"/>
                          <w:bottom w:val="nil" w:sz="6" w:space="0" w:color="auto"/>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c>
                      <w:tcPr>
                        <w:tcW w:w="806" w:type="dxa"/>
                        <w:vMerge w:val="restart"/>
                        <w:tcBorders>
                          <w:top w:val="nil" w:sz="6" w:space="0" w:color="auto"/>
                          <w:left w:val="single" w:sz="4" w:space="0" w:color="000000"/>
                          <w:right w:val="single" w:sz="4" w:space="0" w:color="000000"/>
                        </w:tcBorders>
                        <w:shd w:val="clear" w:color="auto" w:fill="C7EDCC"/>
                      </w:tcPr>
                      <w:p>
                        <w:pPr/>
                      </w:p>
                    </w:tc>
                    <w:tc>
                      <w:tcPr>
                        <w:tcW w:w="810" w:type="dxa"/>
                        <w:vMerge/>
                        <w:tcBorders>
                          <w:left w:val="single" w:sz="9" w:space="0" w:color="C7EDCC"/>
                          <w:right w:val="single" w:sz="4" w:space="0" w:color="000000"/>
                        </w:tcBorders>
                      </w:tcPr>
                      <w:p>
                        <w:pPr/>
                      </w:p>
                    </w:tc>
                    <w:tc>
                      <w:tcPr>
                        <w:tcW w:w="808" w:type="dxa"/>
                        <w:vMerge/>
                        <w:tcBorders>
                          <w:left w:val="single" w:sz="4" w:space="0" w:color="000000"/>
                          <w:right w:val="single" w:sz="4" w:space="0" w:color="000000"/>
                        </w:tcBorders>
                      </w:tcPr>
                      <w:p>
                        <w:pPr/>
                      </w:p>
                    </w:tc>
                    <w:tc>
                      <w:tcPr>
                        <w:tcW w:w="808" w:type="dxa"/>
                        <w:vMerge/>
                        <w:tcBorders>
                          <w:left w:val="single" w:sz="4" w:space="0" w:color="000000"/>
                          <w:right w:val="single" w:sz="9" w:space="0" w:color="C7EDCC"/>
                        </w:tcBorders>
                      </w:tcPr>
                      <w:p>
                        <w:pPr/>
                      </w:p>
                    </w:tc>
                    <w:tc>
                      <w:tcPr>
                        <w:tcW w:w="808" w:type="dxa"/>
                        <w:vMerge w:val="restart"/>
                        <w:tcBorders>
                          <w:top w:val="nil" w:sz="6" w:space="0" w:color="auto"/>
                          <w:left w:val="single" w:sz="4" w:space="0" w:color="000000"/>
                          <w:right w:val="single" w:sz="4" w:space="0" w:color="000000"/>
                        </w:tcBorders>
                        <w:shd w:val="clear" w:color="auto" w:fill="C7EDCC"/>
                      </w:tcPr>
                      <w:p>
                        <w:pPr/>
                      </w:p>
                    </w:tc>
                    <w:tc>
                      <w:tcPr>
                        <w:tcW w:w="808" w:type="dxa"/>
                        <w:vMerge/>
                        <w:tcBorders>
                          <w:left w:val="single" w:sz="9" w:space="0" w:color="C7EDCC"/>
                          <w:right w:val="single" w:sz="4" w:space="0" w:color="000000"/>
                        </w:tcBorders>
                      </w:tcPr>
                      <w:p>
                        <w:pPr/>
                      </w:p>
                    </w:tc>
                    <w:tc>
                      <w:tcPr>
                        <w:tcW w:w="808" w:type="dxa"/>
                        <w:vMerge/>
                        <w:tcBorders>
                          <w:left w:val="single" w:sz="4" w:space="0" w:color="000000"/>
                          <w:right w:val="single" w:sz="9" w:space="0" w:color="C7EDCC"/>
                        </w:tcBorders>
                      </w:tcPr>
                      <w:p>
                        <w:pPr/>
                      </w:p>
                    </w:tc>
                    <w:tc>
                      <w:tcPr>
                        <w:tcW w:w="800" w:type="dxa"/>
                        <w:vMerge/>
                        <w:tcBorders>
                          <w:left w:val="single" w:sz="4" w:space="0" w:color="000000"/>
                          <w:bottom w:val="nil" w:sz="6" w:space="0" w:color="auto"/>
                          <w:right w:val="single" w:sz="4" w:space="0" w:color="000000"/>
                        </w:tcBorders>
                        <w:shd w:val="clear" w:color="auto" w:fill="C7EDCC"/>
                      </w:tcPr>
                      <w:p>
                        <w:pPr/>
                      </w:p>
                    </w:tc>
                  </w:tr>
                  <w:tr>
                    <w:trPr>
                      <w:trHeight w:val="468" w:hRule="exact"/>
                    </w:trPr>
                    <w:tc>
                      <w:tcPr>
                        <w:tcW w:w="819" w:type="dxa"/>
                        <w:vMerge/>
                        <w:tcBorders>
                          <w:left w:val="single" w:sz="4" w:space="0" w:color="000000"/>
                          <w:right w:val="single" w:sz="4" w:space="0" w:color="000000"/>
                        </w:tcBorders>
                        <w:shd w:val="clear" w:color="auto" w:fill="C7EDCC"/>
                      </w:tcPr>
                      <w:p>
                        <w:pPr/>
                      </w:p>
                    </w:tc>
                    <w:tc>
                      <w:tcPr>
                        <w:tcW w:w="785" w:type="dxa"/>
                        <w:vMerge/>
                        <w:tcBorders>
                          <w:left w:val="single" w:sz="4" w:space="0" w:color="000000"/>
                          <w:right w:val="single" w:sz="4" w:space="0" w:color="000000"/>
                        </w:tcBorders>
                        <w:shd w:val="clear" w:color="auto" w:fill="C7EDCC"/>
                      </w:tcPr>
                      <w:p>
                        <w:pPr/>
                      </w:p>
                    </w:tc>
                    <w:tc>
                      <w:tcPr>
                        <w:tcW w:w="819" w:type="dxa"/>
                        <w:vMerge w:val="restart"/>
                        <w:tcBorders>
                          <w:top w:val="nil" w:sz="6" w:space="0" w:color="auto"/>
                          <w:left w:val="single" w:sz="4" w:space="0" w:color="000000"/>
                          <w:right w:val="single" w:sz="4" w:space="0" w:color="000000"/>
                        </w:tcBorders>
                        <w:shd w:val="clear" w:color="auto" w:fill="C7EDCC"/>
                      </w:tcPr>
                      <w:p>
                        <w:pPr/>
                      </w:p>
                    </w:tc>
                    <w:tc>
                      <w:tcPr>
                        <w:tcW w:w="816" w:type="dxa"/>
                        <w:vMerge/>
                        <w:tcBorders>
                          <w:left w:val="single" w:sz="4" w:space="0" w:color="000000"/>
                          <w:bottom w:val="nil" w:sz="6" w:space="0" w:color="auto"/>
                          <w:right w:val="single" w:sz="4" w:space="0" w:color="000000"/>
                        </w:tcBorders>
                        <w:shd w:val="clear" w:color="auto" w:fill="C7EDCC"/>
                      </w:tcPr>
                      <w:p>
                        <w:pPr/>
                      </w:p>
                    </w:tc>
                    <w:tc>
                      <w:tcPr>
                        <w:tcW w:w="806" w:type="dxa"/>
                        <w:vMerge/>
                        <w:tcBorders>
                          <w:left w:val="single" w:sz="4" w:space="0" w:color="000000"/>
                          <w:right w:val="single" w:sz="4" w:space="0" w:color="000000"/>
                        </w:tcBorders>
                        <w:shd w:val="clear" w:color="auto" w:fill="C7EDCC"/>
                      </w:tcPr>
                      <w:p>
                        <w:pPr/>
                      </w:p>
                    </w:tc>
                    <w:tc>
                      <w:tcPr>
                        <w:tcW w:w="810" w:type="dxa"/>
                        <w:vMerge/>
                        <w:tcBorders>
                          <w:left w:val="single" w:sz="9" w:space="0" w:color="C7EDCC"/>
                          <w:right w:val="single" w:sz="4" w:space="0" w:color="000000"/>
                        </w:tcBorders>
                      </w:tcPr>
                      <w:p>
                        <w:pPr/>
                      </w:p>
                    </w:tc>
                    <w:tc>
                      <w:tcPr>
                        <w:tcW w:w="808" w:type="dxa"/>
                        <w:vMerge/>
                        <w:tcBorders>
                          <w:left w:val="single" w:sz="4" w:space="0" w:color="000000"/>
                          <w:right w:val="single" w:sz="4" w:space="0" w:color="000000"/>
                        </w:tcBorders>
                      </w:tcPr>
                      <w:p>
                        <w:pPr/>
                      </w:p>
                    </w:tc>
                    <w:tc>
                      <w:tcPr>
                        <w:tcW w:w="808" w:type="dxa"/>
                        <w:vMerge/>
                        <w:tcBorders>
                          <w:left w:val="single" w:sz="4" w:space="0" w:color="000000"/>
                          <w:right w:val="single" w:sz="9" w:space="0" w:color="C7EDCC"/>
                        </w:tcBorders>
                      </w:tcPr>
                      <w:p>
                        <w:pPr/>
                      </w:p>
                    </w:tc>
                    <w:tc>
                      <w:tcPr>
                        <w:tcW w:w="808" w:type="dxa"/>
                        <w:vMerge/>
                        <w:tcBorders>
                          <w:left w:val="single" w:sz="4" w:space="0" w:color="000000"/>
                          <w:right w:val="single" w:sz="4" w:space="0" w:color="000000"/>
                        </w:tcBorders>
                        <w:shd w:val="clear" w:color="auto" w:fill="C7EDCC"/>
                      </w:tcPr>
                      <w:p>
                        <w:pPr/>
                      </w:p>
                    </w:tc>
                    <w:tc>
                      <w:tcPr>
                        <w:tcW w:w="808" w:type="dxa"/>
                        <w:vMerge/>
                        <w:tcBorders>
                          <w:left w:val="single" w:sz="9" w:space="0" w:color="C7EDCC"/>
                          <w:right w:val="single" w:sz="4" w:space="0" w:color="000000"/>
                        </w:tcBorders>
                      </w:tcPr>
                      <w:p>
                        <w:pPr/>
                      </w:p>
                    </w:tc>
                    <w:tc>
                      <w:tcPr>
                        <w:tcW w:w="808" w:type="dxa"/>
                        <w:vMerge/>
                        <w:tcBorders>
                          <w:left w:val="single" w:sz="4" w:space="0" w:color="000000"/>
                          <w:right w:val="single" w:sz="9" w:space="0" w:color="C7EDCC"/>
                        </w:tcBorders>
                      </w:tcPr>
                      <w:p>
                        <w:pPr/>
                      </w:p>
                    </w:tc>
                    <w:tc>
                      <w:tcPr>
                        <w:tcW w:w="800" w:type="dxa"/>
                        <w:vMerge w:val="restart"/>
                        <w:tcBorders>
                          <w:top w:val="nil" w:sz="6" w:space="0" w:color="auto"/>
                          <w:left w:val="single" w:sz="4" w:space="0" w:color="000000"/>
                          <w:right w:val="single" w:sz="4" w:space="0" w:color="000000"/>
                        </w:tcBorders>
                        <w:shd w:val="clear" w:color="auto" w:fill="C7EDCC"/>
                      </w:tcPr>
                      <w:p>
                        <w:pPr/>
                      </w:p>
                    </w:tc>
                  </w:tr>
                  <w:tr>
                    <w:trPr>
                      <w:trHeight w:val="117" w:hRule="exact"/>
                    </w:trPr>
                    <w:tc>
                      <w:tcPr>
                        <w:tcW w:w="819" w:type="dxa"/>
                        <w:vMerge/>
                        <w:tcBorders>
                          <w:left w:val="single" w:sz="4" w:space="0" w:color="000000"/>
                          <w:bottom w:val="nil" w:sz="6" w:space="0" w:color="auto"/>
                          <w:right w:val="single" w:sz="4" w:space="0" w:color="000000"/>
                        </w:tcBorders>
                        <w:shd w:val="clear" w:color="auto" w:fill="C7EDCC"/>
                      </w:tcPr>
                      <w:p>
                        <w:pPr/>
                      </w:p>
                    </w:tc>
                    <w:tc>
                      <w:tcPr>
                        <w:tcW w:w="785" w:type="dxa"/>
                        <w:vMerge/>
                        <w:tcBorders>
                          <w:left w:val="single" w:sz="4" w:space="0" w:color="000000"/>
                          <w:bottom w:val="nil" w:sz="6" w:space="0" w:color="auto"/>
                          <w:right w:val="single" w:sz="4" w:space="0" w:color="000000"/>
                        </w:tcBorders>
                        <w:shd w:val="clear" w:color="auto" w:fill="C7EDCC"/>
                      </w:tcPr>
                      <w:p>
                        <w:pPr/>
                      </w:p>
                    </w:tc>
                    <w:tc>
                      <w:tcPr>
                        <w:tcW w:w="819" w:type="dxa"/>
                        <w:vMerge/>
                        <w:tcBorders>
                          <w:left w:val="single" w:sz="4" w:space="0" w:color="000000"/>
                          <w:right w:val="single" w:sz="4" w:space="0" w:color="000000"/>
                        </w:tcBorders>
                        <w:shd w:val="clear" w:color="auto" w:fill="C7EDCC"/>
                      </w:tcPr>
                      <w:p>
                        <w:pPr/>
                      </w:p>
                    </w:tc>
                    <w:tc>
                      <w:tcPr>
                        <w:tcW w:w="816" w:type="dxa"/>
                        <w:vMerge w:val="restart"/>
                        <w:tcBorders>
                          <w:top w:val="nil" w:sz="6" w:space="0" w:color="auto"/>
                          <w:left w:val="single" w:sz="4" w:space="0" w:color="000000"/>
                          <w:right w:val="single" w:sz="4" w:space="0" w:color="000000"/>
                        </w:tcBorders>
                        <w:shd w:val="clear" w:color="auto" w:fill="C7EDCC"/>
                      </w:tcPr>
                      <w:p>
                        <w:pPr/>
                      </w:p>
                    </w:tc>
                    <w:tc>
                      <w:tcPr>
                        <w:tcW w:w="806" w:type="dxa"/>
                        <w:vMerge/>
                        <w:tcBorders>
                          <w:left w:val="single" w:sz="4" w:space="0" w:color="000000"/>
                          <w:right w:val="single" w:sz="4" w:space="0" w:color="000000"/>
                        </w:tcBorders>
                        <w:shd w:val="clear" w:color="auto" w:fill="C7EDCC"/>
                      </w:tcPr>
                      <w:p>
                        <w:pPr/>
                      </w:p>
                    </w:tc>
                    <w:tc>
                      <w:tcPr>
                        <w:tcW w:w="810" w:type="dxa"/>
                        <w:vMerge/>
                        <w:tcBorders>
                          <w:left w:val="single" w:sz="9" w:space="0" w:color="C7EDCC"/>
                          <w:bottom w:val="nil" w:sz="6" w:space="0" w:color="auto"/>
                          <w:right w:val="single" w:sz="4" w:space="0" w:color="000000"/>
                        </w:tcBorders>
                      </w:tcPr>
                      <w:p>
                        <w:pPr/>
                      </w:p>
                    </w:tc>
                    <w:tc>
                      <w:tcPr>
                        <w:tcW w:w="808" w:type="dxa"/>
                        <w:vMerge/>
                        <w:tcBorders>
                          <w:left w:val="single" w:sz="4" w:space="0" w:color="000000"/>
                          <w:bottom w:val="nil" w:sz="6" w:space="0" w:color="auto"/>
                          <w:right w:val="single" w:sz="4" w:space="0" w:color="000000"/>
                        </w:tcBorders>
                      </w:tcPr>
                      <w:p>
                        <w:pPr/>
                      </w:p>
                    </w:tc>
                    <w:tc>
                      <w:tcPr>
                        <w:tcW w:w="808" w:type="dxa"/>
                        <w:vMerge/>
                        <w:tcBorders>
                          <w:left w:val="single" w:sz="4" w:space="0" w:color="000000"/>
                          <w:bottom w:val="nil" w:sz="6" w:space="0" w:color="auto"/>
                          <w:right w:val="single" w:sz="9" w:space="0" w:color="C7EDCC"/>
                        </w:tcBorders>
                      </w:tcPr>
                      <w:p>
                        <w:pPr/>
                      </w:p>
                    </w:tc>
                    <w:tc>
                      <w:tcPr>
                        <w:tcW w:w="808" w:type="dxa"/>
                        <w:vMerge/>
                        <w:tcBorders>
                          <w:left w:val="single" w:sz="4" w:space="0" w:color="000000"/>
                          <w:right w:val="single" w:sz="4" w:space="0" w:color="000000"/>
                        </w:tcBorders>
                        <w:shd w:val="clear" w:color="auto" w:fill="C7EDCC"/>
                      </w:tcPr>
                      <w:p>
                        <w:pPr/>
                      </w:p>
                    </w:tc>
                    <w:tc>
                      <w:tcPr>
                        <w:tcW w:w="808" w:type="dxa"/>
                        <w:vMerge/>
                        <w:tcBorders>
                          <w:left w:val="single" w:sz="9" w:space="0" w:color="C7EDCC"/>
                          <w:bottom w:val="nil" w:sz="6" w:space="0" w:color="auto"/>
                          <w:right w:val="single" w:sz="4" w:space="0" w:color="000000"/>
                        </w:tcBorders>
                      </w:tcPr>
                      <w:p>
                        <w:pPr/>
                      </w:p>
                    </w:tc>
                    <w:tc>
                      <w:tcPr>
                        <w:tcW w:w="808" w:type="dxa"/>
                        <w:vMerge/>
                        <w:tcBorders>
                          <w:left w:val="single" w:sz="4" w:space="0" w:color="000000"/>
                          <w:bottom w:val="nil" w:sz="6" w:space="0" w:color="auto"/>
                          <w:right w:val="single" w:sz="9" w:space="0" w:color="C7EDCC"/>
                        </w:tcBorders>
                      </w:tcPr>
                      <w:p>
                        <w:pPr/>
                      </w:p>
                    </w:tc>
                    <w:tc>
                      <w:tcPr>
                        <w:tcW w:w="800" w:type="dxa"/>
                        <w:vMerge/>
                        <w:tcBorders>
                          <w:left w:val="single" w:sz="4" w:space="0" w:color="000000"/>
                          <w:right w:val="single" w:sz="4" w:space="0" w:color="000000"/>
                        </w:tcBorders>
                        <w:shd w:val="clear" w:color="auto" w:fill="C7EDCC"/>
                      </w:tcPr>
                      <w:p>
                        <w:pPr/>
                      </w:p>
                    </w:tc>
                  </w:tr>
                  <w:tr>
                    <w:trPr>
                      <w:trHeight w:val="351" w:hRule="exact"/>
                    </w:trPr>
                    <w:tc>
                      <w:tcPr>
                        <w:tcW w:w="81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7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股</w:t>
                        </w:r>
                      </w:p>
                    </w:tc>
                    <w:tc>
                      <w:tcPr>
                        <w:tcW w:w="819"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c>
                      <w:tcPr>
                        <w:tcW w:w="806" w:type="dxa"/>
                        <w:vMerge/>
                        <w:tcBorders>
                          <w:left w:val="single" w:sz="4" w:space="0" w:color="000000"/>
                          <w:right w:val="single" w:sz="4" w:space="0" w:color="000000"/>
                        </w:tcBorders>
                        <w:shd w:val="clear" w:color="auto" w:fill="C7EDCC"/>
                      </w:tcPr>
                      <w:p>
                        <w:pPr/>
                      </w:p>
                    </w:tc>
                    <w:tc>
                      <w:tcPr>
                        <w:tcW w:w="810"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vMerge/>
                        <w:tcBorders>
                          <w:left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0" w:type="dxa"/>
                        <w:vMerge/>
                        <w:tcBorders>
                          <w:left w:val="single" w:sz="4" w:space="0" w:color="000000"/>
                          <w:right w:val="single" w:sz="4" w:space="0" w:color="000000"/>
                        </w:tcBorders>
                        <w:shd w:val="clear" w:color="auto" w:fill="C7EDCC"/>
                      </w:tcPr>
                      <w:p>
                        <w:pPr/>
                      </w:p>
                    </w:tc>
                  </w:tr>
                  <w:tr>
                    <w:trPr>
                      <w:trHeight w:val="273" w:hRule="exact"/>
                    </w:trPr>
                    <w:tc>
                      <w:tcPr>
                        <w:tcW w:w="819" w:type="dxa"/>
                        <w:vMerge w:val="restart"/>
                        <w:tcBorders>
                          <w:top w:val="nil" w:sz="6" w:space="0" w:color="auto"/>
                          <w:left w:val="single" w:sz="4" w:space="0" w:color="000000"/>
                          <w:right w:val="single" w:sz="4" w:space="0" w:color="000000"/>
                        </w:tcBorders>
                        <w:shd w:val="clear" w:color="auto" w:fill="C7EDCC"/>
                      </w:tcPr>
                      <w:p>
                        <w:pPr/>
                      </w:p>
                    </w:tc>
                    <w:tc>
                      <w:tcPr>
                        <w:tcW w:w="7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权，林鹭</w:t>
                        </w:r>
                      </w:p>
                    </w:tc>
                    <w:tc>
                      <w:tcPr>
                        <w:tcW w:w="819"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c>
                      <w:tcPr>
                        <w:tcW w:w="806" w:type="dxa"/>
                        <w:vMerge/>
                        <w:tcBorders>
                          <w:left w:val="single" w:sz="4" w:space="0" w:color="000000"/>
                          <w:right w:val="single" w:sz="4" w:space="0" w:color="000000"/>
                        </w:tcBorders>
                        <w:shd w:val="clear" w:color="auto" w:fill="C7EDCC"/>
                      </w:tcPr>
                      <w:p>
                        <w:pPr/>
                      </w:p>
                    </w:tc>
                    <w:tc>
                      <w:tcPr>
                        <w:tcW w:w="810"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vMerge/>
                        <w:tcBorders>
                          <w:left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0" w:type="dxa"/>
                        <w:vMerge/>
                        <w:tcBorders>
                          <w:left w:val="single" w:sz="4" w:space="0" w:color="000000"/>
                          <w:right w:val="single" w:sz="4" w:space="0" w:color="000000"/>
                        </w:tcBorders>
                        <w:shd w:val="clear" w:color="auto" w:fill="C7EDCC"/>
                      </w:tcPr>
                      <w:p>
                        <w:pPr/>
                      </w:p>
                    </w:tc>
                  </w:tr>
                  <w:tr>
                    <w:trPr>
                      <w:trHeight w:val="312" w:hRule="exact"/>
                    </w:trPr>
                    <w:tc>
                      <w:tcPr>
                        <w:tcW w:w="819" w:type="dxa"/>
                        <w:vMerge/>
                        <w:tcBorders>
                          <w:left w:val="single" w:sz="4" w:space="0" w:color="000000"/>
                          <w:right w:val="single" w:sz="4" w:space="0" w:color="000000"/>
                        </w:tcBorders>
                        <w:shd w:val="clear" w:color="auto" w:fill="C7EDCC"/>
                      </w:tcPr>
                      <w:p>
                        <w:pPr/>
                      </w:p>
                    </w:tc>
                    <w:tc>
                      <w:tcPr>
                        <w:tcW w:w="7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华女士从</w:t>
                        </w:r>
                      </w:p>
                    </w:tc>
                    <w:tc>
                      <w:tcPr>
                        <w:tcW w:w="819"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c>
                      <w:tcPr>
                        <w:tcW w:w="806" w:type="dxa"/>
                        <w:vMerge/>
                        <w:tcBorders>
                          <w:left w:val="single" w:sz="4" w:space="0" w:color="000000"/>
                          <w:right w:val="single" w:sz="4" w:space="0" w:color="000000"/>
                        </w:tcBorders>
                        <w:shd w:val="clear" w:color="auto" w:fill="C7EDCC"/>
                      </w:tcPr>
                      <w:p>
                        <w:pPr/>
                      </w:p>
                    </w:tc>
                    <w:tc>
                      <w:tcPr>
                        <w:tcW w:w="810"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vMerge/>
                        <w:tcBorders>
                          <w:left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0" w:type="dxa"/>
                        <w:vMerge/>
                        <w:tcBorders>
                          <w:left w:val="single" w:sz="4" w:space="0" w:color="000000"/>
                          <w:right w:val="single" w:sz="4" w:space="0" w:color="000000"/>
                        </w:tcBorders>
                        <w:shd w:val="clear" w:color="auto" w:fill="C7EDCC"/>
                      </w:tcPr>
                      <w:p>
                        <w:pPr/>
                      </w:p>
                    </w:tc>
                  </w:tr>
                  <w:tr>
                    <w:trPr>
                      <w:trHeight w:val="312" w:hRule="exact"/>
                    </w:trPr>
                    <w:tc>
                      <w:tcPr>
                        <w:tcW w:w="819" w:type="dxa"/>
                        <w:vMerge/>
                        <w:tcBorders>
                          <w:left w:val="single" w:sz="4" w:space="0" w:color="000000"/>
                          <w:right w:val="single" w:sz="4" w:space="0" w:color="000000"/>
                        </w:tcBorders>
                        <w:shd w:val="clear" w:color="auto" w:fill="C7EDCC"/>
                      </w:tcPr>
                      <w:p>
                        <w:pPr/>
                      </w:p>
                    </w:tc>
                    <w:tc>
                      <w:tcPr>
                        <w:tcW w:w="7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本公司离</w:t>
                        </w:r>
                      </w:p>
                    </w:tc>
                    <w:tc>
                      <w:tcPr>
                        <w:tcW w:w="819"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c>
                      <w:tcPr>
                        <w:tcW w:w="806" w:type="dxa"/>
                        <w:vMerge/>
                        <w:tcBorders>
                          <w:left w:val="single" w:sz="4" w:space="0" w:color="000000"/>
                          <w:right w:val="single" w:sz="4" w:space="0" w:color="000000"/>
                        </w:tcBorders>
                        <w:shd w:val="clear" w:color="auto" w:fill="C7EDCC"/>
                      </w:tcPr>
                      <w:p>
                        <w:pPr/>
                      </w:p>
                    </w:tc>
                    <w:tc>
                      <w:tcPr>
                        <w:tcW w:w="810"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vMerge/>
                        <w:tcBorders>
                          <w:left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0" w:type="dxa"/>
                        <w:vMerge/>
                        <w:tcBorders>
                          <w:left w:val="single" w:sz="4" w:space="0" w:color="000000"/>
                          <w:right w:val="single" w:sz="4" w:space="0" w:color="000000"/>
                        </w:tcBorders>
                        <w:shd w:val="clear" w:color="auto" w:fill="C7EDCC"/>
                      </w:tcPr>
                      <w:p>
                        <w:pPr/>
                      </w:p>
                    </w:tc>
                  </w:tr>
                  <w:tr>
                    <w:trPr>
                      <w:trHeight w:val="312" w:hRule="exact"/>
                    </w:trPr>
                    <w:tc>
                      <w:tcPr>
                        <w:tcW w:w="819" w:type="dxa"/>
                        <w:vMerge/>
                        <w:tcBorders>
                          <w:left w:val="single" w:sz="4" w:space="0" w:color="000000"/>
                          <w:right w:val="single" w:sz="4" w:space="0" w:color="000000"/>
                        </w:tcBorders>
                        <w:shd w:val="clear" w:color="auto" w:fill="C7EDCC"/>
                      </w:tcPr>
                      <w:p>
                        <w:pPr/>
                      </w:p>
                    </w:tc>
                    <w:tc>
                      <w:tcPr>
                        <w:tcW w:w="7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职尚未超</w:t>
                        </w:r>
                      </w:p>
                    </w:tc>
                    <w:tc>
                      <w:tcPr>
                        <w:tcW w:w="819"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c>
                      <w:tcPr>
                        <w:tcW w:w="806" w:type="dxa"/>
                        <w:vMerge/>
                        <w:tcBorders>
                          <w:left w:val="single" w:sz="4" w:space="0" w:color="000000"/>
                          <w:right w:val="single" w:sz="4" w:space="0" w:color="000000"/>
                        </w:tcBorders>
                        <w:shd w:val="clear" w:color="auto" w:fill="C7EDCC"/>
                      </w:tcPr>
                      <w:p>
                        <w:pPr/>
                      </w:p>
                    </w:tc>
                    <w:tc>
                      <w:tcPr>
                        <w:tcW w:w="810"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vMerge/>
                        <w:tcBorders>
                          <w:left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0" w:type="dxa"/>
                        <w:vMerge/>
                        <w:tcBorders>
                          <w:left w:val="single" w:sz="4" w:space="0" w:color="000000"/>
                          <w:right w:val="single" w:sz="4" w:space="0" w:color="000000"/>
                        </w:tcBorders>
                        <w:shd w:val="clear" w:color="auto" w:fill="C7EDCC"/>
                      </w:tcPr>
                      <w:p>
                        <w:pPr/>
                      </w:p>
                    </w:tc>
                  </w:tr>
                  <w:tr>
                    <w:trPr>
                      <w:trHeight w:val="318" w:hRule="exact"/>
                    </w:trPr>
                    <w:tc>
                      <w:tcPr>
                        <w:tcW w:w="819" w:type="dxa"/>
                        <w:vMerge/>
                        <w:tcBorders>
                          <w:left w:val="single" w:sz="4" w:space="0" w:color="000000"/>
                          <w:right w:val="single" w:sz="4" w:space="0" w:color="000000"/>
                        </w:tcBorders>
                        <w:shd w:val="clear" w:color="auto" w:fill="C7EDCC"/>
                      </w:tcPr>
                      <w:p>
                        <w:pPr/>
                      </w:p>
                    </w:tc>
                    <w:tc>
                      <w:tcPr>
                        <w:tcW w:w="7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819" w:type="dxa"/>
                        <w:vMerge/>
                        <w:tcBorders>
                          <w:left w:val="single" w:sz="4" w:space="0" w:color="000000"/>
                          <w:right w:val="single" w:sz="4" w:space="0" w:color="000000"/>
                        </w:tcBorders>
                        <w:shd w:val="clear" w:color="auto" w:fill="C7EDCC"/>
                      </w:tcPr>
                      <w:p>
                        <w:pPr/>
                      </w:p>
                    </w:tc>
                    <w:tc>
                      <w:tcPr>
                        <w:tcW w:w="816" w:type="dxa"/>
                        <w:vMerge/>
                        <w:tcBorders>
                          <w:left w:val="single" w:sz="4" w:space="0" w:color="000000"/>
                          <w:right w:val="single" w:sz="4" w:space="0" w:color="000000"/>
                        </w:tcBorders>
                        <w:shd w:val="clear" w:color="auto" w:fill="C7EDCC"/>
                      </w:tcPr>
                      <w:p>
                        <w:pPr/>
                      </w:p>
                    </w:tc>
                    <w:tc>
                      <w:tcPr>
                        <w:tcW w:w="806" w:type="dxa"/>
                        <w:vMerge/>
                        <w:tcBorders>
                          <w:left w:val="single" w:sz="4" w:space="0" w:color="000000"/>
                          <w:right w:val="single" w:sz="4" w:space="0" w:color="000000"/>
                        </w:tcBorders>
                        <w:shd w:val="clear" w:color="auto" w:fill="C7EDCC"/>
                      </w:tcPr>
                      <w:p>
                        <w:pPr/>
                      </w:p>
                    </w:tc>
                    <w:tc>
                      <w:tcPr>
                        <w:tcW w:w="810"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vMerge/>
                        <w:tcBorders>
                          <w:left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800" w:type="dxa"/>
                        <w:vMerge/>
                        <w:tcBorders>
                          <w:left w:val="single" w:sz="4" w:space="0" w:color="000000"/>
                          <w:right w:val="single" w:sz="4" w:space="0" w:color="000000"/>
                        </w:tcBorders>
                        <w:shd w:val="clear" w:color="auto" w:fill="C7EDCC"/>
                      </w:tcPr>
                      <w:p>
                        <w:pPr/>
                      </w:p>
                    </w:tc>
                  </w:tr>
                  <w:tr>
                    <w:trPr>
                      <w:trHeight w:val="351" w:hRule="exact"/>
                    </w:trPr>
                    <w:tc>
                      <w:tcPr>
                        <w:tcW w:w="819" w:type="dxa"/>
                        <w:vMerge/>
                        <w:tcBorders>
                          <w:left w:val="single" w:sz="4" w:space="0" w:color="000000"/>
                          <w:bottom w:val="single" w:sz="4" w:space="0" w:color="000000"/>
                          <w:right w:val="single" w:sz="4" w:space="0" w:color="000000"/>
                        </w:tcBorders>
                        <w:shd w:val="clear" w:color="auto" w:fill="C7EDCC"/>
                      </w:tcPr>
                      <w:p>
                        <w:pPr/>
                      </w:p>
                    </w:tc>
                    <w:tc>
                      <w:tcPr>
                        <w:tcW w:w="78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月</w:t>
                        </w:r>
                      </w:p>
                    </w:tc>
                    <w:tc>
                      <w:tcPr>
                        <w:tcW w:w="819" w:type="dxa"/>
                        <w:vMerge/>
                        <w:tcBorders>
                          <w:left w:val="single" w:sz="4" w:space="0" w:color="000000"/>
                          <w:bottom w:val="single" w:sz="4" w:space="0" w:color="000000"/>
                          <w:right w:val="single" w:sz="4" w:space="0" w:color="000000"/>
                        </w:tcBorders>
                        <w:shd w:val="clear" w:color="auto" w:fill="C7EDCC"/>
                      </w:tcPr>
                      <w:p>
                        <w:pPr/>
                      </w:p>
                    </w:tc>
                    <w:tc>
                      <w:tcPr>
                        <w:tcW w:w="816" w:type="dxa"/>
                        <w:vMerge/>
                        <w:tcBorders>
                          <w:left w:val="single" w:sz="4" w:space="0" w:color="000000"/>
                          <w:bottom w:val="single" w:sz="4" w:space="0" w:color="000000"/>
                          <w:right w:val="single" w:sz="4" w:space="0" w:color="000000"/>
                        </w:tcBorders>
                        <w:shd w:val="clear" w:color="auto" w:fill="C7EDCC"/>
                      </w:tcPr>
                      <w:p>
                        <w:pPr/>
                      </w:p>
                    </w:tc>
                    <w:tc>
                      <w:tcPr>
                        <w:tcW w:w="806" w:type="dxa"/>
                        <w:vMerge/>
                        <w:tcBorders>
                          <w:left w:val="single" w:sz="4" w:space="0" w:color="000000"/>
                          <w:bottom w:val="single" w:sz="4" w:space="0" w:color="000000"/>
                          <w:right w:val="single" w:sz="4" w:space="0" w:color="000000"/>
                        </w:tcBorders>
                        <w:shd w:val="clear" w:color="auto" w:fill="C7EDCC"/>
                      </w:tcPr>
                      <w:p>
                        <w:pPr/>
                      </w:p>
                    </w:tc>
                    <w:tc>
                      <w:tcPr>
                        <w:tcW w:w="810"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shd w:val="clear" w:color="auto" w:fill="C7EDCC"/>
                      </w:tcPr>
                      <w:p>
                        <w:pPr/>
                      </w:p>
                    </w:tc>
                  </w:tr>
                  <w:tr>
                    <w:trPr>
                      <w:trHeight w:val="161" w:hRule="exact"/>
                    </w:trPr>
                    <w:tc>
                      <w:tcPr>
                        <w:tcW w:w="3239" w:type="dxa"/>
                        <w:gridSpan w:val="4"/>
                        <w:vMerge w:val="restart"/>
                        <w:tcBorders>
                          <w:top w:val="single" w:sz="4" w:space="0" w:color="000000"/>
                          <w:left w:val="single" w:sz="4" w:space="0" w:color="000000"/>
                          <w:right w:val="single" w:sz="9" w:space="0" w:color="C7EDCC"/>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w:t>
                        </w:r>
                      </w:p>
                    </w:tc>
                    <w:tc>
                      <w:tcPr>
                        <w:tcW w:w="6455" w:type="dxa"/>
                        <w:gridSpan w:val="8"/>
                        <w:tcBorders>
                          <w:top w:val="single" w:sz="4" w:space="0" w:color="000000"/>
                          <w:left w:val="single" w:sz="4" w:space="0" w:color="000000"/>
                          <w:bottom w:val="nil" w:sz="6" w:space="0" w:color="auto"/>
                          <w:right w:val="single" w:sz="4" w:space="0" w:color="000000"/>
                        </w:tcBorders>
                        <w:shd w:val="clear" w:color="auto" w:fill="C7EDCC"/>
                      </w:tcPr>
                      <w:p>
                        <w:pPr/>
                      </w:p>
                    </w:tc>
                  </w:tr>
                  <w:tr>
                    <w:trPr>
                      <w:trHeight w:val="197" w:hRule="exact"/>
                    </w:trPr>
                    <w:tc>
                      <w:tcPr>
                        <w:tcW w:w="3239" w:type="dxa"/>
                        <w:gridSpan w:val="4"/>
                        <w:vMerge/>
                        <w:tcBorders>
                          <w:left w:val="single" w:sz="4" w:space="0" w:color="000000"/>
                          <w:bottom w:val="nil" w:sz="6" w:space="0" w:color="auto"/>
                          <w:right w:val="single" w:sz="9" w:space="0" w:color="C7EDCC"/>
                        </w:tcBorders>
                        <w:shd w:val="clear" w:color="auto" w:fill="D3D3D3"/>
                      </w:tcPr>
                      <w:p>
                        <w:pPr/>
                      </w:p>
                    </w:tc>
                    <w:tc>
                      <w:tcPr>
                        <w:tcW w:w="6455" w:type="dxa"/>
                        <w:gridSpan w:val="8"/>
                        <w:vMerge w:val="restart"/>
                        <w:tcBorders>
                          <w:top w:val="nil" w:sz="6" w:space="0" w:color="auto"/>
                          <w:left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5" w:hRule="exact"/>
                    </w:trPr>
                    <w:tc>
                      <w:tcPr>
                        <w:tcW w:w="3239" w:type="dxa"/>
                        <w:gridSpan w:val="4"/>
                        <w:vMerge w:val="restart"/>
                        <w:tcBorders>
                          <w:top w:val="nil" w:sz="6" w:space="0" w:color="auto"/>
                          <w:left w:val="single" w:sz="4" w:space="0" w:color="000000"/>
                          <w:right w:val="single" w:sz="9" w:space="0" w:color="C7EDCC"/>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大的原因</w:t>
                        </w:r>
                      </w:p>
                    </w:tc>
                    <w:tc>
                      <w:tcPr>
                        <w:tcW w:w="6455" w:type="dxa"/>
                        <w:gridSpan w:val="8"/>
                        <w:vMerge/>
                        <w:tcBorders>
                          <w:left w:val="single" w:sz="4" w:space="0" w:color="000000"/>
                          <w:bottom w:val="nil" w:sz="6" w:space="0" w:color="auto"/>
                          <w:right w:val="single" w:sz="4" w:space="0" w:color="000000"/>
                        </w:tcBorders>
                        <w:shd w:val="clear" w:color="auto" w:fill="C7EDCC"/>
                      </w:tcPr>
                      <w:p>
                        <w:pPr/>
                      </w:p>
                    </w:tc>
                  </w:tr>
                  <w:tr>
                    <w:trPr>
                      <w:trHeight w:val="161" w:hRule="exact"/>
                    </w:trPr>
                    <w:tc>
                      <w:tcPr>
                        <w:tcW w:w="3239" w:type="dxa"/>
                        <w:gridSpan w:val="4"/>
                        <w:vMerge/>
                        <w:tcBorders>
                          <w:left w:val="single" w:sz="4" w:space="0" w:color="000000"/>
                          <w:bottom w:val="single" w:sz="4" w:space="0" w:color="000000"/>
                          <w:right w:val="single" w:sz="9" w:space="0" w:color="C7EDCC"/>
                        </w:tcBorders>
                        <w:shd w:val="clear" w:color="auto" w:fill="D3D3D3"/>
                      </w:tcPr>
                      <w:p>
                        <w:pPr/>
                      </w:p>
                    </w:tc>
                    <w:tc>
                      <w:tcPr>
                        <w:tcW w:w="6455" w:type="dxa"/>
                        <w:gridSpan w:val="8"/>
                        <w:tcBorders>
                          <w:top w:val="nil" w:sz="6" w:space="0" w:color="auto"/>
                          <w:left w:val="single" w:sz="4" w:space="0" w:color="000000"/>
                          <w:bottom w:val="single" w:sz="4" w:space="0" w:color="000000"/>
                          <w:right w:val="single" w:sz="4" w:space="0" w:color="000000"/>
                        </w:tcBorders>
                        <w:shd w:val="clear" w:color="auto" w:fill="C7EDCC"/>
                      </w:tcPr>
                      <w:p>
                        <w:pPr/>
                      </w:p>
                    </w:tc>
                  </w:tr>
                  <w:tr>
                    <w:trPr>
                      <w:trHeight w:val="402" w:hRule="exact"/>
                    </w:trPr>
                    <w:tc>
                      <w:tcPr>
                        <w:tcW w:w="3239" w:type="dxa"/>
                        <w:gridSpan w:val="4"/>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455" w:type="dxa"/>
                        <w:gridSpan w:val="8"/>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不会对公司经营成果与财务状况造成重大影响。</w:t>
                        </w:r>
                      </w:p>
                    </w:tc>
                  </w:tr>
                  <w:tr>
                    <w:trPr>
                      <w:trHeight w:val="1026" w:hRule="exact"/>
                    </w:trPr>
                    <w:tc>
                      <w:tcPr>
                        <w:tcW w:w="3239" w:type="dxa"/>
                        <w:gridSpan w:val="4"/>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业绩实现情况</w:t>
                        </w:r>
                      </w:p>
                    </w:tc>
                    <w:tc>
                      <w:tcPr>
                        <w:tcW w:w="6455" w:type="dxa"/>
                        <w:gridSpan w:val="8"/>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杭州日报报业集团有限公司承诺杭州萧山萧报教育咨询有限公司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 </w:t>
                        </w:r>
                        <w:r>
                          <w:rPr>
                            <w:rFonts w:ascii="宋体" w:hAnsi="宋体" w:cs="宋体" w:eastAsia="宋体" w:hint="default"/>
                            <w:spacing w:val="-13"/>
                            <w:sz w:val="18"/>
                            <w:szCs w:val="18"/>
                          </w:rPr>
                          <w:t>年度、</w:t>
                        </w:r>
                        <w:r>
                          <w:rPr>
                            <w:rFonts w:ascii="Times New Roman" w:hAnsi="Times New Roman" w:cs="Times New Roman" w:eastAsia="Times New Roman" w:hint="default"/>
                            <w:spacing w:val="-13"/>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年度扣除非经常性损益后实现的净利润分别不低于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万元、</w:t>
                        </w:r>
                        <w:r>
                          <w:rPr>
                            <w:rFonts w:ascii="Times New Roman" w:hAnsi="Times New Roman" w:cs="Times New Roman" w:eastAsia="Times New Roman" w:hint="default"/>
                            <w:spacing w:val="-14"/>
                            <w:sz w:val="18"/>
                            <w:szCs w:val="18"/>
                          </w:rPr>
                          <w:t>182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145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年实际实现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万元，完成当年度业绩承诺。</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0"/>
        <w:ind w:right="125"/>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2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right="125"/>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9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240" w:lineRule="auto" w:before="42"/>
        <w:ind w:right="12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应收关联方债权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76"/>
        <w:gridCol w:w="1911"/>
        <w:gridCol w:w="1919"/>
        <w:gridCol w:w="716"/>
        <w:gridCol w:w="672"/>
        <w:gridCol w:w="791"/>
        <w:gridCol w:w="757"/>
        <w:gridCol w:w="611"/>
        <w:gridCol w:w="707"/>
        <w:gridCol w:w="706"/>
      </w:tblGrid>
      <w:tr>
        <w:trPr>
          <w:trHeight w:val="1338" w:hRule="exact"/>
        </w:trPr>
        <w:tc>
          <w:tcPr>
            <w:tcW w:w="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62"/>
              <w:jc w:val="right"/>
              <w:rPr>
                <w:rFonts w:ascii="宋体" w:hAnsi="宋体" w:cs="宋体" w:eastAsia="宋体" w:hint="default"/>
                <w:sz w:val="18"/>
                <w:szCs w:val="18"/>
              </w:rPr>
            </w:pPr>
            <w:r>
              <w:rPr>
                <w:rFonts w:ascii="宋体" w:hAnsi="宋体" w:cs="宋体" w:eastAsia="宋体" w:hint="default"/>
                <w:sz w:val="18"/>
                <w:szCs w:val="18"/>
              </w:rPr>
              <w:t>关联方</w:t>
            </w:r>
          </w:p>
        </w:tc>
        <w:tc>
          <w:tcPr>
            <w:tcW w:w="1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8" w:right="77"/>
              <w:jc w:val="both"/>
              <w:rPr>
                <w:rFonts w:ascii="宋体" w:hAnsi="宋体" w:cs="宋体" w:eastAsia="宋体" w:hint="default"/>
                <w:sz w:val="18"/>
                <w:szCs w:val="18"/>
              </w:rPr>
            </w:pPr>
            <w:r>
              <w:rPr>
                <w:rFonts w:ascii="宋体" w:hAnsi="宋体" w:cs="宋体" w:eastAsia="宋体" w:hint="default"/>
                <w:sz w:val="18"/>
                <w:szCs w:val="18"/>
              </w:rPr>
              <w:t>是否存 在非经 营性资 金占用</w:t>
            </w:r>
          </w:p>
        </w:tc>
        <w:tc>
          <w:tcPr>
            <w:tcW w:w="6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9" w:right="60"/>
              <w:jc w:val="both"/>
              <w:rPr>
                <w:rFonts w:ascii="宋体" w:hAnsi="宋体" w:cs="宋体" w:eastAsia="宋体" w:hint="default"/>
                <w:sz w:val="18"/>
                <w:szCs w:val="18"/>
              </w:rPr>
            </w:pPr>
            <w:r>
              <w:rPr>
                <w:rFonts w:ascii="宋体" w:hAnsi="宋体" w:cs="宋体" w:eastAsia="宋体" w:hint="default"/>
                <w:sz w:val="18"/>
                <w:szCs w:val="18"/>
              </w:rPr>
              <w:t>期初余 额（万 元）</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9" w:right="29"/>
              <w:jc w:val="center"/>
              <w:rPr>
                <w:rFonts w:ascii="宋体" w:hAnsi="宋体" w:cs="宋体" w:eastAsia="宋体" w:hint="default"/>
                <w:sz w:val="18"/>
                <w:szCs w:val="18"/>
              </w:rPr>
            </w:pPr>
            <w:r>
              <w:rPr>
                <w:rFonts w:ascii="宋体" w:hAnsi="宋体" w:cs="宋体" w:eastAsia="宋体" w:hint="default"/>
                <w:sz w:val="18"/>
                <w:szCs w:val="18"/>
              </w:rPr>
              <w:t>本期新增 金额（万 元）</w:t>
            </w:r>
          </w:p>
        </w:tc>
        <w:tc>
          <w:tcPr>
            <w:tcW w:w="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4" w:right="101"/>
              <w:jc w:val="left"/>
              <w:rPr>
                <w:rFonts w:ascii="宋体" w:hAnsi="宋体" w:cs="宋体" w:eastAsia="宋体" w:hint="default"/>
                <w:sz w:val="18"/>
                <w:szCs w:val="18"/>
              </w:rPr>
            </w:pPr>
            <w:r>
              <w:rPr>
                <w:rFonts w:ascii="宋体" w:hAnsi="宋体" w:cs="宋体" w:eastAsia="宋体" w:hint="default"/>
                <w:sz w:val="18"/>
                <w:szCs w:val="18"/>
              </w:rPr>
              <w:t>本期收 回金额</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本期利 息（万 元）</w:t>
            </w:r>
          </w:p>
        </w:tc>
        <w:tc>
          <w:tcPr>
            <w:tcW w:w="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7" w:right="77"/>
              <w:jc w:val="both"/>
              <w:rPr>
                <w:rFonts w:ascii="宋体" w:hAnsi="宋体" w:cs="宋体" w:eastAsia="宋体" w:hint="default"/>
                <w:sz w:val="18"/>
                <w:szCs w:val="18"/>
              </w:rPr>
            </w:pPr>
            <w:r>
              <w:rPr>
                <w:rFonts w:ascii="宋体" w:hAnsi="宋体" w:cs="宋体" w:eastAsia="宋体" w:hint="default"/>
                <w:sz w:val="18"/>
                <w:szCs w:val="18"/>
              </w:rPr>
              <w:t>期末余 额（万 元）</w:t>
            </w:r>
          </w:p>
        </w:tc>
      </w:tr>
      <w:tr>
        <w:trPr>
          <w:trHeight w:val="358" w:hRule="exact"/>
        </w:trPr>
        <w:tc>
          <w:tcPr>
            <w:tcW w:w="87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right="121"/>
              <w:jc w:val="right"/>
              <w:rPr>
                <w:rFonts w:ascii="宋体" w:hAnsi="宋体" w:cs="宋体" w:eastAsia="宋体" w:hint="default"/>
                <w:sz w:val="18"/>
                <w:szCs w:val="18"/>
              </w:rPr>
            </w:pPr>
            <w:r>
              <w:rPr>
                <w:rFonts w:ascii="宋体" w:hAnsi="宋体" w:cs="宋体" w:eastAsia="宋体" w:hint="default"/>
                <w:sz w:val="18"/>
                <w:szCs w:val="18"/>
              </w:rPr>
              <w:t>杭州华创</w:t>
            </w:r>
          </w:p>
        </w:tc>
        <w:tc>
          <w:tcPr>
            <w:tcW w:w="191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本公司持有华创全媒</w:t>
            </w:r>
          </w:p>
        </w:tc>
        <w:tc>
          <w:tcPr>
            <w:tcW w:w="1919"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因业务拓展需要，向本</w:t>
            </w:r>
          </w:p>
        </w:tc>
        <w:tc>
          <w:tcPr>
            <w:tcW w:w="716" w:type="dxa"/>
            <w:tcBorders>
              <w:top w:val="single" w:sz="4" w:space="0" w:color="000000"/>
              <w:left w:val="single" w:sz="13" w:space="0" w:color="C7EDCC"/>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791" w:type="dxa"/>
            <w:tcBorders>
              <w:top w:val="single" w:sz="4" w:space="0" w:color="000000"/>
              <w:left w:val="single" w:sz="4" w:space="0" w:color="000000"/>
              <w:bottom w:val="nil" w:sz="6" w:space="0" w:color="auto"/>
              <w:right w:val="single" w:sz="4" w:space="0" w:color="000000"/>
            </w:tcBorders>
          </w:tcPr>
          <w:p>
            <w:pPr/>
          </w:p>
        </w:tc>
        <w:tc>
          <w:tcPr>
            <w:tcW w:w="757" w:type="dxa"/>
            <w:vMerge w:val="restart"/>
            <w:tcBorders>
              <w:top w:val="single" w:sz="4" w:space="0" w:color="000000"/>
              <w:left w:val="single" w:sz="4" w:space="0" w:color="000000"/>
              <w:right w:val="single" w:sz="4" w:space="0" w:color="000000"/>
            </w:tcBorders>
          </w:tcPr>
          <w:p>
            <w:pPr/>
          </w:p>
        </w:tc>
        <w:tc>
          <w:tcPr>
            <w:tcW w:w="611" w:type="dxa"/>
            <w:tcBorders>
              <w:top w:val="single" w:sz="4" w:space="0" w:color="000000"/>
              <w:left w:val="single" w:sz="4" w:space="0" w:color="000000"/>
              <w:bottom w:val="nil" w:sz="6" w:space="0" w:color="auto"/>
              <w:right w:val="single" w:sz="4" w:space="0" w:color="000000"/>
            </w:tcBorders>
          </w:tcPr>
          <w:p>
            <w:pPr/>
          </w:p>
        </w:tc>
        <w:tc>
          <w:tcPr>
            <w:tcW w:w="707" w:type="dxa"/>
            <w:tcBorders>
              <w:top w:val="single" w:sz="4" w:space="0" w:color="000000"/>
              <w:left w:val="single" w:sz="4" w:space="0" w:color="000000"/>
              <w:bottom w:val="nil" w:sz="6" w:space="0" w:color="auto"/>
              <w:right w:val="single" w:sz="4" w:space="0" w:color="000000"/>
            </w:tcBorders>
          </w:tcPr>
          <w:p>
            <w:pPr/>
          </w:p>
        </w:tc>
        <w:tc>
          <w:tcPr>
            <w:tcW w:w="70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87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21"/>
              <w:jc w:val="left"/>
              <w:rPr>
                <w:rFonts w:ascii="宋体" w:hAnsi="宋体" w:cs="宋体" w:eastAsia="宋体" w:hint="default"/>
                <w:sz w:val="18"/>
                <w:szCs w:val="18"/>
              </w:rPr>
            </w:pPr>
            <w:r>
              <w:rPr>
                <w:rFonts w:ascii="宋体" w:hAnsi="宋体" w:cs="宋体" w:eastAsia="宋体" w:hint="default"/>
                <w:sz w:val="18"/>
                <w:szCs w:val="18"/>
              </w:rPr>
              <w:t>全媒科创 园区管理</w:t>
            </w:r>
          </w:p>
        </w:tc>
        <w:tc>
          <w:tcPr>
            <w:tcW w:w="191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0" w:lineRule="auto" w:before="10"/>
              <w:ind w:left="22" w:right="-3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40%</w:t>
            </w:r>
            <w:r>
              <w:rPr>
                <w:rFonts w:ascii="宋体" w:hAnsi="宋体" w:cs="宋体" w:eastAsia="宋体" w:hint="default"/>
                <w:spacing w:val="-4"/>
                <w:sz w:val="18"/>
                <w:szCs w:val="18"/>
              </w:rPr>
              <w:t>股权，本公司董事、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总经理张剑秋先生担任</w:t>
            </w:r>
          </w:p>
        </w:tc>
        <w:tc>
          <w:tcPr>
            <w:tcW w:w="191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3"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公司申请对其提供额度 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pacing w:val="-3"/>
                <w:sz w:val="18"/>
                <w:szCs w:val="18"/>
              </w:rPr>
              <w:t>万元，期限为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716" w:type="dxa"/>
            <w:tcBorders>
              <w:top w:val="nil" w:sz="6" w:space="0" w:color="auto"/>
              <w:left w:val="single" w:sz="13" w:space="0" w:color="C7EDCC"/>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1,000</w:t>
            </w:r>
          </w:p>
        </w:tc>
        <w:tc>
          <w:tcPr>
            <w:tcW w:w="757" w:type="dxa"/>
            <w:vMerge/>
            <w:tcBorders>
              <w:left w:val="single" w:sz="4" w:space="0" w:color="000000"/>
              <w:right w:val="single" w:sz="4" w:space="0" w:color="000000"/>
            </w:tcBorders>
          </w:tcPr>
          <w:p>
            <w:pPr/>
          </w:p>
        </w:tc>
        <w:tc>
          <w:tcPr>
            <w:tcW w:w="61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w:t>
            </w:r>
          </w:p>
        </w:tc>
        <w:tc>
          <w:tcPr>
            <w:tcW w:w="70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16.67</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w:t>
            </w:r>
          </w:p>
        </w:tc>
      </w:tr>
      <w:tr>
        <w:trPr>
          <w:trHeight w:val="351" w:hRule="exact"/>
        </w:trPr>
        <w:tc>
          <w:tcPr>
            <w:tcW w:w="87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right="121"/>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91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华创全媒董事长</w:t>
            </w:r>
          </w:p>
        </w:tc>
        <w:tc>
          <w:tcPr>
            <w:tcW w:w="1919"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年的财务资助</w:t>
            </w:r>
          </w:p>
        </w:tc>
        <w:tc>
          <w:tcPr>
            <w:tcW w:w="716" w:type="dxa"/>
            <w:tcBorders>
              <w:top w:val="nil" w:sz="6" w:space="0" w:color="auto"/>
              <w:left w:val="single" w:sz="13" w:space="0" w:color="C7EDCC"/>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791" w:type="dxa"/>
            <w:tcBorders>
              <w:top w:val="nil" w:sz="6" w:space="0" w:color="auto"/>
              <w:left w:val="single" w:sz="4" w:space="0" w:color="000000"/>
              <w:bottom w:val="single" w:sz="4" w:space="0" w:color="000000"/>
              <w:right w:val="single" w:sz="4" w:space="0" w:color="000000"/>
            </w:tcBorders>
          </w:tcPr>
          <w:p>
            <w:pPr/>
          </w:p>
        </w:tc>
        <w:tc>
          <w:tcPr>
            <w:tcW w:w="757" w:type="dxa"/>
            <w:vMerge/>
            <w:tcBorders>
              <w:left w:val="single" w:sz="4" w:space="0" w:color="000000"/>
              <w:bottom w:val="single" w:sz="4" w:space="0" w:color="000000"/>
              <w:right w:val="single" w:sz="4" w:space="0" w:color="000000"/>
            </w:tcBorders>
          </w:tcPr>
          <w:p>
            <w:pPr/>
          </w:p>
        </w:tc>
        <w:tc>
          <w:tcPr>
            <w:tcW w:w="611" w:type="dxa"/>
            <w:tcBorders>
              <w:top w:val="nil" w:sz="6" w:space="0" w:color="auto"/>
              <w:left w:val="single" w:sz="4" w:space="0" w:color="000000"/>
              <w:bottom w:val="single" w:sz="4" w:space="0" w:color="000000"/>
              <w:right w:val="single" w:sz="4" w:space="0" w:color="000000"/>
            </w:tcBorders>
          </w:tcPr>
          <w:p>
            <w:pPr/>
          </w:p>
        </w:tc>
        <w:tc>
          <w:tcPr>
            <w:tcW w:w="707"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2787" w:type="dxa"/>
            <w:gridSpan w:val="2"/>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关联债权对公司经营成果及财务状 况的影响</w:t>
            </w:r>
          </w:p>
        </w:tc>
        <w:tc>
          <w:tcPr>
            <w:tcW w:w="6879" w:type="dxa"/>
            <w:gridSpan w:val="8"/>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5"/>
              <w:jc w:val="both"/>
              <w:rPr>
                <w:rFonts w:ascii="宋体" w:hAnsi="宋体" w:cs="宋体" w:eastAsia="宋体" w:hint="default"/>
                <w:sz w:val="18"/>
                <w:szCs w:val="18"/>
              </w:rPr>
            </w:pPr>
            <w:r>
              <w:rPr>
                <w:rFonts w:ascii="宋体" w:hAnsi="宋体" w:cs="宋体" w:eastAsia="宋体" w:hint="default"/>
                <w:sz w:val="18"/>
                <w:szCs w:val="18"/>
              </w:rPr>
              <w:t>有利于缓解华创全媒的资金需求，促进其业务发展，可以更好地保证公司的合法权益， 不存在损害公司和股东权益的情形。本次对外财务资助不会对本公司的财务状况产生重 大不利影响。</w:t>
            </w:r>
          </w:p>
        </w:tc>
      </w:tr>
    </w:tbl>
    <w:p>
      <w:pPr>
        <w:pStyle w:val="BodyText"/>
        <w:spacing w:line="240" w:lineRule="auto" w:before="52"/>
        <w:ind w:right="0"/>
        <w:jc w:val="left"/>
      </w:pPr>
      <w:r>
        <w:rPr/>
        <w:t>应付关联方债务：不适用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722"/>
        <w:gridCol w:w="925"/>
        <w:gridCol w:w="940"/>
        <w:gridCol w:w="1321"/>
        <w:gridCol w:w="1064"/>
        <w:gridCol w:w="1050"/>
        <w:gridCol w:w="1073"/>
        <w:gridCol w:w="798"/>
        <w:gridCol w:w="788"/>
      </w:tblGrid>
      <w:tr>
        <w:trPr>
          <w:trHeight w:val="251" w:hRule="exact"/>
        </w:trPr>
        <w:tc>
          <w:tcPr>
            <w:tcW w:w="968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258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29" w:hRule="exact"/>
        </w:trPr>
        <w:tc>
          <w:tcPr>
            <w:tcW w:w="1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p>
            <w:pPr>
              <w:pStyle w:val="TableParagraph"/>
              <w:spacing w:line="244" w:lineRule="auto" w:before="4"/>
              <w:ind w:left="102" w:right="90"/>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11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1"/>
              <w:ind w:left="440"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5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1"/>
              <w:ind w:left="216"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1"/>
              <w:ind w:left="29"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90" w:hRule="exact"/>
        </w:trPr>
        <w:tc>
          <w:tcPr>
            <w:tcW w:w="1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11" w:right="78"/>
              <w:jc w:val="left"/>
              <w:rPr>
                <w:rFonts w:ascii="宋体" w:hAnsi="宋体" w:cs="宋体" w:eastAsia="宋体" w:hint="default"/>
                <w:sz w:val="18"/>
                <w:szCs w:val="18"/>
              </w:rPr>
            </w:pPr>
            <w:r>
              <w:rPr>
                <w:rFonts w:ascii="宋体" w:hAnsi="宋体" w:cs="宋体" w:eastAsia="宋体" w:hint="default"/>
                <w:sz w:val="18"/>
                <w:szCs w:val="18"/>
              </w:rPr>
              <w:t>北京精典博维文化传 媒有限公司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5" w:lineRule="exact"/>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z w:val="18"/>
              </w:rPr>
              <w:t>1,750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31" w:lineRule="exact"/>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4"/>
              <w:ind w:left="31" w:right="0"/>
              <w:jc w:val="lef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91" w:hRule="exact"/>
        </w:trPr>
        <w:tc>
          <w:tcPr>
            <w:tcW w:w="26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 w:right="103"/>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62" w:type="dxa"/>
            <w:gridSpan w:val="2"/>
            <w:tcBorders>
              <w:top w:val="single" w:sz="4" w:space="0" w:color="000000"/>
              <w:left w:val="single" w:sz="13" w:space="0" w:color="D3D3D3"/>
              <w:bottom w:val="single" w:sz="4" w:space="0" w:color="000000"/>
              <w:right w:val="single" w:sz="13" w:space="0" w:color="D3D3D3"/>
            </w:tcBorders>
          </w:tcPr>
          <w:p>
            <w:pPr>
              <w:pStyle w:val="TableParagraph"/>
              <w:spacing w:line="240" w:lineRule="auto" w:before="145"/>
              <w:ind w:right="11"/>
              <w:jc w:val="right"/>
              <w:rPr>
                <w:rFonts w:ascii="Times New Roman" w:hAnsi="Times New Roman" w:cs="Times New Roman" w:eastAsia="Times New Roman" w:hint="default"/>
                <w:sz w:val="18"/>
                <w:szCs w:val="18"/>
              </w:rPr>
            </w:pPr>
            <w:r>
              <w:rPr>
                <w:rFonts w:ascii="Times New Roman"/>
                <w:sz w:val="18"/>
              </w:rPr>
              <w:t>0</w:t>
            </w:r>
          </w:p>
        </w:tc>
        <w:tc>
          <w:tcPr>
            <w:tcW w:w="211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20" w:right="101"/>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6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r>
      <w:tr>
        <w:trPr>
          <w:trHeight w:val="490" w:hRule="exact"/>
        </w:trPr>
        <w:tc>
          <w:tcPr>
            <w:tcW w:w="26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103"/>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62" w:type="dxa"/>
            <w:gridSpan w:val="2"/>
            <w:tcBorders>
              <w:top w:val="single" w:sz="4" w:space="0" w:color="000000"/>
              <w:left w:val="single" w:sz="13" w:space="0" w:color="D3D3D3"/>
              <w:bottom w:val="single" w:sz="4" w:space="0" w:color="000000"/>
              <w:right w:val="single" w:sz="13" w:space="0" w:color="D3D3D3"/>
            </w:tcBorders>
          </w:tcPr>
          <w:p>
            <w:pPr>
              <w:pStyle w:val="TableParagraph"/>
              <w:spacing w:line="240" w:lineRule="auto" w:before="144"/>
              <w:ind w:right="11"/>
              <w:jc w:val="right"/>
              <w:rPr>
                <w:rFonts w:ascii="Times New Roman" w:hAnsi="Times New Roman" w:cs="Times New Roman" w:eastAsia="Times New Roman" w:hint="default"/>
                <w:sz w:val="18"/>
                <w:szCs w:val="18"/>
              </w:rPr>
            </w:pPr>
            <w:r>
              <w:rPr>
                <w:rFonts w:ascii="Times New Roman"/>
                <w:sz w:val="18"/>
              </w:rPr>
              <w:t>0</w:t>
            </w:r>
          </w:p>
        </w:tc>
        <w:tc>
          <w:tcPr>
            <w:tcW w:w="211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0" w:right="101"/>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6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r>
      <w:tr>
        <w:trPr>
          <w:trHeight w:val="250" w:hRule="exact"/>
        </w:trPr>
        <w:tc>
          <w:tcPr>
            <w:tcW w:w="968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9"/>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25" w:hRule="exact"/>
        </w:trPr>
        <w:tc>
          <w:tcPr>
            <w:tcW w:w="1722" w:type="dxa"/>
            <w:vMerge w:val="restart"/>
            <w:tcBorders>
              <w:top w:val="single" w:sz="4" w:space="0" w:color="000000"/>
              <w:left w:val="single" w:sz="4" w:space="0" w:color="000000"/>
              <w:right w:val="single" w:sz="4" w:space="0" w:color="000000"/>
            </w:tcBorders>
            <w:shd w:val="clear" w:color="auto" w:fill="D3D3D3"/>
          </w:tcPr>
          <w:p>
            <w:pPr/>
          </w:p>
        </w:tc>
        <w:tc>
          <w:tcPr>
            <w:tcW w:w="9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left="99"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0" w:type="dxa"/>
            <w:vMerge w:val="restart"/>
            <w:tcBorders>
              <w:top w:val="single" w:sz="4" w:space="0" w:color="000000"/>
              <w:left w:val="single" w:sz="4" w:space="0" w:color="000000"/>
              <w:right w:val="single" w:sz="4" w:space="0" w:color="000000"/>
            </w:tcBorders>
            <w:shd w:val="clear" w:color="auto" w:fill="D3D3D3"/>
          </w:tcPr>
          <w:p>
            <w:pPr/>
          </w:p>
        </w:tc>
        <w:tc>
          <w:tcPr>
            <w:tcW w:w="132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50" w:type="dxa"/>
            <w:vMerge w:val="restart"/>
            <w:tcBorders>
              <w:top w:val="single" w:sz="4" w:space="0" w:color="000000"/>
              <w:left w:val="single" w:sz="4" w:space="0" w:color="000000"/>
              <w:right w:val="single" w:sz="4" w:space="0" w:color="000000"/>
            </w:tcBorders>
            <w:shd w:val="clear" w:color="auto" w:fill="D3D3D3"/>
          </w:tcPr>
          <w:p>
            <w:pPr/>
          </w:p>
        </w:tc>
        <w:tc>
          <w:tcPr>
            <w:tcW w:w="1073" w:type="dxa"/>
            <w:vMerge w:val="restart"/>
            <w:tcBorders>
              <w:top w:val="single" w:sz="4" w:space="0" w:color="000000"/>
              <w:left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8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0" w:hRule="exact"/>
        </w:trPr>
        <w:tc>
          <w:tcPr>
            <w:tcW w:w="1722" w:type="dxa"/>
            <w:vMerge/>
            <w:tcBorders>
              <w:left w:val="single" w:sz="4" w:space="0" w:color="000000"/>
              <w:bottom w:val="nil" w:sz="6" w:space="0" w:color="auto"/>
              <w:right w:val="single" w:sz="4" w:space="0" w:color="000000"/>
            </w:tcBorders>
            <w:shd w:val="clear" w:color="auto" w:fill="D3D3D3"/>
          </w:tcPr>
          <w:p>
            <w:pPr/>
          </w:p>
        </w:tc>
        <w:tc>
          <w:tcPr>
            <w:tcW w:w="925" w:type="dxa"/>
            <w:vMerge/>
            <w:tcBorders>
              <w:left w:val="single" w:sz="4" w:space="0" w:color="000000"/>
              <w:right w:val="single" w:sz="4" w:space="0" w:color="000000"/>
            </w:tcBorders>
            <w:shd w:val="clear" w:color="auto" w:fill="D3D3D3"/>
          </w:tcPr>
          <w:p>
            <w:pPr/>
          </w:p>
        </w:tc>
        <w:tc>
          <w:tcPr>
            <w:tcW w:w="940" w:type="dxa"/>
            <w:vMerge/>
            <w:tcBorders>
              <w:left w:val="single" w:sz="4" w:space="0" w:color="000000"/>
              <w:bottom w:val="nil" w:sz="6" w:space="0" w:color="auto"/>
              <w:right w:val="single" w:sz="4" w:space="0" w:color="000000"/>
            </w:tcBorders>
            <w:shd w:val="clear" w:color="auto" w:fill="D3D3D3"/>
          </w:tcPr>
          <w:p>
            <w:pPr/>
          </w:p>
        </w:tc>
        <w:tc>
          <w:tcPr>
            <w:tcW w:w="1321"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11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ind w:left="440"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0" w:type="dxa"/>
            <w:vMerge/>
            <w:tcBorders>
              <w:left w:val="single" w:sz="4" w:space="0" w:color="000000"/>
              <w:bottom w:val="nil" w:sz="6" w:space="0" w:color="auto"/>
              <w:right w:val="single" w:sz="4" w:space="0" w:color="000000"/>
            </w:tcBorders>
            <w:shd w:val="clear" w:color="auto" w:fill="D3D3D3"/>
          </w:tcPr>
          <w:p>
            <w:pPr/>
          </w:p>
        </w:tc>
        <w:tc>
          <w:tcPr>
            <w:tcW w:w="1073" w:type="dxa"/>
            <w:vMerge/>
            <w:tcBorders>
              <w:left w:val="single" w:sz="4" w:space="0" w:color="000000"/>
              <w:bottom w:val="nil" w:sz="6" w:space="0" w:color="auto"/>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ind w:left="213"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ind w:left="29"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240" w:hRule="exact"/>
        </w:trPr>
        <w:tc>
          <w:tcPr>
            <w:tcW w:w="1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7" w:lineRule="exact"/>
              <w:ind w:right="1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5" w:type="dxa"/>
            <w:vMerge/>
            <w:tcBorders>
              <w:left w:val="single" w:sz="4" w:space="0" w:color="000000"/>
              <w:right w:val="single" w:sz="4" w:space="0" w:color="000000"/>
            </w:tcBorders>
            <w:shd w:val="clear" w:color="auto" w:fill="D3D3D3"/>
          </w:tcPr>
          <w:p>
            <w:pPr/>
          </w:p>
        </w:tc>
        <w:tc>
          <w:tcPr>
            <w:tcW w:w="9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7" w:lineRule="exact"/>
              <w:ind w:left="11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21" w:type="dxa"/>
            <w:vMerge/>
            <w:tcBorders>
              <w:left w:val="single" w:sz="4" w:space="0" w:color="000000"/>
              <w:right w:val="single" w:sz="4" w:space="0" w:color="000000"/>
            </w:tcBorders>
            <w:shd w:val="clear" w:color="auto" w:fill="D3D3D3"/>
          </w:tcPr>
          <w:p>
            <w:pPr/>
          </w:p>
        </w:tc>
        <w:tc>
          <w:tcPr>
            <w:tcW w:w="1064" w:type="dxa"/>
            <w:vMerge/>
            <w:tcBorders>
              <w:left w:val="single" w:sz="4" w:space="0" w:color="000000"/>
              <w:right w:val="single" w:sz="4" w:space="0" w:color="000000"/>
            </w:tcBorders>
            <w:shd w:val="clear" w:color="auto" w:fill="D3D3D3"/>
          </w:tcPr>
          <w:p>
            <w:pPr/>
          </w:p>
        </w:tc>
        <w:tc>
          <w:tcPr>
            <w:tcW w:w="10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7" w:lineRule="exact"/>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7" w:lineRule="exact"/>
              <w:ind w:right="25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8" w:type="dxa"/>
            <w:vMerge/>
            <w:tcBorders>
              <w:left w:val="single" w:sz="4" w:space="0" w:color="000000"/>
              <w:right w:val="single" w:sz="4" w:space="0" w:color="000000"/>
            </w:tcBorders>
            <w:shd w:val="clear" w:color="auto" w:fill="D3D3D3"/>
          </w:tcPr>
          <w:p>
            <w:pPr/>
          </w:p>
        </w:tc>
        <w:tc>
          <w:tcPr>
            <w:tcW w:w="788" w:type="dxa"/>
            <w:vMerge/>
            <w:tcBorders>
              <w:left w:val="single" w:sz="4" w:space="0" w:color="000000"/>
              <w:right w:val="single" w:sz="4" w:space="0" w:color="000000"/>
            </w:tcBorders>
            <w:shd w:val="clear" w:color="auto" w:fill="D3D3D3"/>
          </w:tcPr>
          <w:p>
            <w:pPr/>
          </w:p>
        </w:tc>
      </w:tr>
      <w:tr>
        <w:trPr>
          <w:trHeight w:val="245" w:hRule="exact"/>
        </w:trPr>
        <w:tc>
          <w:tcPr>
            <w:tcW w:w="1722" w:type="dxa"/>
            <w:tcBorders>
              <w:top w:val="nil" w:sz="6" w:space="0" w:color="auto"/>
              <w:left w:val="single" w:sz="4" w:space="0" w:color="000000"/>
              <w:bottom w:val="single" w:sz="4" w:space="0" w:color="000000"/>
              <w:right w:val="single" w:sz="4" w:space="0" w:color="000000"/>
            </w:tcBorders>
            <w:shd w:val="clear" w:color="auto" w:fill="D3D3D3"/>
          </w:tcPr>
          <w:p>
            <w:pPr/>
          </w:p>
        </w:tc>
        <w:tc>
          <w:tcPr>
            <w:tcW w:w="925" w:type="dxa"/>
            <w:vMerge/>
            <w:tcBorders>
              <w:left w:val="single" w:sz="4" w:space="0" w:color="000000"/>
              <w:bottom w:val="single" w:sz="4" w:space="0" w:color="000000"/>
              <w:right w:val="single" w:sz="4" w:space="0" w:color="000000"/>
            </w:tcBorders>
            <w:shd w:val="clear" w:color="auto" w:fill="D3D3D3"/>
          </w:tcPr>
          <w:p>
            <w:pPr/>
          </w:p>
        </w:tc>
        <w:tc>
          <w:tcPr>
            <w:tcW w:w="9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1"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73"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88" w:type="dxa"/>
            <w:vMerge/>
            <w:tcBorders>
              <w:left w:val="single" w:sz="4" w:space="0" w:color="000000"/>
              <w:bottom w:val="single" w:sz="4" w:space="0" w:color="000000"/>
              <w:right w:val="single" w:sz="4" w:space="0" w:color="000000"/>
            </w:tcBorders>
            <w:shd w:val="clear" w:color="auto" w:fill="D3D3D3"/>
          </w:tcPr>
          <w:p>
            <w:pPr/>
          </w:p>
        </w:tc>
      </w:tr>
      <w:tr>
        <w:trPr>
          <w:trHeight w:val="490" w:hRule="exact"/>
        </w:trPr>
        <w:tc>
          <w:tcPr>
            <w:tcW w:w="1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11" w:right="78"/>
              <w:jc w:val="left"/>
              <w:rPr>
                <w:rFonts w:ascii="宋体" w:hAnsi="宋体" w:cs="宋体" w:eastAsia="宋体" w:hint="default"/>
                <w:sz w:val="18"/>
                <w:szCs w:val="18"/>
              </w:rPr>
            </w:pPr>
            <w:r>
              <w:rPr>
                <w:rFonts w:ascii="宋体" w:hAnsi="宋体" w:cs="宋体" w:eastAsia="宋体" w:hint="default"/>
                <w:sz w:val="18"/>
                <w:szCs w:val="18"/>
              </w:rPr>
              <w:t>浙江风盛传媒股份有 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5" w:lineRule="exact"/>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3"/>
              <w:jc w:val="right"/>
              <w:rPr>
                <w:rFonts w:ascii="Times New Roman" w:hAnsi="Times New Roman" w:cs="Times New Roman" w:eastAsia="Times New Roman" w:hint="default"/>
                <w:sz w:val="18"/>
                <w:szCs w:val="18"/>
              </w:rPr>
            </w:pPr>
            <w:r>
              <w:rPr>
                <w:rFonts w:ascii="Times New Roman"/>
                <w:sz w:val="18"/>
              </w:rPr>
              <w:t>9,016</w:t>
            </w:r>
          </w:p>
        </w:tc>
        <w:tc>
          <w:tcPr>
            <w:tcW w:w="1321" w:type="dxa"/>
            <w:tcBorders>
              <w:top w:val="single" w:sz="48" w:space="0" w:color="D3D3D3"/>
              <w:left w:val="single" w:sz="4" w:space="0" w:color="000000"/>
              <w:bottom w:val="single" w:sz="4" w:space="0" w:color="000000"/>
              <w:right w:val="single" w:sz="4" w:space="0" w:color="000000"/>
            </w:tcBorders>
          </w:tcPr>
          <w:p>
            <w:pPr>
              <w:pStyle w:val="TableParagraph"/>
              <w:spacing w:line="171" w:lineRule="exact"/>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31" w:lineRule="exact"/>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8" w:space="0" w:color="D3D3D3"/>
              <w:left w:val="single" w:sz="4" w:space="0" w:color="000000"/>
              <w:bottom w:val="single" w:sz="4" w:space="0" w:color="000000"/>
              <w:right w:val="single" w:sz="4" w:space="0" w:color="000000"/>
            </w:tcBorders>
          </w:tcPr>
          <w:p>
            <w:pPr>
              <w:pStyle w:val="TableParagraph"/>
              <w:spacing w:line="240" w:lineRule="auto" w:before="88"/>
              <w:ind w:right="10"/>
              <w:jc w:val="right"/>
              <w:rPr>
                <w:rFonts w:ascii="Times New Roman" w:hAnsi="Times New Roman" w:cs="Times New Roman" w:eastAsia="Times New Roman" w:hint="default"/>
                <w:sz w:val="18"/>
                <w:szCs w:val="18"/>
              </w:rPr>
            </w:pPr>
            <w:r>
              <w:rPr>
                <w:rFonts w:ascii="Times New Roman"/>
                <w:sz w:val="18"/>
              </w:rPr>
              <w:t>3,892.98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1"/>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8" w:space="0" w:color="D3D3D3"/>
              <w:left w:val="single" w:sz="4" w:space="0" w:color="000000"/>
              <w:bottom w:val="single" w:sz="4" w:space="0" w:color="000000"/>
              <w:right w:val="single" w:sz="4" w:space="0" w:color="000000"/>
            </w:tcBorders>
          </w:tcPr>
          <w:p>
            <w:pPr>
              <w:pStyle w:val="TableParagraph"/>
              <w:spacing w:line="240" w:lineRule="auto" w:before="46"/>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8" w:space="0" w:color="D3D3D3"/>
              <w:left w:val="single" w:sz="4" w:space="0" w:color="000000"/>
              <w:bottom w:val="single" w:sz="4" w:space="0" w:color="000000"/>
              <w:right w:val="single" w:sz="4" w:space="0" w:color="000000"/>
            </w:tcBorders>
          </w:tcPr>
          <w:p>
            <w:pPr>
              <w:pStyle w:val="TableParagraph"/>
              <w:spacing w:line="240" w:lineRule="auto" w:before="46"/>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1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11" w:right="78"/>
              <w:jc w:val="left"/>
              <w:rPr>
                <w:rFonts w:ascii="宋体" w:hAnsi="宋体" w:cs="宋体" w:eastAsia="宋体" w:hint="default"/>
                <w:sz w:val="18"/>
                <w:szCs w:val="18"/>
              </w:rPr>
            </w:pPr>
            <w:r>
              <w:rPr>
                <w:rFonts w:ascii="宋体" w:hAnsi="宋体" w:cs="宋体" w:eastAsia="宋体" w:hint="default"/>
                <w:sz w:val="18"/>
                <w:szCs w:val="18"/>
              </w:rPr>
              <w:t>中教未来国际教育科 技（北京）有限公司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5" w:lineRule="exact"/>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3"/>
              <w:jc w:val="right"/>
              <w:rPr>
                <w:rFonts w:ascii="Times New Roman" w:hAnsi="Times New Roman" w:cs="Times New Roman" w:eastAsia="Times New Roman" w:hint="default"/>
                <w:sz w:val="18"/>
                <w:szCs w:val="18"/>
              </w:rPr>
            </w:pPr>
            <w:r>
              <w:rPr>
                <w:rFonts w:ascii="Times New Roman"/>
                <w:sz w:val="18"/>
              </w:rPr>
              <w:t>5,400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31" w:lineRule="exact"/>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
              <w:jc w:val="right"/>
              <w:rPr>
                <w:rFonts w:ascii="Times New Roman" w:hAnsi="Times New Roman" w:cs="Times New Roman" w:eastAsia="Times New Roman" w:hint="default"/>
                <w:sz w:val="18"/>
                <w:szCs w:val="18"/>
              </w:rPr>
            </w:pPr>
            <w:r>
              <w:rPr>
                <w:rFonts w:ascii="Times New Roman"/>
                <w:sz w:val="18"/>
              </w:rPr>
              <w:t>4,500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1"/>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1" w:hRule="exact"/>
        </w:trPr>
        <w:tc>
          <w:tcPr>
            <w:tcW w:w="1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11" w:right="78"/>
              <w:jc w:val="left"/>
              <w:rPr>
                <w:rFonts w:ascii="宋体" w:hAnsi="宋体" w:cs="宋体" w:eastAsia="宋体" w:hint="default"/>
                <w:sz w:val="18"/>
                <w:szCs w:val="18"/>
              </w:rPr>
            </w:pPr>
            <w:r>
              <w:rPr>
                <w:rFonts w:ascii="宋体" w:hAnsi="宋体" w:cs="宋体" w:eastAsia="宋体" w:hint="default"/>
                <w:sz w:val="18"/>
                <w:szCs w:val="18"/>
              </w:rPr>
              <w:t>中教未来国际教育科 技（北京）有限公司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5" w:lineRule="exact"/>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3"/>
              <w:jc w:val="right"/>
              <w:rPr>
                <w:rFonts w:ascii="Times New Roman" w:hAnsi="Times New Roman" w:cs="Times New Roman" w:eastAsia="Times New Roman" w:hint="default"/>
                <w:sz w:val="18"/>
                <w:szCs w:val="18"/>
              </w:rPr>
            </w:pPr>
            <w:r>
              <w:rPr>
                <w:rFonts w:ascii="Times New Roman"/>
                <w:sz w:val="18"/>
              </w:rPr>
              <w:t>1,200</w:t>
            </w:r>
          </w:p>
        </w:tc>
        <w:tc>
          <w:tcPr>
            <w:tcW w:w="132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1"/>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33"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3"/>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1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11" w:right="78"/>
              <w:jc w:val="left"/>
              <w:rPr>
                <w:rFonts w:ascii="宋体" w:hAnsi="宋体" w:cs="宋体" w:eastAsia="宋体" w:hint="default"/>
                <w:sz w:val="18"/>
                <w:szCs w:val="18"/>
              </w:rPr>
            </w:pPr>
            <w:r>
              <w:rPr>
                <w:rFonts w:ascii="宋体" w:hAnsi="宋体" w:cs="宋体" w:eastAsia="宋体" w:hint="default"/>
                <w:sz w:val="18"/>
                <w:szCs w:val="18"/>
              </w:rPr>
              <w:t>杭州日报报业集团盛 元印务有限公司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5" w:lineRule="exact"/>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3"/>
              <w:jc w:val="right"/>
              <w:rPr>
                <w:rFonts w:ascii="Times New Roman" w:hAnsi="Times New Roman" w:cs="Times New Roman" w:eastAsia="Times New Roman" w:hint="default"/>
                <w:sz w:val="18"/>
                <w:szCs w:val="18"/>
              </w:rPr>
            </w:pPr>
            <w:r>
              <w:rPr>
                <w:rFonts w:ascii="Times New Roman"/>
                <w:sz w:val="18"/>
              </w:rPr>
              <w:t>8,000</w:t>
            </w:r>
          </w:p>
        </w:tc>
        <w:tc>
          <w:tcPr>
            <w:tcW w:w="132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1"/>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26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103"/>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62" w:type="dxa"/>
            <w:gridSpan w:val="2"/>
            <w:tcBorders>
              <w:top w:val="single" w:sz="4" w:space="0" w:color="000000"/>
              <w:left w:val="single" w:sz="13" w:space="0" w:color="D3D3D3"/>
              <w:bottom w:val="single" w:sz="4" w:space="0" w:color="000000"/>
              <w:right w:val="single" w:sz="13" w:space="0" w:color="D3D3D3"/>
            </w:tcBorders>
          </w:tcPr>
          <w:p>
            <w:pPr>
              <w:pStyle w:val="TableParagraph"/>
              <w:spacing w:line="240" w:lineRule="auto" w:before="144"/>
              <w:ind w:right="10"/>
              <w:jc w:val="right"/>
              <w:rPr>
                <w:rFonts w:ascii="Times New Roman" w:hAnsi="Times New Roman" w:cs="Times New Roman" w:eastAsia="Times New Roman" w:hint="default"/>
                <w:sz w:val="18"/>
                <w:szCs w:val="18"/>
              </w:rPr>
            </w:pPr>
            <w:r>
              <w:rPr>
                <w:rFonts w:ascii="Times New Roman"/>
                <w:sz w:val="18"/>
              </w:rPr>
              <w:t>14,600</w:t>
            </w:r>
          </w:p>
        </w:tc>
        <w:tc>
          <w:tcPr>
            <w:tcW w:w="211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0" w:right="101"/>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6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4,500</w:t>
            </w:r>
          </w:p>
        </w:tc>
      </w:tr>
      <w:tr>
        <w:trPr>
          <w:trHeight w:val="491" w:hRule="exact"/>
        </w:trPr>
        <w:tc>
          <w:tcPr>
            <w:tcW w:w="26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 w:right="10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62" w:type="dxa"/>
            <w:gridSpan w:val="2"/>
            <w:tcBorders>
              <w:top w:val="single" w:sz="4" w:space="0" w:color="000000"/>
              <w:left w:val="single" w:sz="13" w:space="0" w:color="D3D3D3"/>
              <w:bottom w:val="single" w:sz="4" w:space="0" w:color="000000"/>
              <w:right w:val="single" w:sz="13" w:space="0" w:color="D3D3D3"/>
            </w:tcBorders>
          </w:tcPr>
          <w:p>
            <w:pPr>
              <w:pStyle w:val="TableParagraph"/>
              <w:spacing w:line="240" w:lineRule="auto" w:before="145"/>
              <w:ind w:right="10"/>
              <w:jc w:val="right"/>
              <w:rPr>
                <w:rFonts w:ascii="Times New Roman" w:hAnsi="Times New Roman" w:cs="Times New Roman" w:eastAsia="Times New Roman" w:hint="default"/>
                <w:sz w:val="18"/>
                <w:szCs w:val="18"/>
              </w:rPr>
            </w:pPr>
            <w:r>
              <w:rPr>
                <w:rFonts w:ascii="Times New Roman"/>
                <w:sz w:val="18"/>
              </w:rPr>
              <w:t>23,616</w:t>
            </w:r>
          </w:p>
        </w:tc>
        <w:tc>
          <w:tcPr>
            <w:tcW w:w="211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20" w:right="101"/>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6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8,392.98</w:t>
            </w:r>
          </w:p>
        </w:tc>
      </w:tr>
      <w:tr>
        <w:trPr>
          <w:trHeight w:val="250" w:hRule="exact"/>
        </w:trPr>
        <w:tc>
          <w:tcPr>
            <w:tcW w:w="968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9"/>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25" w:hRule="exact"/>
        </w:trPr>
        <w:tc>
          <w:tcPr>
            <w:tcW w:w="1722" w:type="dxa"/>
            <w:vMerge w:val="restart"/>
            <w:tcBorders>
              <w:top w:val="single" w:sz="4" w:space="0" w:color="000000"/>
              <w:left w:val="single" w:sz="4" w:space="0" w:color="000000"/>
              <w:right w:val="single" w:sz="4" w:space="0" w:color="000000"/>
            </w:tcBorders>
            <w:shd w:val="clear" w:color="auto" w:fill="D3D3D3"/>
          </w:tcPr>
          <w:p>
            <w:pPr/>
          </w:p>
        </w:tc>
        <w:tc>
          <w:tcPr>
            <w:tcW w:w="9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left="95" w:right="9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0" w:type="dxa"/>
            <w:vMerge w:val="restart"/>
            <w:tcBorders>
              <w:top w:val="single" w:sz="4" w:space="0" w:color="000000"/>
              <w:left w:val="single" w:sz="4" w:space="0" w:color="000000"/>
              <w:right w:val="single" w:sz="4" w:space="0" w:color="000000"/>
            </w:tcBorders>
            <w:shd w:val="clear" w:color="auto" w:fill="D3D3D3"/>
          </w:tcPr>
          <w:p>
            <w:pPr/>
          </w:p>
        </w:tc>
        <w:tc>
          <w:tcPr>
            <w:tcW w:w="132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50" w:type="dxa"/>
            <w:vMerge w:val="restart"/>
            <w:tcBorders>
              <w:top w:val="single" w:sz="4" w:space="0" w:color="000000"/>
              <w:left w:val="single" w:sz="4" w:space="0" w:color="000000"/>
              <w:right w:val="single" w:sz="4" w:space="0" w:color="000000"/>
            </w:tcBorders>
            <w:shd w:val="clear" w:color="auto" w:fill="D3D3D3"/>
          </w:tcPr>
          <w:p>
            <w:pPr/>
          </w:p>
        </w:tc>
        <w:tc>
          <w:tcPr>
            <w:tcW w:w="1073" w:type="dxa"/>
            <w:vMerge w:val="restart"/>
            <w:tcBorders>
              <w:top w:val="single" w:sz="4" w:space="0" w:color="000000"/>
              <w:left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8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0" w:hRule="exact"/>
        </w:trPr>
        <w:tc>
          <w:tcPr>
            <w:tcW w:w="1722" w:type="dxa"/>
            <w:vMerge/>
            <w:tcBorders>
              <w:left w:val="single" w:sz="4" w:space="0" w:color="000000"/>
              <w:bottom w:val="nil" w:sz="6" w:space="0" w:color="auto"/>
              <w:right w:val="single" w:sz="4" w:space="0" w:color="000000"/>
            </w:tcBorders>
            <w:shd w:val="clear" w:color="auto" w:fill="D3D3D3"/>
          </w:tcPr>
          <w:p>
            <w:pPr/>
          </w:p>
        </w:tc>
        <w:tc>
          <w:tcPr>
            <w:tcW w:w="925" w:type="dxa"/>
            <w:vMerge/>
            <w:tcBorders>
              <w:left w:val="single" w:sz="4" w:space="0" w:color="000000"/>
              <w:right w:val="single" w:sz="4" w:space="0" w:color="000000"/>
            </w:tcBorders>
            <w:shd w:val="clear" w:color="auto" w:fill="D3D3D3"/>
          </w:tcPr>
          <w:p>
            <w:pPr/>
          </w:p>
        </w:tc>
        <w:tc>
          <w:tcPr>
            <w:tcW w:w="940" w:type="dxa"/>
            <w:vMerge/>
            <w:tcBorders>
              <w:left w:val="single" w:sz="4" w:space="0" w:color="000000"/>
              <w:bottom w:val="nil" w:sz="6" w:space="0" w:color="auto"/>
              <w:right w:val="single" w:sz="4" w:space="0" w:color="000000"/>
            </w:tcBorders>
            <w:shd w:val="clear" w:color="auto" w:fill="D3D3D3"/>
          </w:tcPr>
          <w:p>
            <w:pPr/>
          </w:p>
        </w:tc>
        <w:tc>
          <w:tcPr>
            <w:tcW w:w="1321"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4"/>
              <w:ind w:left="1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ind w:left="430" w:right="8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0" w:type="dxa"/>
            <w:vMerge/>
            <w:tcBorders>
              <w:left w:val="single" w:sz="4" w:space="0" w:color="000000"/>
              <w:bottom w:val="nil" w:sz="6" w:space="0" w:color="auto"/>
              <w:right w:val="single" w:sz="4" w:space="0" w:color="000000"/>
            </w:tcBorders>
            <w:shd w:val="clear" w:color="auto" w:fill="D3D3D3"/>
          </w:tcPr>
          <w:p>
            <w:pPr/>
          </w:p>
        </w:tc>
        <w:tc>
          <w:tcPr>
            <w:tcW w:w="1073" w:type="dxa"/>
            <w:vMerge/>
            <w:tcBorders>
              <w:left w:val="single" w:sz="4" w:space="0" w:color="000000"/>
              <w:bottom w:val="nil" w:sz="6" w:space="0" w:color="auto"/>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ind w:left="208"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ind w:left="26" w:right="30"/>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240" w:hRule="exact"/>
        </w:trPr>
        <w:tc>
          <w:tcPr>
            <w:tcW w:w="1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8" w:lineRule="exact"/>
              <w:ind w:right="1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5" w:type="dxa"/>
            <w:vMerge/>
            <w:tcBorders>
              <w:left w:val="single" w:sz="4" w:space="0" w:color="000000"/>
              <w:right w:val="single" w:sz="4" w:space="0" w:color="000000"/>
            </w:tcBorders>
            <w:shd w:val="clear" w:color="auto" w:fill="D3D3D3"/>
          </w:tcPr>
          <w:p>
            <w:pPr/>
          </w:p>
        </w:tc>
        <w:tc>
          <w:tcPr>
            <w:tcW w:w="9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8" w:lineRule="exact"/>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21" w:type="dxa"/>
            <w:vMerge/>
            <w:tcBorders>
              <w:left w:val="single" w:sz="4" w:space="0" w:color="000000"/>
              <w:right w:val="single" w:sz="4" w:space="0" w:color="000000"/>
            </w:tcBorders>
            <w:shd w:val="clear" w:color="auto" w:fill="D3D3D3"/>
          </w:tcPr>
          <w:p>
            <w:pPr/>
          </w:p>
        </w:tc>
        <w:tc>
          <w:tcPr>
            <w:tcW w:w="1064" w:type="dxa"/>
            <w:vMerge/>
            <w:tcBorders>
              <w:left w:val="single" w:sz="4" w:space="0" w:color="000000"/>
              <w:right w:val="single" w:sz="4" w:space="0" w:color="000000"/>
            </w:tcBorders>
            <w:shd w:val="clear" w:color="auto" w:fill="D3D3D3"/>
          </w:tcPr>
          <w:p>
            <w:pPr/>
          </w:p>
        </w:tc>
        <w:tc>
          <w:tcPr>
            <w:tcW w:w="10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8" w:lineRule="exact"/>
              <w:ind w:right="15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8" w:lineRule="exact"/>
              <w:ind w:right="25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8" w:type="dxa"/>
            <w:vMerge/>
            <w:tcBorders>
              <w:left w:val="single" w:sz="4" w:space="0" w:color="000000"/>
              <w:right w:val="single" w:sz="4" w:space="0" w:color="000000"/>
            </w:tcBorders>
            <w:shd w:val="clear" w:color="auto" w:fill="D3D3D3"/>
          </w:tcPr>
          <w:p>
            <w:pPr/>
          </w:p>
        </w:tc>
        <w:tc>
          <w:tcPr>
            <w:tcW w:w="788" w:type="dxa"/>
            <w:vMerge/>
            <w:tcBorders>
              <w:left w:val="single" w:sz="4" w:space="0" w:color="000000"/>
              <w:right w:val="single" w:sz="4" w:space="0" w:color="000000"/>
            </w:tcBorders>
            <w:shd w:val="clear" w:color="auto" w:fill="D3D3D3"/>
          </w:tcPr>
          <w:p>
            <w:pPr/>
          </w:p>
        </w:tc>
      </w:tr>
      <w:tr>
        <w:trPr>
          <w:trHeight w:val="245" w:hRule="exact"/>
        </w:trPr>
        <w:tc>
          <w:tcPr>
            <w:tcW w:w="1722" w:type="dxa"/>
            <w:tcBorders>
              <w:top w:val="nil" w:sz="6" w:space="0" w:color="auto"/>
              <w:left w:val="single" w:sz="4" w:space="0" w:color="000000"/>
              <w:bottom w:val="single" w:sz="4" w:space="0" w:color="000000"/>
              <w:right w:val="single" w:sz="4" w:space="0" w:color="000000"/>
            </w:tcBorders>
            <w:shd w:val="clear" w:color="auto" w:fill="D3D3D3"/>
          </w:tcPr>
          <w:p>
            <w:pPr/>
          </w:p>
        </w:tc>
        <w:tc>
          <w:tcPr>
            <w:tcW w:w="925" w:type="dxa"/>
            <w:vMerge/>
            <w:tcBorders>
              <w:left w:val="single" w:sz="4" w:space="0" w:color="000000"/>
              <w:bottom w:val="single" w:sz="4" w:space="0" w:color="000000"/>
              <w:right w:val="single" w:sz="4" w:space="0" w:color="000000"/>
            </w:tcBorders>
            <w:shd w:val="clear" w:color="auto" w:fill="D3D3D3"/>
          </w:tcPr>
          <w:p>
            <w:pPr/>
          </w:p>
        </w:tc>
        <w:tc>
          <w:tcPr>
            <w:tcW w:w="9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1"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73"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88" w:type="dxa"/>
            <w:vMerge/>
            <w:tcBorders>
              <w:left w:val="single" w:sz="4" w:space="0" w:color="000000"/>
              <w:bottom w:val="single" w:sz="4" w:space="0" w:color="000000"/>
              <w:right w:val="single" w:sz="4" w:space="0" w:color="000000"/>
            </w:tcBorders>
            <w:shd w:val="clear" w:color="auto" w:fill="D3D3D3"/>
          </w:tcPr>
          <w:p>
            <w:pPr/>
          </w:p>
        </w:tc>
      </w:tr>
      <w:tr>
        <w:trPr>
          <w:trHeight w:val="491" w:hRule="exact"/>
        </w:trPr>
        <w:tc>
          <w:tcPr>
            <w:tcW w:w="26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 w:right="103"/>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62" w:type="dxa"/>
            <w:gridSpan w:val="2"/>
            <w:tcBorders>
              <w:top w:val="single" w:sz="48" w:space="0" w:color="D3D3D3"/>
              <w:left w:val="single" w:sz="13" w:space="0" w:color="D3D3D3"/>
              <w:bottom w:val="single" w:sz="4" w:space="0" w:color="000000"/>
              <w:right w:val="single" w:sz="13" w:space="0" w:color="D3D3D3"/>
            </w:tcBorders>
          </w:tcPr>
          <w:p>
            <w:pPr>
              <w:pStyle w:val="TableParagraph"/>
              <w:spacing w:line="240" w:lineRule="auto" w:before="90"/>
              <w:ind w:right="11"/>
              <w:jc w:val="right"/>
              <w:rPr>
                <w:rFonts w:ascii="Times New Roman" w:hAnsi="Times New Roman" w:cs="Times New Roman" w:eastAsia="Times New Roman" w:hint="default"/>
                <w:sz w:val="18"/>
                <w:szCs w:val="18"/>
              </w:rPr>
            </w:pPr>
            <w:r>
              <w:rPr>
                <w:rFonts w:ascii="Times New Roman"/>
                <w:sz w:val="18"/>
              </w:rPr>
              <w:t>0</w:t>
            </w:r>
          </w:p>
        </w:tc>
        <w:tc>
          <w:tcPr>
            <w:tcW w:w="211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20" w:right="101"/>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60" w:type="dxa"/>
            <w:gridSpan w:val="3"/>
            <w:tcBorders>
              <w:top w:val="single" w:sz="48" w:space="0" w:color="D3D3D3"/>
              <w:left w:val="single" w:sz="13" w:space="0" w:color="D3D3D3"/>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r>
      <w:tr>
        <w:trPr>
          <w:trHeight w:val="490" w:hRule="exact"/>
        </w:trPr>
        <w:tc>
          <w:tcPr>
            <w:tcW w:w="26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10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62" w:type="dxa"/>
            <w:gridSpan w:val="2"/>
            <w:tcBorders>
              <w:top w:val="single" w:sz="4" w:space="0" w:color="000000"/>
              <w:left w:val="single" w:sz="13" w:space="0" w:color="D3D3D3"/>
              <w:bottom w:val="single" w:sz="4" w:space="0" w:color="000000"/>
              <w:right w:val="single" w:sz="13" w:space="0" w:color="D3D3D3"/>
            </w:tcBorders>
          </w:tcPr>
          <w:p>
            <w:pPr>
              <w:pStyle w:val="TableParagraph"/>
              <w:spacing w:line="240" w:lineRule="auto" w:before="144"/>
              <w:ind w:right="11"/>
              <w:jc w:val="right"/>
              <w:rPr>
                <w:rFonts w:ascii="Times New Roman" w:hAnsi="Times New Roman" w:cs="Times New Roman" w:eastAsia="Times New Roman" w:hint="default"/>
                <w:sz w:val="18"/>
                <w:szCs w:val="18"/>
              </w:rPr>
            </w:pPr>
            <w:r>
              <w:rPr>
                <w:rFonts w:ascii="Times New Roman"/>
                <w:sz w:val="18"/>
              </w:rPr>
              <w:t>0</w:t>
            </w:r>
          </w:p>
        </w:tc>
        <w:tc>
          <w:tcPr>
            <w:tcW w:w="211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0" w:right="101"/>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6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r>
      <w:tr>
        <w:trPr>
          <w:trHeight w:val="250" w:hRule="exact"/>
        </w:trPr>
        <w:tc>
          <w:tcPr>
            <w:tcW w:w="968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9"/>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491" w:hRule="exact"/>
        </w:trPr>
        <w:tc>
          <w:tcPr>
            <w:tcW w:w="26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62" w:type="dxa"/>
            <w:gridSpan w:val="2"/>
            <w:tcBorders>
              <w:top w:val="single" w:sz="4" w:space="0" w:color="000000"/>
              <w:left w:val="single" w:sz="13" w:space="0" w:color="D3D3D3"/>
              <w:bottom w:val="single" w:sz="4" w:space="0" w:color="000000"/>
              <w:right w:val="single" w:sz="13" w:space="0" w:color="D3D3D3"/>
            </w:tcBorders>
          </w:tcPr>
          <w:p>
            <w:pPr>
              <w:pStyle w:val="TableParagraph"/>
              <w:spacing w:line="240" w:lineRule="auto" w:before="145"/>
              <w:ind w:right="10"/>
              <w:jc w:val="right"/>
              <w:rPr>
                <w:rFonts w:ascii="Times New Roman" w:hAnsi="Times New Roman" w:cs="Times New Roman" w:eastAsia="Times New Roman" w:hint="default"/>
                <w:sz w:val="18"/>
                <w:szCs w:val="18"/>
              </w:rPr>
            </w:pPr>
            <w:r>
              <w:rPr>
                <w:rFonts w:ascii="Times New Roman"/>
                <w:sz w:val="18"/>
              </w:rPr>
              <w:t>14,600</w:t>
            </w:r>
          </w:p>
        </w:tc>
        <w:tc>
          <w:tcPr>
            <w:tcW w:w="211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20" w:right="101"/>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6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4,500</w:t>
            </w:r>
          </w:p>
        </w:tc>
      </w:tr>
      <w:tr>
        <w:trPr>
          <w:trHeight w:val="490" w:hRule="exact"/>
        </w:trPr>
        <w:tc>
          <w:tcPr>
            <w:tcW w:w="26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62" w:type="dxa"/>
            <w:gridSpan w:val="2"/>
            <w:tcBorders>
              <w:top w:val="single" w:sz="4" w:space="0" w:color="000000"/>
              <w:left w:val="single" w:sz="13" w:space="0" w:color="D3D3D3"/>
              <w:bottom w:val="single" w:sz="4" w:space="0" w:color="000000"/>
              <w:right w:val="single" w:sz="13" w:space="0" w:color="D3D3D3"/>
            </w:tcBorders>
          </w:tcPr>
          <w:p>
            <w:pPr>
              <w:pStyle w:val="TableParagraph"/>
              <w:spacing w:line="240" w:lineRule="auto" w:before="144"/>
              <w:ind w:right="10"/>
              <w:jc w:val="right"/>
              <w:rPr>
                <w:rFonts w:ascii="Times New Roman" w:hAnsi="Times New Roman" w:cs="Times New Roman" w:eastAsia="Times New Roman" w:hint="default"/>
                <w:sz w:val="18"/>
                <w:szCs w:val="18"/>
              </w:rPr>
            </w:pPr>
            <w:r>
              <w:rPr>
                <w:rFonts w:ascii="Times New Roman"/>
                <w:sz w:val="18"/>
              </w:rPr>
              <w:t>23,616</w:t>
            </w:r>
          </w:p>
        </w:tc>
        <w:tc>
          <w:tcPr>
            <w:tcW w:w="211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0" w:right="10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6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8,392.98</w:t>
            </w:r>
          </w:p>
        </w:tc>
      </w:tr>
      <w:tr>
        <w:trPr>
          <w:trHeight w:val="250" w:hRule="exact"/>
        </w:trPr>
        <w:tc>
          <w:tcPr>
            <w:tcW w:w="490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74" w:type="dxa"/>
            <w:gridSpan w:val="5"/>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4.66%</w:t>
            </w:r>
          </w:p>
        </w:tc>
      </w:tr>
      <w:tr>
        <w:trPr>
          <w:trHeight w:val="250" w:hRule="exact"/>
        </w:trPr>
        <w:tc>
          <w:tcPr>
            <w:tcW w:w="968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90" w:hRule="exact"/>
        </w:trPr>
        <w:tc>
          <w:tcPr>
            <w:tcW w:w="490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2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 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74" w:type="dxa"/>
            <w:gridSpan w:val="5"/>
            <w:tcBorders>
              <w:top w:val="single" w:sz="4" w:space="0" w:color="000000"/>
              <w:left w:val="single" w:sz="9" w:space="0" w:color="D3D3D3"/>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3,892.98</w:t>
            </w:r>
          </w:p>
        </w:tc>
      </w:tr>
      <w:tr>
        <w:trPr>
          <w:trHeight w:val="251" w:hRule="exact"/>
        </w:trPr>
        <w:tc>
          <w:tcPr>
            <w:tcW w:w="490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74" w:type="dxa"/>
            <w:gridSpan w:val="5"/>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3,892.98</w:t>
            </w:r>
          </w:p>
        </w:tc>
      </w:tr>
    </w:tbl>
    <w:p>
      <w:pPr>
        <w:pStyle w:val="BodyText"/>
        <w:spacing w:line="240" w:lineRule="auto" w:before="51"/>
        <w:ind w:right="0"/>
        <w:jc w:val="left"/>
      </w:pPr>
      <w:r>
        <w:rPr/>
        <w:t>采用复合方式担保的具体情况说明：无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after="0" w:line="338"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80" w:left="980" w:right="980"/>
          <w:cols w:num="2" w:equalWidth="0">
            <w:col w:w="1955" w:space="6784"/>
            <w:col w:w="12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8"/>
        <w:gridCol w:w="1958"/>
        <w:gridCol w:w="1981"/>
        <w:gridCol w:w="1909"/>
        <w:gridCol w:w="1850"/>
      </w:tblGrid>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24,846.26</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8,806.26</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461.87</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174.43</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25,308.13</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8,980.69</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单项金额重大或安全性较低、流动性较差、不保本的高风险委托理财具体情况</w:t>
      </w:r>
    </w:p>
    <w:p>
      <w:pPr>
        <w:pStyle w:val="BodyText"/>
        <w:spacing w:line="338" w:lineRule="auto" w:before="117"/>
        <w:ind w:right="47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547" w:lineRule="auto"/>
        <w:ind w:right="3136" w:firstLine="360"/>
        <w:jc w:val="left"/>
      </w:pPr>
      <w:r>
        <w:rPr/>
        <w:t>详见公司在巨潮资讯网</w:t>
      </w:r>
      <w:r>
        <w:rPr>
          <w:spacing w:val="-31"/>
        </w:rPr>
        <w:t> </w:t>
      </w:r>
      <w:hyperlink r:id="rId14">
        <w:r>
          <w:rPr>
            <w:rFonts w:ascii="Times New Roman" w:hAnsi="Times New Roman" w:cs="Times New Roman" w:eastAsia="Times New Roman" w:hint="default"/>
          </w:rPr>
          <w:t>http://www.cninfo.com.cn</w:t>
        </w:r>
        <w:r>
          <w:rPr/>
          <w:t>披露的</w:t>
        </w:r>
        <w:r>
          <w:rPr>
            <w:rFonts w:ascii="Times New Roman" w:hAnsi="Times New Roman" w:cs="Times New Roman" w:eastAsia="Times New Roman" w:hint="default"/>
          </w:rPr>
          <w:t>2017</w:t>
        </w:r>
        <w:r>
          <w:rPr/>
          <w:t>年度社会责任报告。</w:t>
        </w:r>
      </w:hyperlink>
      <w:r>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spacing w:val="1"/>
          <w:w w:val="99"/>
          <w:sz w:val="21"/>
          <w:szCs w:val="21"/>
        </w:rPr>
        <w:t> </w:t>
      </w:r>
      <w:r>
        <w:rPr/>
        <w:t>公司报告年度暂未开展精准扶贫工作，也暂无后续精准扶贫计划。</w:t>
      </w:r>
    </w:p>
    <w:p>
      <w:pPr>
        <w:pStyle w:val="Heading3"/>
        <w:spacing w:line="240" w:lineRule="auto" w:before="119"/>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4731"/>
        <w:jc w:val="left"/>
      </w:pPr>
      <w:r>
        <w:rPr/>
        <w:t>上市公司及其子公司是否属于环境保护部门公布的重点排污单位 否</w:t>
      </w:r>
    </w:p>
    <w:p>
      <w:pPr>
        <w:pStyle w:val="BodyText"/>
        <w:spacing w:line="240" w:lineRule="auto" w:before="28"/>
        <w:ind w:left="153" w:right="0"/>
        <w:jc w:val="left"/>
      </w:pPr>
      <w:r>
        <w:rPr/>
        <w:t>本公司及子公司不属于环境保护部门公布的重点排污单位。</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1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125"/>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25"/>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单位：股</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162"/>
        <w:gridCol w:w="1103"/>
        <w:gridCol w:w="764"/>
        <w:gridCol w:w="766"/>
        <w:gridCol w:w="764"/>
        <w:gridCol w:w="764"/>
        <w:gridCol w:w="763"/>
        <w:gridCol w:w="767"/>
        <w:gridCol w:w="1091"/>
        <w:gridCol w:w="737"/>
      </w:tblGrid>
      <w:tr>
        <w:trPr>
          <w:trHeight w:val="402" w:hRule="exact"/>
        </w:trPr>
        <w:tc>
          <w:tcPr>
            <w:tcW w:w="21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8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2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162" w:type="dxa"/>
            <w:vMerge w:val="restart"/>
            <w:tcBorders>
              <w:top w:val="nil" w:sz="6" w:space="0" w:color="auto"/>
              <w:left w:val="single" w:sz="4" w:space="0" w:color="000000"/>
              <w:right w:val="single" w:sz="4" w:space="0" w:color="000000"/>
            </w:tcBorders>
            <w:shd w:val="clear" w:color="auto" w:fill="D3D3D3"/>
          </w:tcPr>
          <w:p>
            <w:pPr/>
          </w:p>
        </w:tc>
        <w:tc>
          <w:tcPr>
            <w:tcW w:w="1103" w:type="dxa"/>
            <w:tcBorders>
              <w:top w:val="single" w:sz="4" w:space="0" w:color="000000"/>
              <w:left w:val="single" w:sz="4" w:space="0" w:color="000000"/>
              <w:bottom w:val="nil" w:sz="6" w:space="0" w:color="auto"/>
              <w:right w:val="single" w:sz="4" w:space="0" w:color="000000"/>
            </w:tcBorders>
            <w:shd w:val="clear" w:color="auto" w:fill="D3D3D3"/>
          </w:tcPr>
          <w:p>
            <w:pPr/>
          </w:p>
        </w:tc>
        <w:tc>
          <w:tcPr>
            <w:tcW w:w="76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7" w:right="107"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76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763" w:type="dxa"/>
            <w:tcBorders>
              <w:top w:val="single" w:sz="4" w:space="0" w:color="000000"/>
              <w:left w:val="single" w:sz="4" w:space="0" w:color="000000"/>
              <w:bottom w:val="nil" w:sz="6" w:space="0" w:color="auto"/>
              <w:right w:val="single" w:sz="4" w:space="0" w:color="000000"/>
            </w:tcBorders>
            <w:shd w:val="clear" w:color="auto" w:fill="D3D3D3"/>
          </w:tcPr>
          <w:p>
            <w:pPr/>
          </w:p>
        </w:tc>
        <w:tc>
          <w:tcPr>
            <w:tcW w:w="7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0" w:hRule="exact"/>
        </w:trPr>
        <w:tc>
          <w:tcPr>
            <w:tcW w:w="2162" w:type="dxa"/>
            <w:vMerge/>
            <w:tcBorders>
              <w:left w:val="single" w:sz="4" w:space="0" w:color="000000"/>
              <w:bottom w:val="nil" w:sz="6" w:space="0" w:color="auto"/>
              <w:right w:val="single" w:sz="4" w:space="0" w:color="000000"/>
            </w:tcBorders>
            <w:shd w:val="clear" w:color="auto" w:fill="D3D3D3"/>
          </w:tcPr>
          <w:p>
            <w:pPr/>
          </w:p>
        </w:tc>
        <w:tc>
          <w:tcPr>
            <w:tcW w:w="110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6" w:type="dxa"/>
            <w:vMerge/>
            <w:tcBorders>
              <w:left w:val="single" w:sz="4" w:space="0" w:color="000000"/>
              <w:right w:val="single" w:sz="4" w:space="0" w:color="000000"/>
            </w:tcBorders>
            <w:shd w:val="clear" w:color="auto" w:fill="D3D3D3"/>
          </w:tcPr>
          <w:p>
            <w:pPr/>
          </w:p>
        </w:tc>
        <w:tc>
          <w:tcPr>
            <w:tcW w:w="7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64" w:type="dxa"/>
            <w:vMerge/>
            <w:tcBorders>
              <w:left w:val="single" w:sz="4" w:space="0" w:color="000000"/>
              <w:right w:val="single" w:sz="4" w:space="0" w:color="000000"/>
            </w:tcBorders>
            <w:shd w:val="clear" w:color="auto" w:fill="D3D3D3"/>
          </w:tcPr>
          <w:p>
            <w:pPr/>
          </w:p>
        </w:tc>
        <w:tc>
          <w:tcPr>
            <w:tcW w:w="76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3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8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162" w:type="dxa"/>
            <w:vMerge w:val="restart"/>
            <w:tcBorders>
              <w:top w:val="nil" w:sz="6" w:space="0" w:color="auto"/>
              <w:left w:val="single" w:sz="4" w:space="0" w:color="000000"/>
              <w:right w:val="single" w:sz="4" w:space="0" w:color="000000"/>
            </w:tcBorders>
            <w:shd w:val="clear" w:color="auto" w:fill="D3D3D3"/>
          </w:tcPr>
          <w:p>
            <w:pPr/>
          </w:p>
        </w:tc>
        <w:tc>
          <w:tcPr>
            <w:tcW w:w="1103" w:type="dxa"/>
            <w:vMerge/>
            <w:tcBorders>
              <w:left w:val="single" w:sz="4" w:space="0" w:color="000000"/>
              <w:bottom w:val="nil" w:sz="6" w:space="0" w:color="auto"/>
              <w:right w:val="single" w:sz="4" w:space="0" w:color="000000"/>
            </w:tcBorders>
            <w:shd w:val="clear" w:color="auto" w:fill="D3D3D3"/>
          </w:tcPr>
          <w:p>
            <w:pPr/>
          </w:p>
        </w:tc>
        <w:tc>
          <w:tcPr>
            <w:tcW w:w="764" w:type="dxa"/>
            <w:vMerge/>
            <w:tcBorders>
              <w:left w:val="single" w:sz="4" w:space="0" w:color="000000"/>
              <w:bottom w:val="nil" w:sz="6" w:space="0" w:color="auto"/>
              <w:right w:val="single" w:sz="4" w:space="0" w:color="000000"/>
            </w:tcBorders>
            <w:shd w:val="clear" w:color="auto" w:fill="D3D3D3"/>
          </w:tcPr>
          <w:p>
            <w:pPr/>
          </w:p>
        </w:tc>
        <w:tc>
          <w:tcPr>
            <w:tcW w:w="766" w:type="dxa"/>
            <w:vMerge/>
            <w:tcBorders>
              <w:left w:val="single" w:sz="4" w:space="0" w:color="000000"/>
              <w:right w:val="single" w:sz="4" w:space="0" w:color="000000"/>
            </w:tcBorders>
            <w:shd w:val="clear" w:color="auto" w:fill="D3D3D3"/>
          </w:tcPr>
          <w:p>
            <w:pPr/>
          </w:p>
        </w:tc>
        <w:tc>
          <w:tcPr>
            <w:tcW w:w="764" w:type="dxa"/>
            <w:vMerge/>
            <w:tcBorders>
              <w:left w:val="single" w:sz="4" w:space="0" w:color="000000"/>
              <w:bottom w:val="nil" w:sz="6" w:space="0" w:color="auto"/>
              <w:right w:val="single" w:sz="4" w:space="0" w:color="000000"/>
            </w:tcBorders>
            <w:shd w:val="clear" w:color="auto" w:fill="D3D3D3"/>
          </w:tcPr>
          <w:p>
            <w:pPr/>
          </w:p>
        </w:tc>
        <w:tc>
          <w:tcPr>
            <w:tcW w:w="764" w:type="dxa"/>
            <w:vMerge/>
            <w:tcBorders>
              <w:left w:val="single" w:sz="4" w:space="0" w:color="000000"/>
              <w:right w:val="single" w:sz="4" w:space="0" w:color="000000"/>
            </w:tcBorders>
            <w:shd w:val="clear" w:color="auto" w:fill="D3D3D3"/>
          </w:tcPr>
          <w:p>
            <w:pPr/>
          </w:p>
        </w:tc>
        <w:tc>
          <w:tcPr>
            <w:tcW w:w="763" w:type="dxa"/>
            <w:vMerge/>
            <w:tcBorders>
              <w:left w:val="single" w:sz="4" w:space="0" w:color="000000"/>
              <w:bottom w:val="nil" w:sz="6" w:space="0" w:color="auto"/>
              <w:right w:val="single" w:sz="4" w:space="0" w:color="000000"/>
            </w:tcBorders>
            <w:shd w:val="clear" w:color="auto" w:fill="D3D3D3"/>
          </w:tcPr>
          <w:p>
            <w:pPr/>
          </w:p>
        </w:tc>
        <w:tc>
          <w:tcPr>
            <w:tcW w:w="767" w:type="dxa"/>
            <w:vMerge/>
            <w:tcBorders>
              <w:left w:val="single" w:sz="4" w:space="0" w:color="000000"/>
              <w:bottom w:val="nil" w:sz="6" w:space="0" w:color="auto"/>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737"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162" w:type="dxa"/>
            <w:vMerge/>
            <w:tcBorders>
              <w:left w:val="single" w:sz="4" w:space="0" w:color="000000"/>
              <w:bottom w:val="single" w:sz="4" w:space="0" w:color="000000"/>
              <w:right w:val="single" w:sz="4" w:space="0" w:color="000000"/>
            </w:tcBorders>
            <w:shd w:val="clear" w:color="auto" w:fill="D3D3D3"/>
          </w:tcPr>
          <w:p>
            <w:pPr/>
          </w:p>
        </w:tc>
        <w:tc>
          <w:tcPr>
            <w:tcW w:w="1103" w:type="dxa"/>
            <w:tcBorders>
              <w:top w:val="nil" w:sz="6" w:space="0" w:color="auto"/>
              <w:left w:val="single" w:sz="4" w:space="0" w:color="000000"/>
              <w:bottom w:val="single" w:sz="4" w:space="0" w:color="000000"/>
              <w:right w:val="single" w:sz="4" w:space="0" w:color="000000"/>
            </w:tcBorders>
            <w:shd w:val="clear" w:color="auto" w:fill="D3D3D3"/>
          </w:tcPr>
          <w:p>
            <w:pPr/>
          </w:p>
        </w:tc>
        <w:tc>
          <w:tcPr>
            <w:tcW w:w="76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6" w:type="dxa"/>
            <w:vMerge/>
            <w:tcBorders>
              <w:left w:val="single" w:sz="4" w:space="0" w:color="000000"/>
              <w:bottom w:val="single" w:sz="4" w:space="0" w:color="000000"/>
              <w:right w:val="single" w:sz="4" w:space="0" w:color="000000"/>
            </w:tcBorders>
            <w:shd w:val="clear" w:color="auto" w:fill="D3D3D3"/>
          </w:tcPr>
          <w:p>
            <w:pPr/>
          </w:p>
        </w:tc>
        <w:tc>
          <w:tcPr>
            <w:tcW w:w="76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nil" w:sz="6" w:space="0" w:color="auto"/>
              <w:left w:val="single" w:sz="4" w:space="0" w:color="000000"/>
              <w:bottom w:val="single" w:sz="4" w:space="0" w:color="000000"/>
              <w:right w:val="single" w:sz="4" w:space="0" w:color="000000"/>
            </w:tcBorders>
            <w:shd w:val="clear" w:color="auto" w:fill="D3D3D3"/>
          </w:tcPr>
          <w:p>
            <w:pPr/>
          </w:p>
        </w:tc>
        <w:tc>
          <w:tcPr>
            <w:tcW w:w="7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530,428,865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52.12%</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-115,613</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-115,613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530,313,252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52.11%</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529,966,415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52.07%</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529,966,415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52.07%</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462,450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-115,613</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-115,613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346,837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39"/>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462,450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-115,613</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-115,613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346,837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39"/>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487,269,545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47.88%</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115,613</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115,613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487,385,158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47.89%</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487,269,545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47.88%</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115,613</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115,613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487,385,158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47.89%</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1,017,698,410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1,017,698,410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125"/>
        <w:jc w:val="left"/>
      </w:pPr>
      <w:r>
        <w:rPr/>
        <w:t>股份变动的原因</w:t>
      </w:r>
    </w:p>
    <w:p>
      <w:pPr>
        <w:pStyle w:val="BodyText"/>
        <w:spacing w:line="240" w:lineRule="auto" w:before="117"/>
        <w:ind w:right="1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53" w:right="83" w:firstLine="420"/>
        <w:jc w:val="left"/>
      </w:pPr>
      <w:r>
        <w:rPr>
          <w:spacing w:val="-2"/>
        </w:rPr>
        <w:t>截至上一报告期末，公司高级管理人员共持有</w:t>
      </w:r>
      <w:r>
        <w:rPr>
          <w:rFonts w:ascii="Times New Roman" w:hAnsi="Times New Roman" w:cs="Times New Roman" w:eastAsia="Times New Roman" w:hint="default"/>
          <w:spacing w:val="-2"/>
        </w:rPr>
        <w:t>462,450</w:t>
      </w:r>
      <w:r>
        <w:rPr>
          <w:spacing w:val="-2"/>
        </w:rPr>
        <w:t>股（均为高管锁定限售股），根据相关规定，本报告期解锁</w:t>
      </w:r>
      <w:r>
        <w:rPr>
          <w:rFonts w:ascii="Times New Roman" w:hAnsi="Times New Roman" w:cs="Times New Roman" w:eastAsia="Times New Roman" w:hint="default"/>
          <w:spacing w:val="-2"/>
        </w:rPr>
        <w:t>25%</w:t>
      </w:r>
      <w:r>
        <w:rPr>
          <w:spacing w:val="-2"/>
        </w:rPr>
        <w:t>，</w:t>
      </w:r>
      <w:r>
        <w:rPr/>
        <w:t> 即</w:t>
      </w:r>
      <w:r>
        <w:rPr>
          <w:rFonts w:ascii="Times New Roman" w:hAnsi="Times New Roman" w:cs="Times New Roman" w:eastAsia="Times New Roman" w:hint="default"/>
        </w:rPr>
        <w:t>115,613</w:t>
      </w:r>
      <w:r>
        <w:rPr/>
        <w:t>股。</w:t>
      </w:r>
    </w:p>
    <w:p>
      <w:pPr>
        <w:pStyle w:val="BodyText"/>
        <w:spacing w:line="240" w:lineRule="auto" w:before="53"/>
        <w:ind w:left="153" w:right="125"/>
        <w:jc w:val="left"/>
      </w:pPr>
      <w:r>
        <w:rPr/>
        <w:t>股份变动的批准情况</w:t>
      </w:r>
    </w:p>
    <w:p>
      <w:pPr>
        <w:pStyle w:val="BodyText"/>
        <w:spacing w:line="338" w:lineRule="auto" w:before="117"/>
        <w:ind w:left="153" w:right="81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58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spacing w:after="0" w:line="338"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1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25"/>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91"/>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01"/>
        <w:jc w:val="right"/>
      </w:pPr>
      <w:r>
        <w:rPr/>
        <w:pict>
          <v:shape style="position:absolute;margin-left:55.080002pt;margin-top:-52.148045pt;width:484.85pt;height:248.3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6"/>
                    <w:gridCol w:w="1039"/>
                    <w:gridCol w:w="864"/>
                    <w:gridCol w:w="850"/>
                    <w:gridCol w:w="1276"/>
                    <w:gridCol w:w="994"/>
                    <w:gridCol w:w="3274"/>
                  </w:tblGrid>
                  <w:tr>
                    <w:trPr>
                      <w:trHeight w:val="714" w:hRule="exact"/>
                    </w:trPr>
                    <w:tc>
                      <w:tcPr>
                        <w:tcW w:w="1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23" w:right="65"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7" w:right="65"/>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 w:right="59"/>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3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98"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杭州日报报业集 团有限公司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489,771,977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489,771,977</w:t>
                        </w:r>
                      </w:p>
                    </w:tc>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首发后机构 类限售股</w:t>
                        </w:r>
                      </w:p>
                    </w:tc>
                    <w:tc>
                      <w:tcPr>
                        <w:tcW w:w="32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367,328,983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股已于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日上市</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流通，其余</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122,442,994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股处于限售状态</w:t>
                        </w:r>
                      </w:p>
                    </w:tc>
                  </w:tr>
                  <w:tr>
                    <w:trPr>
                      <w:trHeight w:val="714" w:hRule="exact"/>
                    </w:trPr>
                    <w:tc>
                      <w:tcPr>
                        <w:tcW w:w="1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40,194,438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40,194,438</w:t>
                        </w:r>
                      </w:p>
                    </w:tc>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首发后机构 类限售股</w:t>
                        </w:r>
                      </w:p>
                    </w:tc>
                    <w:tc>
                      <w:tcPr>
                        <w:tcW w:w="32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30,145,828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日上市</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流通，其余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10,048,610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股处于限售状态。</w:t>
                        </w:r>
                      </w:p>
                    </w:tc>
                  </w:tr>
                  <w:tr>
                    <w:trPr>
                      <w:trHeight w:val="402" w:hRule="exact"/>
                    </w:trPr>
                    <w:tc>
                      <w:tcPr>
                        <w:tcW w:w="1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76,275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57,206</w:t>
                        </w:r>
                      </w:p>
                    </w:tc>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36"/>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2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77,175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57,881</w:t>
                        </w:r>
                      </w:p>
                    </w:tc>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36"/>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2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77,325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57,994</w:t>
                        </w:r>
                      </w:p>
                    </w:tc>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36"/>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2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76,875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57,656</w:t>
                        </w:r>
                      </w:p>
                    </w:tc>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36"/>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2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77,100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57,825</w:t>
                        </w:r>
                      </w:p>
                    </w:tc>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36"/>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2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58,275</w:t>
                        </w:r>
                      </w:p>
                    </w:tc>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36"/>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2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530,428,865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115,613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530,313,252</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2"/>
        <w:spacing w:line="240" w:lineRule="auto" w:before="26"/>
        <w:ind w:right="125"/>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25"/>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25"/>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125"/>
        <w:jc w:val="left"/>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0" w:right="101"/>
        <w:jc w:val="right"/>
      </w:pPr>
      <w:r>
        <w:rPr/>
        <w:pict>
          <v:shape style="position:absolute;margin-left:55.080002pt;margin-top:-318.108032pt;width:486.55pt;height:591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65"/>
                    <w:gridCol w:w="220"/>
                    <w:gridCol w:w="901"/>
                    <w:gridCol w:w="428"/>
                    <w:gridCol w:w="776"/>
                    <w:gridCol w:w="928"/>
                    <w:gridCol w:w="390"/>
                    <w:gridCol w:w="536"/>
                    <w:gridCol w:w="956"/>
                    <w:gridCol w:w="224"/>
                    <w:gridCol w:w="641"/>
                    <w:gridCol w:w="407"/>
                    <w:gridCol w:w="859"/>
                    <w:gridCol w:w="364"/>
                    <w:gridCol w:w="899"/>
                  </w:tblGrid>
                  <w:tr>
                    <w:trPr>
                      <w:trHeight w:val="126" w:hRule="exact"/>
                    </w:trPr>
                    <w:tc>
                      <w:tcPr>
                        <w:tcW w:w="1165" w:type="dxa"/>
                        <w:vMerge w:val="restart"/>
                        <w:tcBorders>
                          <w:top w:val="single" w:sz="4" w:space="0" w:color="000000"/>
                          <w:left w:val="single" w:sz="4" w:space="0" w:color="000000"/>
                          <w:right w:val="single" w:sz="4" w:space="0" w:color="000000"/>
                        </w:tcBorders>
                        <w:shd w:val="clear" w:color="auto" w:fill="D3D3D3"/>
                      </w:tcPr>
                      <w:p>
                        <w:pPr/>
                      </w:p>
                    </w:tc>
                    <w:tc>
                      <w:tcPr>
                        <w:tcW w:w="1120" w:type="dxa"/>
                        <w:gridSpan w:val="2"/>
                        <w:vMerge w:val="restart"/>
                        <w:tcBorders>
                          <w:top w:val="single" w:sz="4" w:space="0" w:color="000000"/>
                          <w:left w:val="single" w:sz="9" w:space="0" w:color="D3D3D3"/>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45,994</w:t>
                        </w:r>
                      </w:p>
                    </w:tc>
                    <w:tc>
                      <w:tcPr>
                        <w:tcW w:w="1204"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318" w:type="dxa"/>
                        <w:gridSpan w:val="2"/>
                        <w:vMerge w:val="restart"/>
                        <w:tcBorders>
                          <w:top w:val="single" w:sz="4" w:space="0" w:color="000000"/>
                          <w:left w:val="single" w:sz="13"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43,860</w:t>
                        </w:r>
                      </w:p>
                    </w:tc>
                    <w:tc>
                      <w:tcPr>
                        <w:tcW w:w="1717" w:type="dxa"/>
                        <w:gridSpan w:val="3"/>
                        <w:vMerge w:val="restart"/>
                        <w:tcBorders>
                          <w:top w:val="single" w:sz="4" w:space="0" w:color="000000"/>
                          <w:left w:val="single" w:sz="4" w:space="0" w:color="000000"/>
                          <w:right w:val="single" w:sz="4" w:space="0" w:color="000000"/>
                        </w:tcBorders>
                        <w:shd w:val="clear" w:color="auto" w:fill="D3D3D3"/>
                      </w:tcPr>
                      <w:p>
                        <w:pPr/>
                      </w:p>
                    </w:tc>
                    <w:tc>
                      <w:tcPr>
                        <w:tcW w:w="1048" w:type="dxa"/>
                        <w:gridSpan w:val="2"/>
                        <w:vMerge w:val="restart"/>
                        <w:tcBorders>
                          <w:top w:val="single" w:sz="4" w:space="0" w:color="000000"/>
                          <w:left w:val="single" w:sz="9"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22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1"/>
                          <w:ind w:left="11" w:right="119"/>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数</w:t>
                        </w:r>
                      </w:p>
                    </w:tc>
                    <w:tc>
                      <w:tcPr>
                        <w:tcW w:w="899"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240" w:hRule="exact"/>
                    </w:trPr>
                    <w:tc>
                      <w:tcPr>
                        <w:tcW w:w="1165" w:type="dxa"/>
                        <w:vMerge/>
                        <w:tcBorders>
                          <w:left w:val="single" w:sz="4" w:space="0" w:color="000000"/>
                          <w:bottom w:val="nil" w:sz="6" w:space="0" w:color="auto"/>
                          <w:right w:val="single" w:sz="4" w:space="0" w:color="000000"/>
                        </w:tcBorders>
                        <w:shd w:val="clear" w:color="auto" w:fill="D3D3D3"/>
                      </w:tcPr>
                      <w:p>
                        <w:pPr/>
                      </w:p>
                    </w:tc>
                    <w:tc>
                      <w:tcPr>
                        <w:tcW w:w="1120" w:type="dxa"/>
                        <w:gridSpan w:val="2"/>
                        <w:vMerge/>
                        <w:tcBorders>
                          <w:left w:val="single" w:sz="9" w:space="0" w:color="D3D3D3"/>
                          <w:right w:val="single" w:sz="13" w:space="0" w:color="D3D3D3"/>
                        </w:tcBorders>
                      </w:tcPr>
                      <w:p>
                        <w:pPr/>
                      </w:p>
                    </w:tc>
                    <w:tc>
                      <w:tcPr>
                        <w:tcW w:w="1204"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ind w:left="11" w:right="10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318" w:type="dxa"/>
                        <w:gridSpan w:val="2"/>
                        <w:vMerge/>
                        <w:tcBorders>
                          <w:left w:val="single" w:sz="13" w:space="0" w:color="D3D3D3"/>
                          <w:right w:val="single" w:sz="9" w:space="0" w:color="D3D3D3"/>
                        </w:tcBorders>
                      </w:tcPr>
                      <w:p>
                        <w:pPr/>
                      </w:p>
                    </w:tc>
                    <w:tc>
                      <w:tcPr>
                        <w:tcW w:w="1717" w:type="dxa"/>
                        <w:gridSpan w:val="3"/>
                        <w:vMerge/>
                        <w:tcBorders>
                          <w:left w:val="single" w:sz="4" w:space="0" w:color="000000"/>
                          <w:bottom w:val="nil" w:sz="6" w:space="0" w:color="auto"/>
                          <w:right w:val="single" w:sz="4" w:space="0" w:color="000000"/>
                        </w:tcBorders>
                        <w:shd w:val="clear" w:color="auto" w:fill="D3D3D3"/>
                      </w:tcPr>
                      <w:p>
                        <w:pPr/>
                      </w:p>
                    </w:tc>
                    <w:tc>
                      <w:tcPr>
                        <w:tcW w:w="1048" w:type="dxa"/>
                        <w:gridSpan w:val="2"/>
                        <w:vMerge/>
                        <w:tcBorders>
                          <w:left w:val="single" w:sz="9" w:space="0" w:color="D3D3D3"/>
                          <w:right w:val="single" w:sz="9" w:space="0" w:color="D3D3D3"/>
                        </w:tcBorders>
                      </w:tcPr>
                      <w:p>
                        <w:pPr/>
                      </w:p>
                    </w:tc>
                    <w:tc>
                      <w:tcPr>
                        <w:tcW w:w="1222" w:type="dxa"/>
                        <w:gridSpan w:val="2"/>
                        <w:vMerge/>
                        <w:tcBorders>
                          <w:left w:val="single" w:sz="4" w:space="0" w:color="000000"/>
                          <w:right w:val="single" w:sz="4" w:space="0" w:color="000000"/>
                        </w:tcBorders>
                        <w:shd w:val="clear" w:color="auto" w:fill="D3D3D3"/>
                      </w:tcPr>
                      <w:p>
                        <w:pPr/>
                      </w:p>
                    </w:tc>
                    <w:tc>
                      <w:tcPr>
                        <w:tcW w:w="899" w:type="dxa"/>
                        <w:vMerge/>
                        <w:tcBorders>
                          <w:left w:val="single" w:sz="10" w:space="0" w:color="D3D3D3"/>
                          <w:right w:val="single" w:sz="4" w:space="0" w:color="000000"/>
                        </w:tcBorders>
                      </w:tcPr>
                      <w:p>
                        <w:pPr/>
                      </w:p>
                    </w:tc>
                  </w:tr>
                  <w:tr>
                    <w:trPr>
                      <w:trHeight w:val="480" w:hRule="exact"/>
                    </w:trPr>
                    <w:tc>
                      <w:tcPr>
                        <w:tcW w:w="116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exact"/>
                          <w:ind w:left="22" w:right="5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20" w:type="dxa"/>
                        <w:gridSpan w:val="2"/>
                        <w:vMerge/>
                        <w:tcBorders>
                          <w:left w:val="single" w:sz="9" w:space="0" w:color="D3D3D3"/>
                          <w:right w:val="single" w:sz="13" w:space="0" w:color="D3D3D3"/>
                        </w:tcBorders>
                      </w:tcPr>
                      <w:p>
                        <w:pPr/>
                      </w:p>
                    </w:tc>
                    <w:tc>
                      <w:tcPr>
                        <w:tcW w:w="1204" w:type="dxa"/>
                        <w:gridSpan w:val="2"/>
                        <w:vMerge/>
                        <w:tcBorders>
                          <w:left w:val="single" w:sz="4" w:space="0" w:color="000000"/>
                          <w:right w:val="single" w:sz="4" w:space="0" w:color="000000"/>
                        </w:tcBorders>
                        <w:shd w:val="clear" w:color="auto" w:fill="D3D3D3"/>
                      </w:tcPr>
                      <w:p>
                        <w:pPr/>
                      </w:p>
                    </w:tc>
                    <w:tc>
                      <w:tcPr>
                        <w:tcW w:w="1318" w:type="dxa"/>
                        <w:gridSpan w:val="2"/>
                        <w:vMerge/>
                        <w:tcBorders>
                          <w:left w:val="single" w:sz="13" w:space="0" w:color="D3D3D3"/>
                          <w:right w:val="single" w:sz="9" w:space="0" w:color="D3D3D3"/>
                        </w:tcBorders>
                      </w:tcPr>
                      <w:p>
                        <w:pPr/>
                      </w:p>
                    </w:tc>
                    <w:tc>
                      <w:tcPr>
                        <w:tcW w:w="1717"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exact"/>
                          <w:ind w:left="22" w:right="62"/>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tc>
                    <w:tc>
                      <w:tcPr>
                        <w:tcW w:w="1048" w:type="dxa"/>
                        <w:gridSpan w:val="2"/>
                        <w:vMerge/>
                        <w:tcBorders>
                          <w:left w:val="single" w:sz="9" w:space="0" w:color="D3D3D3"/>
                          <w:right w:val="single" w:sz="9" w:space="0" w:color="D3D3D3"/>
                        </w:tcBorders>
                      </w:tcPr>
                      <w:p>
                        <w:pPr/>
                      </w:p>
                    </w:tc>
                    <w:tc>
                      <w:tcPr>
                        <w:tcW w:w="1222" w:type="dxa"/>
                        <w:gridSpan w:val="2"/>
                        <w:vMerge/>
                        <w:tcBorders>
                          <w:left w:val="single" w:sz="4" w:space="0" w:color="000000"/>
                          <w:right w:val="single" w:sz="4" w:space="0" w:color="000000"/>
                        </w:tcBorders>
                        <w:shd w:val="clear" w:color="auto" w:fill="D3D3D3"/>
                      </w:tcPr>
                      <w:p>
                        <w:pPr/>
                      </w:p>
                    </w:tc>
                    <w:tc>
                      <w:tcPr>
                        <w:tcW w:w="899" w:type="dxa"/>
                        <w:vMerge/>
                        <w:tcBorders>
                          <w:left w:val="single" w:sz="10" w:space="0" w:color="D3D3D3"/>
                          <w:right w:val="single" w:sz="4" w:space="0" w:color="000000"/>
                        </w:tcBorders>
                      </w:tcPr>
                      <w:p>
                        <w:pPr/>
                      </w:p>
                    </w:tc>
                  </w:tr>
                  <w:tr>
                    <w:trPr>
                      <w:trHeight w:val="365" w:hRule="exact"/>
                    </w:trPr>
                    <w:tc>
                      <w:tcPr>
                        <w:tcW w:w="116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20" w:type="dxa"/>
                        <w:gridSpan w:val="2"/>
                        <w:vMerge/>
                        <w:tcBorders>
                          <w:left w:val="single" w:sz="9" w:space="0" w:color="D3D3D3"/>
                          <w:bottom w:val="single" w:sz="4" w:space="0" w:color="000000"/>
                          <w:right w:val="single" w:sz="13" w:space="0" w:color="D3D3D3"/>
                        </w:tcBorders>
                      </w:tcPr>
                      <w:p>
                        <w:pPr/>
                      </w:p>
                    </w:tc>
                    <w:tc>
                      <w:tcPr>
                        <w:tcW w:w="1204" w:type="dxa"/>
                        <w:gridSpan w:val="2"/>
                        <w:vMerge/>
                        <w:tcBorders>
                          <w:left w:val="single" w:sz="4" w:space="0" w:color="000000"/>
                          <w:bottom w:val="single" w:sz="4" w:space="0" w:color="000000"/>
                          <w:right w:val="single" w:sz="4" w:space="0" w:color="000000"/>
                        </w:tcBorders>
                        <w:shd w:val="clear" w:color="auto" w:fill="D3D3D3"/>
                      </w:tcPr>
                      <w:p>
                        <w:pPr/>
                      </w:p>
                    </w:tc>
                    <w:tc>
                      <w:tcPr>
                        <w:tcW w:w="1318" w:type="dxa"/>
                        <w:gridSpan w:val="2"/>
                        <w:vMerge/>
                        <w:tcBorders>
                          <w:left w:val="single" w:sz="13" w:space="0" w:color="D3D3D3"/>
                          <w:bottom w:val="single" w:sz="4" w:space="0" w:color="000000"/>
                          <w:right w:val="single" w:sz="9" w:space="0" w:color="D3D3D3"/>
                        </w:tcBorders>
                      </w:tcPr>
                      <w:p>
                        <w:pPr/>
                      </w:p>
                    </w:tc>
                    <w:tc>
                      <w:tcPr>
                        <w:tcW w:w="1717"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1048" w:type="dxa"/>
                        <w:gridSpan w:val="2"/>
                        <w:vMerge/>
                        <w:tcBorders>
                          <w:left w:val="single" w:sz="9" w:space="0" w:color="D3D3D3"/>
                          <w:bottom w:val="single" w:sz="4" w:space="0" w:color="000000"/>
                          <w:right w:val="single" w:sz="9" w:space="0" w:color="D3D3D3"/>
                        </w:tcBorders>
                      </w:tcPr>
                      <w:p>
                        <w:pPr/>
                      </w:p>
                    </w:tc>
                    <w:tc>
                      <w:tcPr>
                        <w:tcW w:w="1222" w:type="dxa"/>
                        <w:gridSpan w:val="2"/>
                        <w:vMerge/>
                        <w:tcBorders>
                          <w:left w:val="single" w:sz="4" w:space="0" w:color="000000"/>
                          <w:bottom w:val="single" w:sz="4" w:space="0" w:color="000000"/>
                          <w:right w:val="single" w:sz="4" w:space="0" w:color="000000"/>
                        </w:tcBorders>
                        <w:shd w:val="clear" w:color="auto" w:fill="D3D3D3"/>
                      </w:tcPr>
                      <w:p>
                        <w:pPr/>
                      </w:p>
                    </w:tc>
                    <w:tc>
                      <w:tcPr>
                        <w:tcW w:w="899" w:type="dxa"/>
                        <w:vMerge/>
                        <w:tcBorders>
                          <w:left w:val="single" w:sz="10" w:space="0" w:color="D3D3D3"/>
                          <w:bottom w:val="single" w:sz="4" w:space="0" w:color="000000"/>
                          <w:right w:val="single" w:sz="4" w:space="0" w:color="000000"/>
                        </w:tcBorders>
                      </w:tcPr>
                      <w:p>
                        <w:pPr/>
                      </w:p>
                    </w:tc>
                  </w:tr>
                  <w:tr>
                    <w:trPr>
                      <w:trHeight w:val="250" w:hRule="exact"/>
                    </w:trPr>
                    <w:tc>
                      <w:tcPr>
                        <w:tcW w:w="9694"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31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25" w:hRule="exact"/>
                    </w:trPr>
                    <w:tc>
                      <w:tcPr>
                        <w:tcW w:w="1385" w:type="dxa"/>
                        <w:gridSpan w:val="2"/>
                        <w:vMerge w:val="restart"/>
                        <w:tcBorders>
                          <w:top w:val="single" w:sz="4" w:space="0" w:color="000000"/>
                          <w:left w:val="single" w:sz="4" w:space="0" w:color="000000"/>
                          <w:right w:val="single" w:sz="4" w:space="0" w:color="000000"/>
                        </w:tcBorders>
                        <w:shd w:val="clear" w:color="auto" w:fill="D3D3D3"/>
                      </w:tcPr>
                      <w:p>
                        <w:pPr/>
                      </w:p>
                    </w:tc>
                    <w:tc>
                      <w:tcPr>
                        <w:tcW w:w="1328" w:type="dxa"/>
                        <w:gridSpan w:val="2"/>
                        <w:vMerge w:val="restart"/>
                        <w:tcBorders>
                          <w:top w:val="single" w:sz="4" w:space="0" w:color="000000"/>
                          <w:left w:val="single" w:sz="4" w:space="0" w:color="000000"/>
                          <w:right w:val="single" w:sz="4" w:space="0" w:color="000000"/>
                        </w:tcBorders>
                        <w:shd w:val="clear" w:color="auto" w:fill="D3D3D3"/>
                      </w:tcPr>
                      <w:p>
                        <w:pPr/>
                      </w:p>
                    </w:tc>
                    <w:tc>
                      <w:tcPr>
                        <w:tcW w:w="776" w:type="dxa"/>
                        <w:tcBorders>
                          <w:top w:val="single" w:sz="4" w:space="0" w:color="000000"/>
                          <w:left w:val="single" w:sz="4" w:space="0" w:color="000000"/>
                          <w:bottom w:val="nil" w:sz="6" w:space="0" w:color="auto"/>
                          <w:right w:val="single" w:sz="4" w:space="0" w:color="000000"/>
                        </w:tcBorders>
                        <w:shd w:val="clear" w:color="auto" w:fill="D3D3D3"/>
                      </w:tcPr>
                      <w:p>
                        <w:pPr/>
                      </w:p>
                    </w:tc>
                    <w:tc>
                      <w:tcPr>
                        <w:tcW w:w="928" w:type="dxa"/>
                        <w:tcBorders>
                          <w:top w:val="single" w:sz="4" w:space="0" w:color="000000"/>
                          <w:left w:val="single" w:sz="4" w:space="0" w:color="000000"/>
                          <w:bottom w:val="nil" w:sz="6" w:space="0" w:color="auto"/>
                          <w:right w:val="single" w:sz="4" w:space="0" w:color="000000"/>
                        </w:tcBorders>
                        <w:shd w:val="clear" w:color="auto" w:fill="D3D3D3"/>
                      </w:tcPr>
                      <w:p>
                        <w:pPr/>
                      </w:p>
                    </w:tc>
                    <w:tc>
                      <w:tcPr>
                        <w:tcW w:w="9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left="98" w:right="96"/>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left="22" w:right="23"/>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86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left="67" w:right="6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528"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17" w:lineRule="exact"/>
                          <w:ind w:left="62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2" w:hRule="exact"/>
                    </w:trPr>
                    <w:tc>
                      <w:tcPr>
                        <w:tcW w:w="1385" w:type="dxa"/>
                        <w:gridSpan w:val="2"/>
                        <w:vMerge/>
                        <w:tcBorders>
                          <w:left w:val="single" w:sz="4" w:space="0" w:color="000000"/>
                          <w:bottom w:val="nil" w:sz="6" w:space="0" w:color="auto"/>
                          <w:right w:val="single" w:sz="4" w:space="0" w:color="000000"/>
                        </w:tcBorders>
                        <w:shd w:val="clear" w:color="auto" w:fill="D3D3D3"/>
                      </w:tcPr>
                      <w:p>
                        <w:pPr/>
                      </w:p>
                    </w:tc>
                    <w:tc>
                      <w:tcPr>
                        <w:tcW w:w="1328" w:type="dxa"/>
                        <w:gridSpan w:val="2"/>
                        <w:vMerge/>
                        <w:tcBorders>
                          <w:left w:val="single" w:sz="4" w:space="0" w:color="000000"/>
                          <w:bottom w:val="nil" w:sz="6" w:space="0" w:color="auto"/>
                          <w:right w:val="single" w:sz="4" w:space="0" w:color="000000"/>
                        </w:tcBorders>
                        <w:shd w:val="clear" w:color="auto" w:fill="D3D3D3"/>
                      </w:tcPr>
                      <w:p>
                        <w:pPr/>
                      </w:p>
                    </w:tc>
                    <w:tc>
                      <w:tcPr>
                        <w:tcW w:w="77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ind w:left="279" w:right="12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ind w:left="175" w:right="2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26" w:type="dxa"/>
                        <w:gridSpan w:val="2"/>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865" w:type="dxa"/>
                        <w:gridSpan w:val="2"/>
                        <w:vMerge/>
                        <w:tcBorders>
                          <w:left w:val="single" w:sz="4" w:space="0" w:color="000000"/>
                          <w:right w:val="single" w:sz="4" w:space="0" w:color="000000"/>
                        </w:tcBorders>
                        <w:shd w:val="clear" w:color="auto" w:fill="D3D3D3"/>
                      </w:tcPr>
                      <w:p>
                        <w:pPr/>
                      </w:p>
                    </w:tc>
                    <w:tc>
                      <w:tcPr>
                        <w:tcW w:w="2528" w:type="dxa"/>
                        <w:gridSpan w:val="4"/>
                        <w:vMerge/>
                        <w:tcBorders>
                          <w:left w:val="single" w:sz="4" w:space="0" w:color="000000"/>
                          <w:bottom w:val="single" w:sz="4" w:space="0" w:color="000000"/>
                          <w:right w:val="single" w:sz="4" w:space="0" w:color="000000"/>
                        </w:tcBorders>
                        <w:shd w:val="clear" w:color="auto" w:fill="D3D3D3"/>
                      </w:tcPr>
                      <w:p>
                        <w:pPr/>
                      </w:p>
                    </w:tc>
                  </w:tr>
                  <w:tr>
                    <w:trPr>
                      <w:trHeight w:val="208" w:hRule="exact"/>
                    </w:trPr>
                    <w:tc>
                      <w:tcPr>
                        <w:tcW w:w="1385"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86" w:lineRule="exact"/>
                          <w:ind w:left="32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28"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86" w:lineRule="exact"/>
                          <w:ind w:left="29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76" w:type="dxa"/>
                        <w:vMerge/>
                        <w:tcBorders>
                          <w:left w:val="single" w:sz="4" w:space="0" w:color="000000"/>
                          <w:right w:val="single" w:sz="4" w:space="0" w:color="000000"/>
                        </w:tcBorders>
                        <w:shd w:val="clear" w:color="auto" w:fill="D3D3D3"/>
                      </w:tcPr>
                      <w:p>
                        <w:pPr/>
                      </w:p>
                    </w:tc>
                    <w:tc>
                      <w:tcPr>
                        <w:tcW w:w="928" w:type="dxa"/>
                        <w:vMerge/>
                        <w:tcBorders>
                          <w:left w:val="single" w:sz="4" w:space="0" w:color="000000"/>
                          <w:right w:val="single" w:sz="4" w:space="0" w:color="000000"/>
                        </w:tcBorders>
                        <w:shd w:val="clear" w:color="auto" w:fill="D3D3D3"/>
                      </w:tcPr>
                      <w:p>
                        <w:pPr/>
                      </w:p>
                    </w:tc>
                    <w:tc>
                      <w:tcPr>
                        <w:tcW w:w="926" w:type="dxa"/>
                        <w:gridSpan w:val="2"/>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865" w:type="dxa"/>
                        <w:gridSpan w:val="2"/>
                        <w:vMerge/>
                        <w:tcBorders>
                          <w:left w:val="single" w:sz="4" w:space="0" w:color="000000"/>
                          <w:right w:val="single" w:sz="4" w:space="0" w:color="000000"/>
                        </w:tcBorders>
                        <w:shd w:val="clear" w:color="auto" w:fill="D3D3D3"/>
                      </w:tcPr>
                      <w:p>
                        <w:pPr/>
                      </w:p>
                    </w:tc>
                    <w:tc>
                      <w:tcPr>
                        <w:tcW w:w="126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1"/>
                          <w:ind w:left="26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26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45" w:hRule="exact"/>
                    </w:trPr>
                    <w:tc>
                      <w:tcPr>
                        <w:tcW w:w="1385"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32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776" w:type="dxa"/>
                        <w:vMerge/>
                        <w:tcBorders>
                          <w:left w:val="single" w:sz="4" w:space="0" w:color="000000"/>
                          <w:bottom w:val="single" w:sz="4" w:space="0" w:color="000000"/>
                          <w:right w:val="single" w:sz="4" w:space="0" w:color="000000"/>
                        </w:tcBorders>
                        <w:shd w:val="clear" w:color="auto" w:fill="D3D3D3"/>
                      </w:tcPr>
                      <w:p>
                        <w:pPr/>
                      </w:p>
                    </w:tc>
                    <w:tc>
                      <w:tcPr>
                        <w:tcW w:w="928" w:type="dxa"/>
                        <w:vMerge/>
                        <w:tcBorders>
                          <w:left w:val="single" w:sz="4" w:space="0" w:color="000000"/>
                          <w:bottom w:val="single" w:sz="4" w:space="0" w:color="000000"/>
                          <w:right w:val="single" w:sz="4" w:space="0" w:color="000000"/>
                        </w:tcBorders>
                        <w:shd w:val="clear" w:color="auto" w:fill="D3D3D3"/>
                      </w:tcPr>
                      <w:p>
                        <w:pPr/>
                      </w:p>
                    </w:tc>
                    <w:tc>
                      <w:tcPr>
                        <w:tcW w:w="926" w:type="dxa"/>
                        <w:gridSpan w:val="2"/>
                        <w:vMerge/>
                        <w:tcBorders>
                          <w:left w:val="single" w:sz="4" w:space="0" w:color="000000"/>
                          <w:bottom w:val="single" w:sz="4" w:space="0" w:color="000000"/>
                          <w:right w:val="single" w:sz="4" w:space="0" w:color="000000"/>
                        </w:tcBorders>
                        <w:shd w:val="clear" w:color="auto" w:fill="D3D3D3"/>
                      </w:tcPr>
                      <w:p>
                        <w:pPr/>
                      </w:p>
                    </w:tc>
                    <w:tc>
                      <w:tcPr>
                        <w:tcW w:w="956" w:type="dxa"/>
                        <w:vMerge/>
                        <w:tcBorders>
                          <w:left w:val="single" w:sz="4" w:space="0" w:color="000000"/>
                          <w:bottom w:val="single" w:sz="4" w:space="0" w:color="000000"/>
                          <w:right w:val="single" w:sz="4" w:space="0" w:color="000000"/>
                        </w:tcBorders>
                        <w:shd w:val="clear" w:color="auto" w:fill="D3D3D3"/>
                      </w:tcPr>
                      <w:p>
                        <w:pPr/>
                      </w:p>
                    </w:tc>
                    <w:tc>
                      <w:tcPr>
                        <w:tcW w:w="865" w:type="dxa"/>
                        <w:gridSpan w:val="2"/>
                        <w:vMerge/>
                        <w:tcBorders>
                          <w:left w:val="single" w:sz="4" w:space="0" w:color="000000"/>
                          <w:bottom w:val="single" w:sz="4" w:space="0" w:color="000000"/>
                          <w:right w:val="single" w:sz="4" w:space="0" w:color="000000"/>
                        </w:tcBorders>
                        <w:shd w:val="clear" w:color="auto" w:fill="D3D3D3"/>
                      </w:tcPr>
                      <w:p>
                        <w:pPr/>
                      </w:p>
                    </w:tc>
                    <w:tc>
                      <w:tcPr>
                        <w:tcW w:w="1266" w:type="dxa"/>
                        <w:gridSpan w:val="2"/>
                        <w:vMerge/>
                        <w:tcBorders>
                          <w:left w:val="single" w:sz="4" w:space="0" w:color="000000"/>
                          <w:bottom w:val="single" w:sz="4" w:space="0" w:color="000000"/>
                          <w:right w:val="single" w:sz="4" w:space="0" w:color="000000"/>
                        </w:tcBorders>
                        <w:shd w:val="clear" w:color="auto" w:fill="D3D3D3"/>
                      </w:tcPr>
                      <w:p>
                        <w:pPr/>
                      </w:p>
                    </w:tc>
                    <w:tc>
                      <w:tcPr>
                        <w:tcW w:w="1262" w:type="dxa"/>
                        <w:gridSpan w:val="2"/>
                        <w:vMerge/>
                        <w:tcBorders>
                          <w:left w:val="single" w:sz="4" w:space="0" w:color="000000"/>
                          <w:bottom w:val="single" w:sz="4" w:space="0" w:color="000000"/>
                          <w:right w:val="single" w:sz="4" w:space="0" w:color="000000"/>
                        </w:tcBorders>
                        <w:shd w:val="clear" w:color="auto" w:fill="D3D3D3"/>
                      </w:tcPr>
                      <w:p>
                        <w:pPr/>
                      </w:p>
                    </w:tc>
                  </w:tr>
                  <w:tr>
                    <w:trPr>
                      <w:trHeight w:val="491"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90"/>
                          <w:jc w:val="left"/>
                          <w:rPr>
                            <w:rFonts w:ascii="宋体" w:hAnsi="宋体" w:cs="宋体" w:eastAsia="宋体" w:hint="default"/>
                            <w:sz w:val="18"/>
                            <w:szCs w:val="18"/>
                          </w:rPr>
                        </w:pPr>
                        <w:r>
                          <w:rPr>
                            <w:rFonts w:ascii="宋体" w:hAnsi="宋体" w:cs="宋体" w:eastAsia="宋体" w:hint="default"/>
                            <w:sz w:val="18"/>
                            <w:szCs w:val="18"/>
                          </w:rPr>
                          <w:t>杭州日报报业集 团有限公司</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76" w:type="dxa"/>
                        <w:tcBorders>
                          <w:top w:val="single" w:sz="52" w:space="0" w:color="D3D3D3"/>
                          <w:left w:val="single" w:sz="4" w:space="0" w:color="000000"/>
                          <w:bottom w:val="single" w:sz="4" w:space="0" w:color="000000"/>
                          <w:right w:val="single" w:sz="4" w:space="0" w:color="000000"/>
                        </w:tcBorders>
                      </w:tcPr>
                      <w:p>
                        <w:pPr>
                          <w:pStyle w:val="TableParagraph"/>
                          <w:spacing w:line="240" w:lineRule="auto" w:before="85"/>
                          <w:ind w:right="47"/>
                          <w:jc w:val="right"/>
                          <w:rPr>
                            <w:rFonts w:ascii="Times New Roman" w:hAnsi="Times New Roman" w:cs="Times New Roman" w:eastAsia="Times New Roman" w:hint="default"/>
                            <w:sz w:val="18"/>
                            <w:szCs w:val="18"/>
                          </w:rPr>
                        </w:pPr>
                        <w:r>
                          <w:rPr>
                            <w:rFonts w:ascii="Times New Roman"/>
                            <w:sz w:val="18"/>
                          </w:rPr>
                          <w:t>48.13%</w:t>
                        </w:r>
                      </w:p>
                    </w:tc>
                    <w:tc>
                      <w:tcPr>
                        <w:tcW w:w="928" w:type="dxa"/>
                        <w:tcBorders>
                          <w:top w:val="single" w:sz="52" w:space="0" w:color="D3D3D3"/>
                          <w:left w:val="single" w:sz="4" w:space="0" w:color="000000"/>
                          <w:bottom w:val="single" w:sz="4" w:space="0" w:color="000000"/>
                          <w:right w:val="single" w:sz="4" w:space="0" w:color="000000"/>
                        </w:tcBorders>
                      </w:tcPr>
                      <w:p>
                        <w:pPr>
                          <w:pStyle w:val="TableParagraph"/>
                          <w:spacing w:line="240" w:lineRule="auto" w:before="85"/>
                          <w:ind w:left="-5" w:right="19"/>
                          <w:jc w:val="right"/>
                          <w:rPr>
                            <w:rFonts w:ascii="Times New Roman" w:hAnsi="Times New Roman" w:cs="Times New Roman" w:eastAsia="Times New Roman" w:hint="default"/>
                            <w:sz w:val="18"/>
                            <w:szCs w:val="18"/>
                          </w:rPr>
                        </w:pPr>
                        <w:r>
                          <w:rPr>
                            <w:rFonts w:ascii="Times New Roman"/>
                            <w:sz w:val="18"/>
                          </w:rPr>
                          <w:t>489,771,977</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489,771,977</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w:t>
                        </w:r>
                      </w:p>
                    </w:tc>
                    <w:tc>
                      <w:tcPr>
                        <w:tcW w:w="1266" w:type="dxa"/>
                        <w:gridSpan w:val="2"/>
                        <w:tcBorders>
                          <w:top w:val="single" w:sz="46" w:space="0" w:color="D3D3D3"/>
                          <w:left w:val="single" w:sz="4" w:space="0" w:color="000000"/>
                          <w:bottom w:val="single" w:sz="4" w:space="0" w:color="000000"/>
                          <w:right w:val="single" w:sz="4" w:space="0" w:color="000000"/>
                        </w:tcBorders>
                      </w:tcPr>
                      <w:p>
                        <w:pPr/>
                      </w:p>
                    </w:tc>
                    <w:tc>
                      <w:tcPr>
                        <w:tcW w:w="1262" w:type="dxa"/>
                        <w:gridSpan w:val="2"/>
                        <w:tcBorders>
                          <w:top w:val="single" w:sz="49" w:space="0" w:color="D3D3D3"/>
                          <w:left w:val="single" w:sz="4" w:space="0" w:color="000000"/>
                          <w:bottom w:val="single" w:sz="4" w:space="0" w:color="000000"/>
                          <w:right w:val="single" w:sz="4" w:space="0" w:color="000000"/>
                        </w:tcBorders>
                      </w:tcPr>
                      <w:p>
                        <w:pPr/>
                      </w:p>
                    </w:tc>
                  </w:tr>
                  <w:tr>
                    <w:trPr>
                      <w:trHeight w:val="490"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90"/>
                          <w:jc w:val="left"/>
                          <w:rPr>
                            <w:rFonts w:ascii="宋体" w:hAnsi="宋体" w:cs="宋体" w:eastAsia="宋体" w:hint="default"/>
                            <w:sz w:val="18"/>
                            <w:szCs w:val="18"/>
                          </w:rPr>
                        </w:pPr>
                        <w:r>
                          <w:rPr>
                            <w:rFonts w:ascii="宋体" w:hAnsi="宋体" w:cs="宋体" w:eastAsia="宋体" w:hint="default"/>
                            <w:sz w:val="18"/>
                            <w:szCs w:val="18"/>
                          </w:rPr>
                          <w:t>华立集团股份有 限公司</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7"/>
                          <w:jc w:val="right"/>
                          <w:rPr>
                            <w:rFonts w:ascii="Times New Roman" w:hAnsi="Times New Roman" w:cs="Times New Roman" w:eastAsia="Times New Roman" w:hint="default"/>
                            <w:sz w:val="18"/>
                            <w:szCs w:val="18"/>
                          </w:rPr>
                        </w:pPr>
                        <w:r>
                          <w:rPr>
                            <w:rFonts w:ascii="Times New Roman"/>
                            <w:sz w:val="18"/>
                          </w:rPr>
                          <w:t>4.85%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49,408,102</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-22,000,000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z w:val="18"/>
                          </w:rPr>
                          <w:t>0</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 w:right="0"/>
                          <w:jc w:val="left"/>
                          <w:rPr>
                            <w:rFonts w:ascii="Times New Roman" w:hAnsi="Times New Roman" w:cs="Times New Roman" w:eastAsia="Times New Roman" w:hint="default"/>
                            <w:sz w:val="18"/>
                            <w:szCs w:val="18"/>
                          </w:rPr>
                        </w:pPr>
                        <w:r>
                          <w:rPr>
                            <w:rFonts w:ascii="Times New Roman"/>
                            <w:sz w:val="18"/>
                          </w:rPr>
                          <w:t>49,408,102</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7"/>
                          <w:jc w:val="right"/>
                          <w:rPr>
                            <w:rFonts w:ascii="Times New Roman" w:hAnsi="Times New Roman" w:cs="Times New Roman" w:eastAsia="Times New Roman" w:hint="default"/>
                            <w:sz w:val="18"/>
                            <w:szCs w:val="18"/>
                          </w:rPr>
                        </w:pPr>
                        <w:r>
                          <w:rPr>
                            <w:rFonts w:ascii="Times New Roman"/>
                            <w:sz w:val="18"/>
                          </w:rPr>
                          <w:t>3.95%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40,194,438</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40,194,438</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0</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90"/>
                          <w:jc w:val="left"/>
                          <w:rPr>
                            <w:rFonts w:ascii="宋体" w:hAnsi="宋体" w:cs="宋体" w:eastAsia="宋体" w:hint="default"/>
                            <w:sz w:val="18"/>
                            <w:szCs w:val="18"/>
                          </w:rPr>
                        </w:pPr>
                        <w:r>
                          <w:rPr>
                            <w:rFonts w:ascii="宋体" w:hAnsi="宋体" w:cs="宋体" w:eastAsia="宋体" w:hint="default"/>
                            <w:sz w:val="18"/>
                            <w:szCs w:val="18"/>
                          </w:rPr>
                          <w:t>浙江华立投资管 理有限公司</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47"/>
                          <w:jc w:val="right"/>
                          <w:rPr>
                            <w:rFonts w:ascii="Times New Roman" w:hAnsi="Times New Roman" w:cs="Times New Roman" w:eastAsia="Times New Roman" w:hint="default"/>
                            <w:sz w:val="18"/>
                            <w:szCs w:val="18"/>
                          </w:rPr>
                        </w:pPr>
                        <w:r>
                          <w:rPr>
                            <w:rFonts w:ascii="Times New Roman"/>
                            <w:sz w:val="18"/>
                          </w:rPr>
                          <w:t>3.15%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32,009,400</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0</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32,009,400</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90"/>
                          <w:jc w:val="left"/>
                          <w:rPr>
                            <w:rFonts w:ascii="宋体" w:hAnsi="宋体" w:cs="宋体" w:eastAsia="宋体" w:hint="default"/>
                            <w:sz w:val="18"/>
                            <w:szCs w:val="18"/>
                          </w:rPr>
                        </w:pPr>
                        <w:r>
                          <w:rPr>
                            <w:rFonts w:ascii="宋体" w:hAnsi="宋体" w:cs="宋体" w:eastAsia="宋体" w:hint="default"/>
                            <w:sz w:val="18"/>
                            <w:szCs w:val="18"/>
                          </w:rPr>
                          <w:t>华立医药集团有 限公司</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7"/>
                          <w:jc w:val="right"/>
                          <w:rPr>
                            <w:rFonts w:ascii="Times New Roman" w:hAnsi="Times New Roman" w:cs="Times New Roman" w:eastAsia="Times New Roman" w:hint="default"/>
                            <w:sz w:val="18"/>
                            <w:szCs w:val="18"/>
                          </w:rPr>
                        </w:pPr>
                        <w:r>
                          <w:rPr>
                            <w:rFonts w:ascii="Times New Roman"/>
                            <w:sz w:val="18"/>
                          </w:rPr>
                          <w:t>2.16%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22,000,000</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3" w:right="0"/>
                          <w:jc w:val="left"/>
                          <w:rPr>
                            <w:rFonts w:ascii="Times New Roman" w:hAnsi="Times New Roman" w:cs="Times New Roman" w:eastAsia="Times New Roman" w:hint="default"/>
                            <w:sz w:val="18"/>
                            <w:szCs w:val="18"/>
                          </w:rPr>
                        </w:pPr>
                        <w:r>
                          <w:rPr>
                            <w:rFonts w:ascii="Times New Roman"/>
                            <w:sz w:val="18"/>
                          </w:rPr>
                          <w:t>22,000,000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z w:val="18"/>
                          </w:rPr>
                          <w:t>0</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 w:right="0"/>
                          <w:jc w:val="left"/>
                          <w:rPr>
                            <w:rFonts w:ascii="Times New Roman" w:hAnsi="Times New Roman" w:cs="Times New Roman" w:eastAsia="Times New Roman" w:hint="default"/>
                            <w:sz w:val="18"/>
                            <w:szCs w:val="18"/>
                          </w:rPr>
                        </w:pPr>
                        <w:r>
                          <w:rPr>
                            <w:rFonts w:ascii="Times New Roman"/>
                            <w:sz w:val="18"/>
                          </w:rPr>
                          <w:t>22,000,000</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雷立军</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7"/>
                          <w:jc w:val="right"/>
                          <w:rPr>
                            <w:rFonts w:ascii="Times New Roman" w:hAnsi="Times New Roman" w:cs="Times New Roman" w:eastAsia="Times New Roman" w:hint="default"/>
                            <w:sz w:val="18"/>
                            <w:szCs w:val="18"/>
                          </w:rPr>
                        </w:pPr>
                        <w:r>
                          <w:rPr>
                            <w:rFonts w:ascii="Times New Roman"/>
                            <w:sz w:val="18"/>
                          </w:rPr>
                          <w:t>1.16%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11,775,580</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99" w:right="0"/>
                          <w:jc w:val="left"/>
                          <w:rPr>
                            <w:rFonts w:ascii="Times New Roman" w:hAnsi="Times New Roman" w:cs="Times New Roman" w:eastAsia="Times New Roman" w:hint="default"/>
                            <w:sz w:val="18"/>
                            <w:szCs w:val="18"/>
                          </w:rPr>
                        </w:pPr>
                        <w:r>
                          <w:rPr>
                            <w:rFonts w:ascii="Times New Roman"/>
                            <w:sz w:val="18"/>
                          </w:rPr>
                          <w:t>68,300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z w:val="18"/>
                          </w:rPr>
                          <w:t>0</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9" w:right="0"/>
                          <w:jc w:val="left"/>
                          <w:rPr>
                            <w:rFonts w:ascii="Times New Roman" w:hAnsi="Times New Roman" w:cs="Times New Roman" w:eastAsia="Times New Roman" w:hint="default"/>
                            <w:sz w:val="18"/>
                            <w:szCs w:val="18"/>
                          </w:rPr>
                        </w:pPr>
                        <w:r>
                          <w:rPr>
                            <w:rFonts w:ascii="Times New Roman"/>
                            <w:sz w:val="18"/>
                          </w:rPr>
                          <w:t>11,775,580</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谭希宁</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7"/>
                          <w:jc w:val="right"/>
                          <w:rPr>
                            <w:rFonts w:ascii="Times New Roman" w:hAnsi="Times New Roman" w:cs="Times New Roman" w:eastAsia="Times New Roman" w:hint="default"/>
                            <w:sz w:val="18"/>
                            <w:szCs w:val="18"/>
                          </w:rPr>
                        </w:pPr>
                        <w:r>
                          <w:rPr>
                            <w:rFonts w:ascii="Times New Roman"/>
                            <w:sz w:val="18"/>
                          </w:rPr>
                          <w:t>0.67%</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6,844,000</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3" w:right="0"/>
                          <w:jc w:val="left"/>
                          <w:rPr>
                            <w:rFonts w:ascii="Times New Roman" w:hAnsi="Times New Roman" w:cs="Times New Roman" w:eastAsia="Times New Roman" w:hint="default"/>
                            <w:sz w:val="18"/>
                            <w:szCs w:val="18"/>
                          </w:rPr>
                        </w:pPr>
                        <w:r>
                          <w:rPr>
                            <w:rFonts w:ascii="Times New Roman"/>
                            <w:sz w:val="18"/>
                          </w:rPr>
                          <w:t>6,831,000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0</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12" w:right="0"/>
                          <w:jc w:val="left"/>
                          <w:rPr>
                            <w:rFonts w:ascii="Times New Roman" w:hAnsi="Times New Roman" w:cs="Times New Roman" w:eastAsia="Times New Roman" w:hint="default"/>
                            <w:sz w:val="18"/>
                            <w:szCs w:val="18"/>
                          </w:rPr>
                        </w:pPr>
                        <w:r>
                          <w:rPr>
                            <w:rFonts w:ascii="Times New Roman"/>
                            <w:sz w:val="18"/>
                          </w:rPr>
                          <w:t>6,844,000</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王紫军</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7"/>
                          <w:jc w:val="right"/>
                          <w:rPr>
                            <w:rFonts w:ascii="Times New Roman" w:hAnsi="Times New Roman" w:cs="Times New Roman" w:eastAsia="Times New Roman" w:hint="default"/>
                            <w:sz w:val="18"/>
                            <w:szCs w:val="18"/>
                          </w:rPr>
                        </w:pPr>
                        <w:r>
                          <w:rPr>
                            <w:rFonts w:ascii="Times New Roman"/>
                            <w:sz w:val="18"/>
                          </w:rPr>
                          <w:t>0.36%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3,690,529</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z w:val="18"/>
                          </w:rPr>
                          <w:t>0</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12" w:right="0"/>
                          <w:jc w:val="left"/>
                          <w:rPr>
                            <w:rFonts w:ascii="Times New Roman" w:hAnsi="Times New Roman" w:cs="Times New Roman" w:eastAsia="Times New Roman" w:hint="default"/>
                            <w:sz w:val="18"/>
                            <w:szCs w:val="18"/>
                          </w:rPr>
                        </w:pPr>
                        <w:r>
                          <w:rPr>
                            <w:rFonts w:ascii="Times New Roman"/>
                            <w:sz w:val="18"/>
                          </w:rPr>
                          <w:t>3,690,529</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胡志剑</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7"/>
                          <w:jc w:val="right"/>
                          <w:rPr>
                            <w:rFonts w:ascii="Times New Roman" w:hAnsi="Times New Roman" w:cs="Times New Roman" w:eastAsia="Times New Roman" w:hint="default"/>
                            <w:sz w:val="18"/>
                            <w:szCs w:val="18"/>
                          </w:rPr>
                        </w:pPr>
                        <w:r>
                          <w:rPr>
                            <w:rFonts w:ascii="Times New Roman"/>
                            <w:sz w:val="18"/>
                          </w:rPr>
                          <w:t>0.35%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3,559,423</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z w:val="18"/>
                          </w:rPr>
                          <w:t>0</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12" w:right="0"/>
                          <w:jc w:val="left"/>
                          <w:rPr>
                            <w:rFonts w:ascii="Times New Roman" w:hAnsi="Times New Roman" w:cs="Times New Roman" w:eastAsia="Times New Roman" w:hint="default"/>
                            <w:sz w:val="18"/>
                            <w:szCs w:val="18"/>
                          </w:rPr>
                        </w:pPr>
                        <w:r>
                          <w:rPr>
                            <w:rFonts w:ascii="Times New Roman"/>
                            <w:sz w:val="18"/>
                          </w:rPr>
                          <w:t>3,559,423</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90"/>
                          <w:jc w:val="left"/>
                          <w:rPr>
                            <w:rFonts w:ascii="宋体" w:hAnsi="宋体" w:cs="宋体" w:eastAsia="宋体" w:hint="default"/>
                            <w:sz w:val="18"/>
                            <w:szCs w:val="18"/>
                          </w:rPr>
                        </w:pPr>
                        <w:r>
                          <w:rPr>
                            <w:rFonts w:ascii="宋体" w:hAnsi="宋体" w:cs="宋体" w:eastAsia="宋体" w:hint="default"/>
                            <w:sz w:val="18"/>
                            <w:szCs w:val="18"/>
                          </w:rPr>
                          <w:t>日照开航水产有 限公司</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47"/>
                          <w:jc w:val="right"/>
                          <w:rPr>
                            <w:rFonts w:ascii="Times New Roman" w:hAnsi="Times New Roman" w:cs="Times New Roman" w:eastAsia="Times New Roman" w:hint="default"/>
                            <w:sz w:val="18"/>
                            <w:szCs w:val="18"/>
                          </w:rPr>
                        </w:pPr>
                        <w:r>
                          <w:rPr>
                            <w:rFonts w:ascii="Times New Roman"/>
                            <w:sz w:val="18"/>
                          </w:rPr>
                          <w:t>0.35%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3,540,700</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73" w:right="0"/>
                          <w:jc w:val="left"/>
                          <w:rPr>
                            <w:rFonts w:ascii="Times New Roman" w:hAnsi="Times New Roman" w:cs="Times New Roman" w:eastAsia="Times New Roman" w:hint="default"/>
                            <w:sz w:val="18"/>
                            <w:szCs w:val="18"/>
                          </w:rPr>
                        </w:pPr>
                        <w:r>
                          <w:rPr>
                            <w:rFonts w:ascii="Times New Roman"/>
                            <w:sz w:val="18"/>
                          </w:rPr>
                          <w:t>3,540,700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0</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12" w:right="0"/>
                          <w:jc w:val="left"/>
                          <w:rPr>
                            <w:rFonts w:ascii="Times New Roman" w:hAnsi="Times New Roman" w:cs="Times New Roman" w:eastAsia="Times New Roman" w:hint="default"/>
                            <w:sz w:val="18"/>
                            <w:szCs w:val="18"/>
                          </w:rPr>
                        </w:pPr>
                        <w:r>
                          <w:rPr>
                            <w:rFonts w:ascii="Times New Roman"/>
                            <w:sz w:val="18"/>
                          </w:rPr>
                          <w:t>3,540,700</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713"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980" w:type="dxa"/>
                        <w:gridSpan w:val="11"/>
                        <w:vMerge w:val="restart"/>
                        <w:tcBorders>
                          <w:top w:val="single" w:sz="4" w:space="0" w:color="000000"/>
                          <w:left w:val="single" w:sz="9" w:space="0" w:color="D3D3D3"/>
                          <w:right w:val="single" w:sz="4" w:space="0" w:color="000000"/>
                        </w:tcBorders>
                        <w:shd w:val="clear" w:color="auto" w:fill="C7EDCC"/>
                      </w:tcPr>
                      <w:p>
                        <w:pPr>
                          <w:pStyle w:val="TableParagraph"/>
                          <w:spacing w:line="240" w:lineRule="exact"/>
                          <w:ind w:left="17"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杭州日报报业集团（杭州日报社）持有杭州日报报业集团有限公司和都市快报社</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w:t>
                        </w:r>
                        <w:r>
                          <w:rPr>
                            <w:rFonts w:ascii="宋体" w:hAnsi="宋体" w:cs="宋体" w:eastAsia="宋体" w:hint="default"/>
                            <w:spacing w:val="-5"/>
                            <w:sz w:val="18"/>
                            <w:szCs w:val="18"/>
                          </w:rPr>
                          <w:t>权。华立集团股份有限公司持有浙江华立投资管理有限公司、华立医药集团有限公司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100%</w:t>
                        </w:r>
                      </w:p>
                      <w:p>
                        <w:pPr>
                          <w:pStyle w:val="TableParagraph"/>
                          <w:spacing w:line="240" w:lineRule="exact"/>
                          <w:ind w:left="17" w:right="110"/>
                          <w:jc w:val="left"/>
                          <w:rPr>
                            <w:rFonts w:ascii="宋体" w:hAnsi="宋体" w:cs="宋体" w:eastAsia="宋体" w:hint="default"/>
                            <w:sz w:val="18"/>
                            <w:szCs w:val="18"/>
                          </w:rPr>
                        </w:pPr>
                        <w:r>
                          <w:rPr>
                            <w:rFonts w:ascii="宋体" w:hAnsi="宋体" w:cs="宋体" w:eastAsia="宋体" w:hint="default"/>
                            <w:spacing w:val="-5"/>
                            <w:sz w:val="18"/>
                            <w:szCs w:val="18"/>
                          </w:rPr>
                          <w:t>股权。公司未知其他前</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名股东之间是否存在关联关系或属于《上市公司收购管理办法 规定的一致行动人。</w:t>
                        </w:r>
                      </w:p>
                    </w:tc>
                  </w:tr>
                  <w:tr>
                    <w:trPr>
                      <w:trHeight w:val="480" w:hRule="exact"/>
                    </w:trPr>
                    <w:tc>
                      <w:tcPr>
                        <w:tcW w:w="2713"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exact"/>
                          <w:ind w:left="22" w:right="158"/>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80" w:type="dxa"/>
                        <w:gridSpan w:val="11"/>
                        <w:vMerge/>
                        <w:tcBorders>
                          <w:left w:val="single" w:sz="9" w:space="0" w:color="D3D3D3"/>
                          <w:right w:val="single" w:sz="4" w:space="0" w:color="000000"/>
                        </w:tcBorders>
                        <w:shd w:val="clear" w:color="auto" w:fill="C7EDCC"/>
                      </w:tcPr>
                      <w:p>
                        <w:pPr/>
                      </w:p>
                    </w:tc>
                  </w:tr>
                  <w:tr>
                    <w:trPr>
                      <w:trHeight w:val="245" w:hRule="exact"/>
                    </w:trPr>
                    <w:tc>
                      <w:tcPr>
                        <w:tcW w:w="2713"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980" w:type="dxa"/>
                        <w:gridSpan w:val="11"/>
                        <w:vMerge/>
                        <w:tcBorders>
                          <w:left w:val="single" w:sz="9" w:space="0" w:color="D3D3D3"/>
                          <w:bottom w:val="single" w:sz="4" w:space="0" w:color="000000"/>
                          <w:right w:val="single" w:sz="4" w:space="0" w:color="000000"/>
                        </w:tcBorders>
                        <w:shd w:val="clear" w:color="auto" w:fill="C7EDCC"/>
                      </w:tcPr>
                      <w:p>
                        <w:pPr/>
                      </w:p>
                    </w:tc>
                  </w:tr>
                  <w:tr>
                    <w:trPr>
                      <w:trHeight w:val="313" w:hRule="exact"/>
                    </w:trPr>
                    <w:tc>
                      <w:tcPr>
                        <w:tcW w:w="9694"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183" w:hRule="exact"/>
                    </w:trPr>
                    <w:tc>
                      <w:tcPr>
                        <w:tcW w:w="2713"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452" w:type="dxa"/>
                        <w:gridSpan w:val="7"/>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4"/>
                          <w:ind w:left="87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52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55" w:lineRule="exact"/>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13" w:type="dxa"/>
                        <w:gridSpan w:val="4"/>
                        <w:vMerge/>
                        <w:tcBorders>
                          <w:left w:val="single" w:sz="4" w:space="0" w:color="000000"/>
                          <w:bottom w:val="single" w:sz="4" w:space="0" w:color="000000"/>
                          <w:right w:val="single" w:sz="4" w:space="0" w:color="000000"/>
                        </w:tcBorders>
                        <w:shd w:val="clear" w:color="auto" w:fill="D3D3D3"/>
                      </w:tcPr>
                      <w:p>
                        <w:pPr/>
                      </w:p>
                    </w:tc>
                    <w:tc>
                      <w:tcPr>
                        <w:tcW w:w="4452" w:type="dxa"/>
                        <w:gridSpan w:val="7"/>
                        <w:vMerge/>
                        <w:tcBorders>
                          <w:left w:val="single" w:sz="4" w:space="0" w:color="000000"/>
                          <w:bottom w:val="single" w:sz="4" w:space="0" w:color="000000"/>
                          <w:right w:val="single" w:sz="4" w:space="0" w:color="000000"/>
                        </w:tcBorders>
                        <w:shd w:val="clear" w:color="auto" w:fill="D3D3D3"/>
                      </w:tcPr>
                      <w:p>
                        <w:pPr/>
                      </w:p>
                    </w:tc>
                    <w:tc>
                      <w:tcPr>
                        <w:tcW w:w="12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2" w:lineRule="exact"/>
                          <w:ind w:left="26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6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12" w:hRule="exact"/>
                    </w:trPr>
                    <w:tc>
                      <w:tcPr>
                        <w:tcW w:w="2713" w:type="dxa"/>
                        <w:gridSpan w:val="4"/>
                        <w:tcBorders>
                          <w:top w:val="single" w:sz="54" w:space="0" w:color="D3D3D3"/>
                          <w:left w:val="single" w:sz="4" w:space="0" w:color="000000"/>
                          <w:bottom w:val="single" w:sz="4" w:space="0" w:color="000000"/>
                          <w:right w:val="single" w:sz="4" w:space="0" w:color="000000"/>
                        </w:tcBorders>
                      </w:tcPr>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4452" w:type="dxa"/>
                        <w:gridSpan w:val="7"/>
                        <w:tcBorders>
                          <w:top w:val="single" w:sz="54" w:space="0" w:color="D3D3D3"/>
                          <w:left w:val="single" w:sz="4" w:space="0" w:color="000000"/>
                          <w:bottom w:val="single" w:sz="4" w:space="0" w:color="000000"/>
                          <w:right w:val="single" w:sz="10" w:space="0" w:color="D3D3D3"/>
                        </w:tcBorders>
                      </w:tcPr>
                      <w:p>
                        <w:pPr>
                          <w:pStyle w:val="TableParagraph"/>
                          <w:spacing w:line="240" w:lineRule="auto" w:before="24"/>
                          <w:ind w:right="12"/>
                          <w:jc w:val="right"/>
                          <w:rPr>
                            <w:rFonts w:ascii="Times New Roman" w:hAnsi="Times New Roman" w:cs="Times New Roman" w:eastAsia="Times New Roman" w:hint="default"/>
                            <w:sz w:val="18"/>
                            <w:szCs w:val="18"/>
                          </w:rPr>
                        </w:pPr>
                        <w:r>
                          <w:rPr>
                            <w:rFonts w:ascii="Times New Roman"/>
                            <w:sz w:val="18"/>
                          </w:rPr>
                          <w:t>49,408,102</w:t>
                        </w:r>
                      </w:p>
                    </w:tc>
                    <w:tc>
                      <w:tcPr>
                        <w:tcW w:w="1266" w:type="dxa"/>
                        <w:gridSpan w:val="2"/>
                        <w:tcBorders>
                          <w:top w:val="single" w:sz="4" w:space="0" w:color="000000"/>
                          <w:left w:val="single" w:sz="10" w:space="0" w:color="D3D3D3"/>
                          <w:bottom w:val="single" w:sz="4" w:space="0" w:color="000000"/>
                          <w:right w:val="single" w:sz="23" w:space="0" w:color="D3D3D3"/>
                        </w:tcBorders>
                      </w:tcPr>
                      <w:p>
                        <w:pPr>
                          <w:pStyle w:val="TableParagraph"/>
                          <w:spacing w:line="240" w:lineRule="auto" w:before="44"/>
                          <w:ind w:left="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gridSpan w:val="2"/>
                        <w:tcBorders>
                          <w:top w:val="single" w:sz="4" w:space="0" w:color="000000"/>
                          <w:left w:val="single" w:sz="23" w:space="0" w:color="D3D3D3"/>
                          <w:bottom w:val="single" w:sz="4" w:space="0" w:color="000000"/>
                          <w:right w:val="single" w:sz="13" w:space="0" w:color="D3D3D3"/>
                        </w:tcBorders>
                      </w:tcPr>
                      <w:p>
                        <w:pPr>
                          <w:pStyle w:val="TableParagraph"/>
                          <w:spacing w:line="240" w:lineRule="auto" w:before="86"/>
                          <w:ind w:left="396" w:right="0"/>
                          <w:jc w:val="left"/>
                          <w:rPr>
                            <w:rFonts w:ascii="Times New Roman" w:hAnsi="Times New Roman" w:cs="Times New Roman" w:eastAsia="Times New Roman" w:hint="default"/>
                            <w:sz w:val="18"/>
                            <w:szCs w:val="18"/>
                          </w:rPr>
                        </w:pPr>
                        <w:r>
                          <w:rPr>
                            <w:rFonts w:ascii="Times New Roman"/>
                            <w:sz w:val="18"/>
                          </w:rPr>
                          <w:t>49,408,102</w:t>
                        </w:r>
                      </w:p>
                    </w:tc>
                  </w:tr>
                  <w:tr>
                    <w:trPr>
                      <w:trHeight w:val="251" w:hRule="exact"/>
                    </w:trPr>
                    <w:tc>
                      <w:tcPr>
                        <w:tcW w:w="27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浙江华立投资管理有限公司</w:t>
                        </w:r>
                      </w:p>
                    </w:tc>
                    <w:tc>
                      <w:tcPr>
                        <w:tcW w:w="445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32,009,400</w:t>
                        </w:r>
                      </w:p>
                    </w:tc>
                    <w:tc>
                      <w:tcPr>
                        <w:tcW w:w="1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9" w:right="0"/>
                          <w:jc w:val="left"/>
                          <w:rPr>
                            <w:rFonts w:ascii="Times New Roman" w:hAnsi="Times New Roman" w:cs="Times New Roman" w:eastAsia="Times New Roman" w:hint="default"/>
                            <w:sz w:val="18"/>
                            <w:szCs w:val="18"/>
                          </w:rPr>
                        </w:pPr>
                        <w:r>
                          <w:rPr>
                            <w:rFonts w:ascii="Times New Roman"/>
                            <w:sz w:val="18"/>
                          </w:rPr>
                          <w:t>32,009,400</w:t>
                        </w:r>
                      </w:p>
                    </w:tc>
                  </w:tr>
                  <w:tr>
                    <w:trPr>
                      <w:trHeight w:val="250" w:hRule="exact"/>
                    </w:trPr>
                    <w:tc>
                      <w:tcPr>
                        <w:tcW w:w="27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华立医药集团有限公司</w:t>
                        </w:r>
                      </w:p>
                    </w:tc>
                    <w:tc>
                      <w:tcPr>
                        <w:tcW w:w="445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22,000,000</w:t>
                        </w:r>
                      </w:p>
                    </w:tc>
                    <w:tc>
                      <w:tcPr>
                        <w:tcW w:w="1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19" w:right="0"/>
                          <w:jc w:val="left"/>
                          <w:rPr>
                            <w:rFonts w:ascii="Times New Roman" w:hAnsi="Times New Roman" w:cs="Times New Roman" w:eastAsia="Times New Roman" w:hint="default"/>
                            <w:sz w:val="18"/>
                            <w:szCs w:val="18"/>
                          </w:rPr>
                        </w:pPr>
                        <w:r>
                          <w:rPr>
                            <w:rFonts w:ascii="Times New Roman"/>
                            <w:sz w:val="18"/>
                          </w:rPr>
                          <w:t>22,000,000</w:t>
                        </w:r>
                      </w:p>
                    </w:tc>
                  </w:tr>
                  <w:tr>
                    <w:trPr>
                      <w:trHeight w:val="250" w:hRule="exact"/>
                    </w:trPr>
                    <w:tc>
                      <w:tcPr>
                        <w:tcW w:w="27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雷立军</w:t>
                        </w:r>
                      </w:p>
                    </w:tc>
                    <w:tc>
                      <w:tcPr>
                        <w:tcW w:w="445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11,775,580</w:t>
                        </w:r>
                      </w:p>
                    </w:tc>
                    <w:tc>
                      <w:tcPr>
                        <w:tcW w:w="1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7" w:right="0"/>
                          <w:jc w:val="left"/>
                          <w:rPr>
                            <w:rFonts w:ascii="Times New Roman" w:hAnsi="Times New Roman" w:cs="Times New Roman" w:eastAsia="Times New Roman" w:hint="default"/>
                            <w:sz w:val="18"/>
                            <w:szCs w:val="18"/>
                          </w:rPr>
                        </w:pPr>
                        <w:r>
                          <w:rPr>
                            <w:rFonts w:ascii="Times New Roman"/>
                            <w:sz w:val="18"/>
                          </w:rPr>
                          <w:t>11,775,580</w:t>
                        </w:r>
                      </w:p>
                    </w:tc>
                  </w:tr>
                  <w:tr>
                    <w:trPr>
                      <w:trHeight w:val="251" w:hRule="exact"/>
                    </w:trPr>
                    <w:tc>
                      <w:tcPr>
                        <w:tcW w:w="27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谭希宁</w:t>
                        </w:r>
                      </w:p>
                    </w:tc>
                    <w:tc>
                      <w:tcPr>
                        <w:tcW w:w="445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6,844,000</w:t>
                        </w:r>
                      </w:p>
                    </w:tc>
                    <w:tc>
                      <w:tcPr>
                        <w:tcW w:w="1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09" w:right="0"/>
                          <w:jc w:val="left"/>
                          <w:rPr>
                            <w:rFonts w:ascii="Times New Roman" w:hAnsi="Times New Roman" w:cs="Times New Roman" w:eastAsia="Times New Roman" w:hint="default"/>
                            <w:sz w:val="18"/>
                            <w:szCs w:val="18"/>
                          </w:rPr>
                        </w:pPr>
                        <w:r>
                          <w:rPr>
                            <w:rFonts w:ascii="Times New Roman"/>
                            <w:sz w:val="18"/>
                          </w:rPr>
                          <w:t>6,844,000</w:t>
                        </w:r>
                      </w:p>
                    </w:tc>
                  </w:tr>
                  <w:tr>
                    <w:trPr>
                      <w:trHeight w:val="250" w:hRule="exact"/>
                    </w:trPr>
                    <w:tc>
                      <w:tcPr>
                        <w:tcW w:w="27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王紫军</w:t>
                        </w:r>
                      </w:p>
                    </w:tc>
                    <w:tc>
                      <w:tcPr>
                        <w:tcW w:w="445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3,690,529</w:t>
                        </w:r>
                      </w:p>
                    </w:tc>
                    <w:tc>
                      <w:tcPr>
                        <w:tcW w:w="1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09" w:right="0"/>
                          <w:jc w:val="left"/>
                          <w:rPr>
                            <w:rFonts w:ascii="Times New Roman" w:hAnsi="Times New Roman" w:cs="Times New Roman" w:eastAsia="Times New Roman" w:hint="default"/>
                            <w:sz w:val="18"/>
                            <w:szCs w:val="18"/>
                          </w:rPr>
                        </w:pPr>
                        <w:r>
                          <w:rPr>
                            <w:rFonts w:ascii="Times New Roman"/>
                            <w:sz w:val="18"/>
                          </w:rPr>
                          <w:t>3,690,529</w:t>
                        </w:r>
                      </w:p>
                    </w:tc>
                  </w:tr>
                  <w:tr>
                    <w:trPr>
                      <w:trHeight w:val="250" w:hRule="exact"/>
                    </w:trPr>
                    <w:tc>
                      <w:tcPr>
                        <w:tcW w:w="27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胡志剑</w:t>
                        </w:r>
                      </w:p>
                    </w:tc>
                    <w:tc>
                      <w:tcPr>
                        <w:tcW w:w="445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3,559,423</w:t>
                        </w:r>
                      </w:p>
                    </w:tc>
                    <w:tc>
                      <w:tcPr>
                        <w:tcW w:w="1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09" w:right="0"/>
                          <w:jc w:val="left"/>
                          <w:rPr>
                            <w:rFonts w:ascii="Times New Roman" w:hAnsi="Times New Roman" w:cs="Times New Roman" w:eastAsia="Times New Roman" w:hint="default"/>
                            <w:sz w:val="18"/>
                            <w:szCs w:val="18"/>
                          </w:rPr>
                        </w:pPr>
                        <w:r>
                          <w:rPr>
                            <w:rFonts w:ascii="Times New Roman"/>
                            <w:sz w:val="18"/>
                          </w:rPr>
                          <w:t>3,559,423</w:t>
                        </w:r>
                      </w:p>
                    </w:tc>
                  </w:tr>
                  <w:tr>
                    <w:trPr>
                      <w:trHeight w:val="251" w:hRule="exact"/>
                    </w:trPr>
                    <w:tc>
                      <w:tcPr>
                        <w:tcW w:w="27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日照开航水产有限公司</w:t>
                        </w:r>
                      </w:p>
                    </w:tc>
                    <w:tc>
                      <w:tcPr>
                        <w:tcW w:w="445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3,540,700</w:t>
                        </w:r>
                      </w:p>
                    </w:tc>
                    <w:tc>
                      <w:tcPr>
                        <w:tcW w:w="1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09" w:right="0"/>
                          <w:jc w:val="left"/>
                          <w:rPr>
                            <w:rFonts w:ascii="Times New Roman" w:hAnsi="Times New Roman" w:cs="Times New Roman" w:eastAsia="Times New Roman" w:hint="default"/>
                            <w:sz w:val="18"/>
                            <w:szCs w:val="18"/>
                          </w:rPr>
                        </w:pPr>
                        <w:r>
                          <w:rPr>
                            <w:rFonts w:ascii="Times New Roman"/>
                            <w:sz w:val="18"/>
                          </w:rPr>
                          <w:t>3,540,700</w:t>
                        </w:r>
                      </w:p>
                    </w:tc>
                  </w:tr>
                  <w:tr>
                    <w:trPr>
                      <w:trHeight w:val="250" w:hRule="exact"/>
                    </w:trPr>
                    <w:tc>
                      <w:tcPr>
                        <w:tcW w:w="27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山东万芝园食用菌科技有限公司</w:t>
                        </w:r>
                      </w:p>
                    </w:tc>
                    <w:tc>
                      <w:tcPr>
                        <w:tcW w:w="445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2,880,600</w:t>
                        </w:r>
                      </w:p>
                    </w:tc>
                    <w:tc>
                      <w:tcPr>
                        <w:tcW w:w="1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09" w:right="0"/>
                          <w:jc w:val="left"/>
                          <w:rPr>
                            <w:rFonts w:ascii="Times New Roman" w:hAnsi="Times New Roman" w:cs="Times New Roman" w:eastAsia="Times New Roman" w:hint="default"/>
                            <w:sz w:val="18"/>
                            <w:szCs w:val="18"/>
                          </w:rPr>
                        </w:pPr>
                        <w:r>
                          <w:rPr>
                            <w:rFonts w:ascii="Times New Roman"/>
                            <w:sz w:val="18"/>
                          </w:rPr>
                          <w:t>2,880,600</w:t>
                        </w:r>
                      </w:p>
                    </w:tc>
                  </w:tr>
                  <w:tr>
                    <w:trPr>
                      <w:trHeight w:val="250" w:hRule="exact"/>
                    </w:trPr>
                    <w:tc>
                      <w:tcPr>
                        <w:tcW w:w="27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刘风琴</w:t>
                        </w:r>
                      </w:p>
                    </w:tc>
                    <w:tc>
                      <w:tcPr>
                        <w:tcW w:w="445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2,080,800</w:t>
                        </w:r>
                      </w:p>
                    </w:tc>
                    <w:tc>
                      <w:tcPr>
                        <w:tcW w:w="1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09" w:right="0"/>
                          <w:jc w:val="left"/>
                          <w:rPr>
                            <w:rFonts w:ascii="Times New Roman" w:hAnsi="Times New Roman" w:cs="Times New Roman" w:eastAsia="Times New Roman" w:hint="default"/>
                            <w:sz w:val="18"/>
                            <w:szCs w:val="18"/>
                          </w:rPr>
                        </w:pPr>
                        <w:r>
                          <w:rPr>
                            <w:rFonts w:ascii="Times New Roman"/>
                            <w:sz w:val="18"/>
                          </w:rPr>
                          <w:t>2,080,800</w:t>
                        </w:r>
                      </w:p>
                    </w:tc>
                  </w:tr>
                  <w:tr>
                    <w:trPr>
                      <w:trHeight w:val="970" w:hRule="exact"/>
                    </w:trPr>
                    <w:tc>
                      <w:tcPr>
                        <w:tcW w:w="271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exact"/>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240" w:lineRule="exact" w:before="13"/>
                          <w:ind w:left="22" w:right="68"/>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980" w:type="dxa"/>
                        <w:gridSpan w:val="11"/>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宋体" w:hAnsi="宋体" w:cs="宋体" w:eastAsia="宋体" w:hint="default"/>
                            <w:sz w:val="17"/>
                            <w:szCs w:val="17"/>
                          </w:rPr>
                        </w:pPr>
                      </w:p>
                      <w:p>
                        <w:pPr>
                          <w:pStyle w:val="TableParagraph"/>
                          <w:spacing w:line="245"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华立集团股份有限公司持有浙江华立投资管理有限公司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股权。公司未知其他前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名股东之间是否存在关联关系或属于《上市公司收购管理办法》规定的一致行动人。</w:t>
                        </w:r>
                      </w:p>
                    </w:tc>
                  </w:tr>
                  <w:tr>
                    <w:trPr>
                      <w:trHeight w:val="730" w:hRule="exact"/>
                    </w:trPr>
                    <w:tc>
                      <w:tcPr>
                        <w:tcW w:w="271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20"/>
                          <w:ind w:left="22" w:right="68"/>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业务情况说明</w:t>
                        </w:r>
                      </w:p>
                    </w:tc>
                    <w:tc>
                      <w:tcPr>
                        <w:tcW w:w="6980" w:type="dxa"/>
                        <w:gridSpan w:val="11"/>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雷立军通过融资融券信用账户持有本公司</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1,654,980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2"/>
                            <w:sz w:val="18"/>
                            <w:szCs w:val="18"/>
                          </w:rPr>
                          <w:t>股</w:t>
                        </w:r>
                        <w:r>
                          <w:rPr>
                            <w:rFonts w:ascii="宋体" w:hAnsi="宋体" w:cs="宋体" w:eastAsia="宋体" w:hint="default"/>
                            <w:sz w:val="18"/>
                            <w:szCs w:val="18"/>
                          </w:rPr>
                          <w:t>份</w:t>
                        </w:r>
                        <w:r>
                          <w:rPr>
                            <w:rFonts w:ascii="宋体" w:hAnsi="宋体" w:cs="宋体" w:eastAsia="宋体" w:hint="default"/>
                            <w:spacing w:val="-89"/>
                            <w:sz w:val="18"/>
                            <w:szCs w:val="18"/>
                          </w:rPr>
                          <w:t>；</w:t>
                        </w:r>
                        <w:r>
                          <w:rPr>
                            <w:rFonts w:ascii="宋体" w:hAnsi="宋体" w:cs="宋体" w:eastAsia="宋体" w:hint="default"/>
                            <w:sz w:val="18"/>
                            <w:szCs w:val="18"/>
                          </w:rPr>
                          <w:t>王紫军通过融资融券信用账</w:t>
                        </w:r>
                      </w:p>
                      <w:p>
                        <w:pPr>
                          <w:pStyle w:val="TableParagraph"/>
                          <w:spacing w:line="240" w:lineRule="exact"/>
                          <w:ind w:left="23" w:right="0"/>
                          <w:jc w:val="left"/>
                          <w:rPr>
                            <w:rFonts w:ascii="宋体" w:hAnsi="宋体" w:cs="宋体" w:eastAsia="宋体" w:hint="default"/>
                            <w:sz w:val="18"/>
                            <w:szCs w:val="18"/>
                          </w:rPr>
                        </w:pPr>
                        <w:r>
                          <w:rPr>
                            <w:rFonts w:ascii="宋体" w:hAnsi="宋体" w:cs="宋体" w:eastAsia="宋体" w:hint="default"/>
                            <w:sz w:val="18"/>
                            <w:szCs w:val="18"/>
                          </w:rPr>
                          <w:t>户持有本公司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1,129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w:t>
                        </w:r>
                        <w:r>
                          <w:rPr>
                            <w:rFonts w:ascii="宋体" w:hAnsi="宋体" w:cs="宋体" w:eastAsia="宋体" w:hint="default"/>
                            <w:spacing w:val="-89"/>
                            <w:sz w:val="18"/>
                            <w:szCs w:val="18"/>
                          </w:rPr>
                          <w:t>；</w:t>
                        </w:r>
                        <w:r>
                          <w:rPr>
                            <w:rFonts w:ascii="宋体" w:hAnsi="宋体" w:cs="宋体" w:eastAsia="宋体" w:hint="default"/>
                            <w:sz w:val="18"/>
                            <w:szCs w:val="18"/>
                          </w:rPr>
                          <w:t>胡志剑通过融资融券信用账户持有本公司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2,477,123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份；日照开航水产有限公司通过融资融券信用账户持有本公司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3,540,700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股股份。</w:t>
                        </w:r>
                      </w:p>
                    </w:tc>
                  </w:tr>
                </w:tbl>
                <w:p>
                  <w:pPr/>
                </w:p>
              </w:txbxContent>
            </v:textbox>
            <w10:wrap type="none"/>
          </v:shape>
        </w:pict>
      </w:r>
      <w:r>
        <w:rPr/>
        <w:t>》</w:t>
      </w:r>
    </w:p>
    <w:p>
      <w:pPr>
        <w:spacing w:after="0" w:line="240" w:lineRule="auto"/>
        <w:jc w:val="righ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125"/>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right="12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right="125"/>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125"/>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471"/>
        <w:jc w:val="left"/>
      </w:pPr>
      <w:r>
        <w:rPr/>
        <w:t>控股股东性质：地方国有控股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44"/>
        <w:ind w:left="0" w:right="199"/>
        <w:jc w:val="right"/>
      </w:pPr>
      <w:r>
        <w:rPr/>
        <w:pict>
          <v:shape style="position:absolute;margin-left:56.459999pt;margin-top:-36.578037pt;width:478.5pt;height:154.4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4"/>
                    <w:gridCol w:w="1138"/>
                    <w:gridCol w:w="1560"/>
                    <w:gridCol w:w="1429"/>
                    <w:gridCol w:w="3165"/>
                  </w:tblGrid>
                  <w:tr>
                    <w:trPr>
                      <w:trHeight w:val="713" w:hRule="exact"/>
                    </w:trPr>
                    <w:tc>
                      <w:tcPr>
                        <w:tcW w:w="22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3" w:right="87"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3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8" w:hRule="exact"/>
                    </w:trPr>
                    <w:tc>
                      <w:tcPr>
                        <w:tcW w:w="2264" w:type="dxa"/>
                        <w:vMerge w:val="restart"/>
                        <w:tcBorders>
                          <w:top w:val="single" w:sz="4" w:space="0" w:color="000000"/>
                          <w:left w:val="single" w:sz="4" w:space="0" w:color="000000"/>
                          <w:right w:val="single" w:sz="4" w:space="0" w:color="000000"/>
                        </w:tcBorders>
                        <w:shd w:val="clear" w:color="auto" w:fill="C7EDCC"/>
                      </w:tcPr>
                      <w:p>
                        <w:pPr/>
                      </w:p>
                    </w:tc>
                    <w:tc>
                      <w:tcPr>
                        <w:tcW w:w="1138" w:type="dxa"/>
                        <w:vMerge w:val="restart"/>
                        <w:tcBorders>
                          <w:top w:val="single" w:sz="4" w:space="0" w:color="000000"/>
                          <w:left w:val="single" w:sz="4" w:space="0" w:color="000000"/>
                          <w:right w:val="single" w:sz="4" w:space="0" w:color="000000"/>
                        </w:tcBorders>
                        <w:shd w:val="clear" w:color="auto" w:fill="C7EDCC"/>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429" w:type="dxa"/>
                        <w:vMerge w:val="restart"/>
                        <w:tcBorders>
                          <w:top w:val="single" w:sz="4" w:space="0" w:color="000000"/>
                          <w:left w:val="single" w:sz="4" w:space="0" w:color="000000"/>
                          <w:right w:val="single" w:sz="4" w:space="0" w:color="000000"/>
                        </w:tcBorders>
                        <w:shd w:val="clear" w:color="auto" w:fill="C7EDCC"/>
                      </w:tcPr>
                      <w:p>
                        <w:pPr/>
                      </w:p>
                    </w:tc>
                    <w:tc>
                      <w:tcPr>
                        <w:tcW w:w="316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一般经营项目：实业投资；设计、制作</w:t>
                        </w:r>
                      </w:p>
                    </w:tc>
                  </w:tr>
                  <w:tr>
                    <w:trPr>
                      <w:trHeight w:val="116" w:hRule="exact"/>
                    </w:trPr>
                    <w:tc>
                      <w:tcPr>
                        <w:tcW w:w="2264" w:type="dxa"/>
                        <w:vMerge/>
                        <w:tcBorders>
                          <w:left w:val="single" w:sz="4" w:space="0" w:color="000000"/>
                          <w:bottom w:val="nil" w:sz="6" w:space="0" w:color="auto"/>
                          <w:right w:val="single" w:sz="4" w:space="0" w:color="000000"/>
                        </w:tcBorders>
                        <w:shd w:val="clear" w:color="auto" w:fill="C7EDCC"/>
                      </w:tcPr>
                      <w:p>
                        <w:pPr/>
                      </w:p>
                    </w:tc>
                    <w:tc>
                      <w:tcPr>
                        <w:tcW w:w="1138" w:type="dxa"/>
                        <w:vMerge/>
                        <w:tcBorders>
                          <w:left w:val="single" w:sz="4" w:space="0" w:color="000000"/>
                          <w:bottom w:val="nil" w:sz="6" w:space="0" w:color="auto"/>
                          <w:right w:val="single" w:sz="4" w:space="0" w:color="000000"/>
                        </w:tcBorders>
                        <w:shd w:val="clear" w:color="auto" w:fill="C7EDCC"/>
                      </w:tcPr>
                      <w:p>
                        <w:pPr/>
                      </w:p>
                    </w:tc>
                    <w:tc>
                      <w:tcPr>
                        <w:tcW w:w="1560" w:type="dxa"/>
                        <w:vMerge w:val="restart"/>
                        <w:tcBorders>
                          <w:top w:val="nil" w:sz="6" w:space="0" w:color="auto"/>
                          <w:left w:val="single" w:sz="13" w:space="0" w:color="C7EDCC"/>
                          <w:right w:val="single" w:sz="9" w:space="0" w:color="C7EDCC"/>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9" w:type="dxa"/>
                        <w:vMerge/>
                        <w:tcBorders>
                          <w:left w:val="single" w:sz="4" w:space="0" w:color="000000"/>
                          <w:bottom w:val="nil" w:sz="6" w:space="0" w:color="auto"/>
                          <w:right w:val="single" w:sz="4" w:space="0" w:color="000000"/>
                        </w:tcBorders>
                        <w:shd w:val="clear" w:color="auto" w:fill="C7EDCC"/>
                      </w:tcPr>
                      <w:p>
                        <w:pPr/>
                      </w:p>
                    </w:tc>
                    <w:tc>
                      <w:tcPr>
                        <w:tcW w:w="3165"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10"/>
                          <w:ind w:left="11" w:right="83"/>
                          <w:jc w:val="left"/>
                          <w:rPr>
                            <w:rFonts w:ascii="宋体" w:hAnsi="宋体" w:cs="宋体" w:eastAsia="宋体" w:hint="default"/>
                            <w:sz w:val="18"/>
                            <w:szCs w:val="18"/>
                          </w:rPr>
                        </w:pPr>
                        <w:r>
                          <w:rPr>
                            <w:rFonts w:ascii="宋体" w:hAnsi="宋体" w:cs="宋体" w:eastAsia="宋体" w:hint="default"/>
                            <w:spacing w:val="-11"/>
                            <w:sz w:val="18"/>
                            <w:szCs w:val="18"/>
                          </w:rPr>
                          <w:t>代理、发布国内广告（除网络广告发布）</w:t>
                        </w:r>
                        <w:r>
                          <w:rPr>
                            <w:rFonts w:ascii="宋体" w:hAnsi="宋体" w:cs="宋体" w:eastAsia="宋体" w:hint="default"/>
                            <w:spacing w:val="-90"/>
                            <w:sz w:val="18"/>
                            <w:szCs w:val="18"/>
                          </w:rPr>
                          <w:t> </w:t>
                        </w:r>
                        <w:r>
                          <w:rPr>
                            <w:rFonts w:ascii="宋体" w:hAnsi="宋体" w:cs="宋体" w:eastAsia="宋体" w:hint="default"/>
                            <w:sz w:val="18"/>
                            <w:szCs w:val="18"/>
                          </w:rPr>
                          <w:t>其他无需报经审批的一切合法项目；含</w:t>
                        </w:r>
                      </w:p>
                    </w:tc>
                  </w:tr>
                  <w:tr>
                    <w:trPr>
                      <w:trHeight w:val="391" w:hRule="exact"/>
                    </w:trPr>
                    <w:tc>
                      <w:tcPr>
                        <w:tcW w:w="226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1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董悦</w:t>
                        </w:r>
                      </w:p>
                    </w:tc>
                    <w:tc>
                      <w:tcPr>
                        <w:tcW w:w="1560" w:type="dxa"/>
                        <w:vMerge/>
                        <w:tcBorders>
                          <w:left w:val="single" w:sz="13" w:space="0" w:color="C7EDCC"/>
                          <w:right w:val="single" w:sz="9" w:space="0" w:color="C7EDCC"/>
                        </w:tcBorders>
                      </w:tcPr>
                      <w:p>
                        <w:pPr/>
                      </w:p>
                    </w:tc>
                    <w:tc>
                      <w:tcPr>
                        <w:tcW w:w="14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78237846-1</w:t>
                        </w:r>
                      </w:p>
                    </w:tc>
                    <w:tc>
                      <w:tcPr>
                        <w:tcW w:w="3165" w:type="dxa"/>
                        <w:vMerge/>
                        <w:tcBorders>
                          <w:left w:val="single" w:sz="4" w:space="0" w:color="000000"/>
                          <w:right w:val="single" w:sz="4" w:space="0" w:color="000000"/>
                        </w:tcBorders>
                        <w:shd w:val="clear" w:color="auto" w:fill="C7EDCC"/>
                      </w:tcPr>
                      <w:p>
                        <w:pPr/>
                      </w:p>
                    </w:tc>
                  </w:tr>
                  <w:tr>
                    <w:trPr>
                      <w:trHeight w:val="118" w:hRule="exact"/>
                    </w:trPr>
                    <w:tc>
                      <w:tcPr>
                        <w:tcW w:w="2264" w:type="dxa"/>
                        <w:vMerge w:val="restart"/>
                        <w:tcBorders>
                          <w:top w:val="nil" w:sz="6" w:space="0" w:color="auto"/>
                          <w:left w:val="single" w:sz="4" w:space="0" w:color="000000"/>
                          <w:right w:val="single" w:sz="4" w:space="0" w:color="000000"/>
                        </w:tcBorders>
                        <w:shd w:val="clear" w:color="auto" w:fill="C7EDCC"/>
                      </w:tcPr>
                      <w:p>
                        <w:pPr/>
                      </w:p>
                    </w:tc>
                    <w:tc>
                      <w:tcPr>
                        <w:tcW w:w="1138" w:type="dxa"/>
                        <w:vMerge w:val="restart"/>
                        <w:tcBorders>
                          <w:top w:val="nil" w:sz="6" w:space="0" w:color="auto"/>
                          <w:left w:val="single" w:sz="4" w:space="0" w:color="000000"/>
                          <w:right w:val="single" w:sz="4" w:space="0" w:color="000000"/>
                        </w:tcBorders>
                        <w:shd w:val="clear" w:color="auto" w:fill="C7EDCC"/>
                      </w:tcPr>
                      <w:p>
                        <w:pPr/>
                      </w:p>
                    </w:tc>
                    <w:tc>
                      <w:tcPr>
                        <w:tcW w:w="1560" w:type="dxa"/>
                        <w:vMerge/>
                        <w:tcBorders>
                          <w:left w:val="single" w:sz="13" w:space="0" w:color="C7EDCC"/>
                          <w:bottom w:val="nil" w:sz="6" w:space="0" w:color="auto"/>
                          <w:right w:val="single" w:sz="9" w:space="0" w:color="C7EDCC"/>
                        </w:tcBorders>
                      </w:tcPr>
                      <w:p>
                        <w:pPr/>
                      </w:p>
                    </w:tc>
                    <w:tc>
                      <w:tcPr>
                        <w:tcW w:w="1429" w:type="dxa"/>
                        <w:vMerge w:val="restart"/>
                        <w:tcBorders>
                          <w:top w:val="nil" w:sz="6" w:space="0" w:color="auto"/>
                          <w:left w:val="single" w:sz="4" w:space="0" w:color="000000"/>
                          <w:right w:val="single" w:sz="4" w:space="0" w:color="000000"/>
                        </w:tcBorders>
                        <w:shd w:val="clear" w:color="auto" w:fill="C7EDCC"/>
                      </w:tcPr>
                      <w:p>
                        <w:pPr/>
                      </w:p>
                    </w:tc>
                    <w:tc>
                      <w:tcPr>
                        <w:tcW w:w="3165" w:type="dxa"/>
                        <w:vMerge/>
                        <w:tcBorders>
                          <w:left w:val="single" w:sz="4" w:space="0" w:color="000000"/>
                          <w:bottom w:val="nil" w:sz="6" w:space="0" w:color="auto"/>
                          <w:right w:val="single" w:sz="4" w:space="0" w:color="000000"/>
                        </w:tcBorders>
                        <w:shd w:val="clear" w:color="auto" w:fill="C7EDCC"/>
                      </w:tcPr>
                      <w:p>
                        <w:pPr/>
                      </w:p>
                    </w:tc>
                  </w:tr>
                  <w:tr>
                    <w:trPr>
                      <w:trHeight w:val="356" w:hRule="exact"/>
                    </w:trPr>
                    <w:tc>
                      <w:tcPr>
                        <w:tcW w:w="2264" w:type="dxa"/>
                        <w:vMerge/>
                        <w:tcBorders>
                          <w:left w:val="single" w:sz="4" w:space="0" w:color="000000"/>
                          <w:bottom w:val="single" w:sz="4" w:space="0" w:color="000000"/>
                          <w:right w:val="single" w:sz="4" w:space="0" w:color="000000"/>
                        </w:tcBorders>
                        <w:shd w:val="clear" w:color="auto" w:fill="C7EDCC"/>
                      </w:tcPr>
                      <w:p>
                        <w:pPr/>
                      </w:p>
                    </w:tc>
                    <w:tc>
                      <w:tcPr>
                        <w:tcW w:w="1138" w:type="dxa"/>
                        <w:vMerge/>
                        <w:tcBorders>
                          <w:left w:val="single" w:sz="4" w:space="0" w:color="000000"/>
                          <w:bottom w:val="single" w:sz="4" w:space="0" w:color="000000"/>
                          <w:right w:val="single" w:sz="4" w:space="0" w:color="000000"/>
                        </w:tcBorders>
                        <w:shd w:val="clear" w:color="auto" w:fill="C7EDCC"/>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29" w:type="dxa"/>
                        <w:vMerge/>
                        <w:tcBorders>
                          <w:left w:val="single" w:sz="4" w:space="0" w:color="000000"/>
                          <w:bottom w:val="single" w:sz="4" w:space="0" w:color="000000"/>
                          <w:right w:val="single" w:sz="4" w:space="0" w:color="000000"/>
                        </w:tcBorders>
                        <w:shd w:val="clear" w:color="auto" w:fill="C7EDCC"/>
                      </w:tcPr>
                      <w:p>
                        <w:pPr/>
                      </w:p>
                    </w:tc>
                    <w:tc>
                      <w:tcPr>
                        <w:tcW w:w="316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下属分支机构经营范围</w:t>
                        </w:r>
                      </w:p>
                    </w:tc>
                  </w:tr>
                  <w:tr>
                    <w:trPr>
                      <w:trHeight w:val="317" w:hRule="exact"/>
                    </w:trPr>
                    <w:tc>
                      <w:tcPr>
                        <w:tcW w:w="226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控股股东报告期内控股和参</w:t>
                        </w:r>
                      </w:p>
                    </w:tc>
                    <w:tc>
                      <w:tcPr>
                        <w:tcW w:w="7291" w:type="dxa"/>
                        <w:gridSpan w:val="4"/>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1" w:hRule="exact"/>
                    </w:trPr>
                    <w:tc>
                      <w:tcPr>
                        <w:tcW w:w="2264" w:type="dxa"/>
                        <w:tcBorders>
                          <w:top w:val="nil" w:sz="6" w:space="0" w:color="auto"/>
                          <w:left w:val="single" w:sz="4" w:space="0" w:color="000000"/>
                          <w:bottom w:val="nil" w:sz="6" w:space="0" w:color="auto"/>
                          <w:right w:val="single" w:sz="9" w:space="0" w:color="C7EDCC"/>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股的其他境内外上市公司的</w:t>
                        </w:r>
                      </w:p>
                    </w:tc>
                    <w:tc>
                      <w:tcPr>
                        <w:tcW w:w="7291" w:type="dxa"/>
                        <w:gridSpan w:val="4"/>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26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股权情况</w:t>
                        </w:r>
                      </w:p>
                    </w:tc>
                    <w:tc>
                      <w:tcPr>
                        <w:tcW w:w="7291" w:type="dxa"/>
                        <w:gridSpan w:val="4"/>
                        <w:tcBorders>
                          <w:top w:val="nil" w:sz="6" w:space="0" w:color="auto"/>
                          <w:left w:val="single" w:sz="4" w:space="0" w:color="000000"/>
                          <w:bottom w:val="single" w:sz="4" w:space="0" w:color="000000"/>
                          <w:right w:val="single" w:sz="4" w:space="0" w:color="000000"/>
                        </w:tcBorders>
                        <w:shd w:val="clear" w:color="auto" w:fill="C7EDCC"/>
                      </w:tcPr>
                      <w:p>
                        <w:pPr/>
                      </w:p>
                    </w:tc>
                  </w:tr>
                </w:tbl>
                <w:p>
                  <w:pPr/>
                </w:p>
              </w:txbxContent>
            </v:textbox>
            <w10:wrap type="none"/>
          </v:shape>
        </w:pict>
      </w:r>
      <w:r>
        <w:rPr/>
        <w:t>、</w:t>
      </w:r>
    </w:p>
    <w:p>
      <w:pPr>
        <w:pStyle w:val="BodyText"/>
        <w:spacing w:line="240" w:lineRule="auto" w:before="75"/>
        <w:ind w:left="0" w:right="19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before="44"/>
        <w:ind w:right="125"/>
        <w:jc w:val="left"/>
      </w:pPr>
      <w:r>
        <w:rPr/>
        <w:t>控股股东报告期内变更</w:t>
      </w:r>
    </w:p>
    <w:p>
      <w:pPr>
        <w:pStyle w:val="BodyText"/>
        <w:spacing w:line="340" w:lineRule="auto" w:before="116"/>
        <w:ind w:right="71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3"/>
        <w:rPr>
          <w:rFonts w:ascii="宋体" w:hAnsi="宋体" w:cs="宋体" w:eastAsia="宋体" w:hint="default"/>
          <w:sz w:val="20"/>
          <w:szCs w:val="20"/>
        </w:rPr>
      </w:pPr>
    </w:p>
    <w:p>
      <w:pPr>
        <w:pStyle w:val="Heading3"/>
        <w:spacing w:line="240" w:lineRule="auto"/>
        <w:ind w:right="125"/>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6931"/>
        <w:jc w:val="left"/>
      </w:pPr>
      <w:r>
        <w:rPr/>
        <w:t>实际控制人性质：地方国资管理机构 实际控制人类型：法人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left="0" w:right="100"/>
        <w:jc w:val="right"/>
      </w:pPr>
      <w:r>
        <w:rPr/>
        <w:pict>
          <v:shape style="position:absolute;margin-left:55.080002pt;margin-top:-52.137894pt;width:484.85pt;height:154.4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14"/>
                    <w:gridCol w:w="1204"/>
                    <w:gridCol w:w="1555"/>
                    <w:gridCol w:w="1287"/>
                    <w:gridCol w:w="3122"/>
                  </w:tblGrid>
                  <w:tr>
                    <w:trPr>
                      <w:trHeight w:val="714" w:hRule="exact"/>
                    </w:trPr>
                    <w:tc>
                      <w:tcPr>
                        <w:tcW w:w="2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1"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36" w:right="30" w:hanging="20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 位负责人</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2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3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74" w:hRule="exact"/>
                    </w:trPr>
                    <w:tc>
                      <w:tcPr>
                        <w:tcW w:w="2514" w:type="dxa"/>
                        <w:tcBorders>
                          <w:top w:val="single" w:sz="4" w:space="0" w:color="000000"/>
                          <w:left w:val="single" w:sz="4" w:space="0" w:color="000000"/>
                          <w:bottom w:val="nil" w:sz="6" w:space="0" w:color="auto"/>
                          <w:right w:val="single" w:sz="4" w:space="0" w:color="000000"/>
                        </w:tcBorders>
                        <w:shd w:val="clear" w:color="auto" w:fill="C7EDCC"/>
                      </w:tcPr>
                      <w:p>
                        <w:pPr/>
                      </w:p>
                    </w:tc>
                    <w:tc>
                      <w:tcPr>
                        <w:tcW w:w="1204" w:type="dxa"/>
                        <w:vMerge w:val="restart"/>
                        <w:tcBorders>
                          <w:top w:val="single" w:sz="4" w:space="0" w:color="000000"/>
                          <w:left w:val="single" w:sz="4" w:space="0" w:color="000000"/>
                          <w:right w:val="single" w:sz="4" w:space="0" w:color="000000"/>
                        </w:tcBorders>
                        <w:shd w:val="clear" w:color="auto" w:fill="C7EDCC"/>
                      </w:tcPr>
                      <w:p>
                        <w:pPr/>
                      </w:p>
                    </w:tc>
                    <w:tc>
                      <w:tcPr>
                        <w:tcW w:w="1555" w:type="dxa"/>
                        <w:vMerge w:val="restart"/>
                        <w:tcBorders>
                          <w:top w:val="single" w:sz="4" w:space="0" w:color="000000"/>
                          <w:left w:val="single" w:sz="9" w:space="0" w:color="C7EDCC"/>
                          <w:right w:val="single" w:sz="9" w:space="0" w:color="C7ED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87" w:type="dxa"/>
                        <w:vMerge w:val="restart"/>
                        <w:tcBorders>
                          <w:top w:val="single" w:sz="4" w:space="0" w:color="000000"/>
                          <w:left w:val="single" w:sz="4" w:space="0" w:color="000000"/>
                          <w:right w:val="single" w:sz="4" w:space="0" w:color="000000"/>
                        </w:tcBorders>
                        <w:shd w:val="clear" w:color="auto" w:fill="C7EDCC"/>
                      </w:tcPr>
                      <w:p>
                        <w:pPr/>
                      </w:p>
                    </w:tc>
                    <w:tc>
                      <w:tcPr>
                        <w:tcW w:w="3122" w:type="dxa"/>
                        <w:vMerge w:val="restart"/>
                        <w:tcBorders>
                          <w:top w:val="single" w:sz="4" w:space="0" w:color="000000"/>
                          <w:left w:val="single" w:sz="4" w:space="0" w:color="000000"/>
                          <w:right w:val="single" w:sz="4" w:space="0" w:color="000000"/>
                        </w:tcBorders>
                        <w:shd w:val="clear" w:color="auto" w:fill="C7EDCC"/>
                      </w:tcPr>
                      <w:p>
                        <w:pPr>
                          <w:pStyle w:val="TableParagraph"/>
                          <w:tabs>
                            <w:tab w:pos="2291" w:val="left" w:leader="none"/>
                          </w:tabs>
                          <w:spacing w:line="316" w:lineRule="auto" w:before="52"/>
                          <w:ind w:left="11" w:right="39"/>
                          <w:jc w:val="left"/>
                          <w:rPr>
                            <w:rFonts w:ascii="宋体" w:hAnsi="宋体" w:cs="宋体" w:eastAsia="宋体" w:hint="default"/>
                            <w:sz w:val="18"/>
                            <w:szCs w:val="18"/>
                          </w:rPr>
                        </w:pPr>
                        <w:r>
                          <w:rPr>
                            <w:rFonts w:ascii="宋体" w:hAnsi="宋体" w:cs="宋体" w:eastAsia="宋体" w:hint="default"/>
                            <w:sz w:val="18"/>
                            <w:szCs w:val="18"/>
                          </w:rPr>
                          <w:t>传播新闻和其他信息，促进社会经济文 </w:t>
                        </w:r>
                        <w:r>
                          <w:rPr>
                            <w:rFonts w:ascii="宋体" w:hAnsi="宋体" w:cs="宋体" w:eastAsia="宋体" w:hint="default"/>
                            <w:spacing w:val="-13"/>
                            <w:sz w:val="18"/>
                            <w:szCs w:val="18"/>
                          </w:rPr>
                          <w:t>化发展。《杭州日报》出版</w:t>
                          <w:tab/>
                        </w:r>
                        <w:r>
                          <w:rPr>
                            <w:rFonts w:ascii="宋体" w:hAnsi="宋体" w:cs="宋体" w:eastAsia="宋体" w:hint="default"/>
                            <w:sz w:val="18"/>
                            <w:szCs w:val="18"/>
                          </w:rPr>
                          <w:t>增项出版</w:t>
                        </w:r>
                        <w:r>
                          <w:rPr>
                            <w:rFonts w:ascii="宋体" w:hAnsi="宋体" w:cs="宋体" w:eastAsia="宋体" w:hint="default"/>
                            <w:sz w:val="18"/>
                            <w:szCs w:val="18"/>
                          </w:rPr>
                          <w:t> </w:t>
                        </w:r>
                        <w:r>
                          <w:rPr>
                            <w:rFonts w:ascii="宋体" w:hAnsi="宋体" w:cs="宋体" w:eastAsia="宋体" w:hint="default"/>
                            <w:spacing w:val="-4"/>
                            <w:sz w:val="18"/>
                            <w:szCs w:val="18"/>
                          </w:rPr>
                          <w:t>相关出版物出版、相关印刷、相关发行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广告、新闻研究、新闻培训、新闻业务 交流、相关社会服务</w:t>
                        </w:r>
                      </w:p>
                    </w:tc>
                  </w:tr>
                  <w:tr>
                    <w:trPr>
                      <w:trHeight w:val="156" w:hRule="exact"/>
                    </w:trPr>
                    <w:tc>
                      <w:tcPr>
                        <w:tcW w:w="2514"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杭州日报报业集团（杭州日报 社）</w:t>
                        </w:r>
                      </w:p>
                    </w:tc>
                    <w:tc>
                      <w:tcPr>
                        <w:tcW w:w="1204" w:type="dxa"/>
                        <w:vMerge/>
                        <w:tcBorders>
                          <w:left w:val="single" w:sz="4" w:space="0" w:color="000000"/>
                          <w:bottom w:val="nil" w:sz="6" w:space="0" w:color="auto"/>
                          <w:right w:val="single" w:sz="4" w:space="0" w:color="000000"/>
                        </w:tcBorders>
                        <w:shd w:val="clear" w:color="auto" w:fill="C7EDCC"/>
                      </w:tcPr>
                      <w:p>
                        <w:pPr/>
                      </w:p>
                    </w:tc>
                    <w:tc>
                      <w:tcPr>
                        <w:tcW w:w="1555" w:type="dxa"/>
                        <w:vMerge/>
                        <w:tcBorders>
                          <w:left w:val="single" w:sz="9" w:space="0" w:color="C7EDCC"/>
                          <w:right w:val="single" w:sz="9" w:space="0" w:color="C7EDCC"/>
                        </w:tcBorders>
                      </w:tcPr>
                      <w:p>
                        <w:pPr/>
                      </w:p>
                    </w:tc>
                    <w:tc>
                      <w:tcPr>
                        <w:tcW w:w="1287" w:type="dxa"/>
                        <w:vMerge/>
                        <w:tcBorders>
                          <w:left w:val="single" w:sz="4" w:space="0" w:color="000000"/>
                          <w:bottom w:val="nil" w:sz="6" w:space="0" w:color="auto"/>
                          <w:right w:val="single" w:sz="4" w:space="0" w:color="000000"/>
                        </w:tcBorders>
                        <w:shd w:val="clear" w:color="auto" w:fill="C7EDCC"/>
                      </w:tcPr>
                      <w:p>
                        <w:pPr/>
                      </w:p>
                    </w:tc>
                    <w:tc>
                      <w:tcPr>
                        <w:tcW w:w="3122" w:type="dxa"/>
                        <w:vMerge/>
                        <w:tcBorders>
                          <w:left w:val="single" w:sz="4" w:space="0" w:color="000000"/>
                          <w:right w:val="single" w:sz="4" w:space="0" w:color="000000"/>
                        </w:tcBorders>
                        <w:shd w:val="clear" w:color="auto" w:fill="C7EDCC"/>
                      </w:tcPr>
                      <w:p>
                        <w:pPr/>
                      </w:p>
                    </w:tc>
                  </w:tr>
                  <w:tr>
                    <w:trPr>
                      <w:trHeight w:val="392" w:hRule="exact"/>
                    </w:trPr>
                    <w:tc>
                      <w:tcPr>
                        <w:tcW w:w="2514" w:type="dxa"/>
                        <w:vMerge/>
                        <w:tcBorders>
                          <w:left w:val="single" w:sz="4" w:space="0" w:color="000000"/>
                          <w:right w:val="single" w:sz="4" w:space="0" w:color="000000"/>
                        </w:tcBorders>
                        <w:shd w:val="clear" w:color="auto" w:fill="C7EDCC"/>
                      </w:tcPr>
                      <w:p>
                        <w:pPr/>
                      </w:p>
                    </w:tc>
                    <w:tc>
                      <w:tcPr>
                        <w:tcW w:w="120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董悦</w:t>
                        </w:r>
                      </w:p>
                    </w:tc>
                    <w:tc>
                      <w:tcPr>
                        <w:tcW w:w="1555" w:type="dxa"/>
                        <w:vMerge/>
                        <w:tcBorders>
                          <w:left w:val="single" w:sz="9" w:space="0" w:color="C7EDCC"/>
                          <w:right w:val="single" w:sz="9" w:space="0" w:color="C7EDCC"/>
                        </w:tcBorders>
                      </w:tcPr>
                      <w:p>
                        <w:pPr/>
                      </w:p>
                    </w:tc>
                    <w:tc>
                      <w:tcPr>
                        <w:tcW w:w="128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47010001-4</w:t>
                        </w:r>
                      </w:p>
                    </w:tc>
                    <w:tc>
                      <w:tcPr>
                        <w:tcW w:w="3122" w:type="dxa"/>
                        <w:vMerge/>
                        <w:tcBorders>
                          <w:left w:val="single" w:sz="4" w:space="0" w:color="000000"/>
                          <w:right w:val="single" w:sz="4" w:space="0" w:color="000000"/>
                        </w:tcBorders>
                        <w:shd w:val="clear" w:color="auto" w:fill="C7EDCC"/>
                      </w:tcPr>
                      <w:p>
                        <w:pPr/>
                      </w:p>
                    </w:tc>
                  </w:tr>
                  <w:tr>
                    <w:trPr>
                      <w:trHeight w:val="156" w:hRule="exact"/>
                    </w:trPr>
                    <w:tc>
                      <w:tcPr>
                        <w:tcW w:w="2514" w:type="dxa"/>
                        <w:vMerge/>
                        <w:tcBorders>
                          <w:left w:val="single" w:sz="4" w:space="0" w:color="000000"/>
                          <w:bottom w:val="nil" w:sz="6" w:space="0" w:color="auto"/>
                          <w:right w:val="single" w:sz="4" w:space="0" w:color="000000"/>
                        </w:tcBorders>
                        <w:shd w:val="clear" w:color="auto" w:fill="C7EDCC"/>
                      </w:tcPr>
                      <w:p>
                        <w:pPr/>
                      </w:p>
                    </w:tc>
                    <w:tc>
                      <w:tcPr>
                        <w:tcW w:w="1204" w:type="dxa"/>
                        <w:vMerge w:val="restart"/>
                        <w:tcBorders>
                          <w:top w:val="nil" w:sz="6" w:space="0" w:color="auto"/>
                          <w:left w:val="single" w:sz="4" w:space="0" w:color="000000"/>
                          <w:right w:val="single" w:sz="4" w:space="0" w:color="000000"/>
                        </w:tcBorders>
                        <w:shd w:val="clear" w:color="auto" w:fill="C7EDCC"/>
                      </w:tcPr>
                      <w:p>
                        <w:pPr/>
                      </w:p>
                    </w:tc>
                    <w:tc>
                      <w:tcPr>
                        <w:tcW w:w="1555" w:type="dxa"/>
                        <w:vMerge/>
                        <w:tcBorders>
                          <w:left w:val="single" w:sz="9" w:space="0" w:color="C7EDCC"/>
                          <w:right w:val="single" w:sz="9" w:space="0" w:color="C7EDCC"/>
                        </w:tcBorders>
                      </w:tcPr>
                      <w:p>
                        <w:pPr/>
                      </w:p>
                    </w:tc>
                    <w:tc>
                      <w:tcPr>
                        <w:tcW w:w="1287" w:type="dxa"/>
                        <w:vMerge w:val="restart"/>
                        <w:tcBorders>
                          <w:top w:val="nil" w:sz="6" w:space="0" w:color="auto"/>
                          <w:left w:val="single" w:sz="4" w:space="0" w:color="000000"/>
                          <w:right w:val="single" w:sz="4" w:space="0" w:color="000000"/>
                        </w:tcBorders>
                        <w:shd w:val="clear" w:color="auto" w:fill="C7EDCC"/>
                      </w:tcPr>
                      <w:p>
                        <w:pPr/>
                      </w:p>
                    </w:tc>
                    <w:tc>
                      <w:tcPr>
                        <w:tcW w:w="3122" w:type="dxa"/>
                        <w:vMerge/>
                        <w:tcBorders>
                          <w:left w:val="single" w:sz="4" w:space="0" w:color="000000"/>
                          <w:right w:val="single" w:sz="4" w:space="0" w:color="000000"/>
                        </w:tcBorders>
                        <w:shd w:val="clear" w:color="auto" w:fill="C7EDCC"/>
                      </w:tcPr>
                      <w:p>
                        <w:pPr/>
                      </w:p>
                    </w:tc>
                  </w:tr>
                  <w:tr>
                    <w:trPr>
                      <w:trHeight w:val="473" w:hRule="exact"/>
                    </w:trPr>
                    <w:tc>
                      <w:tcPr>
                        <w:tcW w:w="2514" w:type="dxa"/>
                        <w:tcBorders>
                          <w:top w:val="nil" w:sz="6" w:space="0" w:color="auto"/>
                          <w:left w:val="single" w:sz="4" w:space="0" w:color="000000"/>
                          <w:bottom w:val="single" w:sz="4" w:space="0" w:color="000000"/>
                          <w:right w:val="single" w:sz="4" w:space="0" w:color="000000"/>
                        </w:tcBorders>
                        <w:shd w:val="clear" w:color="auto" w:fill="C7EDCC"/>
                      </w:tcPr>
                      <w:p>
                        <w:pPr/>
                      </w:p>
                    </w:tc>
                    <w:tc>
                      <w:tcPr>
                        <w:tcW w:w="1204" w:type="dxa"/>
                        <w:vMerge/>
                        <w:tcBorders>
                          <w:left w:val="single" w:sz="4" w:space="0" w:color="000000"/>
                          <w:bottom w:val="single" w:sz="4" w:space="0" w:color="000000"/>
                          <w:right w:val="single" w:sz="4" w:space="0" w:color="000000"/>
                        </w:tcBorders>
                        <w:shd w:val="clear" w:color="auto" w:fill="C7EDCC"/>
                      </w:tcPr>
                      <w:p>
                        <w:pPr/>
                      </w:p>
                    </w:tc>
                    <w:tc>
                      <w:tcPr>
                        <w:tcW w:w="1555" w:type="dxa"/>
                        <w:vMerge/>
                        <w:tcBorders>
                          <w:left w:val="single" w:sz="9" w:space="0" w:color="C7EDCC"/>
                          <w:bottom w:val="single" w:sz="4" w:space="0" w:color="000000"/>
                          <w:right w:val="single" w:sz="9" w:space="0" w:color="C7EDCC"/>
                        </w:tcBorders>
                      </w:tcPr>
                      <w:p>
                        <w:pPr/>
                      </w:p>
                    </w:tc>
                    <w:tc>
                      <w:tcPr>
                        <w:tcW w:w="1287" w:type="dxa"/>
                        <w:vMerge/>
                        <w:tcBorders>
                          <w:left w:val="single" w:sz="4" w:space="0" w:color="000000"/>
                          <w:bottom w:val="single" w:sz="4" w:space="0" w:color="000000"/>
                          <w:right w:val="single" w:sz="4" w:space="0" w:color="000000"/>
                        </w:tcBorders>
                        <w:shd w:val="clear" w:color="auto" w:fill="C7EDCC"/>
                      </w:tcPr>
                      <w:p>
                        <w:pPr/>
                      </w:p>
                    </w:tc>
                    <w:tc>
                      <w:tcPr>
                        <w:tcW w:w="3122" w:type="dxa"/>
                        <w:vMerge/>
                        <w:tcBorders>
                          <w:left w:val="single" w:sz="4" w:space="0" w:color="000000"/>
                          <w:bottom w:val="single" w:sz="4" w:space="0" w:color="000000"/>
                          <w:right w:val="single" w:sz="4" w:space="0" w:color="000000"/>
                        </w:tcBorders>
                        <w:shd w:val="clear" w:color="auto" w:fill="C7EDCC"/>
                      </w:tcPr>
                      <w:p>
                        <w:pPr/>
                      </w:p>
                    </w:tc>
                  </w:tr>
                  <w:tr>
                    <w:trPr>
                      <w:trHeight w:val="161" w:hRule="exact"/>
                    </w:trPr>
                    <w:tc>
                      <w:tcPr>
                        <w:tcW w:w="2514" w:type="dxa"/>
                        <w:vMerge w:val="restart"/>
                        <w:tcBorders>
                          <w:top w:val="single" w:sz="4" w:space="0" w:color="000000"/>
                          <w:left w:val="single" w:sz="4" w:space="0" w:color="000000"/>
                          <w:right w:val="single" w:sz="9" w:space="0" w:color="C7EDCC"/>
                        </w:tcBorders>
                        <w:shd w:val="clear" w:color="auto" w:fill="D3D3D3"/>
                      </w:tcPr>
                      <w:p>
                        <w:pPr>
                          <w:pStyle w:val="TableParagraph"/>
                          <w:spacing w:line="316" w:lineRule="auto" w:before="52"/>
                          <w:ind w:left="22" w:right="134"/>
                          <w:jc w:val="left"/>
                          <w:rPr>
                            <w:rFonts w:ascii="宋体" w:hAnsi="宋体" w:cs="宋体" w:eastAsia="宋体" w:hint="default"/>
                            <w:sz w:val="18"/>
                            <w:szCs w:val="18"/>
                          </w:rPr>
                        </w:pPr>
                        <w:r>
                          <w:rPr>
                            <w:rFonts w:ascii="宋体" w:hAnsi="宋体" w:cs="宋体" w:eastAsia="宋体" w:hint="default"/>
                            <w:sz w:val="18"/>
                            <w:szCs w:val="18"/>
                          </w:rPr>
                          <w:t>实际控制人报告期内控制的其 他境内外上市公司的股权情况</w:t>
                        </w:r>
                      </w:p>
                    </w:tc>
                    <w:tc>
                      <w:tcPr>
                        <w:tcW w:w="7168" w:type="dxa"/>
                        <w:gridSpan w:val="4"/>
                        <w:tcBorders>
                          <w:top w:val="single" w:sz="4" w:space="0" w:color="000000"/>
                          <w:left w:val="single" w:sz="10" w:space="0" w:color="D3D3D3"/>
                          <w:bottom w:val="nil" w:sz="6" w:space="0" w:color="auto"/>
                          <w:right w:val="single" w:sz="4" w:space="0" w:color="000000"/>
                        </w:tcBorders>
                        <w:shd w:val="clear" w:color="auto" w:fill="C7EDCC"/>
                      </w:tcPr>
                      <w:p>
                        <w:pPr/>
                      </w:p>
                    </w:tc>
                  </w:tr>
                  <w:tr>
                    <w:trPr>
                      <w:trHeight w:val="392" w:hRule="exact"/>
                    </w:trPr>
                    <w:tc>
                      <w:tcPr>
                        <w:tcW w:w="2514" w:type="dxa"/>
                        <w:vMerge/>
                        <w:tcBorders>
                          <w:left w:val="single" w:sz="4" w:space="0" w:color="000000"/>
                          <w:right w:val="single" w:sz="9" w:space="0" w:color="C7EDCC"/>
                        </w:tcBorders>
                        <w:shd w:val="clear" w:color="auto" w:fill="D3D3D3"/>
                      </w:tcPr>
                      <w:p>
                        <w:pPr/>
                      </w:p>
                    </w:tc>
                    <w:tc>
                      <w:tcPr>
                        <w:tcW w:w="7168" w:type="dxa"/>
                        <w:gridSpan w:val="4"/>
                        <w:tcBorders>
                          <w:top w:val="nil" w:sz="6" w:space="0" w:color="auto"/>
                          <w:left w:val="single" w:sz="10" w:space="0" w:color="D3D3D3"/>
                          <w:bottom w:val="nil" w:sz="6" w:space="0" w:color="auto"/>
                          <w:right w:val="single" w:sz="4" w:space="0" w:color="000000"/>
                        </w:tcBorders>
                        <w:shd w:val="clear" w:color="auto" w:fill="C7EDCC"/>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514" w:type="dxa"/>
                        <w:vMerge/>
                        <w:tcBorders>
                          <w:left w:val="single" w:sz="4" w:space="0" w:color="000000"/>
                          <w:bottom w:val="single" w:sz="4" w:space="0" w:color="000000"/>
                          <w:right w:val="single" w:sz="9" w:space="0" w:color="C7EDCC"/>
                        </w:tcBorders>
                        <w:shd w:val="clear" w:color="auto" w:fill="D3D3D3"/>
                      </w:tcPr>
                      <w:p>
                        <w:pPr/>
                      </w:p>
                    </w:tc>
                    <w:tc>
                      <w:tcPr>
                        <w:tcW w:w="7168" w:type="dxa"/>
                        <w:gridSpan w:val="4"/>
                        <w:tcBorders>
                          <w:top w:val="nil" w:sz="6" w:space="0" w:color="auto"/>
                          <w:left w:val="single" w:sz="10" w:space="0" w:color="D3D3D3"/>
                          <w:bottom w:val="single" w:sz="4" w:space="0" w:color="000000"/>
                          <w:right w:val="single" w:sz="4" w:space="0" w:color="000000"/>
                        </w:tcBorders>
                        <w:shd w:val="clear" w:color="auto" w:fill="C7EDCC"/>
                      </w:tcPr>
                      <w:p>
                        <w:pPr/>
                      </w:p>
                    </w:tc>
                  </w:tr>
                </w:tbl>
                <w:p>
                  <w:pPr/>
                </w:p>
              </w:txbxContent>
            </v:textbox>
            <w10:wrap type="none"/>
          </v:shape>
        </w:pict>
      </w:r>
      <w:r>
        <w:rPr/>
        <w:t>、</w:t>
      </w:r>
    </w:p>
    <w:p>
      <w:pPr>
        <w:pStyle w:val="BodyText"/>
        <w:spacing w:line="240" w:lineRule="auto" w:before="76"/>
        <w:ind w:left="0" w:right="10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125"/>
        <w:jc w:val="left"/>
      </w:pPr>
      <w:r>
        <w:rPr/>
        <w:t>实际控制人报告期内变更</w:t>
      </w:r>
    </w:p>
    <w:p>
      <w:pPr>
        <w:pStyle w:val="BodyText"/>
        <w:spacing w:line="340" w:lineRule="auto" w:before="116"/>
        <w:ind w:right="69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w:t>
      </w:r>
    </w:p>
    <w:p>
      <w:pPr>
        <w:spacing w:after="0" w:line="3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公司与实际控制人之间的产权及控制关系的方框图</w:t>
      </w:r>
    </w:p>
    <w:p>
      <w:pPr>
        <w:spacing w:line="240" w:lineRule="auto" w:before="0"/>
        <w:rPr>
          <w:rFonts w:ascii="宋体" w:hAnsi="宋体" w:cs="宋体" w:eastAsia="宋体" w:hint="default"/>
          <w:sz w:val="27"/>
          <w:szCs w:val="27"/>
        </w:rPr>
      </w:pPr>
    </w:p>
    <w:p>
      <w:pPr>
        <w:spacing w:line="3564" w:lineRule="exact"/>
        <w:ind w:left="2275" w:right="0" w:firstLine="0"/>
        <w:rPr>
          <w:rFonts w:ascii="宋体" w:hAnsi="宋体" w:cs="宋体" w:eastAsia="宋体" w:hint="default"/>
          <w:sz w:val="20"/>
          <w:szCs w:val="20"/>
        </w:rPr>
      </w:pPr>
      <w:r>
        <w:rPr>
          <w:rFonts w:ascii="宋体" w:hAnsi="宋体" w:cs="宋体" w:eastAsia="宋体" w:hint="default"/>
          <w:position w:val="-70"/>
          <w:sz w:val="20"/>
          <w:szCs w:val="20"/>
        </w:rPr>
        <w:pict>
          <v:group style="width:262.75pt;height:178.25pt;mso-position-horizontal-relative:char;mso-position-vertical-relative:line" coordorigin="0,0" coordsize="5255,3565">
            <v:group style="position:absolute;left:520;top:1;width:2628;height:519" coordorigin="520,1" coordsize="2628,519">
              <v:shape style="position:absolute;left:520;top:1;width:2628;height:519" coordorigin="520,1" coordsize="2628,519" path="m520,520l3148,520,3148,1,520,1,520,520xe" filled="true" fillcolor="#99ccff" stroked="false">
                <v:path arrowok="t"/>
                <v:fill type="solid"/>
              </v:shape>
            </v:group>
            <v:group style="position:absolute;left:520;top:1;width:2628;height:519" coordorigin="520,1" coordsize="2628,519">
              <v:shape style="position:absolute;left:520;top:1;width:2628;height:519" coordorigin="520,1" coordsize="2628,519" path="m520,520l3148,520,3148,1,520,1,520,520xe" filled="false" stroked="true" strokeweight=".146pt" strokecolor="#000000">
                <v:path arrowok="t"/>
              </v:shape>
              <v:shape style="position:absolute;left:553;top:177;width:1354;height:194" type="#_x0000_t75" stroked="false">
                <v:imagedata r:id="rId15" o:title=""/>
              </v:shape>
              <v:shape style="position:absolute;left:2014;top:187;width:58;height:806" type="#_x0000_t75" stroked="false">
                <v:imagedata r:id="rId16" o:title=""/>
              </v:shape>
              <v:shape style="position:absolute;left:2097;top:177;width:932;height:830" type="#_x0000_t75" stroked="false">
                <v:imagedata r:id="rId17" o:title=""/>
              </v:shape>
            </v:group>
            <v:group style="position:absolute;left:711;top:520;width:1124;height:809" coordorigin="711,520" coordsize="1124,809">
              <v:shape style="position:absolute;left:711;top:520;width:1124;height:809" coordorigin="711,520" coordsize="1124,809" path="m1834,520l1834,651,711,651,711,1329e" filled="false" stroked="true" strokeweight=".732pt" strokecolor="#4677bf">
                <v:path arrowok="t"/>
              </v:shape>
            </v:group>
            <v:group style="position:absolute;left:1;top:1453;width:1418;height:519" coordorigin="1,1453" coordsize="1418,519">
              <v:shape style="position:absolute;left:1;top:1453;width:1418;height:519" coordorigin="1,1453" coordsize="1418,519" path="m1,1972l1419,1972,1419,1453,1,1453,1,1972xe" filled="true" fillcolor="#99ccff" stroked="false">
                <v:path arrowok="t"/>
                <v:fill type="solid"/>
              </v:shape>
            </v:group>
            <v:group style="position:absolute;left:1;top:1453;width:1418;height:519" coordorigin="1,1453" coordsize="1418,519">
              <v:shape style="position:absolute;left:1;top:1453;width:1418;height:519" coordorigin="1,1453" coordsize="1418,519" path="m1,1972l1419,1972,1419,1453,1,1453,1,1972xe" filled="false" stroked="true" strokeweight=".146pt" strokecolor="#000000">
                <v:path arrowok="t"/>
              </v:shape>
              <v:shape style="position:absolute;left:115;top:1511;width:1190;height:194" type="#_x0000_t75" stroked="false">
                <v:imagedata r:id="rId18" o:title=""/>
              </v:shape>
              <v:shape style="position:absolute;left:303;top:1731;width:816;height:317" type="#_x0000_t75" stroked="false">
                <v:imagedata r:id="rId19" o:title=""/>
              </v:shape>
            </v:group>
            <v:group style="position:absolute;left:665;top:1318;width:92;height:136" coordorigin="665,1318" coordsize="92,136">
              <v:shape style="position:absolute;left:665;top:1318;width:92;height:136" coordorigin="665,1318" coordsize="92,136" path="m756,1318l665,1318,711,1453,756,1318xe" filled="true" fillcolor="#4677bf" stroked="false">
                <v:path arrowok="t"/>
                <v:fill type="solid"/>
              </v:shape>
            </v:group>
            <v:group style="position:absolute;left:510;top:945;width:426;height:204" coordorigin="510,945" coordsize="426,204">
              <v:shape style="position:absolute;left:510;top:945;width:426;height:204" coordorigin="510,945" coordsize="426,204" path="m510,1149l936,1149,936,945,510,945,510,1149xe" filled="true" fillcolor="#ffffff" stroked="false">
                <v:path arrowok="t"/>
                <v:fill type="solid"/>
              </v:shape>
            </v:group>
            <v:group style="position:absolute;left:1834;top:520;width:914;height:809" coordorigin="1834,520" coordsize="914,809">
              <v:shape style="position:absolute;left:1834;top:520;width:914;height:809" coordorigin="1834,520" coordsize="914,809" path="m1834,520l1834,651,2747,651,2747,1329e" filled="false" stroked="true" strokeweight=".732pt" strokecolor="#4677bf">
                <v:path arrowok="t"/>
              </v:shape>
            </v:group>
            <v:group style="position:absolute;left:2142;top:1453;width:1210;height:519" coordorigin="2142,1453" coordsize="1210,519">
              <v:shape style="position:absolute;left:2142;top:1453;width:1210;height:519" coordorigin="2142,1453" coordsize="1210,519" path="m2142,1972l3352,1972,3352,1453,2142,1453,2142,1972xe" filled="true" fillcolor="#99ccff" stroked="false">
                <v:path arrowok="t"/>
                <v:fill type="solid"/>
              </v:shape>
            </v:group>
            <v:group style="position:absolute;left:2142;top:1453;width:1210;height:519" coordorigin="2142,1453" coordsize="1210,519">
              <v:shape style="position:absolute;left:2142;top:1453;width:1210;height:519" coordorigin="2142,1453" coordsize="1210,519" path="m2142,1972l3352,1972,3352,1453,2142,1453,2142,1972xe" filled="false" stroked="true" strokeweight=".146pt" strokecolor="#000000">
                <v:path arrowok="t"/>
              </v:shape>
              <v:shape style="position:absolute;left:2327;top:1629;width:845;height:317" type="#_x0000_t75" stroked="false">
                <v:imagedata r:id="rId20" o:title=""/>
              </v:shape>
            </v:group>
            <v:group style="position:absolute;left:2701;top:1318;width:92;height:136" coordorigin="2701,1318" coordsize="92,136">
              <v:shape style="position:absolute;left:2701;top:1318;width:92;height:136" coordorigin="2701,1318" coordsize="92,136" path="m2793,1318l2701,1318,2747,1453,2793,1318xe" filled="true" fillcolor="#4677bf" stroked="false">
                <v:path arrowok="t"/>
                <v:fill type="solid"/>
              </v:shape>
            </v:group>
            <v:group style="position:absolute;left:2512;top:965;width:426;height:204" coordorigin="2512,965" coordsize="426,204">
              <v:shape style="position:absolute;left:2512;top:965;width:426;height:204" coordorigin="2512,965" coordsize="426,204" path="m2512,1169l2938,1169,2938,965,2512,965,2512,1169xe" filled="true" fillcolor="#ffffff" stroked="false">
                <v:path arrowok="t"/>
                <v:fill type="solid"/>
              </v:shape>
            </v:group>
            <v:group style="position:absolute;left:711;top:1972;width:2045;height:980" coordorigin="711,1972" coordsize="2045,980">
              <v:shape style="position:absolute;left:711;top:1972;width:2045;height:980" coordorigin="711,1972" coordsize="2045,980" path="m711,1972l711,2681,2755,2681,2755,2951e" filled="false" stroked="true" strokeweight=".146pt" strokecolor="#4677bf">
                <v:path arrowok="t"/>
              </v:shape>
            </v:group>
            <v:group style="position:absolute;left:1451;top:3045;width:2609;height:519" coordorigin="1451,3045" coordsize="2609,519">
              <v:shape style="position:absolute;left:1451;top:3045;width:2609;height:519" coordorigin="1451,3045" coordsize="2609,519" path="m1451,3563l4060,3563,4060,3045,1451,3045,1451,3563xe" filled="true" fillcolor="#ffcc99" stroked="false">
                <v:path arrowok="t"/>
                <v:fill type="solid"/>
              </v:shape>
            </v:group>
            <v:group style="position:absolute;left:1451;top:3045;width:2609;height:519" coordorigin="1451,3045" coordsize="2609,519">
              <v:shape style="position:absolute;left:1451;top:3045;width:2609;height:519" coordorigin="1451,3045" coordsize="2609,519" path="m1451,3563l4060,3563,4060,3045,1451,3045,1451,3563xe" filled="false" stroked="true" strokeweight=".146pt" strokecolor="#000000">
                <v:path arrowok="t"/>
              </v:shape>
              <v:shape style="position:absolute;left:1734;top:3117;width:2035;height:137" type="#_x0000_t75" stroked="false">
                <v:imagedata r:id="rId21" o:title=""/>
              </v:shape>
              <v:shape style="position:absolute;left:1734;top:3253;width:2035;height:137" type="#_x0000_t75" stroked="false">
                <v:imagedata r:id="rId22" o:title=""/>
              </v:shape>
            </v:group>
            <v:group style="position:absolute;left:2722;top:2943;width:68;height:102" coordorigin="2722,2943" coordsize="68,102">
              <v:shape style="position:absolute;left:2722;top:2943;width:68;height:102" coordorigin="2722,2943" coordsize="68,102" path="m2789,2943l2722,2943,2755,3045,2789,2943xe" filled="true" fillcolor="#4677bf" stroked="false">
                <v:path arrowok="t"/>
                <v:fill type="solid"/>
              </v:shape>
            </v:group>
            <v:group style="position:absolute;left:411;top:2110;width:556;height:204" coordorigin="411,2110" coordsize="556,204">
              <v:shape style="position:absolute;left:411;top:2110;width:556;height:204" coordorigin="411,2110" coordsize="556,204" path="m411,2314l966,2314,966,2110,411,2110,411,2314xe" filled="true" fillcolor="#ffffff" stroked="false">
                <v:path arrowok="t"/>
                <v:fill type="solid"/>
              </v:shape>
            </v:group>
            <v:group style="position:absolute;left:2751;top:1970;width:2;height:110" coordorigin="2751,1970" coordsize="2,110">
              <v:shape style="position:absolute;left:2751;top:1970;width:2;height:110" coordorigin="2751,1970" coordsize="0,110" path="m2751,1970l2751,2080e" filled="false" stroked="true" strokeweight=".42pt" strokecolor="#4677bf">
                <v:path arrowok="t"/>
              </v:shape>
            </v:group>
            <v:group style="position:absolute;left:2751;top:2285;width:2;height:668" coordorigin="2751,2285" coordsize="2,668">
              <v:shape style="position:absolute;left:2751;top:2285;width:2;height:668" coordorigin="2751,2285" coordsize="0,668" path="m2751,2285l2751,2953e" filled="false" stroked="true" strokeweight=".42pt" strokecolor="#4677bf">
                <v:path arrowok="t"/>
              </v:shape>
            </v:group>
            <v:group style="position:absolute;left:2722;top:2943;width:68;height:102" coordorigin="2722,2943" coordsize="68,102">
              <v:shape style="position:absolute;left:2722;top:2943;width:68;height:102" coordorigin="2722,2943" coordsize="68,102" path="m2789,2943l2722,2943,2755,3045,2789,2943xe" filled="true" fillcolor="#4677bf" stroked="false">
                <v:path arrowok="t"/>
                <v:fill type="solid"/>
              </v:shape>
            </v:group>
            <v:group style="position:absolute;left:2525;top:2080;width:470;height:206" coordorigin="2525,2080" coordsize="470,206">
              <v:shape style="position:absolute;left:2525;top:2080;width:470;height:206" coordorigin="2525,2080" coordsize="470,206" path="m2525,2285l2994,2285,2994,2080,2525,2080,2525,2285xe" filled="true" fillcolor="#ffffff" stroked="false">
                <v:path arrowok="t"/>
                <v:fill type="solid"/>
              </v:shape>
            </v:group>
            <v:group style="position:absolute;left:4389;top:1453;width:864;height:519" coordorigin="4389,1453" coordsize="864,519">
              <v:shape style="position:absolute;left:4389;top:1453;width:864;height:519" coordorigin="4389,1453" coordsize="864,519" path="m4389,1972l5253,1972,5253,1453,4389,1453,4389,1972xe" filled="true" fillcolor="#e8eef7" stroked="false">
                <v:path arrowok="t"/>
                <v:fill type="solid"/>
              </v:shape>
            </v:group>
            <v:group style="position:absolute;left:4389;top:1453;width:864;height:519" coordorigin="4389,1453" coordsize="864,519">
              <v:shape style="position:absolute;left:4389;top:1453;width:864;height:519" coordorigin="4389,1453" coordsize="864,519" path="m4389,1972l5253,1972,5253,1453,4389,1453,4389,1972xe" filled="false" stroked="true" strokeweight=".146pt" strokecolor="#000000">
                <v:path arrowok="t"/>
              </v:shape>
              <v:shape style="position:absolute;left:4485;top:1629;width:672;height:324" type="#_x0000_t75" stroked="false">
                <v:imagedata r:id="rId23" o:title=""/>
              </v:shape>
            </v:group>
            <v:group style="position:absolute;left:2755;top:1972;width:2066;height:980" coordorigin="2755,1972" coordsize="2066,980">
              <v:shape style="position:absolute;left:2755;top:1972;width:2066;height:980" coordorigin="2755,1972" coordsize="2066,980" path="m4821,1972l4821,2681,2755,2681,2755,2951e" filled="false" stroked="true" strokeweight=".146pt" strokecolor="#4677bf">
                <v:path arrowok="t"/>
              </v:shape>
            </v:group>
            <v:group style="position:absolute;left:2722;top:2943;width:68;height:102" coordorigin="2722,2943" coordsize="68,102">
              <v:shape style="position:absolute;left:2722;top:2943;width:68;height:102" coordorigin="2722,2943" coordsize="68,102" path="m2789,2943l2722,2943,2755,3045,2789,2943xe" filled="true" fillcolor="#4677bf" stroked="false">
                <v:path arrowok="t"/>
                <v:fill type="solid"/>
              </v:shape>
            </v:group>
            <v:group style="position:absolute;left:4557;top:2073;width:555;height:204" coordorigin="4557,2073" coordsize="555,204">
              <v:shape style="position:absolute;left:4557;top:2073;width:555;height:204" coordorigin="4557,2073" coordsize="555,204" path="m4557,2277l5111,2277,5111,2073,4557,2073,4557,2277xe" filled="true" fillcolor="#ffffff" stroked="false">
                <v:path arrowok="t"/>
                <v:fill type="solid"/>
              </v:shape>
              <v:shape style="position:absolute;left:514;top:960;width:426;height:171" type="#_x0000_t202" filled="false" stroked="false">
                <v:textbox inset="0,0,0,0">
                  <w:txbxContent>
                    <w:p>
                      <w:pPr>
                        <w:spacing w:line="170" w:lineRule="exact" w:before="0"/>
                        <w:ind w:left="0" w:right="0" w:firstLine="0"/>
                        <w:jc w:val="left"/>
                        <w:rPr>
                          <w:rFonts w:ascii="Times New Roman" w:hAnsi="Times New Roman" w:cs="Times New Roman" w:eastAsia="Times New Roman" w:hint="default"/>
                          <w:sz w:val="17"/>
                          <w:szCs w:val="17"/>
                        </w:rPr>
                      </w:pPr>
                      <w:r>
                        <w:rPr>
                          <w:rFonts w:ascii="Times New Roman"/>
                          <w:b/>
                          <w:sz w:val="17"/>
                        </w:rPr>
                        <w:t>100%</w:t>
                      </w:r>
                      <w:r>
                        <w:rPr>
                          <w:rFonts w:ascii="Times New Roman"/>
                          <w:sz w:val="17"/>
                        </w:rPr>
                      </w:r>
                    </w:p>
                  </w:txbxContent>
                </v:textbox>
                <w10:wrap type="none"/>
              </v:shape>
              <v:shape style="position:absolute;left:2515;top:980;width:428;height:171" type="#_x0000_t202" filled="false" stroked="false">
                <v:textbox inset="0,0,0,0">
                  <w:txbxContent>
                    <w:p>
                      <w:pPr>
                        <w:spacing w:line="170" w:lineRule="exact" w:before="0"/>
                        <w:ind w:left="0" w:right="0" w:firstLine="0"/>
                        <w:jc w:val="left"/>
                        <w:rPr>
                          <w:rFonts w:ascii="Times New Roman" w:hAnsi="Times New Roman" w:cs="Times New Roman" w:eastAsia="Times New Roman" w:hint="default"/>
                          <w:sz w:val="17"/>
                          <w:szCs w:val="17"/>
                        </w:rPr>
                      </w:pPr>
                      <w:r>
                        <w:rPr>
                          <w:rFonts w:ascii="Times New Roman"/>
                          <w:b/>
                          <w:sz w:val="17"/>
                        </w:rPr>
                        <w:t>100%</w:t>
                      </w:r>
                      <w:r>
                        <w:rPr>
                          <w:rFonts w:ascii="Times New Roman"/>
                          <w:sz w:val="17"/>
                        </w:rPr>
                      </w:r>
                    </w:p>
                  </w:txbxContent>
                </v:textbox>
                <w10:wrap type="none"/>
              </v:shape>
              <v:shape style="position:absolute;left:415;top:2125;width:555;height:171" type="#_x0000_t202" filled="false" stroked="false">
                <v:textbox inset="0,0,0,0">
                  <w:txbxContent>
                    <w:p>
                      <w:pPr>
                        <w:spacing w:line="170" w:lineRule="exact" w:before="0"/>
                        <w:ind w:left="0" w:right="0" w:firstLine="0"/>
                        <w:jc w:val="left"/>
                        <w:rPr>
                          <w:rFonts w:ascii="Times New Roman" w:hAnsi="Times New Roman" w:cs="Times New Roman" w:eastAsia="Times New Roman" w:hint="default"/>
                          <w:sz w:val="17"/>
                          <w:szCs w:val="17"/>
                        </w:rPr>
                      </w:pPr>
                      <w:r>
                        <w:rPr>
                          <w:rFonts w:ascii="Times New Roman"/>
                          <w:b/>
                          <w:sz w:val="17"/>
                        </w:rPr>
                        <w:t>48.13%</w:t>
                      </w:r>
                      <w:r>
                        <w:rPr>
                          <w:rFonts w:ascii="Times New Roman"/>
                          <w:sz w:val="17"/>
                        </w:rPr>
                      </w:r>
                    </w:p>
                  </w:txbxContent>
                </v:textbox>
                <w10:wrap type="none"/>
              </v:shape>
              <v:shape style="position:absolute;left:2529;top:2096;width:470;height:171" type="#_x0000_t202" filled="false" stroked="false">
                <v:textbox inset="0,0,0,0">
                  <w:txbxContent>
                    <w:p>
                      <w:pPr>
                        <w:spacing w:line="170" w:lineRule="exact" w:before="0"/>
                        <w:ind w:left="0" w:right="0" w:firstLine="0"/>
                        <w:jc w:val="left"/>
                        <w:rPr>
                          <w:rFonts w:ascii="Times New Roman" w:hAnsi="Times New Roman" w:cs="Times New Roman" w:eastAsia="Times New Roman" w:hint="default"/>
                          <w:sz w:val="17"/>
                          <w:szCs w:val="17"/>
                        </w:rPr>
                      </w:pPr>
                      <w:r>
                        <w:rPr>
                          <w:rFonts w:ascii="Times New Roman"/>
                          <w:b/>
                          <w:sz w:val="17"/>
                        </w:rPr>
                        <w:t>3.95%</w:t>
                      </w:r>
                      <w:r>
                        <w:rPr>
                          <w:rFonts w:ascii="Times New Roman"/>
                          <w:sz w:val="17"/>
                        </w:rPr>
                      </w:r>
                    </w:p>
                  </w:txbxContent>
                </v:textbox>
                <w10:wrap type="none"/>
              </v:shape>
              <v:shape style="position:absolute;left:4560;top:2088;width:555;height:171" type="#_x0000_t202" filled="false" stroked="false">
                <v:textbox inset="0,0,0,0">
                  <w:txbxContent>
                    <w:p>
                      <w:pPr>
                        <w:spacing w:line="170" w:lineRule="exact" w:before="0"/>
                        <w:ind w:left="0" w:right="0" w:firstLine="0"/>
                        <w:jc w:val="left"/>
                        <w:rPr>
                          <w:rFonts w:ascii="Times New Roman" w:hAnsi="Times New Roman" w:cs="Times New Roman" w:eastAsia="Times New Roman" w:hint="default"/>
                          <w:sz w:val="17"/>
                          <w:szCs w:val="17"/>
                        </w:rPr>
                      </w:pPr>
                      <w:r>
                        <w:rPr>
                          <w:rFonts w:ascii="Times New Roman"/>
                          <w:b/>
                          <w:sz w:val="17"/>
                        </w:rPr>
                        <w:t>47.92%</w:t>
                      </w:r>
                      <w:r>
                        <w:rPr>
                          <w:rFonts w:ascii="Times New Roman"/>
                          <w:sz w:val="17"/>
                        </w:rPr>
                      </w:r>
                    </w:p>
                  </w:txbxContent>
                </v:textbox>
                <w10:wrap type="none"/>
              </v:shape>
              <v:shape style="position:absolute;left:1451;top:3045;width:2609;height:519" type="#_x0000_t202" filled="false" stroked="true" strokeweight=".146pt" strokecolor="#000000">
                <v:textbox inset="0,0,0,0">
                  <w:txbxContent>
                    <w:p>
                      <w:pPr>
                        <w:spacing w:line="240" w:lineRule="auto" w:before="1"/>
                        <w:rPr>
                          <w:rFonts w:ascii="宋体" w:hAnsi="宋体" w:cs="宋体" w:eastAsia="宋体" w:hint="default"/>
                          <w:sz w:val="20"/>
                          <w:szCs w:val="20"/>
                        </w:rPr>
                      </w:pPr>
                    </w:p>
                    <w:p>
                      <w:pPr>
                        <w:spacing w:before="0"/>
                        <w:ind w:left="0" w:right="0" w:firstLine="0"/>
                        <w:jc w:val="center"/>
                        <w:rPr>
                          <w:rFonts w:ascii="Times New Roman" w:hAnsi="Times New Roman" w:cs="Times New Roman" w:eastAsia="Times New Roman" w:hint="default"/>
                          <w:sz w:val="17"/>
                          <w:szCs w:val="17"/>
                        </w:rPr>
                      </w:pPr>
                      <w:r>
                        <w:rPr>
                          <w:rFonts w:ascii="Times New Roman"/>
                          <w:b/>
                          <w:sz w:val="17"/>
                        </w:rPr>
                        <w:t>(000607)</w:t>
                      </w:r>
                      <w:r>
                        <w:rPr>
                          <w:rFonts w:ascii="Times New Roman"/>
                          <w:sz w:val="17"/>
                        </w:rPr>
                      </w:r>
                    </w:p>
                  </w:txbxContent>
                </v:textbox>
                <w10:wrap type="none"/>
              </v:shape>
            </v:group>
          </v:group>
        </w:pict>
      </w:r>
      <w:r>
        <w:rPr>
          <w:rFonts w:ascii="宋体" w:hAnsi="宋体" w:cs="宋体" w:eastAsia="宋体" w:hint="default"/>
          <w:position w:val="-70"/>
          <w:sz w:val="20"/>
          <w:szCs w:val="20"/>
        </w:rPr>
      </w:r>
    </w:p>
    <w:p>
      <w:pPr>
        <w:spacing w:line="240" w:lineRule="auto" w:before="8"/>
        <w:rPr>
          <w:rFonts w:ascii="宋体" w:hAnsi="宋体" w:cs="宋体" w:eastAsia="宋体" w:hint="default"/>
          <w:sz w:val="19"/>
          <w:szCs w:val="19"/>
        </w:rPr>
      </w:pPr>
    </w:p>
    <w:p>
      <w:pPr>
        <w:pStyle w:val="BodyText"/>
        <w:spacing w:line="240" w:lineRule="auto" w:before="44"/>
        <w:ind w:right="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38" w:lineRule="auto" w:before="44"/>
        <w:ind w:right="76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533"/>
        <w:gridCol w:w="566"/>
        <w:gridCol w:w="568"/>
        <w:gridCol w:w="1523"/>
        <w:gridCol w:w="798"/>
        <w:gridCol w:w="798"/>
        <w:gridCol w:w="798"/>
        <w:gridCol w:w="798"/>
        <w:gridCol w:w="798"/>
        <w:gridCol w:w="798"/>
      </w:tblGrid>
      <w:tr>
        <w:trPr>
          <w:trHeight w:val="1021"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80" w:right="80"/>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6"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董悦</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46</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46</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31</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46</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76,275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76,275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董事、常 务副总经 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44</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77,175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77,175</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52</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48</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42</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沈旭微</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53</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47</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41</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54</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45</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77,325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77,325</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46</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77,100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45</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76,875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76,875</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77,700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王柏华</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49</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赵晴</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62</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陆春祥</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57</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533"/>
        <w:gridCol w:w="566"/>
        <w:gridCol w:w="568"/>
        <w:gridCol w:w="1523"/>
        <w:gridCol w:w="798"/>
        <w:gridCol w:w="798"/>
        <w:gridCol w:w="798"/>
        <w:gridCol w:w="798"/>
        <w:gridCol w:w="798"/>
        <w:gridCol w:w="798"/>
      </w:tblGrid>
      <w:tr>
        <w:trPr>
          <w:trHeight w:val="363" w:hRule="exact"/>
        </w:trPr>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7" w:type="dxa"/>
            <w:tcBorders>
              <w:top w:val="single" w:sz="4" w:space="0" w:color="000000"/>
              <w:left w:val="single" w:sz="4" w:space="0" w:color="000000"/>
              <w:bottom w:val="nil" w:sz="6" w:space="0" w:color="auto"/>
              <w:right w:val="single" w:sz="4" w:space="0" w:color="000000"/>
            </w:tcBorders>
            <w:shd w:val="clear" w:color="auto" w:fill="C7EDCC"/>
          </w:tcPr>
          <w:p>
            <w:pPr/>
          </w:p>
        </w:tc>
        <w:tc>
          <w:tcPr>
            <w:tcW w:w="53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1523"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林鹭华</w:t>
            </w:r>
          </w:p>
        </w:tc>
        <w:tc>
          <w:tcPr>
            <w:tcW w:w="79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38"/>
              <w:jc w:val="right"/>
              <w:rPr>
                <w:rFonts w:ascii="宋体" w:hAnsi="宋体" w:cs="宋体" w:eastAsia="宋体" w:hint="default"/>
                <w:sz w:val="18"/>
                <w:szCs w:val="18"/>
              </w:rPr>
            </w:pPr>
            <w:r>
              <w:rPr>
                <w:rFonts w:ascii="宋体" w:hAnsi="宋体" w:cs="宋体" w:eastAsia="宋体" w:hint="default"/>
                <w:sz w:val="18"/>
                <w:szCs w:val="18"/>
              </w:rPr>
              <w:t>任免</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354" w:right="0"/>
              <w:jc w:val="left"/>
              <w:rPr>
                <w:rFonts w:ascii="Times New Roman" w:hAnsi="Times New Roman" w:cs="Times New Roman" w:eastAsia="Times New Roman" w:hint="default"/>
                <w:sz w:val="18"/>
                <w:szCs w:val="18"/>
              </w:rPr>
            </w:pPr>
            <w:r>
              <w:rPr>
                <w:rFonts w:ascii="Times New Roman"/>
                <w:sz w:val="18"/>
              </w:rPr>
              <w:t>53</w:t>
            </w: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7" w:type="dxa"/>
            <w:tcBorders>
              <w:top w:val="nil" w:sz="6" w:space="0" w:color="auto"/>
              <w:left w:val="single" w:sz="4" w:space="0" w:color="000000"/>
              <w:bottom w:val="single" w:sz="4" w:space="0" w:color="000000"/>
              <w:right w:val="single" w:sz="4" w:space="0" w:color="000000"/>
            </w:tcBorders>
            <w:shd w:val="clear" w:color="auto" w:fill="C7EDCC"/>
          </w:tcPr>
          <w:p>
            <w:pPr/>
          </w:p>
        </w:tc>
        <w:tc>
          <w:tcPr>
            <w:tcW w:w="53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1523"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0"/>
              <w:jc w:val="righ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462,450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462,450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0"/>
        <w:gridCol w:w="424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赵晴</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因年龄原因，辞去董事长、董事、战略与投资委员会 主任委员、委员和提名委员会委员职务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董悦</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非独立董事、董 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3"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年第一次临时股东大会选举为非独立董事，第八 届董事会第十八次会议选举为董事长</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林鹭华</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因个人原因，辞去副总经理职务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陆春祥</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因工作调整，辞去监事会主席、监事职务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沈旭微</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非职工代表监 事，监事会主席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3"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年第一次临时股东大会选举为非职工代表监事， 第八届监事会第十次会议选举为监事。</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1" w:right="143" w:hanging="358"/>
        <w:jc w:val="left"/>
      </w:pPr>
      <w:r>
        <w:rPr/>
        <w:t>公司现任董事、监事、高级管理人员专业背景、主要工作经历以及目前在公司的主要职责 董悦先生，</w:t>
      </w:r>
      <w:r>
        <w:rPr>
          <w:rFonts w:ascii="Times New Roman" w:hAnsi="Times New Roman" w:cs="Times New Roman" w:eastAsia="Times New Roman" w:hint="default"/>
        </w:rPr>
        <w:t>1972</w:t>
      </w:r>
      <w:r>
        <w:rPr/>
        <w:t>年生，公共管理硕士，中国国籍，无境外居住权。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月，任建德市市长、建德市委</w:t>
      </w:r>
    </w:p>
    <w:p>
      <w:pPr>
        <w:pStyle w:val="BodyText"/>
        <w:spacing w:line="214" w:lineRule="exact"/>
        <w:ind w:right="0"/>
        <w:jc w:val="both"/>
      </w:pPr>
      <w:r>
        <w:rPr/>
        <w:t>书记；</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月，任中共杭州市委副秘书长、宣传部副部长、市文明办主任；</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月，任中</w:t>
      </w:r>
    </w:p>
    <w:p>
      <w:pPr>
        <w:pStyle w:val="BodyText"/>
        <w:spacing w:line="300" w:lineRule="auto" w:before="63"/>
        <w:ind w:right="158"/>
        <w:jc w:val="both"/>
      </w:pPr>
      <w:r>
        <w:rPr/>
        <w:t>共杭州市委宣传部副部长、市文明办主任；</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月至今，任杭州日报报业集团党委书记、社长，杭州日报报业集团有限 公司董事长、总经理；第十届浙江省政协委员，第十六届团中央委员，中共十届、十一届、十二届杭州市委委员。</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 </w:t>
      </w:r>
      <w:r>
        <w:rPr/>
        <w:t>月至今，任浙江华媒控股股份有限公司董事长。</w:t>
      </w:r>
    </w:p>
    <w:p>
      <w:pPr>
        <w:pStyle w:val="BodyText"/>
        <w:spacing w:line="300" w:lineRule="auto" w:before="31"/>
        <w:ind w:right="148" w:firstLine="357"/>
        <w:jc w:val="both"/>
      </w:pPr>
      <w:r>
        <w:rPr>
          <w:spacing w:val="-2"/>
        </w:rPr>
        <w:t>鲍林强先生，</w:t>
      </w:r>
      <w:r>
        <w:rPr>
          <w:rFonts w:ascii="Times New Roman" w:hAnsi="Times New Roman" w:cs="Times New Roman" w:eastAsia="Times New Roman" w:hint="default"/>
          <w:spacing w:val="-2"/>
        </w:rPr>
        <w:t>1972</w:t>
      </w:r>
      <w:r>
        <w:rPr>
          <w:spacing w:val="-2"/>
        </w:rPr>
        <w:t>年出生，硕士，中国国籍，无境外居住权。</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月，任杭报集团浙江都市快报控股有</w:t>
      </w:r>
      <w:r>
        <w:rPr/>
        <w:t> </w:t>
      </w:r>
      <w:r>
        <w:rPr>
          <w:spacing w:val="-2"/>
        </w:rPr>
        <w:t>限公司总经理；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月至今，任杭州日报报业集团（杭州日报社）党委委员；</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月，任浙江华媒控股</w:t>
      </w:r>
      <w:r>
        <w:rPr>
          <w:spacing w:val="-52"/>
        </w:rPr>
        <w:t> </w:t>
      </w:r>
      <w:r>
        <w:rPr>
          <w:spacing w:val="-52"/>
        </w:rPr>
      </w:r>
      <w:r>
        <w:rPr/>
        <w:t>股份有限公司总经理；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月至今，任杭州日报报业集团有限公司副总经理。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月至今，任浙江华媒控股股份有 限公司副董事长。</w:t>
      </w:r>
    </w:p>
    <w:p>
      <w:pPr>
        <w:pStyle w:val="BodyText"/>
        <w:spacing w:line="307" w:lineRule="auto" w:before="31"/>
        <w:ind w:left="153" w:right="148" w:firstLine="357"/>
        <w:jc w:val="both"/>
      </w:pPr>
      <w:r>
        <w:rPr>
          <w:spacing w:val="-2"/>
        </w:rPr>
        <w:t>汪思洋先生，</w:t>
      </w:r>
      <w:r>
        <w:rPr>
          <w:rFonts w:ascii="Times New Roman" w:hAnsi="Times New Roman" w:cs="Times New Roman" w:eastAsia="Times New Roman" w:hint="default"/>
          <w:spacing w:val="-2"/>
        </w:rPr>
        <w:t>1987</w:t>
      </w:r>
      <w:r>
        <w:rPr>
          <w:spacing w:val="-2"/>
        </w:rPr>
        <w:t>年生，本科，中国国籍，无境外居住权。</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月担任华立集团股份有限公司投资管理</w:t>
      </w:r>
      <w:r>
        <w:rPr/>
        <w:t> 部副部长；</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月担任华立集团股份有限公司总裁助理；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月，任华方医药科技有限公 </w:t>
      </w:r>
      <w:r>
        <w:rPr>
          <w:spacing w:val="-2"/>
        </w:rPr>
        <w:t>司副总裁。现任华立集团股份有限公司副总裁、华立医药集团有限公司总裁、健民药业集团股份有限公司董事、昆药集团股</w:t>
      </w:r>
      <w:r>
        <w:rPr>
          <w:spacing w:val="-66"/>
        </w:rPr>
        <w:t> </w:t>
      </w:r>
      <w:r>
        <w:rPr>
          <w:spacing w:val="-66"/>
        </w:rPr>
      </w:r>
      <w:r>
        <w:rPr/>
        <w:t>份有限公司董事长。</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月至今，担任浙江华媒控股股份有限公司董事。</w:t>
      </w:r>
    </w:p>
    <w:p>
      <w:pPr>
        <w:pStyle w:val="BodyText"/>
        <w:spacing w:line="300" w:lineRule="auto" w:before="7"/>
        <w:ind w:left="153" w:right="141" w:firstLine="357"/>
        <w:jc w:val="left"/>
      </w:pPr>
      <w:r>
        <w:rPr/>
        <w:t>张剑秋先生，</w:t>
      </w:r>
      <w:r>
        <w:rPr>
          <w:rFonts w:ascii="Times New Roman" w:hAnsi="Times New Roman" w:cs="Times New Roman" w:eastAsia="Times New Roman" w:hint="default"/>
        </w:rPr>
        <w:t>1972</w:t>
      </w:r>
      <w:r>
        <w:rPr>
          <w:rFonts w:ascii="Times New Roman" w:hAnsi="Times New Roman" w:cs="Times New Roman" w:eastAsia="Times New Roman" w:hint="default"/>
          <w:spacing w:val="26"/>
        </w:rPr>
        <w:t> </w:t>
      </w:r>
      <w:r>
        <w:rPr/>
        <w:t>年生，硕士，中国国籍，无境外居住权，主任编辑职称。</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月，任杭报集团发行 </w:t>
      </w:r>
      <w:r>
        <w:rPr>
          <w:spacing w:val="-5"/>
        </w:rPr>
        <w:t>中心主任、每日送电子商务有限公司总经理；</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w:t>
      </w:r>
      <w:r>
        <w:rPr>
          <w:spacing w:val="-5"/>
        </w:rPr>
        <w:t>月至</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5</w:t>
      </w:r>
      <w:r>
        <w:rPr>
          <w:spacing w:val="-5"/>
        </w:rPr>
        <w:t>月，任杭报集团编委、每日商报社社长；</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12"/>
        </w:rPr>
        <w:t> </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2014</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w:t>
      </w:r>
      <w:r>
        <w:rPr>
          <w:rFonts w:ascii="Times New Roman" w:hAnsi="Times New Roman" w:cs="Times New Roman" w:eastAsia="Times New Roman" w:hint="default"/>
        </w:rPr>
        <w:t>12</w:t>
      </w:r>
      <w:r>
        <w:rPr/>
        <w:t>月，任杭州每日传媒有限公司总经理；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月，任杭州每日传媒有限公司董事长。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5</w:t>
      </w:r>
      <w:r>
        <w:rPr/>
        <w:t>月，任浙江华媒控股股份有限公司副总经理；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月至今，任浙江华媒控股股份有限公司总经理；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月至今， 任杭州日报报业集团党委委员。</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月至今，任浙江华媒控股股份有限公司董事。</w:t>
      </w:r>
    </w:p>
    <w:p>
      <w:pPr>
        <w:pStyle w:val="BodyText"/>
        <w:spacing w:line="240" w:lineRule="auto" w:before="13"/>
        <w:ind w:left="511" w:right="0"/>
        <w:jc w:val="left"/>
      </w:pPr>
      <w:r>
        <w:rPr/>
        <w:t>张韶衡先生，</w:t>
      </w:r>
      <w:r>
        <w:rPr>
          <w:rFonts w:ascii="Times New Roman" w:hAnsi="Times New Roman" w:cs="Times New Roman" w:eastAsia="Times New Roman" w:hint="default"/>
        </w:rPr>
        <w:t>1974</w:t>
      </w:r>
      <w:r>
        <w:rPr/>
        <w:t>年出生，本科，高级经济师，中国国籍，无境外居住权。</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月，任杭报集团盛元印务</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both"/>
      </w:pPr>
      <w:r>
        <w:rPr>
          <w:spacing w:val="-2"/>
        </w:rPr>
        <w:t>有限公司董事、总经理；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月至今，任杭报集团盛元印务有限公司董事长、杭报集团每日送电子商务有限公司董事长；</w:t>
      </w:r>
    </w:p>
    <w:p>
      <w:pPr>
        <w:pStyle w:val="BodyText"/>
        <w:spacing w:line="240" w:lineRule="auto" w:before="63"/>
        <w:ind w:left="153" w:right="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月至今，任浙江风盛传媒股份有限公司董事长。</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月，任浙江华媒控股股份有限公司副总经理；</w:t>
      </w:r>
    </w:p>
    <w:p>
      <w:pPr>
        <w:pStyle w:val="BodyText"/>
        <w:spacing w:line="300" w:lineRule="auto" w:before="63"/>
        <w:ind w:left="511" w:right="125" w:hanging="35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月至今，任浙江华媒控股股份有限公司常务副总经理；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月至今，任浙江华媒控股股份有限公司董事。 </w:t>
      </w:r>
      <w:r>
        <w:rPr>
          <w:spacing w:val="-2"/>
        </w:rPr>
        <w:t>叶雪芳女士，</w:t>
      </w:r>
      <w:r>
        <w:rPr>
          <w:rFonts w:ascii="Times New Roman" w:hAnsi="Times New Roman" w:cs="Times New Roman" w:eastAsia="Times New Roman" w:hint="default"/>
          <w:spacing w:val="-2"/>
        </w:rPr>
        <w:t>1966</w:t>
      </w:r>
      <w:r>
        <w:rPr>
          <w:spacing w:val="-2"/>
        </w:rPr>
        <w:t>年出生，硕士，教授、注册会计师、资产评估师，中国国籍，无境外居住权。浙江工商大学财务与会</w:t>
      </w:r>
    </w:p>
    <w:p>
      <w:pPr>
        <w:pStyle w:val="BodyText"/>
        <w:spacing w:line="300" w:lineRule="auto" w:before="13"/>
        <w:ind w:right="188"/>
        <w:jc w:val="both"/>
      </w:pPr>
      <w:r>
        <w:rPr>
          <w:spacing w:val="-2"/>
        </w:rPr>
        <w:t>计学院担任会计学教授，主讲审计学、舞弊审计、审计理论与实务等本科生、研究生课程；</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月，任浙江</w:t>
      </w:r>
      <w:r>
        <w:rPr>
          <w:spacing w:val="-58"/>
        </w:rPr>
        <w:t> </w:t>
      </w:r>
      <w:r>
        <w:rPr>
          <w:spacing w:val="-58"/>
        </w:rPr>
      </w:r>
      <w:r>
        <w:rPr/>
        <w:t>海亮股份有限公司独立董事；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月，任浙江华策影视股份有限公司独立董事；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月至今，任浙江康 恩贝制药股份有限公司独立董事。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月至今，任浙江华媒控股股份有限公司独立董事。</w:t>
      </w:r>
    </w:p>
    <w:p>
      <w:pPr>
        <w:pStyle w:val="BodyText"/>
        <w:spacing w:line="300" w:lineRule="auto" w:before="13"/>
        <w:ind w:left="153" w:right="191" w:firstLine="357"/>
        <w:jc w:val="both"/>
      </w:pPr>
      <w:r>
        <w:rPr>
          <w:spacing w:val="-5"/>
        </w:rPr>
        <w:t>蔡才河先生，</w:t>
      </w:r>
      <w:r>
        <w:rPr>
          <w:rFonts w:ascii="Times New Roman" w:hAnsi="Times New Roman" w:cs="Times New Roman" w:eastAsia="Times New Roman" w:hint="default"/>
          <w:spacing w:val="-5"/>
        </w:rPr>
        <w:t>1970</w:t>
      </w:r>
      <w:r>
        <w:rPr>
          <w:spacing w:val="-5"/>
        </w:rPr>
        <w:t>年出生，硕士，注册会计师、注册税务师，中国国籍，无境外居住权，浙江省第十二届政协委员。</w:t>
      </w:r>
      <w:r>
        <w:rPr>
          <w:rFonts w:ascii="Times New Roman" w:hAnsi="Times New Roman" w:cs="Times New Roman" w:eastAsia="Times New Roman" w:hint="default"/>
          <w:spacing w:val="-5"/>
        </w:rPr>
        <w:t>2007</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4</w:t>
      </w:r>
      <w:r>
        <w:rPr>
          <w:spacing w:val="-1"/>
        </w:rPr>
        <w:t>月至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月，历任深圳发展银行</w:t>
      </w:r>
      <w:r>
        <w:rPr>
          <w:rFonts w:ascii="Times New Roman" w:hAnsi="Times New Roman" w:cs="Times New Roman" w:eastAsia="Times New Roman" w:hint="default"/>
          <w:spacing w:val="-1"/>
        </w:rPr>
        <w:t>/</w:t>
      </w:r>
      <w:r>
        <w:rPr>
          <w:spacing w:val="-1"/>
        </w:rPr>
        <w:t>平安银行杭州分行投资银行部总经理助理、副总经理、总经理；</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月至</w:t>
      </w:r>
      <w:r>
        <w:rPr>
          <w:rFonts w:ascii="Times New Roman" w:hAnsi="Times New Roman" w:cs="Times New Roman" w:eastAsia="Times New Roman" w:hint="default"/>
          <w:spacing w:val="-1"/>
        </w:rPr>
        <w:t>2016</w:t>
      </w:r>
      <w:r>
        <w:rPr>
          <w:spacing w:val="-1"/>
        </w:rPr>
        <w:t>年</w:t>
      </w:r>
      <w:r>
        <w:rPr>
          <w:spacing w:val="-72"/>
        </w:rPr>
        <w:t> </w:t>
      </w:r>
      <w:r>
        <w:rPr>
          <w:rFonts w:ascii="Times New Roman" w:hAnsi="Times New Roman" w:cs="Times New Roman" w:eastAsia="Times New Roman" w:hint="default"/>
          <w:spacing w:val="-2"/>
        </w:rPr>
        <w:t>2</w:t>
      </w:r>
      <w:r>
        <w:rPr>
          <w:spacing w:val="-2"/>
        </w:rPr>
        <w:t>月，任浙江省物产集团有限公司投资与金融产业部副部长、资金运营管理中心副主任；</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月，任物产中</w:t>
      </w:r>
      <w:r>
        <w:rPr>
          <w:spacing w:val="-54"/>
        </w:rPr>
        <w:t> </w:t>
      </w:r>
      <w:r>
        <w:rPr>
          <w:spacing w:val="-54"/>
        </w:rPr>
      </w:r>
      <w:r>
        <w:rPr/>
        <w:t>大集团股份有限公司资金管理运营中心副总经理；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月，任物产中大集团财务有限公司副董事长、总经 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月至今，任物产中大集团财务有限公司董事长；</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月至今，任物产中大集团股份有限公司资金运营中心 </w:t>
      </w:r>
      <w:r>
        <w:rPr>
          <w:spacing w:val="-2"/>
        </w:rPr>
        <w:t>总经理。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月，任浙江畅唐网络股份有限公司独立董事。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月至今，任浙江华媒控股股份有限公</w:t>
      </w:r>
      <w:r>
        <w:rPr>
          <w:spacing w:val="-48"/>
        </w:rPr>
        <w:t> </w:t>
      </w:r>
      <w:r>
        <w:rPr>
          <w:spacing w:val="-48"/>
        </w:rPr>
      </w:r>
      <w:r>
        <w:rPr/>
        <w:t>司独立董事。</w:t>
      </w:r>
    </w:p>
    <w:p>
      <w:pPr>
        <w:pStyle w:val="BodyText"/>
        <w:spacing w:line="300" w:lineRule="auto" w:before="31"/>
        <w:ind w:right="189" w:firstLine="357"/>
        <w:jc w:val="both"/>
      </w:pPr>
      <w:r>
        <w:rPr>
          <w:spacing w:val="-2"/>
        </w:rPr>
        <w:t>郭全中先生，</w:t>
      </w:r>
      <w:r>
        <w:rPr>
          <w:rFonts w:ascii="Times New Roman" w:hAnsi="Times New Roman" w:cs="Times New Roman" w:eastAsia="Times New Roman" w:hint="default"/>
          <w:spacing w:val="-2"/>
        </w:rPr>
        <w:t>1976</w:t>
      </w:r>
      <w:r>
        <w:rPr>
          <w:spacing w:val="-2"/>
        </w:rPr>
        <w:t>年生，管理学博士后，中国国籍，高级经济师。</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月，担任南方报业传媒集团战略</w:t>
      </w:r>
      <w:r>
        <w:rPr/>
        <w:t> 运营部副主任；</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月，担任中国新闻出版传媒集团公司董事会秘书、投资咨询部主任；</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月至今，担 任国家行政学院高级经济师；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月至今，任华闻传媒投资集团股份有限公司独立董事；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月至今，任东方网力 </w:t>
      </w:r>
      <w:r>
        <w:rPr>
          <w:spacing w:val="-2"/>
        </w:rPr>
        <w:t>科技股份有限公司独立董事；</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月至今，任印纪娱乐传媒股份有限公司独立董事。</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月至今，任浙江华媒控股股</w:t>
      </w:r>
      <w:r>
        <w:rPr>
          <w:spacing w:val="-56"/>
        </w:rPr>
        <w:t> </w:t>
      </w:r>
      <w:r>
        <w:rPr>
          <w:spacing w:val="-56"/>
        </w:rPr>
      </w:r>
      <w:r>
        <w:rPr/>
        <w:t>份有限公司独立董事。</w:t>
      </w:r>
    </w:p>
    <w:p>
      <w:pPr>
        <w:pStyle w:val="BodyText"/>
        <w:spacing w:line="300" w:lineRule="auto" w:before="31"/>
        <w:ind w:right="198" w:firstLine="357"/>
        <w:jc w:val="both"/>
      </w:pPr>
      <w:r>
        <w:rPr/>
        <w:t>沈旭微先生，</w:t>
      </w:r>
      <w:r>
        <w:rPr>
          <w:rFonts w:ascii="Times New Roman" w:hAnsi="Times New Roman" w:cs="Times New Roman" w:eastAsia="Times New Roman" w:hint="default"/>
        </w:rPr>
        <w:t>1967</w:t>
      </w:r>
      <w:r>
        <w:rPr/>
        <w:t>年出生，本科，中国国籍，无境外居住权。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月，任中共杭州市余杭区委常委、 统战部长，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月至今，任杭州日报报业集团党委副书记、副总编辑，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月至今，任杭州日报传媒有限公司副董 事长。</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月至今，任浙江华媒控股股份有限公司监事会主席。</w:t>
      </w:r>
    </w:p>
    <w:p>
      <w:pPr>
        <w:pStyle w:val="BodyText"/>
        <w:spacing w:line="300" w:lineRule="auto" w:before="13"/>
        <w:ind w:right="200" w:firstLine="357"/>
        <w:jc w:val="both"/>
      </w:pPr>
      <w:r>
        <w:rPr/>
        <w:t>陈军雄先生，</w:t>
      </w:r>
      <w:r>
        <w:rPr>
          <w:rFonts w:ascii="Times New Roman" w:hAnsi="Times New Roman" w:cs="Times New Roman" w:eastAsia="Times New Roman" w:hint="default"/>
        </w:rPr>
        <w:t>1965</w:t>
      </w:r>
      <w:r>
        <w:rPr/>
        <w:t>年出生，硕士，中国国籍，无境外居住权。</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月，任杭报集团都市快报社编委；</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11</w:t>
      </w:r>
      <w:r>
        <w:rPr/>
        <w:t>月至今，任浙江都市快报控股有限公司董事、副总经理。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月至今，任浙江华媒控股股份有限公司监事。</w:t>
      </w:r>
    </w:p>
    <w:p>
      <w:pPr>
        <w:pStyle w:val="BodyText"/>
        <w:spacing w:line="304" w:lineRule="auto" w:before="13"/>
        <w:ind w:right="188" w:firstLine="357"/>
        <w:jc w:val="both"/>
      </w:pPr>
      <w:r>
        <w:rPr>
          <w:spacing w:val="-2"/>
        </w:rPr>
        <w:t>裴蓉女士，</w:t>
      </w:r>
      <w:r>
        <w:rPr>
          <w:rFonts w:ascii="Times New Roman" w:hAnsi="Times New Roman" w:cs="Times New Roman" w:eastAsia="Times New Roman" w:hint="default"/>
          <w:spacing w:val="-2"/>
        </w:rPr>
        <w:t>1971</w:t>
      </w:r>
      <w:r>
        <w:rPr>
          <w:spacing w:val="-2"/>
        </w:rPr>
        <w:t>年出生，硕士，中国注册会计师，国际注册内审师，中国国籍，无境外居住权。</w:t>
      </w:r>
      <w:r>
        <w:rPr>
          <w:rFonts w:ascii="Times New Roman" w:hAnsi="Times New Roman" w:cs="Times New Roman" w:eastAsia="Times New Roman" w:hint="default"/>
          <w:spacing w:val="-2"/>
        </w:rPr>
        <w:t>1992</w:t>
      </w:r>
      <w:r>
        <w:rPr>
          <w:spacing w:val="-2"/>
        </w:rPr>
        <w:t>年起参加工作，任</w:t>
      </w:r>
      <w:r>
        <w:rPr/>
        <w:t> </w:t>
      </w:r>
      <w:r>
        <w:rPr>
          <w:spacing w:val="-2"/>
        </w:rPr>
        <w:t>杭州侨兴织带机厂财务科副科长；</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7</w:t>
      </w:r>
      <w:r>
        <w:rPr>
          <w:spacing w:val="-2"/>
        </w:rPr>
        <w:t>月进入华立集团工作，历任财务经理、审计室主任、审计部部长。</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月起担</w:t>
      </w:r>
      <w:r>
        <w:rPr>
          <w:spacing w:val="-56"/>
        </w:rPr>
        <w:t> </w:t>
      </w:r>
      <w:r>
        <w:rPr>
          <w:spacing w:val="-56"/>
        </w:rPr>
      </w:r>
      <w:r>
        <w:rPr>
          <w:spacing w:val="-2"/>
        </w:rPr>
        <w:t>任营运总监、财务总监、副总裁。现任华立集团股份有限公司董事、总裁，华立医药集团有限公司董事，昆药集团股份有限</w:t>
      </w:r>
      <w:r>
        <w:rPr>
          <w:spacing w:val="-68"/>
        </w:rPr>
        <w:t> </w:t>
      </w:r>
      <w:r>
        <w:rPr>
          <w:spacing w:val="-68"/>
        </w:rPr>
      </w:r>
      <w:r>
        <w:rPr>
          <w:spacing w:val="-2"/>
        </w:rPr>
        <w:t>公司董事，健民药业集团股份有限公司董事，华立科技股份有限公司董事。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月至今，任浙江华媒控股股份有限公司</w:t>
      </w:r>
      <w:r>
        <w:rPr>
          <w:spacing w:val="-60"/>
        </w:rPr>
        <w:t> </w:t>
      </w:r>
      <w:r>
        <w:rPr>
          <w:spacing w:val="-60"/>
        </w:rPr>
      </w:r>
      <w:r>
        <w:rPr/>
        <w:t>监事。</w:t>
      </w:r>
    </w:p>
    <w:p>
      <w:pPr>
        <w:pStyle w:val="BodyText"/>
        <w:spacing w:line="300" w:lineRule="auto" w:before="28"/>
        <w:ind w:right="189" w:firstLine="357"/>
        <w:jc w:val="both"/>
      </w:pPr>
      <w:r>
        <w:rPr>
          <w:spacing w:val="-2"/>
        </w:rPr>
        <w:t>邹箭峰先生，</w:t>
      </w:r>
      <w:r>
        <w:rPr>
          <w:rFonts w:ascii="Times New Roman" w:hAnsi="Times New Roman" w:cs="Times New Roman" w:eastAsia="Times New Roman" w:hint="default"/>
          <w:spacing w:val="-2"/>
        </w:rPr>
        <w:t>1977</w:t>
      </w:r>
      <w:r>
        <w:rPr>
          <w:spacing w:val="-2"/>
        </w:rPr>
        <w:t>年出生，本科，中国国籍，无境外居住权。</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月，任浙江华朗实业有限公司投资部</w:t>
      </w:r>
      <w:r>
        <w:rPr/>
        <w:t> </w:t>
      </w:r>
      <w:r>
        <w:rPr>
          <w:spacing w:val="-2"/>
        </w:rPr>
        <w:t>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月，任杭报金都创意产业发展有限公司副总经理；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月，任浙江华朗实业有限</w:t>
      </w:r>
      <w:r>
        <w:rPr>
          <w:spacing w:val="-46"/>
        </w:rPr>
        <w:t> </w:t>
      </w:r>
      <w:r>
        <w:rPr>
          <w:spacing w:val="-46"/>
        </w:rPr>
      </w:r>
      <w:r>
        <w:rPr>
          <w:spacing w:val="-2"/>
        </w:rPr>
        <w:t>公司副总经理；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月，任浙江华媒控股股份有限公司投融资部主任；</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月起至今，任浙江华媒投资</w:t>
      </w:r>
      <w:r>
        <w:rPr>
          <w:spacing w:val="-50"/>
        </w:rPr>
        <w:t> </w:t>
      </w:r>
      <w:r>
        <w:rPr>
          <w:spacing w:val="-50"/>
        </w:rPr>
      </w:r>
      <w:r>
        <w:rPr/>
        <w:t>有限公司副总经理。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月起至今，任浙江华媒控股股份有限公司职工监事。</w:t>
      </w:r>
    </w:p>
    <w:p>
      <w:pPr>
        <w:pStyle w:val="BodyText"/>
        <w:spacing w:line="300" w:lineRule="auto" w:before="13"/>
        <w:ind w:left="153" w:right="198" w:firstLine="357"/>
        <w:jc w:val="both"/>
      </w:pPr>
      <w:r>
        <w:rPr/>
        <w:t>洪晓明先生，</w:t>
      </w:r>
      <w:r>
        <w:rPr>
          <w:rFonts w:ascii="Times New Roman" w:hAnsi="Times New Roman" w:cs="Times New Roman" w:eastAsia="Times New Roman" w:hint="default"/>
        </w:rPr>
        <w:t>1964</w:t>
      </w:r>
      <w:r>
        <w:rPr/>
        <w:t>年出生，本科，主任编辑，中国国籍，无境外居住权。</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月，任杭州日报报业集团新 闻研究所编辑、主管；</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月，任杭报集团经营管理办公室（总经理办公室）主管、主任助理；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 </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月，任浙江华媒控股股份有限公司总经理办公室副主任；</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月，任浙江华媒控股股份有限 公司董事会办公室副主任；</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月至今，任浙江华媒控股股份有限公司董事会办公室主任。</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月至今，任浙江华 媒控股股份有限公司职工监事。</w:t>
      </w:r>
    </w:p>
    <w:p>
      <w:pPr>
        <w:pStyle w:val="BodyText"/>
        <w:spacing w:line="300" w:lineRule="auto" w:before="31"/>
        <w:ind w:left="153" w:right="198" w:firstLine="357"/>
        <w:jc w:val="both"/>
      </w:pPr>
      <w:r>
        <w:rPr/>
        <w:t>于国清先生，</w:t>
      </w:r>
      <w:r>
        <w:rPr>
          <w:rFonts w:ascii="Times New Roman" w:hAnsi="Times New Roman" w:cs="Times New Roman" w:eastAsia="Times New Roman" w:hint="default"/>
        </w:rPr>
        <w:t>1973</w:t>
      </w:r>
      <w:r>
        <w:rPr/>
        <w:t>年出生，硕士，中国国籍，无境外居住权。</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月，任杭报集团杭州日报编委、办公室 主任；</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月，任杭报集团总编辑办公室主任；</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月，任杭报集团每日送电子商务有限 公司董事、总经理。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月至今，任浙江华媒控股股份有限公司副总经理。</w:t>
      </w:r>
    </w:p>
    <w:p>
      <w:pPr>
        <w:pStyle w:val="BodyText"/>
        <w:spacing w:line="240" w:lineRule="auto" w:before="13"/>
        <w:ind w:left="511" w:right="125"/>
        <w:jc w:val="left"/>
      </w:pPr>
      <w:r>
        <w:rPr/>
        <w:t>宋浩先生，</w:t>
      </w:r>
      <w:r>
        <w:rPr>
          <w:rFonts w:ascii="Times New Roman" w:hAnsi="Times New Roman" w:cs="Times New Roman" w:eastAsia="Times New Roman" w:hint="default"/>
        </w:rPr>
        <w:t>1972</w:t>
      </w:r>
      <w:r>
        <w:rPr/>
        <w:t>年出生，硕士，中国国籍，无境外居留权。</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月，任湖州市创业投资公司总经理；</w:t>
      </w:r>
    </w:p>
    <w:p>
      <w:pPr>
        <w:pStyle w:val="BodyText"/>
        <w:spacing w:line="240" w:lineRule="auto" w:before="63"/>
        <w:ind w:left="153" w:right="0"/>
        <w:jc w:val="both"/>
      </w:pP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10</w:t>
      </w:r>
      <w:r>
        <w:rPr>
          <w:spacing w:val="-3"/>
        </w:rPr>
        <w:t>月至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月，任杭州多策投资管理合伙企业合伙人。</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月至今，任浙江华媒控股股份有限公司副总经理；</w:t>
      </w:r>
    </w:p>
    <w:p>
      <w:pPr>
        <w:pStyle w:val="BodyText"/>
        <w:spacing w:line="240" w:lineRule="auto" w:before="63"/>
        <w:ind w:left="153" w:right="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月至今，任浙江华媒投资有限公司董事、总经理。</w:t>
      </w:r>
    </w:p>
    <w:p>
      <w:pPr>
        <w:spacing w:after="0" w:line="24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151" w:firstLine="357"/>
        <w:jc w:val="both"/>
      </w:pPr>
      <w:r>
        <w:rPr>
          <w:spacing w:val="-4"/>
        </w:rPr>
        <w:t>郭勤勇先生，</w:t>
      </w:r>
      <w:r>
        <w:rPr>
          <w:rFonts w:ascii="Times New Roman" w:hAnsi="Times New Roman" w:cs="Times New Roman" w:eastAsia="Times New Roman" w:hint="default"/>
          <w:spacing w:val="-4"/>
        </w:rPr>
        <w:t>1973</w:t>
      </w:r>
      <w:r>
        <w:rPr>
          <w:rFonts w:ascii="Times New Roman" w:hAnsi="Times New Roman" w:cs="Times New Roman" w:eastAsia="Times New Roman" w:hint="default"/>
          <w:spacing w:val="29"/>
        </w:rPr>
        <w:t> </w:t>
      </w:r>
      <w:r>
        <w:rPr>
          <w:spacing w:val="-5"/>
        </w:rPr>
        <w:t>年出生，本科，中国国籍，无境外居住权。</w:t>
      </w:r>
      <w:r>
        <w:rPr>
          <w:rFonts w:ascii="Times New Roman" w:hAnsi="Times New Roman" w:cs="Times New Roman" w:eastAsia="Times New Roman" w:hint="default"/>
          <w:spacing w:val="-5"/>
        </w:rPr>
        <w:t>2009</w:t>
      </w:r>
      <w:r>
        <w:rPr>
          <w:spacing w:val="-5"/>
        </w:rPr>
        <w:t>年至</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5</w:t>
      </w:r>
      <w:r>
        <w:rPr>
          <w:spacing w:val="-5"/>
        </w:rPr>
        <w:t>月，任杭报集团资产运营中心主任。</w:t>
      </w:r>
      <w:r>
        <w:rPr>
          <w:rFonts w:ascii="Times New Roman" w:hAnsi="Times New Roman" w:cs="Times New Roman" w:eastAsia="Times New Roman" w:hint="default"/>
          <w:spacing w:val="-5"/>
        </w:rPr>
        <w:t>2014</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月至今，任浙江华媒控股股份有限公司财务总监。</w:t>
      </w:r>
    </w:p>
    <w:p>
      <w:pPr>
        <w:pStyle w:val="BodyText"/>
        <w:spacing w:line="300" w:lineRule="auto" w:before="13"/>
        <w:ind w:right="151" w:firstLine="357"/>
        <w:jc w:val="both"/>
      </w:pPr>
      <w:r>
        <w:rPr>
          <w:spacing w:val="-2"/>
        </w:rPr>
        <w:t>高坚强先生，</w:t>
      </w:r>
      <w:r>
        <w:rPr>
          <w:rFonts w:ascii="Times New Roman" w:hAnsi="Times New Roman" w:cs="Times New Roman" w:eastAsia="Times New Roman" w:hint="default"/>
          <w:spacing w:val="-2"/>
        </w:rPr>
        <w:t>1987</w:t>
      </w:r>
      <w:r>
        <w:rPr>
          <w:spacing w:val="-2"/>
        </w:rPr>
        <w:t>年出生，硕士，中国注册会计师，中国国籍，无境外居住权。</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月任安永会计师事务</w:t>
      </w:r>
      <w:r>
        <w:rPr/>
        <w:t> </w:t>
      </w:r>
      <w:r>
        <w:rPr>
          <w:spacing w:val="-2"/>
        </w:rPr>
        <w:t>所审计师；</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月任浙江晶盛机电股份有限公司董事会办公室主任兼证券事务代表。</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月至今，任</w:t>
      </w:r>
      <w:r>
        <w:rPr>
          <w:spacing w:val="-48"/>
        </w:rPr>
        <w:t> </w:t>
      </w:r>
      <w:r>
        <w:rPr>
          <w:spacing w:val="-48"/>
        </w:rPr>
      </w:r>
      <w:r>
        <w:rPr/>
        <w:t>浙江华媒控股股份有限公司董事会秘书。</w:t>
      </w:r>
    </w:p>
    <w:p>
      <w:pPr>
        <w:pStyle w:val="BodyText"/>
        <w:spacing w:line="300" w:lineRule="auto" w:before="31"/>
        <w:ind w:right="158" w:firstLine="357"/>
        <w:jc w:val="both"/>
      </w:pPr>
      <w:r>
        <w:rPr/>
        <w:t>王柏华先生，</w:t>
      </w:r>
      <w:r>
        <w:rPr>
          <w:rFonts w:ascii="Times New Roman" w:hAnsi="Times New Roman" w:cs="Times New Roman" w:eastAsia="Times New Roman" w:hint="default"/>
        </w:rPr>
        <w:t>1969</w:t>
      </w:r>
      <w:r>
        <w:rPr/>
        <w:t>年出生，本科，中国国籍，无境外居住权。</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月任萧山日报副总编辑；</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 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月任萧山日报副社长、杭州萧山日报传媒有限公司总经理；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月任萧山日报社长、杭州萧山日 报传媒有限公司副董事长。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月至今任浙江华媒控股股份有限公司副总经理，杭州文化产权交易所有限公司董事长、 总经理。</w:t>
      </w:r>
    </w:p>
    <w:p>
      <w:pPr>
        <w:pStyle w:val="BodyText"/>
        <w:spacing w:line="240" w:lineRule="auto" w:before="72"/>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51"/>
        <w:gridCol w:w="2268"/>
        <w:gridCol w:w="2268"/>
        <w:gridCol w:w="1559"/>
        <w:gridCol w:w="1138"/>
        <w:gridCol w:w="1484"/>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9" w:right="59"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董悦</w:t>
            </w:r>
          </w:p>
        </w:tc>
        <w:tc>
          <w:tcPr>
            <w:tcW w:w="22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22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22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22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22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22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22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22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在其他单位任职情况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09"/>
        <w:gridCol w:w="2834"/>
        <w:gridCol w:w="1559"/>
        <w:gridCol w:w="1561"/>
        <w:gridCol w:w="1528"/>
        <w:gridCol w:w="1376"/>
      </w:tblGrid>
      <w:tr>
        <w:trPr>
          <w:trHeight w:val="714" w:hRule="exact"/>
        </w:trPr>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9" w:right="78"/>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7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5" w:right="52"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5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董悦</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党委书记、社长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党委委员</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浙江都市艺术文化发展有限公司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健民药业集团股份有限公司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昆药集团股份有限公司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华立医药集团有限公司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浙江华方资产管理有限公司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党委委员</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杭州萧山日报传媒有限公司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华数数字电视传媒集团有限公司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杭州华泰一媒文化传播有限公司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杭州华媒投资有限公司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杭报集团盛元印务有限公司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09"/>
        <w:gridCol w:w="2834"/>
        <w:gridCol w:w="1559"/>
        <w:gridCol w:w="1561"/>
        <w:gridCol w:w="1528"/>
        <w:gridCol w:w="1376"/>
      </w:tblGrid>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杭报集团每日送电子商务有限公司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杭州华媒投资有限公司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中教未来国际教育科技（北京）有 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浙江工商大学</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会计学教授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浙江海亮股份有限公司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浙江康恩贝制药股份有限公司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物产中大集团财务有限公司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物产中大集团股份有限公司资金管 理运营中心</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浙江畅唐网络股份有限公司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国家行政学院社会和文化教研部</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高级经济师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东方网力科技股份有限公司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沈旭微</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党委副书记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沈旭微</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副总编辑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沈旭微</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杭州日报传媒有限公司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中教未来国际教育科技（北京）有 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杭州都健网络科技有限公司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浙江饭美科技有限公司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杭州都市周报传媒有限公司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华立科技股份有限公司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华立医药集团有限公司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昆药集团股份有限公司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健民药业集团股份有限公司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浙江华媒教育科技有限公司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杭州华媒企业管理有限公司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杭州萧山日报传媒有限公司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09"/>
        <w:gridCol w:w="2834"/>
        <w:gridCol w:w="1559"/>
        <w:gridCol w:w="1561"/>
        <w:gridCol w:w="1528"/>
        <w:gridCol w:w="1376"/>
      </w:tblGrid>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北京精典博维文化传媒有限公司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浙江绩丰岩土技术股份有限公司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浙江弘致投资管理有限公司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杭州网络传媒有限公司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杭报集团盛元印务有限公司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杭州地铁文化传媒有限公司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北京精典博维文化传媒有限公司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华数数字传媒集团有限公司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杭州华泰一媒文化传播有限公司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王柏华</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王柏华</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杭州富阳日报传媒有限公司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王柏华</w:t>
            </w:r>
          </w:p>
        </w:tc>
        <w:tc>
          <w:tcPr>
            <w:tcW w:w="28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25"/>
        <w:jc w:val="left"/>
      </w:pPr>
      <w:r>
        <w:rPr/>
        <w:t>公司现任及报告期内离任董事、监事和高级管理人员近三年证券监管机构处罚的情况</w:t>
      </w:r>
    </w:p>
    <w:p>
      <w:pPr>
        <w:pStyle w:val="BodyText"/>
        <w:spacing w:line="240" w:lineRule="auto" w:before="117"/>
        <w:ind w:left="153" w:right="1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25"/>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91" w:hanging="360"/>
        <w:jc w:val="left"/>
      </w:pPr>
      <w:r>
        <w:rPr/>
        <w:t>董事、监事、高级管理人员报酬的决策程序、确定依据、实际支付情况 公司第七届董事会第十七次会议、</w:t>
      </w:r>
      <w:r>
        <w:rPr>
          <w:rFonts w:ascii="Times New Roman" w:hAnsi="Times New Roman" w:cs="Times New Roman" w:eastAsia="Times New Roman" w:hint="default"/>
        </w:rPr>
        <w:t>2014</w:t>
      </w:r>
      <w:r>
        <w:rPr/>
        <w:t>年年度股东大会审议通过《董事、监事及高级管理人员薪酬管理制度》，董事、</w:t>
      </w:r>
    </w:p>
    <w:p>
      <w:pPr>
        <w:pStyle w:val="BodyText"/>
        <w:spacing w:line="202" w:lineRule="exact"/>
        <w:ind w:left="153" w:right="125"/>
        <w:jc w:val="left"/>
      </w:pPr>
      <w:r>
        <w:rPr/>
        <w:t>监事、高级管理人员的薪酬根据该制度执行。</w:t>
      </w:r>
    </w:p>
    <w:p>
      <w:pPr>
        <w:pStyle w:val="BodyText"/>
        <w:spacing w:line="302" w:lineRule="auto" w:before="116"/>
        <w:ind w:left="153" w:right="125" w:firstLine="360"/>
        <w:jc w:val="left"/>
      </w:pPr>
      <w:r>
        <w:rPr>
          <w:rFonts w:ascii="Times New Roman" w:hAnsi="Times New Roman" w:cs="Times New Roman" w:eastAsia="Times New Roman" w:hint="default"/>
        </w:rPr>
        <w:t>2017</w:t>
      </w:r>
      <w:r>
        <w:rPr/>
        <w:t>年度高级管理人员实行年薪制，主要构成为基础年薪（年薪占比</w:t>
      </w:r>
      <w:r>
        <w:rPr>
          <w:rFonts w:ascii="Times New Roman" w:hAnsi="Times New Roman" w:cs="Times New Roman" w:eastAsia="Times New Roman" w:hint="default"/>
        </w:rPr>
        <w:t>60%~70%</w:t>
      </w:r>
      <w:r>
        <w:rPr/>
        <w:t>）和绩效年薪（年薪占比</w:t>
      </w:r>
      <w:r>
        <w:rPr>
          <w:rFonts w:ascii="Times New Roman" w:hAnsi="Times New Roman" w:cs="Times New Roman" w:eastAsia="Times New Roman" w:hint="default"/>
        </w:rPr>
        <w:t>30%~40%</w:t>
      </w:r>
      <w:r>
        <w:rPr/>
        <w:t>）。 在公司实现当年利润承诺的前提下，对高管进行超额奖励；同时以公司利润承诺指标为核心，引入风险扣罚机制。</w:t>
      </w:r>
    </w:p>
    <w:p>
      <w:pPr>
        <w:pStyle w:val="BodyText"/>
        <w:spacing w:line="240" w:lineRule="auto" w:before="69"/>
        <w:ind w:left="513" w:right="125"/>
        <w:jc w:val="left"/>
      </w:pPr>
      <w:r>
        <w:rPr/>
        <w:t>各高级管理人员的年薪标准结合具体岗位职责和工作目标，并参考</w:t>
      </w:r>
      <w:r>
        <w:rPr>
          <w:rFonts w:ascii="Times New Roman" w:hAnsi="Times New Roman" w:cs="Times New Roman" w:eastAsia="Times New Roman" w:hint="default"/>
        </w:rPr>
        <w:t>2016</w:t>
      </w:r>
      <w:r>
        <w:rPr/>
        <w:t>年度行业薪酬水平而确定。</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9"/>
          <w:szCs w:val="29"/>
        </w:rPr>
      </w:pPr>
    </w:p>
    <w:p>
      <w:pPr>
        <w:pStyle w:val="BodyText"/>
        <w:spacing w:line="240" w:lineRule="auto" w:before="44"/>
        <w:ind w:left="153" w:right="0"/>
        <w:jc w:val="left"/>
      </w:pPr>
      <w:r>
        <w:rPr/>
        <w:t>公司报告期内董事、监事和高级管理人员报酬情况</w:t>
      </w:r>
    </w:p>
    <w:p>
      <w:pPr>
        <w:pStyle w:val="BodyText"/>
        <w:spacing w:line="240" w:lineRule="auto" w:before="117"/>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698"/>
        <w:gridCol w:w="1741"/>
        <w:gridCol w:w="698"/>
        <w:gridCol w:w="485"/>
        <w:gridCol w:w="905"/>
        <w:gridCol w:w="2584"/>
        <w:gridCol w:w="2582"/>
      </w:tblGrid>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6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2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从公司获得的税前报酬总额</w:t>
            </w:r>
          </w:p>
        </w:tc>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是否在公司关联方获取报酬</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赵晴</w:t>
            </w:r>
          </w:p>
        </w:tc>
        <w:tc>
          <w:tcPr>
            <w:tcW w:w="1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董悦</w:t>
            </w:r>
          </w:p>
        </w:tc>
        <w:tc>
          <w:tcPr>
            <w:tcW w:w="1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1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1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1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75.51</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1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董事、常务副总经理</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69.87</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1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1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1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陆春祥</w:t>
            </w:r>
          </w:p>
        </w:tc>
        <w:tc>
          <w:tcPr>
            <w:tcW w:w="1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56.67</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沈旭微</w:t>
            </w:r>
          </w:p>
        </w:tc>
        <w:tc>
          <w:tcPr>
            <w:tcW w:w="1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1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46.71</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1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1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42.03</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1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40.44</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1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57.92</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1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62.76</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1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58.09</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1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58.33</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林鹭华</w:t>
            </w:r>
          </w:p>
        </w:tc>
        <w:tc>
          <w:tcPr>
            <w:tcW w:w="1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王柏华</w:t>
            </w:r>
          </w:p>
        </w:tc>
        <w:tc>
          <w:tcPr>
            <w:tcW w:w="1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55.88</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645.63</w:t>
            </w:r>
          </w:p>
        </w:tc>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7"/>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80"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媒体人员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3,175</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大学专科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中专技校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3,175</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51" w:firstLine="360"/>
        <w:jc w:val="both"/>
      </w:pPr>
      <w:r>
        <w:rPr>
          <w:spacing w:val="-1"/>
        </w:rPr>
        <w:t>公司根据职工的职能和职级确定相应的薪酬形式，主要包括年薪制和组合工资制（岗位</w:t>
      </w:r>
      <w:r>
        <w:rPr>
          <w:rFonts w:ascii="Times New Roman" w:hAnsi="Times New Roman" w:cs="Times New Roman" w:eastAsia="Times New Roman" w:hint="default"/>
          <w:spacing w:val="-1"/>
        </w:rPr>
        <w:t>+</w:t>
      </w:r>
      <w:r>
        <w:rPr>
          <w:spacing w:val="-1"/>
        </w:rPr>
        <w:t>绩效）。公司严格按照国家和</w:t>
      </w:r>
      <w:r>
        <w:rPr/>
        <w:t> </w:t>
      </w:r>
      <w:r>
        <w:rPr>
          <w:spacing w:val="-2"/>
        </w:rPr>
        <w:t>地方法律法规以及公司制度为职工缴纳社会保险和住房公积金，并为职工提供丰富和完善的福利计划，包括就餐补贴、高温</w:t>
      </w:r>
      <w:r>
        <w:rPr>
          <w:spacing w:val="-66"/>
        </w:rPr>
        <w:t> </w:t>
      </w:r>
      <w:r>
        <w:rPr>
          <w:spacing w:val="-66"/>
        </w:rPr>
      </w:r>
      <w:r>
        <w:rPr/>
        <w:t>补贴、年度体检、带薪休假、带薪病假、婚育礼金、节日慰问、女工保险等。</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51" w:firstLine="360"/>
        <w:jc w:val="both"/>
      </w:pPr>
      <w:r>
        <w:rPr>
          <w:spacing w:val="-2"/>
        </w:rPr>
        <w:t>公司注重职工的职业技能提升和个人职业发展。报告期内，公司（含全资子公司和控股子公司，不含参股公司）组织各</w:t>
      </w:r>
      <w:r>
        <w:rPr/>
        <w:t> </w:t>
      </w:r>
      <w:r>
        <w:rPr>
          <w:spacing w:val="-1"/>
        </w:rPr>
        <w:t>级、各类培训</w:t>
      </w:r>
      <w:r>
        <w:rPr>
          <w:rFonts w:ascii="Times New Roman" w:hAnsi="Times New Roman" w:cs="Times New Roman" w:eastAsia="Times New Roman" w:hint="default"/>
          <w:spacing w:val="-1"/>
        </w:rPr>
        <w:t>182</w:t>
      </w:r>
      <w:r>
        <w:rPr>
          <w:spacing w:val="-1"/>
        </w:rPr>
        <w:t>项，受训职工近</w:t>
      </w:r>
      <w:r>
        <w:rPr>
          <w:rFonts w:ascii="Times New Roman" w:hAnsi="Times New Roman" w:cs="Times New Roman" w:eastAsia="Times New Roman" w:hint="default"/>
          <w:spacing w:val="-1"/>
        </w:rPr>
        <w:t>5000</w:t>
      </w:r>
      <w:r>
        <w:rPr>
          <w:spacing w:val="-1"/>
        </w:rPr>
        <w:t>人次，采用内部授课、外部研修</w:t>
      </w:r>
      <w:r>
        <w:rPr>
          <w:rFonts w:ascii="Times New Roman" w:hAnsi="Times New Roman" w:cs="Times New Roman" w:eastAsia="Times New Roman" w:hint="default"/>
          <w:spacing w:val="-1"/>
        </w:rPr>
        <w:t>/</w:t>
      </w:r>
      <w:r>
        <w:rPr>
          <w:spacing w:val="-1"/>
        </w:rPr>
        <w:t>会议、同行交流、</w:t>
      </w:r>
      <w:r>
        <w:rPr>
          <w:rFonts w:ascii="Times New Roman" w:hAnsi="Times New Roman" w:cs="Times New Roman" w:eastAsia="Times New Roman" w:hint="default"/>
          <w:spacing w:val="-1"/>
        </w:rPr>
        <w:t>“</w:t>
      </w:r>
      <w:r>
        <w:rPr>
          <w:spacing w:val="-1"/>
        </w:rPr>
        <w:t>以赛代训</w:t>
      </w:r>
      <w:r>
        <w:rPr>
          <w:rFonts w:ascii="Times New Roman" w:hAnsi="Times New Roman" w:cs="Times New Roman" w:eastAsia="Times New Roman" w:hint="default"/>
          <w:spacing w:val="-1"/>
        </w:rPr>
        <w:t>”</w:t>
      </w:r>
      <w:r>
        <w:rPr>
          <w:spacing w:val="-1"/>
        </w:rPr>
        <w:t>等多种形式，内容覆盖</w:t>
      </w:r>
      <w:r>
        <w:rPr>
          <w:spacing w:val="-58"/>
        </w:rPr>
        <w:t> </w:t>
      </w:r>
      <w:r>
        <w:rPr>
          <w:spacing w:val="-58"/>
        </w:rPr>
      </w:r>
      <w:r>
        <w:rPr/>
        <w:t>新员工培训、业务技能、职业资格、内部管控、职业生涯、领导能力等各个方面。</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25"/>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89" w:firstLine="360"/>
        <w:jc w:val="both"/>
      </w:pPr>
      <w:r>
        <w:rPr>
          <w:spacing w:val="-2"/>
        </w:rPr>
        <w:t>报告期内，公司严格按照《公司法》、《证券法》、《上市公司治理准则》、《深圳证券交易所股票上市规则》、《企</w:t>
      </w:r>
      <w:r>
        <w:rPr/>
        <w:t> </w:t>
      </w:r>
      <w:r>
        <w:rPr>
          <w:spacing w:val="-2"/>
        </w:rPr>
        <w:t>业内部控制基本规范》及其配套指引等有关法律法规、规范性文件的要求，不断完善公司法人治理结构，健全内部管理和控</w:t>
      </w:r>
      <w:r>
        <w:rPr>
          <w:spacing w:val="-66"/>
        </w:rPr>
        <w:t> </w:t>
      </w:r>
      <w:r>
        <w:rPr>
          <w:spacing w:val="-66"/>
        </w:rPr>
      </w:r>
      <w:r>
        <w:rPr/>
        <w:t>制制度，规范公司运作，加强内幕信息管理，强化信息披露工作。</w:t>
      </w:r>
    </w:p>
    <w:p>
      <w:pPr>
        <w:pStyle w:val="BodyText"/>
        <w:spacing w:line="360" w:lineRule="auto" w:before="19"/>
        <w:ind w:left="153" w:right="2611" w:firstLine="360"/>
        <w:jc w:val="left"/>
      </w:pPr>
      <w:r>
        <w:rPr/>
        <w:t>公司治理实际情况与《公司法》和中国证监会相关规定的要求不存在差异。 公司治理的实际状况与中国证监会发布的有关上市公司治理的规范性文件是否存在重大差异</w:t>
      </w:r>
    </w:p>
    <w:p>
      <w:pPr>
        <w:pStyle w:val="BodyText"/>
        <w:spacing w:line="338" w:lineRule="auto" w:before="27"/>
        <w:ind w:right="26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25"/>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191" w:firstLine="360"/>
        <w:jc w:val="both"/>
      </w:pPr>
      <w:r>
        <w:rPr>
          <w:spacing w:val="-2"/>
        </w:rPr>
        <w:t>公司与控股股东在业务、人员、资产、机构、财务上已经做到</w:t>
      </w:r>
      <w:r>
        <w:rPr>
          <w:rFonts w:ascii="Times New Roman" w:hAnsi="Times New Roman" w:cs="Times New Roman" w:eastAsia="Times New Roman" w:hint="default"/>
          <w:spacing w:val="-2"/>
        </w:rPr>
        <w:t>“</w:t>
      </w:r>
      <w:r>
        <w:rPr>
          <w:spacing w:val="-2"/>
        </w:rPr>
        <w:t>五分开</w:t>
      </w:r>
      <w:r>
        <w:rPr>
          <w:rFonts w:ascii="Times New Roman" w:hAnsi="Times New Roman" w:cs="Times New Roman" w:eastAsia="Times New Roman" w:hint="default"/>
          <w:spacing w:val="-2"/>
        </w:rPr>
        <w:t>”</w:t>
      </w:r>
      <w:r>
        <w:rPr>
          <w:spacing w:val="-2"/>
        </w:rPr>
        <w:t>，具有独立完整的业务及自主经营能力，不存在</w:t>
      </w:r>
      <w:r>
        <w:rPr/>
        <w:t> 向控股股东报送未公开信息等有违公司治理准则的非规范行为。</w:t>
      </w:r>
    </w:p>
    <w:p>
      <w:pPr>
        <w:pStyle w:val="BodyText"/>
        <w:spacing w:line="240" w:lineRule="auto" w:before="70"/>
        <w:ind w:left="514" w:right="125"/>
        <w:jc w:val="left"/>
      </w:pPr>
      <w:r>
        <w:rPr>
          <w:rFonts w:ascii="Times New Roman" w:hAnsi="Times New Roman" w:cs="Times New Roman" w:eastAsia="Times New Roman" w:hint="default"/>
        </w:rPr>
        <w:t>1</w:t>
      </w:r>
      <w:r>
        <w:rPr/>
        <w:t>、业务方面：公司独立于控股股东，具有独立完整的业务及自主经营能力。</w:t>
      </w:r>
    </w:p>
    <w:p>
      <w:pPr>
        <w:pStyle w:val="BodyText"/>
        <w:spacing w:line="302" w:lineRule="auto" w:before="101"/>
        <w:ind w:right="188" w:firstLine="360"/>
        <w:jc w:val="both"/>
      </w:pPr>
      <w:r>
        <w:rPr>
          <w:rFonts w:ascii="Times New Roman" w:hAnsi="Times New Roman" w:cs="Times New Roman" w:eastAsia="Times New Roman" w:hint="default"/>
        </w:rPr>
        <w:t>2</w:t>
      </w:r>
      <w:r>
        <w:rPr/>
        <w:t>、人员方面：公司在人事、薪酬管理方面进行独立管理；公司与所有员工均签定了劳动合同；公司股东推荐的董事、 监事通过合法程序任职，没有干预公司董事会和股东大会作出的人事任免决定的情形。</w:t>
      </w:r>
    </w:p>
    <w:p>
      <w:pPr>
        <w:pStyle w:val="BodyText"/>
        <w:spacing w:line="312" w:lineRule="auto" w:before="68"/>
        <w:ind w:right="188" w:firstLine="360"/>
        <w:jc w:val="both"/>
      </w:pPr>
      <w:r>
        <w:rPr>
          <w:rFonts w:ascii="Times New Roman" w:hAnsi="Times New Roman" w:cs="Times New Roman" w:eastAsia="Times New Roman" w:hint="default"/>
        </w:rPr>
        <w:t>3</w:t>
      </w:r>
      <w:r>
        <w:rPr/>
        <w:t>、资产方面：公司拥有独立于控股股东的生产系统、辅助生产系统和配套设施等；公司拥有独立的采购和销售系统。 </w:t>
      </w:r>
      <w:r>
        <w:rPr>
          <w:spacing w:val="-2"/>
        </w:rPr>
        <w:t>公司与控股股东及其他关联方资产权属清晰，不存在控股股东及其他关联方违规占用公司资产、资产及其他资源的情形。公</w:t>
      </w:r>
      <w:r>
        <w:rPr>
          <w:spacing w:val="-66"/>
        </w:rPr>
        <w:t> </w:t>
      </w:r>
      <w:r>
        <w:rPr>
          <w:spacing w:val="-66"/>
        </w:rPr>
      </w:r>
      <w:r>
        <w:rPr>
          <w:spacing w:val="-2"/>
        </w:rPr>
        <w:t>司不存在以资产或信誉为各股东的债务提供担保，也未以公司名义的借款、授信额度转借给各股东。公司对所有资产具有完</w:t>
      </w:r>
      <w:r>
        <w:rPr>
          <w:spacing w:val="-66"/>
        </w:rPr>
        <w:t> </w:t>
      </w:r>
      <w:r>
        <w:rPr>
          <w:spacing w:val="-66"/>
        </w:rPr>
      </w:r>
      <w:r>
        <w:rPr/>
        <w:t>全的控制支配权，不存在资产、资金被控股股东占用而损害公司利益的情形。</w:t>
      </w:r>
    </w:p>
    <w:p>
      <w:pPr>
        <w:pStyle w:val="BodyText"/>
        <w:spacing w:line="302" w:lineRule="auto" w:before="62"/>
        <w:ind w:right="101" w:firstLine="360"/>
        <w:jc w:val="both"/>
      </w:pPr>
      <w:r>
        <w:rPr>
          <w:rFonts w:ascii="Times New Roman" w:hAnsi="Times New Roman" w:cs="Times New Roman" w:eastAsia="Times New Roman" w:hint="default"/>
          <w:spacing w:val="-2"/>
        </w:rPr>
        <w:t>4</w:t>
      </w:r>
      <w:r>
        <w:rPr>
          <w:spacing w:val="-2"/>
        </w:rPr>
        <w:t>、机构方面：公司具有完整、独立的法人治理结构，公司的股东大会、董事会、监事会、经营管理机构等均依法设立，</w:t>
      </w:r>
      <w:r>
        <w:rPr/>
        <w:t> 并规范运作；不存在与控股股东合署办公的情况。</w:t>
      </w:r>
    </w:p>
    <w:p>
      <w:pPr>
        <w:pStyle w:val="BodyText"/>
        <w:spacing w:line="302" w:lineRule="auto" w:before="68"/>
        <w:ind w:right="188" w:firstLine="360"/>
        <w:jc w:val="both"/>
      </w:pPr>
      <w:r>
        <w:rPr>
          <w:rFonts w:ascii="Times New Roman" w:hAnsi="Times New Roman" w:cs="Times New Roman" w:eastAsia="Times New Roman" w:hint="default"/>
        </w:rPr>
        <w:t>5</w:t>
      </w:r>
      <w:r>
        <w:rPr/>
        <w:t>、财务方面：公司设有独立的财务部门，建立了独立的会计核算体系和财务管理制度，开立了独立的银行帐户和税务 登记号，独立经营纳税。</w:t>
      </w:r>
    </w:p>
    <w:p>
      <w:pPr>
        <w:spacing w:line="240" w:lineRule="auto" w:before="5"/>
        <w:rPr>
          <w:rFonts w:ascii="宋体" w:hAnsi="宋体" w:cs="宋体" w:eastAsia="宋体" w:hint="default"/>
          <w:sz w:val="21"/>
          <w:szCs w:val="21"/>
        </w:rPr>
      </w:pPr>
    </w:p>
    <w:p>
      <w:pPr>
        <w:pStyle w:val="Heading2"/>
        <w:spacing w:line="240" w:lineRule="auto"/>
        <w:ind w:right="125"/>
        <w:jc w:val="left"/>
        <w:rPr>
          <w:b w:val="0"/>
          <w:bCs w:val="0"/>
        </w:rPr>
      </w:pP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25"/>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25"/>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2532"/>
        <w:gridCol w:w="1195"/>
        <w:gridCol w:w="1370"/>
        <w:gridCol w:w="1606"/>
        <w:gridCol w:w="1604"/>
        <w:gridCol w:w="1375"/>
      </w:tblGrid>
      <w:tr>
        <w:trPr>
          <w:trHeight w:val="401" w:hRule="exact"/>
        </w:trPr>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8"/>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6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25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1195"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2"/>
              <w:ind w:right="4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62.30%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p>
        </w:tc>
      </w:tr>
      <w:tr>
        <w:trPr>
          <w:trHeight w:val="402" w:hRule="exact"/>
        </w:trPr>
        <w:tc>
          <w:tcPr>
            <w:tcW w:w="25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年年度股东大会决议公告</w:t>
            </w:r>
          </w:p>
        </w:tc>
        <w:tc>
          <w:tcPr>
            <w:tcW w:w="1195"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2"/>
              <w:ind w:right="41"/>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62.30%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p>
        </w:tc>
      </w:tr>
      <w:tr>
        <w:trPr>
          <w:trHeight w:val="402" w:hRule="exact"/>
        </w:trPr>
        <w:tc>
          <w:tcPr>
            <w:tcW w:w="25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1195"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2"/>
              <w:ind w:right="4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62.38%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2017-047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121" w:type="dxa"/>
        <w:tblLayout w:type="fixed"/>
        <w:tblCellMar>
          <w:top w:w="0" w:type="dxa"/>
          <w:left w:w="0" w:type="dxa"/>
          <w:bottom w:w="0" w:type="dxa"/>
          <w:right w:w="0" w:type="dxa"/>
        </w:tblCellMar>
        <w:tblLook w:val="01E0"/>
      </w:tblPr>
      <w:tblGrid>
        <w:gridCol w:w="2532"/>
        <w:gridCol w:w="1195"/>
        <w:gridCol w:w="1370"/>
        <w:gridCol w:w="1606"/>
        <w:gridCol w:w="1604"/>
        <w:gridCol w:w="1375"/>
      </w:tblGrid>
      <w:tr>
        <w:trPr>
          <w:trHeight w:val="402" w:hRule="exact"/>
        </w:trPr>
        <w:tc>
          <w:tcPr>
            <w:tcW w:w="25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1195"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3" w:right="0"/>
              <w:jc w:val="left"/>
              <w:rPr>
                <w:rFonts w:ascii="Times New Roman" w:hAnsi="Times New Roman" w:cs="Times New Roman" w:eastAsia="Times New Roman" w:hint="default"/>
                <w:sz w:val="18"/>
                <w:szCs w:val="18"/>
              </w:rPr>
            </w:pPr>
            <w:r>
              <w:rPr>
                <w:rFonts w:ascii="Times New Roman"/>
                <w:sz w:val="18"/>
              </w:rPr>
              <w:t>10.30%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p>
        </w:tc>
      </w:tr>
    </w:tbl>
    <w:p>
      <w:pPr>
        <w:spacing w:line="240" w:lineRule="auto" w:before="2"/>
        <w:rPr>
          <w:rFonts w:ascii="宋体" w:hAnsi="宋体" w:cs="宋体" w:eastAsia="宋体" w:hint="default"/>
          <w:b/>
          <w:bCs/>
          <w:sz w:val="19"/>
          <w:szCs w:val="19"/>
        </w:rPr>
      </w:pPr>
    </w:p>
    <w:p>
      <w:pPr>
        <w:pStyle w:val="Heading3"/>
        <w:spacing w:line="240" w:lineRule="auto" w:before="35"/>
        <w:ind w:right="125"/>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25"/>
        <w:jc w:val="left"/>
        <w:rPr>
          <w:b w:val="0"/>
          <w:bCs w:val="0"/>
        </w:rPr>
      </w:pP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85"/>
        <w:gridCol w:w="1441"/>
        <w:gridCol w:w="1112"/>
        <w:gridCol w:w="1441"/>
        <w:gridCol w:w="1111"/>
        <w:gridCol w:w="893"/>
        <w:gridCol w:w="1879"/>
        <w:gridCol w:w="1003"/>
      </w:tblGrid>
      <w:tr>
        <w:trPr>
          <w:trHeight w:val="402" w:hRule="exact"/>
        </w:trPr>
        <w:tc>
          <w:tcPr>
            <w:tcW w:w="9666"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4" w:hRule="exact"/>
        </w:trPr>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6" w:right="26" w:hanging="180"/>
              <w:jc w:val="left"/>
              <w:rPr>
                <w:rFonts w:ascii="宋体" w:hAnsi="宋体" w:cs="宋体" w:eastAsia="宋体" w:hint="default"/>
                <w:sz w:val="18"/>
                <w:szCs w:val="18"/>
              </w:rPr>
            </w:pPr>
            <w:r>
              <w:rPr>
                <w:rFonts w:ascii="宋体" w:hAnsi="宋体" w:cs="宋体" w:eastAsia="宋体" w:hint="default"/>
                <w:sz w:val="18"/>
                <w:szCs w:val="18"/>
              </w:rPr>
              <w:t>独立董事 姓名</w:t>
            </w:r>
          </w:p>
        </w:tc>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5" w:right="84"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1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90" w:right="101"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5" w:right="84" w:hanging="180"/>
              <w:jc w:val="left"/>
              <w:rPr>
                <w:rFonts w:ascii="宋体" w:hAnsi="宋体" w:cs="宋体" w:eastAsia="宋体" w:hint="default"/>
                <w:sz w:val="18"/>
                <w:szCs w:val="18"/>
              </w:rPr>
            </w:pPr>
            <w:r>
              <w:rPr>
                <w:rFonts w:ascii="宋体" w:hAnsi="宋体" w:cs="宋体" w:eastAsia="宋体" w:hint="default"/>
                <w:sz w:val="18"/>
                <w:szCs w:val="18"/>
              </w:rPr>
              <w:t>以通讯方式参加 董事会次数</w:t>
            </w:r>
          </w:p>
        </w:tc>
        <w:tc>
          <w:tcPr>
            <w:tcW w:w="1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90" w:right="98"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8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1" w:right="79" w:hanging="90"/>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8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4" w:right="32" w:hanging="360"/>
              <w:jc w:val="left"/>
              <w:rPr>
                <w:rFonts w:ascii="宋体" w:hAnsi="宋体" w:cs="宋体" w:eastAsia="宋体" w:hint="default"/>
                <w:sz w:val="18"/>
                <w:szCs w:val="18"/>
              </w:rPr>
            </w:pPr>
            <w:r>
              <w:rPr>
                <w:rFonts w:ascii="宋体" w:hAnsi="宋体" w:cs="宋体" w:eastAsia="宋体" w:hint="default"/>
                <w:sz w:val="18"/>
                <w:szCs w:val="18"/>
              </w:rPr>
              <w:t>是否连续两次未亲自参 加董事会会议</w:t>
            </w:r>
          </w:p>
        </w:tc>
        <w:tc>
          <w:tcPr>
            <w:tcW w:w="10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5" w:right="47"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7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7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7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r>
    </w:tbl>
    <w:p>
      <w:pPr>
        <w:pStyle w:val="BodyText"/>
        <w:spacing w:line="240" w:lineRule="auto" w:before="51"/>
        <w:ind w:right="125"/>
        <w:jc w:val="left"/>
      </w:pPr>
      <w:r>
        <w:rPr/>
        <w:t>连续两次未亲自出席董事会的说明：不适用</w:t>
      </w:r>
    </w:p>
    <w:p>
      <w:pPr>
        <w:spacing w:line="240" w:lineRule="auto" w:before="11"/>
        <w:rPr>
          <w:rFonts w:ascii="宋体" w:hAnsi="宋体" w:cs="宋体" w:eastAsia="宋体" w:hint="default"/>
          <w:sz w:val="26"/>
          <w:szCs w:val="26"/>
        </w:rPr>
      </w:pPr>
    </w:p>
    <w:p>
      <w:pPr>
        <w:pStyle w:val="Heading3"/>
        <w:spacing w:line="240" w:lineRule="auto"/>
        <w:ind w:right="125"/>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
        <w:jc w:val="left"/>
      </w:pPr>
      <w:r>
        <w:rPr/>
        <w:t>独立董事对公司有关事项是否提出异议</w:t>
      </w:r>
    </w:p>
    <w:p>
      <w:pPr>
        <w:pStyle w:val="BodyText"/>
        <w:spacing w:line="338" w:lineRule="auto" w:before="117"/>
        <w:ind w:right="60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right="125"/>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
        <w:jc w:val="left"/>
      </w:pPr>
      <w:r>
        <w:rPr/>
        <w:t>独立董事对公司有关建议是否被采纳</w:t>
      </w:r>
    </w:p>
    <w:p>
      <w:pPr>
        <w:pStyle w:val="BodyText"/>
        <w:spacing w:line="348" w:lineRule="auto" w:before="116"/>
        <w:ind w:right="58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 独立董事对公司有关建议均已被采纳。</w:t>
      </w:r>
    </w:p>
    <w:p>
      <w:pPr>
        <w:spacing w:line="240" w:lineRule="auto" w:before="13"/>
        <w:rPr>
          <w:rFonts w:ascii="宋体" w:hAnsi="宋体" w:cs="宋体" w:eastAsia="宋体" w:hint="default"/>
          <w:sz w:val="18"/>
          <w:szCs w:val="18"/>
        </w:rPr>
      </w:pPr>
    </w:p>
    <w:p>
      <w:pPr>
        <w:pStyle w:val="Heading2"/>
        <w:spacing w:line="240" w:lineRule="auto"/>
        <w:ind w:right="125"/>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88" w:firstLine="560"/>
        <w:jc w:val="both"/>
      </w:pPr>
      <w:r>
        <w:rPr>
          <w:rFonts w:ascii="Times New Roman" w:hAnsi="Times New Roman" w:cs="Times New Roman" w:eastAsia="Times New Roman" w:hint="default"/>
          <w:spacing w:val="-1"/>
        </w:rPr>
        <w:t>1</w:t>
      </w:r>
      <w:r>
        <w:rPr>
          <w:spacing w:val="-1"/>
        </w:rPr>
        <w:t>、报告期内，公司董事会下设战略与投资委员会根据《公司法》、《上市公司治理准则》等相关法律、法规、规范</w:t>
      </w:r>
      <w:r>
        <w:rPr/>
        <w:t> </w:t>
      </w:r>
      <w:r>
        <w:rPr>
          <w:spacing w:val="-2"/>
        </w:rPr>
        <w:t>性文件及《公司章程》、《战略与投资委员会工作细则》的要求，主要负责对公司长期发展战略和重大投资决策进行研究并</w:t>
      </w:r>
      <w:r>
        <w:rPr>
          <w:spacing w:val="-67"/>
        </w:rPr>
        <w:t> </w:t>
      </w:r>
      <w:r>
        <w:rPr>
          <w:spacing w:val="-67"/>
        </w:rPr>
      </w:r>
      <w:r>
        <w:rPr/>
        <w:t>提出建议。报告期内，战略与投资委员会共召开</w:t>
      </w:r>
      <w:r>
        <w:rPr>
          <w:rFonts w:ascii="Times New Roman" w:hAnsi="Times New Roman" w:cs="Times New Roman" w:eastAsia="Times New Roman" w:hint="default"/>
        </w:rPr>
        <w:t>4</w:t>
      </w:r>
      <w:r>
        <w:rPr/>
        <w:t>次会议，具体如下：</w:t>
      </w:r>
    </w:p>
    <w:p>
      <w:pPr>
        <w:pStyle w:val="BodyText"/>
        <w:spacing w:line="300" w:lineRule="auto" w:before="5"/>
        <w:ind w:right="101" w:firstLine="560"/>
        <w:jc w:val="both"/>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18</w:t>
      </w:r>
      <w:r>
        <w:rPr>
          <w:spacing w:val="-4"/>
        </w:rPr>
        <w:t>日，战略与投资委员会召开</w:t>
      </w:r>
      <w:r>
        <w:rPr>
          <w:rFonts w:ascii="Times New Roman" w:hAnsi="Times New Roman" w:cs="Times New Roman" w:eastAsia="Times New Roman" w:hint="default"/>
          <w:spacing w:val="-4"/>
        </w:rPr>
        <w:t>2017</w:t>
      </w:r>
      <w:r>
        <w:rPr>
          <w:spacing w:val="-4"/>
        </w:rPr>
        <w:t>年第一次会议，审议：《关于转让参股公司股权暨关联交易的议案》，</w:t>
      </w:r>
      <w:r>
        <w:rPr/>
        <w:t> 并出具了同意的审核意见。</w:t>
      </w:r>
    </w:p>
    <w:p>
      <w:pPr>
        <w:pStyle w:val="BodyText"/>
        <w:spacing w:line="300" w:lineRule="auto" w:before="31"/>
        <w:ind w:left="153" w:right="188" w:firstLine="56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5</w:t>
      </w:r>
      <w:r>
        <w:rPr>
          <w:spacing w:val="-1"/>
        </w:rPr>
        <w:t>日，战略与投资委员会召开</w:t>
      </w:r>
      <w:r>
        <w:rPr>
          <w:rFonts w:ascii="Times New Roman" w:hAnsi="Times New Roman" w:cs="Times New Roman" w:eastAsia="Times New Roman" w:hint="default"/>
          <w:spacing w:val="-1"/>
        </w:rPr>
        <w:t>2017</w:t>
      </w:r>
      <w:r>
        <w:rPr>
          <w:spacing w:val="-1"/>
        </w:rPr>
        <w:t>年第二次会议，审议：《关于公司子公司对外投资的议案》，并出具</w:t>
      </w:r>
      <w:r>
        <w:rPr/>
        <w:t> 了同意的审核意见。</w:t>
      </w:r>
    </w:p>
    <w:p>
      <w:pPr>
        <w:pStyle w:val="BodyText"/>
        <w:spacing w:line="300" w:lineRule="auto" w:before="31"/>
        <w:ind w:left="153" w:right="191" w:firstLine="5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日，战略与投资委员会召开</w:t>
      </w:r>
      <w:r>
        <w:rPr>
          <w:rFonts w:ascii="Times New Roman" w:hAnsi="Times New Roman" w:cs="Times New Roman" w:eastAsia="Times New Roman" w:hint="default"/>
        </w:rPr>
        <w:t>2017</w:t>
      </w:r>
      <w:r>
        <w:rPr/>
        <w:t>年第三次会议，审议：《关于设立华媒中南投资管理有限公司的议</w:t>
      </w:r>
      <w:r>
        <w:rPr>
          <w:spacing w:val="1"/>
        </w:rPr>
        <w:t> </w:t>
      </w:r>
      <w:r>
        <w:rPr/>
        <w:t>案》、《关于设立华媒教育科技有限公司的议案》，并出具了同意的审核意见。</w:t>
      </w:r>
    </w:p>
    <w:p>
      <w:pPr>
        <w:spacing w:after="0" w:line="30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191" w:firstLine="560"/>
        <w:jc w:val="both"/>
      </w:pP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20</w:t>
      </w:r>
      <w:r>
        <w:rPr>
          <w:spacing w:val="-4"/>
        </w:rPr>
        <w:t>日，战略与投资委员会召开</w:t>
      </w:r>
      <w:r>
        <w:rPr>
          <w:rFonts w:ascii="Times New Roman" w:hAnsi="Times New Roman" w:cs="Times New Roman" w:eastAsia="Times New Roman" w:hint="default"/>
          <w:spacing w:val="-4"/>
        </w:rPr>
        <w:t>2017</w:t>
      </w:r>
      <w:r>
        <w:rPr>
          <w:spacing w:val="-4"/>
        </w:rPr>
        <w:t>年第四次会议，审议：《关于拟转让孙公司部分股权的议案》、《关</w:t>
      </w:r>
      <w:r>
        <w:rPr/>
        <w:t> 于收购浙江世文教育科技有限公司股权暨关联交易的议案》，并出具了同意的审核意见。</w:t>
      </w:r>
    </w:p>
    <w:p>
      <w:pPr>
        <w:pStyle w:val="BodyText"/>
        <w:spacing w:line="240" w:lineRule="auto" w:before="31"/>
        <w:ind w:left="527" w:right="147"/>
        <w:jc w:val="center"/>
      </w:pPr>
      <w:r>
        <w:rPr>
          <w:rFonts w:ascii="Times New Roman" w:hAnsi="Times New Roman" w:cs="Times New Roman" w:eastAsia="Times New Roman" w:hint="default"/>
        </w:rPr>
        <w:t>2</w:t>
      </w:r>
      <w:r>
        <w:rPr/>
        <w:t>、报告期内，公司董事会下设审计委员会根据《公司法》、《上市公司治理准则》等相关法律、法规、规范性文件及</w:t>
      </w:r>
    </w:p>
    <w:p>
      <w:pPr>
        <w:pStyle w:val="BodyText"/>
        <w:spacing w:line="316" w:lineRule="auto" w:before="63"/>
        <w:ind w:right="125"/>
        <w:jc w:val="left"/>
      </w:pPr>
      <w:r>
        <w:rPr>
          <w:spacing w:val="-2"/>
        </w:rPr>
        <w:t>《公司章程》、《审计委员会工作细则》的要求，主要负责公司内、外部审计、监督和核查工作。报告期内，审计委员会共</w:t>
      </w:r>
      <w:r>
        <w:rPr>
          <w:spacing w:val="-69"/>
        </w:rPr>
        <w:t> </w:t>
      </w:r>
      <w:r>
        <w:rPr>
          <w:spacing w:val="-69"/>
        </w:rPr>
      </w:r>
      <w:r>
        <w:rPr/>
        <w:t>召开</w:t>
      </w:r>
      <w:r>
        <w:rPr>
          <w:rFonts w:ascii="Times New Roman" w:hAnsi="Times New Roman" w:cs="Times New Roman" w:eastAsia="Times New Roman" w:hint="default"/>
        </w:rPr>
        <w:t>6</w:t>
      </w:r>
      <w:r>
        <w:rPr/>
        <w:t>次会议，具体如下：</w:t>
      </w:r>
    </w:p>
    <w:p>
      <w:pPr>
        <w:pStyle w:val="BodyText"/>
        <w:spacing w:line="300" w:lineRule="auto"/>
        <w:ind w:left="153" w:right="188" w:firstLine="560"/>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14</w:t>
      </w:r>
      <w:r>
        <w:rPr>
          <w:spacing w:val="-1"/>
        </w:rPr>
        <w:t>日，审计委员会召开</w:t>
      </w:r>
      <w:r>
        <w:rPr>
          <w:rFonts w:ascii="Times New Roman" w:hAnsi="Times New Roman" w:cs="Times New Roman" w:eastAsia="Times New Roman" w:hint="default"/>
          <w:spacing w:val="-1"/>
        </w:rPr>
        <w:t>2017</w:t>
      </w:r>
      <w:r>
        <w:rPr>
          <w:spacing w:val="-1"/>
        </w:rPr>
        <w:t>年第一次会议，审议：《</w:t>
      </w:r>
      <w:r>
        <w:rPr>
          <w:rFonts w:ascii="Times New Roman" w:hAnsi="Times New Roman" w:cs="Times New Roman" w:eastAsia="Times New Roman" w:hint="default"/>
          <w:spacing w:val="-1"/>
        </w:rPr>
        <w:t>2016</w:t>
      </w:r>
      <w:r>
        <w:rPr>
          <w:spacing w:val="-1"/>
        </w:rPr>
        <w:t>年度报告全文及其摘要》等共</w:t>
      </w:r>
      <w:r>
        <w:rPr>
          <w:rFonts w:ascii="Times New Roman" w:hAnsi="Times New Roman" w:cs="Times New Roman" w:eastAsia="Times New Roman" w:hint="default"/>
          <w:spacing w:val="-1"/>
        </w:rPr>
        <w:t>8</w:t>
      </w:r>
      <w:r>
        <w:rPr>
          <w:spacing w:val="-1"/>
        </w:rPr>
        <w:t>项议案，并出</w:t>
      </w:r>
      <w:r>
        <w:rPr/>
        <w:t> 具了同意的审核意见。</w:t>
      </w:r>
    </w:p>
    <w:p>
      <w:pPr>
        <w:pStyle w:val="BodyText"/>
        <w:spacing w:line="300" w:lineRule="auto" w:before="31"/>
        <w:ind w:left="153" w:right="178" w:firstLine="5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日，审计委员会召开</w:t>
      </w:r>
      <w:r>
        <w:rPr>
          <w:rFonts w:ascii="Times New Roman" w:hAnsi="Times New Roman" w:cs="Times New Roman" w:eastAsia="Times New Roman" w:hint="default"/>
        </w:rPr>
        <w:t>2017</w:t>
      </w:r>
      <w:r>
        <w:rPr/>
        <w:t>年第二次会议，审议：《</w:t>
      </w:r>
      <w:r>
        <w:rPr>
          <w:rFonts w:ascii="Times New Roman" w:hAnsi="Times New Roman" w:cs="Times New Roman" w:eastAsia="Times New Roman" w:hint="default"/>
        </w:rPr>
        <w:t>2017</w:t>
      </w:r>
      <w:r>
        <w:rPr/>
        <w:t>年第一季度报告全文及其摘要》共</w:t>
      </w:r>
      <w:r>
        <w:rPr>
          <w:rFonts w:ascii="Times New Roman" w:hAnsi="Times New Roman" w:cs="Times New Roman" w:eastAsia="Times New Roman" w:hint="default"/>
        </w:rPr>
        <w:t>1</w:t>
      </w:r>
      <w:r>
        <w:rPr/>
        <w:t>项议案， 并出具了同意的审核意见。</w:t>
      </w:r>
    </w:p>
    <w:p>
      <w:pPr>
        <w:pStyle w:val="BodyText"/>
        <w:spacing w:line="300" w:lineRule="auto" w:before="31"/>
        <w:ind w:left="153" w:right="98" w:firstLine="5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日，审计委员会召开</w:t>
      </w:r>
      <w:r>
        <w:rPr>
          <w:rFonts w:ascii="Times New Roman" w:hAnsi="Times New Roman" w:cs="Times New Roman" w:eastAsia="Times New Roman" w:hint="default"/>
          <w:spacing w:val="-2"/>
        </w:rPr>
        <w:t>2017</w:t>
      </w:r>
      <w:r>
        <w:rPr>
          <w:spacing w:val="-2"/>
        </w:rPr>
        <w:t>年第三次会议，审议：《关于聘请</w:t>
      </w:r>
      <w:r>
        <w:rPr>
          <w:rFonts w:ascii="Times New Roman" w:hAnsi="Times New Roman" w:cs="Times New Roman" w:eastAsia="Times New Roman" w:hint="default"/>
          <w:spacing w:val="-2"/>
        </w:rPr>
        <w:t>2017</w:t>
      </w:r>
      <w:r>
        <w:rPr>
          <w:spacing w:val="-2"/>
        </w:rPr>
        <w:t>年度审计机构的议案》等共</w:t>
      </w:r>
      <w:r>
        <w:rPr>
          <w:rFonts w:ascii="Times New Roman" w:hAnsi="Times New Roman" w:cs="Times New Roman" w:eastAsia="Times New Roman" w:hint="default"/>
          <w:spacing w:val="-2"/>
        </w:rPr>
        <w:t>2</w:t>
      </w:r>
      <w:r>
        <w:rPr>
          <w:spacing w:val="-2"/>
        </w:rPr>
        <w:t>项议案，</w:t>
      </w:r>
      <w:r>
        <w:rPr/>
        <w:t> 并出具了同意的审核意见。</w:t>
      </w:r>
    </w:p>
    <w:p>
      <w:pPr>
        <w:pStyle w:val="BodyText"/>
        <w:spacing w:line="240" w:lineRule="auto" w:before="31"/>
        <w:ind w:left="714" w:right="125"/>
        <w:jc w:val="left"/>
        <w:rPr>
          <w:rFonts w:ascii="Times New Roman" w:hAnsi="Times New Roman" w:cs="Times New Roman" w:eastAsia="Times New Roman" w:hint="default"/>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日，审计委员会召开</w:t>
      </w:r>
      <w:r>
        <w:rPr>
          <w:rFonts w:ascii="Times New Roman" w:hAnsi="Times New Roman" w:cs="Times New Roman" w:eastAsia="Times New Roman" w:hint="default"/>
        </w:rPr>
        <w:t>2017</w:t>
      </w:r>
      <w:r>
        <w:rPr/>
        <w:t>年第四次会议，审议：《关于对公司子公司中教未来提供担保的议案》共</w:t>
      </w:r>
      <w:r>
        <w:rPr>
          <w:rFonts w:ascii="Times New Roman" w:hAnsi="Times New Roman" w:cs="Times New Roman" w:eastAsia="Times New Roman" w:hint="default"/>
        </w:rPr>
        <w:t>1</w:t>
      </w:r>
    </w:p>
    <w:p>
      <w:pPr>
        <w:pStyle w:val="BodyText"/>
        <w:spacing w:line="240" w:lineRule="auto" w:before="63"/>
        <w:ind w:left="153" w:right="125"/>
        <w:jc w:val="left"/>
      </w:pPr>
      <w:r>
        <w:rPr/>
        <w:t>项议案，并出具了同意的审核意见。</w:t>
      </w:r>
    </w:p>
    <w:p>
      <w:pPr>
        <w:pStyle w:val="BodyText"/>
        <w:spacing w:line="300" w:lineRule="auto" w:before="76"/>
        <w:ind w:left="153" w:right="178" w:firstLine="56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日，审计委员会召开</w:t>
      </w:r>
      <w:r>
        <w:rPr>
          <w:rFonts w:ascii="Times New Roman" w:hAnsi="Times New Roman" w:cs="Times New Roman" w:eastAsia="Times New Roman" w:hint="default"/>
        </w:rPr>
        <w:t>2017</w:t>
      </w:r>
      <w:r>
        <w:rPr/>
        <w:t>年第五次会议，审议：《</w:t>
      </w:r>
      <w:r>
        <w:rPr>
          <w:rFonts w:ascii="Times New Roman" w:hAnsi="Times New Roman" w:cs="Times New Roman" w:eastAsia="Times New Roman" w:hint="default"/>
        </w:rPr>
        <w:t>2017</w:t>
      </w:r>
      <w:r>
        <w:rPr/>
        <w:t>年半年度报告全文及其摘要》等共</w:t>
      </w:r>
      <w:r>
        <w:rPr>
          <w:rFonts w:ascii="Times New Roman" w:hAnsi="Times New Roman" w:cs="Times New Roman" w:eastAsia="Times New Roman" w:hint="default"/>
        </w:rPr>
        <w:t>2</w:t>
      </w:r>
      <w:r>
        <w:rPr/>
        <w:t>项议案， 并出具了同意的审核意见。</w:t>
      </w:r>
    </w:p>
    <w:p>
      <w:pPr>
        <w:pStyle w:val="BodyText"/>
        <w:spacing w:line="300" w:lineRule="auto" w:before="31"/>
        <w:ind w:left="153" w:right="191" w:firstLine="560"/>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日，审计委员会召开</w:t>
      </w:r>
      <w:r>
        <w:rPr>
          <w:rFonts w:ascii="Times New Roman" w:hAnsi="Times New Roman" w:cs="Times New Roman" w:eastAsia="Times New Roman" w:hint="default"/>
        </w:rPr>
        <w:t>2017</w:t>
      </w:r>
      <w:r>
        <w:rPr/>
        <w:t>年第六次会议，审议：《</w:t>
      </w:r>
      <w:r>
        <w:rPr>
          <w:rFonts w:ascii="Times New Roman" w:hAnsi="Times New Roman" w:cs="Times New Roman" w:eastAsia="Times New Roman" w:hint="default"/>
        </w:rPr>
        <w:t>2017</w:t>
      </w:r>
      <w:r>
        <w:rPr/>
        <w:t>年第三季度报告全文及其摘要》等共</w:t>
      </w:r>
      <w:r>
        <w:rPr>
          <w:rFonts w:ascii="Times New Roman" w:hAnsi="Times New Roman" w:cs="Times New Roman" w:eastAsia="Times New Roman" w:hint="default"/>
        </w:rPr>
        <w:t>2</w:t>
      </w:r>
      <w:r>
        <w:rPr/>
        <w:t>项议</w:t>
      </w:r>
      <w:r>
        <w:rPr>
          <w:spacing w:val="1"/>
        </w:rPr>
        <w:t> </w:t>
      </w:r>
      <w:r>
        <w:rPr/>
        <w:t>案，并出具了同意的审核意见。</w:t>
      </w:r>
    </w:p>
    <w:p>
      <w:pPr>
        <w:pStyle w:val="BodyText"/>
        <w:spacing w:line="309" w:lineRule="auto" w:before="31"/>
        <w:ind w:left="153" w:right="188" w:firstLine="560"/>
        <w:jc w:val="both"/>
      </w:pPr>
      <w:r>
        <w:rPr>
          <w:rFonts w:ascii="Times New Roman" w:hAnsi="Times New Roman" w:cs="Times New Roman" w:eastAsia="Times New Roman" w:hint="default"/>
          <w:spacing w:val="-1"/>
        </w:rPr>
        <w:t>3</w:t>
      </w:r>
      <w:r>
        <w:rPr>
          <w:spacing w:val="-1"/>
        </w:rPr>
        <w:t>、报告期内，公司董事会下设提名委员会根据《公司法》、《上市公司治理准则》等相关法律、法规、规范性文件</w:t>
      </w:r>
      <w:r>
        <w:rPr/>
        <w:t> </w:t>
      </w:r>
      <w:r>
        <w:rPr>
          <w:spacing w:val="-2"/>
        </w:rPr>
        <w:t>及《公司章程》、《提名委员会工作细则》的要求，主要负责对公司董事、高级管理人员的人选、选择标准等进行审查并提</w:t>
      </w:r>
      <w:r>
        <w:rPr>
          <w:spacing w:val="-67"/>
        </w:rPr>
        <w:t> </w:t>
      </w:r>
      <w:r>
        <w:rPr>
          <w:spacing w:val="-67"/>
        </w:rPr>
      </w:r>
      <w:r>
        <w:rPr/>
        <w:t>出建议。报告期内，提名委员会共计召开</w:t>
      </w:r>
      <w:r>
        <w:rPr>
          <w:rFonts w:ascii="Times New Roman" w:hAnsi="Times New Roman" w:cs="Times New Roman" w:eastAsia="Times New Roman" w:hint="default"/>
        </w:rPr>
        <w:t>2</w:t>
      </w:r>
      <w:r>
        <w:rPr/>
        <w:t>次会议，具体如下：</w:t>
      </w:r>
    </w:p>
    <w:p>
      <w:pPr>
        <w:pStyle w:val="BodyText"/>
        <w:spacing w:line="300" w:lineRule="auto" w:before="5"/>
        <w:ind w:left="153" w:right="191" w:firstLine="5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日，提名委员会召开</w:t>
      </w:r>
      <w:r>
        <w:rPr>
          <w:rFonts w:ascii="Times New Roman" w:hAnsi="Times New Roman" w:cs="Times New Roman" w:eastAsia="Times New Roman" w:hint="default"/>
        </w:rPr>
        <w:t>2017</w:t>
      </w:r>
      <w:r>
        <w:rPr/>
        <w:t>年第一次会议，审议：《关于提名董悦先生为公司非独立董事候选人的议 案》，并出具了同意的核查意见。</w:t>
      </w:r>
    </w:p>
    <w:p>
      <w:pPr>
        <w:pStyle w:val="BodyText"/>
        <w:spacing w:line="300" w:lineRule="auto" w:before="31"/>
        <w:ind w:left="153" w:right="188" w:firstLine="5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rFonts w:ascii="Times New Roman" w:hAnsi="Times New Roman" w:cs="Times New Roman" w:eastAsia="Times New Roman" w:hint="default"/>
          <w:spacing w:val="31"/>
        </w:rPr>
        <w:t> </w:t>
      </w:r>
      <w:r>
        <w:rPr/>
        <w:t>日，提名委员会召开</w:t>
      </w:r>
      <w:r>
        <w:rPr>
          <w:rFonts w:ascii="Times New Roman" w:hAnsi="Times New Roman" w:cs="Times New Roman" w:eastAsia="Times New Roman" w:hint="default"/>
        </w:rPr>
        <w:t>2017</w:t>
      </w:r>
      <w:r>
        <w:rPr/>
        <w:t>年第二次会议，审议：《关于提名沈旭微先生为公司非职工代表监事候选 人的议案》，并出具了同意的核查意见。</w:t>
      </w:r>
    </w:p>
    <w:p>
      <w:pPr>
        <w:pStyle w:val="BodyText"/>
        <w:spacing w:line="307" w:lineRule="auto" w:before="31"/>
        <w:ind w:left="153" w:right="188" w:firstLine="560"/>
        <w:jc w:val="both"/>
      </w:pPr>
      <w:r>
        <w:rPr>
          <w:rFonts w:ascii="Times New Roman" w:hAnsi="Times New Roman" w:cs="Times New Roman" w:eastAsia="Times New Roman" w:hint="default"/>
          <w:spacing w:val="-1"/>
        </w:rPr>
        <w:t>4</w:t>
      </w:r>
      <w:r>
        <w:rPr>
          <w:spacing w:val="-1"/>
        </w:rPr>
        <w:t>、报告期内，公司董事会下设薪酬与考核委员会根据《公司法》、《上市公司治理准则》等相关法律、法规、规范</w:t>
      </w:r>
      <w:r>
        <w:rPr/>
        <w:t> </w:t>
      </w:r>
      <w:r>
        <w:rPr>
          <w:spacing w:val="-2"/>
        </w:rPr>
        <w:t>性文件及《公司章程》、《薪酬与考核委员会工作细则》的要求，主要负责制定公司董事及高级管理人员的考核标准并进行</w:t>
      </w:r>
      <w:r>
        <w:rPr>
          <w:spacing w:val="-67"/>
        </w:rPr>
        <w:t> </w:t>
      </w:r>
      <w:r>
        <w:rPr>
          <w:spacing w:val="-67"/>
        </w:rPr>
      </w:r>
      <w:r>
        <w:rPr/>
        <w:t>考核，负责制定、审查公司董事及高级管理人员的薪酬政策与方案。报告期内，薪酬与考核委员会共计召开</w:t>
      </w:r>
      <w:r>
        <w:rPr>
          <w:rFonts w:ascii="Times New Roman" w:hAnsi="Times New Roman" w:cs="Times New Roman" w:eastAsia="Times New Roman" w:hint="default"/>
        </w:rPr>
        <w:t>1</w:t>
      </w:r>
      <w:r>
        <w:rPr/>
        <w:t>次会议，具体</w:t>
      </w:r>
      <w:r>
        <w:rPr>
          <w:spacing w:val="-84"/>
        </w:rPr>
        <w:t> </w:t>
      </w:r>
      <w:r>
        <w:rPr>
          <w:spacing w:val="-84"/>
        </w:rPr>
      </w:r>
      <w:r>
        <w:rPr/>
        <w:t>如下：</w:t>
      </w:r>
    </w:p>
    <w:p>
      <w:pPr>
        <w:pStyle w:val="BodyText"/>
        <w:spacing w:line="300" w:lineRule="auto" w:before="26"/>
        <w:ind w:left="153" w:right="191" w:firstLine="56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22</w:t>
      </w:r>
      <w:r>
        <w:rPr>
          <w:spacing w:val="-1"/>
        </w:rPr>
        <w:t>日，薪酬与考核委员会召开</w:t>
      </w:r>
      <w:r>
        <w:rPr>
          <w:rFonts w:ascii="Times New Roman" w:hAnsi="Times New Roman" w:cs="Times New Roman" w:eastAsia="Times New Roman" w:hint="default"/>
          <w:spacing w:val="-1"/>
        </w:rPr>
        <w:t>2017</w:t>
      </w:r>
      <w:r>
        <w:rPr>
          <w:spacing w:val="-1"/>
        </w:rPr>
        <w:t>年第一次会议，审议：《</w:t>
      </w:r>
      <w:r>
        <w:rPr>
          <w:rFonts w:ascii="Times New Roman" w:hAnsi="Times New Roman" w:cs="Times New Roman" w:eastAsia="Times New Roman" w:hint="default"/>
          <w:spacing w:val="-1"/>
        </w:rPr>
        <w:t>2016</w:t>
      </w:r>
      <w:r>
        <w:rPr>
          <w:spacing w:val="-1"/>
        </w:rPr>
        <w:t>年度高管薪酬分配方案》及《</w:t>
      </w:r>
      <w:r>
        <w:rPr>
          <w:rFonts w:ascii="Times New Roman" w:hAnsi="Times New Roman" w:cs="Times New Roman" w:eastAsia="Times New Roman" w:hint="default"/>
          <w:spacing w:val="-1"/>
        </w:rPr>
        <w:t>2017</w:t>
      </w:r>
      <w:r>
        <w:rPr>
          <w:spacing w:val="-1"/>
        </w:rPr>
        <w:t>年度高</w:t>
      </w:r>
      <w:r>
        <w:rPr/>
        <w:t> 管薪酬与考核方案》，并出具了同意的核查意见。</w:t>
      </w:r>
    </w:p>
    <w:p>
      <w:pPr>
        <w:pStyle w:val="BodyText"/>
        <w:spacing w:line="312" w:lineRule="auto" w:before="31"/>
        <w:ind w:left="153" w:right="188" w:firstLine="560"/>
        <w:jc w:val="both"/>
      </w:pPr>
      <w:r>
        <w:rPr>
          <w:rFonts w:ascii="Times New Roman" w:hAnsi="Times New Roman" w:cs="Times New Roman" w:eastAsia="Times New Roman" w:hint="default"/>
          <w:spacing w:val="-1"/>
        </w:rPr>
        <w:t>5</w:t>
      </w:r>
      <w:r>
        <w:rPr>
          <w:spacing w:val="-1"/>
        </w:rPr>
        <w:t>、报告期内，公司董事会下设关联交易控制委员会根据《公司法》、《上市公司治理准则》等相关法律、法规、规</w:t>
      </w:r>
      <w:r>
        <w:rPr/>
        <w:t> </w:t>
      </w:r>
      <w:r>
        <w:rPr>
          <w:spacing w:val="-2"/>
        </w:rPr>
        <w:t>范性文件及《公司章程》、《关联交易控制委员会工作细则》的要求，主要负责对公司须提交董事会或股东大会审议的关联</w:t>
      </w:r>
      <w:r>
        <w:rPr>
          <w:spacing w:val="-68"/>
        </w:rPr>
        <w:t> </w:t>
      </w:r>
      <w:r>
        <w:rPr>
          <w:spacing w:val="-68"/>
        </w:rPr>
      </w:r>
      <w:r>
        <w:rPr>
          <w:spacing w:val="-2"/>
        </w:rPr>
        <w:t>交易事项的客观性、公允性及合理性进行审核，并对经董事会或股东大会审议批准的关联交易的执行情况进行监督管理。报</w:t>
      </w:r>
      <w:r>
        <w:rPr>
          <w:spacing w:val="-66"/>
        </w:rPr>
        <w:t> </w:t>
      </w:r>
      <w:r>
        <w:rPr>
          <w:spacing w:val="-66"/>
        </w:rPr>
      </w:r>
      <w:r>
        <w:rPr/>
        <w:t>告期内，关联交易控制委员会共计召开</w:t>
      </w:r>
      <w:r>
        <w:rPr>
          <w:rFonts w:ascii="Times New Roman" w:hAnsi="Times New Roman" w:cs="Times New Roman" w:eastAsia="Times New Roman" w:hint="default"/>
        </w:rPr>
        <w:t>5</w:t>
      </w:r>
      <w:r>
        <w:rPr/>
        <w:t>次会议，具体如下：</w:t>
      </w:r>
    </w:p>
    <w:p>
      <w:pPr>
        <w:pStyle w:val="BodyText"/>
        <w:spacing w:line="240" w:lineRule="auto" w:before="3"/>
        <w:ind w:left="714" w:right="125"/>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日，关联交易控制委员会召开</w:t>
      </w:r>
      <w:r>
        <w:rPr>
          <w:rFonts w:ascii="Times New Roman" w:hAnsi="Times New Roman" w:cs="Times New Roman" w:eastAsia="Times New Roman" w:hint="default"/>
        </w:rPr>
        <w:t>2017</w:t>
      </w:r>
      <w:r>
        <w:rPr/>
        <w:t>年第一次会议，审议：《关于</w:t>
      </w:r>
      <w:r>
        <w:rPr>
          <w:rFonts w:ascii="Times New Roman" w:hAnsi="Times New Roman" w:cs="Times New Roman" w:eastAsia="Times New Roman" w:hint="default"/>
        </w:rPr>
        <w:t>2016</w:t>
      </w:r>
      <w:r>
        <w:rPr/>
        <w:t>年度日常关联交易情况和</w:t>
      </w:r>
      <w:r>
        <w:rPr>
          <w:rFonts w:ascii="Times New Roman" w:hAnsi="Times New Roman" w:cs="Times New Roman" w:eastAsia="Times New Roman" w:hint="default"/>
        </w:rPr>
        <w:t>2017</w:t>
      </w:r>
    </w:p>
    <w:p>
      <w:pPr>
        <w:pStyle w:val="BodyText"/>
        <w:spacing w:line="240" w:lineRule="auto" w:before="63"/>
        <w:ind w:left="153" w:right="125"/>
        <w:jc w:val="left"/>
      </w:pPr>
      <w:r>
        <w:rPr/>
        <w:t>年度日常关联交易预计的议案》，并出具了同意的核查意见。</w:t>
      </w:r>
    </w:p>
    <w:p>
      <w:pPr>
        <w:pStyle w:val="BodyText"/>
        <w:spacing w:line="300" w:lineRule="auto" w:before="76"/>
        <w:ind w:right="191" w:firstLine="5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日，关联交易控制委员会召开</w:t>
      </w:r>
      <w:r>
        <w:rPr>
          <w:rFonts w:ascii="Times New Roman" w:hAnsi="Times New Roman" w:cs="Times New Roman" w:eastAsia="Times New Roman" w:hint="default"/>
        </w:rPr>
        <w:t>2017</w:t>
      </w:r>
      <w:r>
        <w:rPr/>
        <w:t>年第二次会议，审议：《关于转让参股公司股权暨关联交易的议 案》，并出具了同意的核查意见。</w:t>
      </w:r>
    </w:p>
    <w:p>
      <w:pPr>
        <w:pStyle w:val="BodyText"/>
        <w:spacing w:line="300" w:lineRule="auto" w:before="31"/>
        <w:ind w:right="191" w:firstLine="5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日，关联交易控制委员会召开</w:t>
      </w:r>
      <w:r>
        <w:rPr>
          <w:rFonts w:ascii="Times New Roman" w:hAnsi="Times New Roman" w:cs="Times New Roman" w:eastAsia="Times New Roman" w:hint="default"/>
        </w:rPr>
        <w:t>2017</w:t>
      </w:r>
      <w:r>
        <w:rPr/>
        <w:t>年第三次会议，审议：《关于对参股公司提供财务资助暨关联交 易的议案》，并出具了同意的核查意见。</w:t>
      </w:r>
    </w:p>
    <w:p>
      <w:pPr>
        <w:pStyle w:val="BodyText"/>
        <w:spacing w:line="300" w:lineRule="auto" w:before="31"/>
        <w:ind w:right="191" w:firstLine="56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日，关联交易控制委员会召开</w:t>
      </w:r>
      <w:r>
        <w:rPr>
          <w:rFonts w:ascii="Times New Roman" w:hAnsi="Times New Roman" w:cs="Times New Roman" w:eastAsia="Times New Roman" w:hint="default"/>
        </w:rPr>
        <w:t>2017</w:t>
      </w:r>
      <w:r>
        <w:rPr/>
        <w:t>年第四次会议，审议：《关于收购杭州萧山萧报教育咨询有限公 司暨关联交易的议案》，并出具了同意的核查意见。</w:t>
      </w:r>
    </w:p>
    <w:p>
      <w:pPr>
        <w:pStyle w:val="BodyText"/>
        <w:spacing w:line="300" w:lineRule="auto" w:before="31"/>
        <w:ind w:right="189" w:firstLine="560"/>
        <w:jc w:val="both"/>
      </w:pP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30</w:t>
      </w:r>
      <w:r>
        <w:rPr>
          <w:spacing w:val="-1"/>
        </w:rPr>
        <w:t>日，关联交易控制委员会召开</w:t>
      </w:r>
      <w:r>
        <w:rPr>
          <w:rFonts w:ascii="Times New Roman" w:hAnsi="Times New Roman" w:cs="Times New Roman" w:eastAsia="Times New Roman" w:hint="default"/>
          <w:spacing w:val="-1"/>
        </w:rPr>
        <w:t>2017</w:t>
      </w:r>
      <w:r>
        <w:rPr>
          <w:spacing w:val="-1"/>
        </w:rPr>
        <w:t>年第五次会议，审议：《关于收购浙江世文教育科技有限公司股</w:t>
      </w:r>
      <w:r>
        <w:rPr/>
        <w:t> 权暨关联交易的议案》，并出具了同意的核查意见。</w:t>
      </w:r>
    </w:p>
    <w:p>
      <w:pPr>
        <w:spacing w:after="0" w:line="300" w:lineRule="auto"/>
        <w:jc w:val="both"/>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125"/>
        <w:jc w:val="left"/>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5"/>
        <w:jc w:val="left"/>
      </w:pPr>
      <w:r>
        <w:rPr/>
        <w:t>监事会在报告期内的监督活动中发现公司是否存在风险</w:t>
      </w:r>
    </w:p>
    <w:p>
      <w:pPr>
        <w:pStyle w:val="BodyText"/>
        <w:spacing w:line="340" w:lineRule="auto" w:before="116"/>
        <w:ind w:right="67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125"/>
        <w:jc w:val="left"/>
        <w:rPr>
          <w:b w:val="0"/>
          <w:bCs w:val="0"/>
        </w:rPr>
      </w:pPr>
      <w:r>
        <w:rPr/>
        <w:t>八、高级管理人员的考评及激励情况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191"/>
        <w:jc w:val="left"/>
      </w:pPr>
      <w:r>
        <w:rPr/>
        <w:t>报告期内，公司对高级管理人员的业绩和履职情况进行年度考评，并根据考评结果决定本年度的薪酬。 公司目前尚未建立股权激励机制，公司将不断完善内部激励与约束机制，逐渐建立起短期激励与长期激励相结合的</w:t>
      </w:r>
      <w:r>
        <w:rPr>
          <w:rFonts w:ascii="Times New Roman" w:hAnsi="Times New Roman" w:cs="Times New Roman" w:eastAsia="Times New Roman" w:hint="default"/>
        </w:rPr>
        <w:t>“</w:t>
      </w:r>
      <w:r>
        <w:rPr/>
        <w:t>利</w:t>
      </w:r>
    </w:p>
    <w:p>
      <w:pPr>
        <w:pStyle w:val="BodyText"/>
        <w:spacing w:line="216" w:lineRule="exact"/>
        <w:ind w:right="125"/>
        <w:jc w:val="left"/>
      </w:pPr>
      <w:r>
        <w:rPr/>
        <w:t>益共享、风险共担</w:t>
      </w:r>
      <w:r>
        <w:rPr>
          <w:rFonts w:ascii="Times New Roman" w:hAnsi="Times New Roman" w:cs="Times New Roman" w:eastAsia="Times New Roman" w:hint="default"/>
        </w:rPr>
        <w:t>”</w:t>
      </w:r>
      <w:r>
        <w:rPr/>
        <w:t>的激励体系，推动管理层与公司、股东利益的紧密结合。</w:t>
      </w:r>
    </w:p>
    <w:p>
      <w:pPr>
        <w:spacing w:line="240" w:lineRule="auto" w:before="12"/>
        <w:rPr>
          <w:rFonts w:ascii="宋体" w:hAnsi="宋体" w:cs="宋体" w:eastAsia="宋体" w:hint="default"/>
          <w:sz w:val="23"/>
          <w:szCs w:val="23"/>
        </w:rPr>
      </w:pPr>
    </w:p>
    <w:p>
      <w:pPr>
        <w:pStyle w:val="Heading2"/>
        <w:spacing w:line="240" w:lineRule="auto"/>
        <w:ind w:right="125"/>
        <w:jc w:val="left"/>
        <w:rPr>
          <w:b w:val="0"/>
          <w:bCs w:val="0"/>
        </w:rPr>
      </w:pPr>
      <w:r>
        <w:rPr/>
        <w:t>九、内部控制情况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25"/>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125"/>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before="44"/>
        <w:ind w:left="0" w:right="101"/>
        <w:jc w:val="right"/>
      </w:pPr>
      <w:r>
        <w:rPr/>
        <w:pict>
          <v:shape style="position:absolute;margin-left:55.080002pt;margin-top:-132.427872pt;width:484.85pt;height:376.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16"/>
                    <w:gridCol w:w="3841"/>
                    <w:gridCol w:w="3125"/>
                  </w:tblGrid>
                  <w:tr>
                    <w:trPr>
                      <w:trHeight w:val="251" w:hRule="exact"/>
                    </w:trPr>
                    <w:tc>
                      <w:tcPr>
                        <w:tcW w:w="2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66" w:type="dxa"/>
                        <w:gridSpan w:val="2"/>
                        <w:tcBorders>
                          <w:top w:val="single" w:sz="4" w:space="0" w:color="000000"/>
                          <w:left w:val="single" w:sz="9" w:space="0" w:color="D3D3D3"/>
                          <w:bottom w:val="single" w:sz="4" w:space="0" w:color="000000"/>
                          <w:right w:val="single" w:sz="4" w:space="0" w:color="000000"/>
                        </w:tcBorders>
                      </w:tcPr>
                      <w:p>
                        <w:pPr>
                          <w:pStyle w:val="TableParagraph"/>
                          <w:spacing w:line="232"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50" w:hRule="exact"/>
                    </w:trPr>
                    <w:tc>
                      <w:tcPr>
                        <w:tcW w:w="2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66" w:type="dxa"/>
                        <w:gridSpan w:val="2"/>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31" w:lineRule="exact"/>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1">
                          <w:r>
                            <w:rPr>
                              <w:rFonts w:ascii="Times New Roman" w:hAnsi="Times New Roman" w:cs="Times New Roman" w:eastAsia="Times New Roman" w:hint="default"/>
                              <w:sz w:val="18"/>
                              <w:szCs w:val="18"/>
                            </w:rPr>
                            <w:t>http://www.cninfo.com.cn</w:t>
                          </w:r>
                        </w:hyperlink>
                      </w:p>
                    </w:tc>
                  </w:tr>
                  <w:tr>
                    <w:trPr>
                      <w:trHeight w:val="490" w:hRule="exact"/>
                    </w:trPr>
                    <w:tc>
                      <w:tcPr>
                        <w:tcW w:w="2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2" w:right="161"/>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 司合并财务报表资产总额的比例</w:t>
                        </w:r>
                      </w:p>
                    </w:tc>
                    <w:tc>
                      <w:tcPr>
                        <w:tcW w:w="6966"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144"/>
                          <w:ind w:right="9"/>
                          <w:jc w:val="right"/>
                          <w:rPr>
                            <w:rFonts w:ascii="Times New Roman" w:hAnsi="Times New Roman" w:cs="Times New Roman" w:eastAsia="Times New Roman" w:hint="default"/>
                            <w:sz w:val="18"/>
                            <w:szCs w:val="18"/>
                          </w:rPr>
                        </w:pPr>
                        <w:r>
                          <w:rPr>
                            <w:rFonts w:ascii="Times New Roman"/>
                            <w:sz w:val="18"/>
                          </w:rPr>
                          <w:t>99.20%</w:t>
                        </w:r>
                      </w:p>
                    </w:tc>
                  </w:tr>
                  <w:tr>
                    <w:trPr>
                      <w:trHeight w:val="491" w:hRule="exact"/>
                    </w:trPr>
                    <w:tc>
                      <w:tcPr>
                        <w:tcW w:w="2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22" w:right="161"/>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 司合并财务报表营业收入的比例</w:t>
                        </w:r>
                      </w:p>
                    </w:tc>
                    <w:tc>
                      <w:tcPr>
                        <w:tcW w:w="6966"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145"/>
                          <w:ind w:right="9"/>
                          <w:jc w:val="right"/>
                          <w:rPr>
                            <w:rFonts w:ascii="Times New Roman" w:hAnsi="Times New Roman" w:cs="Times New Roman" w:eastAsia="Times New Roman" w:hint="default"/>
                            <w:sz w:val="18"/>
                            <w:szCs w:val="18"/>
                          </w:rPr>
                        </w:pPr>
                        <w:r>
                          <w:rPr>
                            <w:rFonts w:ascii="Times New Roman"/>
                            <w:sz w:val="18"/>
                          </w:rPr>
                          <w:t>99.57%</w:t>
                        </w:r>
                      </w:p>
                    </w:tc>
                  </w:tr>
                  <w:tr>
                    <w:trPr>
                      <w:trHeight w:val="250" w:hRule="exact"/>
                    </w:trPr>
                    <w:tc>
                      <w:tcPr>
                        <w:tcW w:w="96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250" w:hRule="exact"/>
                    </w:trPr>
                    <w:tc>
                      <w:tcPr>
                        <w:tcW w:w="2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445" w:hRule="exact"/>
                    </w:trPr>
                    <w:tc>
                      <w:tcPr>
                        <w:tcW w:w="2716"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1" w:type="dxa"/>
                        <w:vMerge w:val="restart"/>
                        <w:tcBorders>
                          <w:top w:val="single" w:sz="4" w:space="0" w:color="000000"/>
                          <w:left w:val="single" w:sz="9" w:space="0" w:color="D3D3D3"/>
                          <w:right w:val="single" w:sz="4" w:space="0" w:color="000000"/>
                        </w:tcBorders>
                        <w:shd w:val="clear" w:color="auto" w:fill="C7EDCC"/>
                      </w:tcPr>
                      <w:p>
                        <w:pPr>
                          <w:pStyle w:val="TableParagraph"/>
                          <w:spacing w:line="240" w:lineRule="exact"/>
                          <w:ind w:left="21" w:right="20"/>
                          <w:jc w:val="left"/>
                          <w:rPr>
                            <w:rFonts w:ascii="宋体" w:hAnsi="宋体" w:cs="宋体" w:eastAsia="宋体" w:hint="default"/>
                            <w:sz w:val="18"/>
                            <w:szCs w:val="18"/>
                          </w:rPr>
                        </w:pPr>
                        <w:r>
                          <w:rPr>
                            <w:rFonts w:ascii="宋体" w:hAnsi="宋体" w:cs="宋体" w:eastAsia="宋体" w:hint="default"/>
                            <w:sz w:val="18"/>
                            <w:szCs w:val="18"/>
                          </w:rPr>
                          <w:t>重大缺陷：单独缺陷或连同其他缺陷导致不能及 时防止或发现并纠正财务报告中的重大错报。出 现下列情形的，认定为重大缺陷： </w:t>
                        </w:r>
                        <w:r>
                          <w:rPr>
                            <w:rFonts w:ascii="Times New Roman" w:hAnsi="Times New Roman" w:cs="Times New Roman" w:eastAsia="Times New Roman" w:hint="default"/>
                            <w:sz w:val="18"/>
                            <w:szCs w:val="18"/>
                          </w:rPr>
                          <w:t>(1)</w:t>
                        </w:r>
                        <w:r>
                          <w:rPr>
                            <w:rFonts w:ascii="宋体" w:hAnsi="宋体" w:cs="宋体" w:eastAsia="宋体" w:hint="default"/>
                            <w:sz w:val="18"/>
                            <w:szCs w:val="18"/>
                          </w:rPr>
                          <w:t>董事、监 </w:t>
                        </w:r>
                        <w:r>
                          <w:rPr>
                            <w:rFonts w:ascii="宋体" w:hAnsi="宋体" w:cs="宋体" w:eastAsia="宋体" w:hint="default"/>
                            <w:spacing w:val="-2"/>
                            <w:sz w:val="18"/>
                            <w:szCs w:val="18"/>
                          </w:rPr>
                          <w:t>事和高级管理人员舞弊；</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企业更正已公布的财</w:t>
                        </w:r>
                        <w:r>
                          <w:rPr>
                            <w:rFonts w:ascii="宋体" w:hAnsi="宋体" w:cs="宋体" w:eastAsia="宋体" w:hint="default"/>
                            <w:spacing w:val="-76"/>
                            <w:sz w:val="18"/>
                            <w:szCs w:val="18"/>
                          </w:rPr>
                          <w:t> </w:t>
                        </w:r>
                        <w:r>
                          <w:rPr>
                            <w:rFonts w:ascii="宋体" w:hAnsi="宋体" w:cs="宋体" w:eastAsia="宋体" w:hint="default"/>
                            <w:spacing w:val="-2"/>
                            <w:sz w:val="18"/>
                            <w:szCs w:val="18"/>
                          </w:rPr>
                          <w:t>务报告；</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外部审计披露的重大错报而不是由公</w:t>
                        </w:r>
                        <w:r>
                          <w:rPr>
                            <w:rFonts w:ascii="宋体" w:hAnsi="宋体" w:cs="宋体" w:eastAsia="宋体" w:hint="default"/>
                            <w:spacing w:val="-76"/>
                            <w:sz w:val="18"/>
                            <w:szCs w:val="18"/>
                          </w:rPr>
                          <w:t> </w:t>
                        </w:r>
                        <w:r>
                          <w:rPr>
                            <w:rFonts w:ascii="宋体" w:hAnsi="宋体" w:cs="宋体" w:eastAsia="宋体" w:hint="default"/>
                            <w:spacing w:val="-2"/>
                            <w:sz w:val="18"/>
                            <w:szCs w:val="18"/>
                          </w:rPr>
                          <w:t>司首先发现的；</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企业审计委员会和内部审计机</w:t>
                        </w:r>
                        <w:r>
                          <w:rPr>
                            <w:rFonts w:ascii="宋体" w:hAnsi="宋体" w:cs="宋体" w:eastAsia="宋体" w:hint="default"/>
                            <w:spacing w:val="-76"/>
                            <w:sz w:val="18"/>
                            <w:szCs w:val="18"/>
                          </w:rPr>
                          <w:t> </w:t>
                        </w:r>
                        <w:r>
                          <w:rPr>
                            <w:rFonts w:ascii="宋体" w:hAnsi="宋体" w:cs="宋体" w:eastAsia="宋体" w:hint="default"/>
                            <w:spacing w:val="-2"/>
                            <w:sz w:val="18"/>
                            <w:szCs w:val="18"/>
                          </w:rPr>
                          <w:t>构对内部控制的监督无效；</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已经发现并报告给</w:t>
                        </w:r>
                        <w:r>
                          <w:rPr>
                            <w:rFonts w:ascii="宋体" w:hAnsi="宋体" w:cs="宋体" w:eastAsia="宋体" w:hint="default"/>
                            <w:spacing w:val="-76"/>
                            <w:sz w:val="18"/>
                            <w:szCs w:val="18"/>
                          </w:rPr>
                          <w:t> </w:t>
                        </w:r>
                        <w:r>
                          <w:rPr>
                            <w:rFonts w:ascii="宋体" w:hAnsi="宋体" w:cs="宋体" w:eastAsia="宋体" w:hint="default"/>
                            <w:sz w:val="18"/>
                            <w:szCs w:val="18"/>
                          </w:rPr>
                          <w:t>管理层的重大内部控制缺陷在经过合理的时间 后，并未加以改正。重要缺陷：单独缺陷或连同 其他缺陷导致不能及时防止或发现并纠正财务 报告中虽然未达到和超过重要性水平，仍应引起</w:t>
                        </w:r>
                        <w:r>
                          <w:rPr>
                            <w:rFonts w:ascii="宋体" w:hAnsi="宋体" w:cs="宋体" w:eastAsia="宋体" w:hint="default"/>
                            <w:sz w:val="18"/>
                            <w:szCs w:val="18"/>
                          </w:rPr>
                          <w:t> 管理层重视的错报。一般缺陷：不构成重大缺陷 或重要缺陷的其他内部控制缺陷。</w:t>
                        </w:r>
                      </w:p>
                    </w:tc>
                    <w:tc>
                      <w:tcPr>
                        <w:tcW w:w="3125"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exact"/>
                          <w:ind w:left="22" w:right="32"/>
                          <w:jc w:val="left"/>
                          <w:rPr>
                            <w:rFonts w:ascii="宋体" w:hAnsi="宋体" w:cs="宋体" w:eastAsia="宋体" w:hint="default"/>
                            <w:sz w:val="18"/>
                            <w:szCs w:val="18"/>
                          </w:rPr>
                        </w:pPr>
                        <w:r>
                          <w:rPr>
                            <w:rFonts w:ascii="宋体" w:hAnsi="宋体" w:cs="宋体" w:eastAsia="宋体" w:hint="default"/>
                            <w:sz w:val="18"/>
                            <w:szCs w:val="18"/>
                          </w:rPr>
                          <w:t>出现以下情形的，认定为重大缺陷，其 他情形按影响程度分别确定为重要缺陷 或一般缺陷： （</w:t>
                        </w:r>
                        <w:r>
                          <w:rPr>
                            <w:rFonts w:ascii="Times New Roman" w:hAnsi="Times New Roman" w:cs="Times New Roman" w:eastAsia="Times New Roman" w:hint="default"/>
                            <w:sz w:val="18"/>
                            <w:szCs w:val="18"/>
                          </w:rPr>
                          <w:t>1</w:t>
                        </w:r>
                        <w:r>
                          <w:rPr>
                            <w:rFonts w:ascii="宋体" w:hAnsi="宋体" w:cs="宋体" w:eastAsia="宋体" w:hint="default"/>
                            <w:sz w:val="18"/>
                            <w:szCs w:val="18"/>
                          </w:rPr>
                          <w:t>）企业决策程序不科 </w:t>
                        </w:r>
                        <w:r>
                          <w:rPr>
                            <w:rFonts w:ascii="宋体" w:hAnsi="宋体" w:cs="宋体" w:eastAsia="宋体" w:hint="default"/>
                            <w:spacing w:val="-9"/>
                            <w:sz w:val="18"/>
                            <w:szCs w:val="18"/>
                          </w:rPr>
                          <w:t>学，如决策失误，导致并购不成功；（</w:t>
                        </w:r>
                        <w:r>
                          <w:rPr>
                            <w:rFonts w:ascii="Times New Roman" w:hAnsi="Times New Roman" w:cs="Times New Roman" w:eastAsia="Times New Roman" w:hint="default"/>
                            <w:spacing w:val="-9"/>
                            <w:sz w:val="18"/>
                            <w:szCs w:val="18"/>
                          </w:rPr>
                          <w:t>2</w:t>
                        </w:r>
                        <w:r>
                          <w:rPr>
                            <w:rFonts w:ascii="Times New Roman" w:hAnsi="Times New Roman" w:cs="Times New Roman" w:eastAsia="Times New Roman" w:hint="default"/>
                            <w:spacing w:val="-42"/>
                            <w:sz w:val="18"/>
                            <w:szCs w:val="18"/>
                          </w:rPr>
                          <w:t> </w:t>
                        </w:r>
                        <w:r>
                          <w:rPr>
                            <w:rFonts w:ascii="宋体" w:hAnsi="宋体" w:cs="宋体" w:eastAsia="宋体" w:hint="default"/>
                            <w:spacing w:val="-9"/>
                            <w:sz w:val="18"/>
                            <w:szCs w:val="18"/>
                          </w:rPr>
                          <w:t>违犯国家法律、法规，如环境污染；（</w:t>
                        </w:r>
                        <w:r>
                          <w:rPr>
                            <w:rFonts w:ascii="Times New Roman" w:hAnsi="Times New Roman" w:cs="Times New Roman" w:eastAsia="Times New Roman" w:hint="default"/>
                            <w:spacing w:val="-9"/>
                            <w:sz w:val="18"/>
                            <w:szCs w:val="18"/>
                          </w:rPr>
                          <w:t>3</w:t>
                        </w:r>
                        <w:r>
                          <w:rPr>
                            <w:rFonts w:ascii="Times New Roman" w:hAnsi="Times New Roman" w:cs="Times New Roman" w:eastAsia="Times New Roman" w:hint="default"/>
                            <w:spacing w:val="-42"/>
                            <w:sz w:val="18"/>
                            <w:szCs w:val="18"/>
                          </w:rPr>
                          <w:t> </w:t>
                        </w:r>
                        <w:r>
                          <w:rPr>
                            <w:rFonts w:ascii="宋体" w:hAnsi="宋体" w:cs="宋体" w:eastAsia="宋体" w:hint="default"/>
                            <w:spacing w:val="-5"/>
                            <w:sz w:val="18"/>
                            <w:szCs w:val="18"/>
                          </w:rPr>
                          <w:t>管理人员或技术人员纷纷流失；（</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）媒</w:t>
                        </w:r>
                        <w:r>
                          <w:rPr>
                            <w:rFonts w:ascii="宋体" w:hAnsi="宋体" w:cs="宋体" w:eastAsia="宋体" w:hint="default"/>
                            <w:sz w:val="18"/>
                            <w:szCs w:val="18"/>
                          </w:rPr>
                          <w:t> </w:t>
                        </w:r>
                        <w:r>
                          <w:rPr>
                            <w:rFonts w:ascii="宋体" w:hAnsi="宋体" w:cs="宋体" w:eastAsia="宋体" w:hint="default"/>
                            <w:spacing w:val="-5"/>
                            <w:sz w:val="18"/>
                            <w:szCs w:val="18"/>
                          </w:rPr>
                          <w:t>体负面新闻频现；（</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）内部控制评价的</w:t>
                        </w:r>
                        <w:r>
                          <w:rPr>
                            <w:rFonts w:ascii="宋体" w:hAnsi="宋体" w:cs="宋体" w:eastAsia="宋体" w:hint="default"/>
                            <w:sz w:val="18"/>
                            <w:szCs w:val="18"/>
                          </w:rPr>
                          <w:t> 结果特别是重大或重要缺陷未得到整 </w:t>
                        </w:r>
                        <w:r>
                          <w:rPr>
                            <w:rFonts w:ascii="宋体" w:hAnsi="宋体" w:cs="宋体" w:eastAsia="宋体" w:hint="default"/>
                            <w:spacing w:val="-5"/>
                            <w:sz w:val="18"/>
                            <w:szCs w:val="18"/>
                          </w:rPr>
                          <w:t>改；（</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）重要业务缺乏制度控制或制度</w:t>
                        </w:r>
                        <w:r>
                          <w:rPr>
                            <w:rFonts w:ascii="宋体" w:hAnsi="宋体" w:cs="宋体" w:eastAsia="宋体" w:hint="default"/>
                            <w:sz w:val="18"/>
                            <w:szCs w:val="18"/>
                          </w:rPr>
                          <w:t> </w:t>
                        </w:r>
                        <w:r>
                          <w:rPr>
                            <w:rFonts w:ascii="宋体" w:hAnsi="宋体" w:cs="宋体" w:eastAsia="宋体" w:hint="default"/>
                            <w:spacing w:val="-5"/>
                            <w:sz w:val="18"/>
                            <w:szCs w:val="18"/>
                          </w:rPr>
                          <w:t>系统性失效；（</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）并购重组失败，或新</w:t>
                        </w:r>
                        <w:r>
                          <w:rPr>
                            <w:rFonts w:ascii="宋体" w:hAnsi="宋体" w:cs="宋体" w:eastAsia="宋体" w:hint="default"/>
                            <w:sz w:val="18"/>
                            <w:szCs w:val="18"/>
                          </w:rPr>
                          <w:t> </w:t>
                        </w:r>
                        <w:r>
                          <w:rPr>
                            <w:rFonts w:ascii="宋体" w:hAnsi="宋体" w:cs="宋体" w:eastAsia="宋体" w:hint="default"/>
                            <w:spacing w:val="-5"/>
                            <w:sz w:val="18"/>
                            <w:szCs w:val="18"/>
                          </w:rPr>
                          <w:t>扩充下属单位经营难以为继；（</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）发生</w:t>
                        </w:r>
                        <w:r>
                          <w:rPr>
                            <w:rFonts w:ascii="宋体" w:hAnsi="宋体" w:cs="宋体" w:eastAsia="宋体" w:hint="default"/>
                            <w:sz w:val="18"/>
                            <w:szCs w:val="18"/>
                          </w:rPr>
                          <w:t> 重大负面事项，并对企业定期报告披露 造成负面影响。</w:t>
                        </w:r>
                      </w:p>
                    </w:tc>
                  </w:tr>
                  <w:tr>
                    <w:trPr>
                      <w:trHeight w:val="240" w:hRule="exact"/>
                    </w:trPr>
                    <w:tc>
                      <w:tcPr>
                        <w:tcW w:w="27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841" w:type="dxa"/>
                        <w:vMerge/>
                        <w:tcBorders>
                          <w:left w:val="single" w:sz="9" w:space="0" w:color="D3D3D3"/>
                          <w:right w:val="single" w:sz="4" w:space="0" w:color="000000"/>
                        </w:tcBorders>
                        <w:shd w:val="clear" w:color="auto" w:fill="C7EDCC"/>
                      </w:tcPr>
                      <w:p>
                        <w:pPr/>
                      </w:p>
                    </w:tc>
                    <w:tc>
                      <w:tcPr>
                        <w:tcW w:w="3125" w:type="dxa"/>
                        <w:vMerge/>
                        <w:tcBorders>
                          <w:left w:val="single" w:sz="4" w:space="0" w:color="000000"/>
                          <w:right w:val="single" w:sz="4" w:space="0" w:color="000000"/>
                        </w:tcBorders>
                        <w:shd w:val="clear" w:color="auto" w:fill="C7EDCC"/>
                      </w:tcPr>
                      <w:p>
                        <w:pPr/>
                      </w:p>
                    </w:tc>
                  </w:tr>
                  <w:tr>
                    <w:trPr>
                      <w:trHeight w:val="1445" w:hRule="exact"/>
                    </w:trPr>
                    <w:tc>
                      <w:tcPr>
                        <w:tcW w:w="2716" w:type="dxa"/>
                        <w:tcBorders>
                          <w:top w:val="nil" w:sz="6" w:space="0" w:color="auto"/>
                          <w:left w:val="single" w:sz="4" w:space="0" w:color="000000"/>
                          <w:bottom w:val="single" w:sz="4" w:space="0" w:color="000000"/>
                          <w:right w:val="single" w:sz="4" w:space="0" w:color="000000"/>
                        </w:tcBorders>
                        <w:shd w:val="clear" w:color="auto" w:fill="D3D3D3"/>
                      </w:tcPr>
                      <w:p>
                        <w:pPr/>
                      </w:p>
                    </w:tc>
                    <w:tc>
                      <w:tcPr>
                        <w:tcW w:w="3841" w:type="dxa"/>
                        <w:vMerge/>
                        <w:tcBorders>
                          <w:left w:val="single" w:sz="9" w:space="0" w:color="D3D3D3"/>
                          <w:bottom w:val="single" w:sz="4" w:space="0" w:color="000000"/>
                          <w:right w:val="single" w:sz="4" w:space="0" w:color="000000"/>
                        </w:tcBorders>
                        <w:shd w:val="clear" w:color="auto" w:fill="C7EDCC"/>
                      </w:tcPr>
                      <w:p>
                        <w:pPr/>
                      </w:p>
                    </w:tc>
                    <w:tc>
                      <w:tcPr>
                        <w:tcW w:w="3125" w:type="dxa"/>
                        <w:vMerge/>
                        <w:tcBorders>
                          <w:left w:val="single" w:sz="4" w:space="0" w:color="000000"/>
                          <w:bottom w:val="single" w:sz="4" w:space="0" w:color="000000"/>
                          <w:right w:val="single" w:sz="4" w:space="0" w:color="000000"/>
                        </w:tcBorders>
                        <w:shd w:val="clear" w:color="auto" w:fill="C7EDCC"/>
                      </w:tcPr>
                      <w:p>
                        <w:pPr/>
                      </w:p>
                    </w:tc>
                  </w:tr>
                  <w:tr>
                    <w:trPr>
                      <w:trHeight w:val="1085" w:hRule="exact"/>
                    </w:trPr>
                    <w:tc>
                      <w:tcPr>
                        <w:tcW w:w="2716"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1" w:type="dxa"/>
                        <w:vMerge w:val="restart"/>
                        <w:tcBorders>
                          <w:top w:val="single" w:sz="4" w:space="0" w:color="000000"/>
                          <w:left w:val="single" w:sz="9" w:space="0" w:color="D3D3D3"/>
                          <w:right w:val="single" w:sz="4" w:space="0" w:color="000000"/>
                        </w:tcBorders>
                        <w:shd w:val="clear" w:color="auto" w:fill="C7EDCC"/>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exact"/>
                          <w:ind w:left="21" w:right="-33"/>
                          <w:jc w:val="left"/>
                          <w:rPr>
                            <w:rFonts w:ascii="宋体" w:hAnsi="宋体" w:cs="宋体" w:eastAsia="宋体" w:hint="default"/>
                            <w:sz w:val="18"/>
                            <w:szCs w:val="18"/>
                          </w:rPr>
                        </w:pPr>
                        <w:r>
                          <w:rPr>
                            <w:rFonts w:ascii="宋体" w:hAnsi="宋体" w:cs="宋体" w:eastAsia="宋体" w:hint="default"/>
                            <w:spacing w:val="-3"/>
                            <w:sz w:val="18"/>
                            <w:szCs w:val="18"/>
                          </w:rPr>
                          <w:t>重大缺陷：潜在错报金额 </w:t>
                        </w:r>
                        <w:r>
                          <w:rPr>
                            <w:rFonts w:ascii="Times New Roman" w:hAnsi="Times New Roman" w:cs="Times New Roman" w:eastAsia="Times New Roman" w:hint="default"/>
                            <w:sz w:val="18"/>
                            <w:szCs w:val="18"/>
                          </w:rPr>
                          <w:t>≥ </w:t>
                        </w:r>
                        <w:r>
                          <w:rPr>
                            <w:rFonts w:ascii="宋体" w:hAnsi="宋体" w:cs="宋体" w:eastAsia="宋体" w:hint="default"/>
                            <w:sz w:val="18"/>
                            <w:szCs w:val="18"/>
                          </w:rPr>
                          <w:t>利润总额</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或潜在 错报金额 </w:t>
                        </w:r>
                        <w:r>
                          <w:rPr>
                            <w:rFonts w:ascii="Times New Roman" w:hAnsi="Times New Roman" w:cs="Times New Roman" w:eastAsia="Times New Roman" w:hint="default"/>
                            <w:sz w:val="18"/>
                            <w:szCs w:val="18"/>
                          </w:rPr>
                          <w:t>≥ </w:t>
                        </w:r>
                        <w:r>
                          <w:rPr>
                            <w:rFonts w:ascii="宋体" w:hAnsi="宋体" w:cs="宋体" w:eastAsia="宋体" w:hint="default"/>
                            <w:sz w:val="18"/>
                            <w:szCs w:val="18"/>
                          </w:rPr>
                          <w:t>资产总额 </w:t>
                        </w:r>
                        <w:r>
                          <w:rPr>
                            <w:rFonts w:ascii="Times New Roman" w:hAnsi="Times New Roman" w:cs="Times New Roman" w:eastAsia="Times New Roman" w:hint="default"/>
                            <w:sz w:val="18"/>
                            <w:szCs w:val="18"/>
                          </w:rPr>
                          <w:t>1%</w:t>
                        </w:r>
                        <w:r>
                          <w:rPr>
                            <w:rFonts w:ascii="宋体" w:hAnsi="宋体" w:cs="宋体" w:eastAsia="宋体" w:hint="default"/>
                            <w:sz w:val="18"/>
                            <w:szCs w:val="18"/>
                          </w:rPr>
                          <w:t>或潜在错报金额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营 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。重要缺陷：未达到重大缺陷定量标 </w:t>
                        </w:r>
                        <w:r>
                          <w:rPr>
                            <w:rFonts w:ascii="宋体" w:hAnsi="宋体" w:cs="宋体" w:eastAsia="宋体" w:hint="default"/>
                            <w:spacing w:val="-12"/>
                            <w:sz w:val="18"/>
                            <w:szCs w:val="18"/>
                          </w:rPr>
                          <w:t>准，但利润总额</w:t>
                        </w:r>
                        <w:r>
                          <w:rPr>
                            <w:rFonts w:ascii="宋体" w:hAnsi="宋体" w:cs="宋体" w:eastAsia="宋体" w:hint="default"/>
                            <w:sz w:val="18"/>
                            <w:szCs w:val="18"/>
                          </w:rPr>
                          <w:t>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潜在错报风险 </w:t>
                        </w:r>
                        <w:r>
                          <w:rPr>
                            <w:rFonts w:ascii="Times New Roman" w:hAnsi="Times New Roman" w:cs="Times New Roman" w:eastAsia="Times New Roman" w:hint="default"/>
                            <w:sz w:val="18"/>
                            <w:szCs w:val="18"/>
                          </w:rPr>
                          <w:t>&lt; </w:t>
                        </w:r>
                        <w:r>
                          <w:rPr>
                            <w:rFonts w:ascii="宋体" w:hAnsi="宋体" w:cs="宋体" w:eastAsia="宋体" w:hint="default"/>
                            <w:sz w:val="18"/>
                            <w:szCs w:val="18"/>
                          </w:rPr>
                          <w:t>利润总额 </w:t>
                        </w:r>
                        <w:r>
                          <w:rPr>
                            <w:rFonts w:ascii="Times New Roman" w:hAnsi="Times New Roman" w:cs="Times New Roman" w:eastAsia="Times New Roman" w:hint="default"/>
                            <w:sz w:val="18"/>
                            <w:szCs w:val="18"/>
                          </w:rPr>
                          <w:t>5%</w:t>
                        </w:r>
                        <w:r>
                          <w:rPr>
                            <w:rFonts w:ascii="宋体" w:hAnsi="宋体" w:cs="宋体" w:eastAsia="宋体" w:hint="default"/>
                            <w:sz w:val="18"/>
                            <w:szCs w:val="18"/>
                          </w:rPr>
                          <w:t>或资产总额 </w:t>
                        </w:r>
                        <w:r>
                          <w:rPr>
                            <w:rFonts w:ascii="Times New Roman" w:hAnsi="Times New Roman" w:cs="Times New Roman" w:eastAsia="Times New Roman" w:hint="default"/>
                            <w:sz w:val="18"/>
                            <w:szCs w:val="18"/>
                          </w:rPr>
                          <w:t>0.5% </w:t>
                        </w:r>
                        <w:r>
                          <w:rPr>
                            <w:rFonts w:ascii="Times New Roman" w:hAnsi="Times New Roman" w:cs="Times New Roman" w:eastAsia="Times New Roman" w:hint="default"/>
                            <w:sz w:val="18"/>
                            <w:szCs w:val="18"/>
                          </w:rPr>
                          <w:t>≤  </w:t>
                        </w:r>
                        <w:r>
                          <w:rPr>
                            <w:rFonts w:ascii="宋体" w:hAnsi="宋体" w:cs="宋体" w:eastAsia="宋体" w:hint="default"/>
                            <w:sz w:val="18"/>
                            <w:szCs w:val="18"/>
                          </w:rPr>
                          <w:t>潜在错报风险 </w:t>
                        </w:r>
                        <w:r>
                          <w:rPr>
                            <w:rFonts w:ascii="Times New Roman" w:hAnsi="Times New Roman" w:cs="Times New Roman" w:eastAsia="Times New Roman" w:hint="default"/>
                            <w:sz w:val="18"/>
                            <w:szCs w:val="18"/>
                          </w:rPr>
                          <w:t>&lt;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资产总 额 </w:t>
                        </w:r>
                        <w:r>
                          <w:rPr>
                            <w:rFonts w:ascii="Times New Roman" w:hAnsi="Times New Roman" w:cs="Times New Roman" w:eastAsia="Times New Roman" w:hint="default"/>
                            <w:sz w:val="18"/>
                            <w:szCs w:val="18"/>
                          </w:rPr>
                          <w:t>1%</w:t>
                        </w:r>
                        <w:r>
                          <w:rPr>
                            <w:rFonts w:ascii="宋体" w:hAnsi="宋体" w:cs="宋体" w:eastAsia="宋体" w:hint="default"/>
                            <w:sz w:val="18"/>
                            <w:szCs w:val="18"/>
                          </w:rPr>
                          <w:t>或营业收入 </w:t>
                        </w:r>
                        <w:r>
                          <w:rPr>
                            <w:rFonts w:ascii="Times New Roman" w:hAnsi="Times New Roman" w:cs="Times New Roman" w:eastAsia="Times New Roman" w:hint="default"/>
                            <w:sz w:val="18"/>
                            <w:szCs w:val="18"/>
                          </w:rPr>
                          <w:t>0.5% </w:t>
                        </w:r>
                        <w:r>
                          <w:rPr>
                            <w:rFonts w:ascii="Times New Roman" w:hAnsi="Times New Roman" w:cs="Times New Roman" w:eastAsia="Times New Roman" w:hint="default"/>
                            <w:sz w:val="18"/>
                            <w:szCs w:val="18"/>
                          </w:rPr>
                          <w:t>≤ </w:t>
                        </w:r>
                        <w:r>
                          <w:rPr>
                            <w:rFonts w:ascii="宋体" w:hAnsi="宋体" w:cs="宋体" w:eastAsia="宋体" w:hint="default"/>
                            <w:sz w:val="18"/>
                            <w:szCs w:val="18"/>
                          </w:rPr>
                          <w:t>潜在错报风险 </w:t>
                        </w:r>
                        <w:r>
                          <w:rPr>
                            <w:rFonts w:ascii="Times New Roman" w:hAnsi="Times New Roman" w:cs="Times New Roman" w:eastAsia="Times New Roman" w:hint="default"/>
                            <w:sz w:val="18"/>
                            <w:szCs w:val="18"/>
                          </w:rPr>
                          <w:t>&lt;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营业 收入</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。一般缺陷：潜在错报未达到重大缺陷、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重要缺陷标准。</w:t>
                        </w:r>
                      </w:p>
                    </w:tc>
                    <w:tc>
                      <w:tcPr>
                        <w:tcW w:w="3125"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exact"/>
                          <w:ind w:left="22" w:right="9"/>
                          <w:jc w:val="left"/>
                          <w:rPr>
                            <w:rFonts w:ascii="宋体" w:hAnsi="宋体" w:cs="宋体" w:eastAsia="宋体" w:hint="default"/>
                            <w:sz w:val="18"/>
                            <w:szCs w:val="18"/>
                          </w:rPr>
                        </w:pPr>
                        <w:r>
                          <w:rPr>
                            <w:rFonts w:ascii="宋体" w:hAnsi="宋体" w:cs="宋体" w:eastAsia="宋体" w:hint="default"/>
                            <w:sz w:val="18"/>
                            <w:szCs w:val="18"/>
                          </w:rPr>
                          <w:t>重大缺陷：直接财产损失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利润总额 </w:t>
                        </w:r>
                        <w:r>
                          <w:rPr>
                            <w:rFonts w:ascii="Times New Roman" w:hAnsi="Times New Roman" w:cs="Times New Roman" w:eastAsia="Times New Roman" w:hint="default"/>
                            <w:sz w:val="18"/>
                            <w:szCs w:val="18"/>
                          </w:rPr>
                          <w:t>5%</w:t>
                        </w:r>
                        <w:r>
                          <w:rPr>
                            <w:rFonts w:ascii="宋体" w:hAnsi="宋体" w:cs="宋体" w:eastAsia="宋体" w:hint="default"/>
                            <w:sz w:val="18"/>
                            <w:szCs w:val="18"/>
                          </w:rPr>
                          <w:t>或直接财产损失 </w:t>
                        </w:r>
                        <w:r>
                          <w:rPr>
                            <w:rFonts w:ascii="Times New Roman" w:hAnsi="Times New Roman" w:cs="Times New Roman" w:eastAsia="Times New Roman" w:hint="default"/>
                            <w:sz w:val="18"/>
                            <w:szCs w:val="18"/>
                          </w:rPr>
                          <w:t>≥ </w:t>
                        </w:r>
                        <w:r>
                          <w:rPr>
                            <w:rFonts w:ascii="宋体" w:hAnsi="宋体" w:cs="宋体" w:eastAsia="宋体" w:hint="default"/>
                            <w:sz w:val="18"/>
                            <w:szCs w:val="18"/>
                          </w:rPr>
                          <w:t>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 直接财产损失 </w:t>
                        </w:r>
                        <w:r>
                          <w:rPr>
                            <w:rFonts w:ascii="Times New Roman" w:hAnsi="Times New Roman" w:cs="Times New Roman" w:eastAsia="Times New Roman" w:hint="default"/>
                            <w:sz w:val="18"/>
                            <w:szCs w:val="18"/>
                          </w:rPr>
                          <w:t>≥ </w:t>
                        </w:r>
                        <w:r>
                          <w:rPr>
                            <w:rFonts w:ascii="宋体" w:hAnsi="宋体" w:cs="宋体" w:eastAsia="宋体" w:hint="default"/>
                            <w:sz w:val="18"/>
                            <w:szCs w:val="18"/>
                          </w:rPr>
                          <w:t>营业收入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。重要缺 陷：未达到重大缺陷定量标准，但利润 总额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z w:val="18"/>
                            <w:szCs w:val="18"/>
                          </w:rPr>
                          <w:t>≤ </w:t>
                        </w:r>
                        <w:r>
                          <w:rPr>
                            <w:rFonts w:ascii="宋体" w:hAnsi="宋体" w:cs="宋体" w:eastAsia="宋体" w:hint="default"/>
                            <w:sz w:val="18"/>
                            <w:szCs w:val="18"/>
                          </w:rPr>
                          <w:t>直接财产损失 </w:t>
                        </w:r>
                        <w:r>
                          <w:rPr>
                            <w:rFonts w:ascii="Times New Roman" w:hAnsi="Times New Roman" w:cs="Times New Roman" w:eastAsia="Times New Roman" w:hint="default"/>
                            <w:sz w:val="18"/>
                            <w:szCs w:val="18"/>
                          </w:rPr>
                          <w:t>&lt;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利润总额 </w:t>
                        </w:r>
                        <w:r>
                          <w:rPr>
                            <w:rFonts w:ascii="Times New Roman" w:hAnsi="Times New Roman" w:cs="Times New Roman" w:eastAsia="Times New Roman" w:hint="default"/>
                            <w:sz w:val="18"/>
                            <w:szCs w:val="18"/>
                          </w:rPr>
                          <w:t>5%</w:t>
                        </w:r>
                        <w:r>
                          <w:rPr>
                            <w:rFonts w:ascii="宋体" w:hAnsi="宋体" w:cs="宋体" w:eastAsia="宋体" w:hint="default"/>
                            <w:sz w:val="18"/>
                            <w:szCs w:val="18"/>
                          </w:rPr>
                          <w:t>或资产总额 </w:t>
                        </w:r>
                        <w:r>
                          <w:rPr>
                            <w:rFonts w:ascii="Times New Roman" w:hAnsi="Times New Roman" w:cs="Times New Roman" w:eastAsia="Times New Roman" w:hint="default"/>
                            <w:sz w:val="18"/>
                            <w:szCs w:val="18"/>
                          </w:rPr>
                          <w:t>0.5% </w:t>
                        </w:r>
                        <w:r>
                          <w:rPr>
                            <w:rFonts w:ascii="Times New Roman" w:hAnsi="Times New Roman" w:cs="Times New Roman" w:eastAsia="Times New Roman" w:hint="default"/>
                            <w:sz w:val="18"/>
                            <w:szCs w:val="18"/>
                          </w:rPr>
                          <w:t>≤ </w:t>
                        </w:r>
                        <w:r>
                          <w:rPr>
                            <w:rFonts w:ascii="宋体" w:hAnsi="宋体" w:cs="宋体" w:eastAsia="宋体" w:hint="default"/>
                            <w:sz w:val="18"/>
                            <w:szCs w:val="18"/>
                          </w:rPr>
                          <w:t>直接财产损失</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&lt; </w:t>
                        </w:r>
                        <w:r>
                          <w:rPr>
                            <w:rFonts w:ascii="宋体" w:hAnsi="宋体" w:cs="宋体" w:eastAsia="宋体" w:hint="default"/>
                            <w:sz w:val="18"/>
                            <w:szCs w:val="18"/>
                          </w:rPr>
                          <w:t>资产总额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或营业收入</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直接财 产损失 </w:t>
                        </w:r>
                        <w:r>
                          <w:rPr>
                            <w:rFonts w:ascii="Times New Roman" w:hAnsi="Times New Roman" w:cs="Times New Roman" w:eastAsia="Times New Roman" w:hint="default"/>
                            <w:sz w:val="18"/>
                            <w:szCs w:val="18"/>
                          </w:rPr>
                          <w:t>&lt; </w:t>
                        </w:r>
                        <w:r>
                          <w:rPr>
                            <w:rFonts w:ascii="宋体" w:hAnsi="宋体" w:cs="宋体" w:eastAsia="宋体" w:hint="default"/>
                            <w:sz w:val="18"/>
                            <w:szCs w:val="18"/>
                          </w:rPr>
                          <w:t>营业收入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。一般缺陷：直 接财产损失未达到重大缺陷、重要缺陷 标准。</w:t>
                        </w:r>
                      </w:p>
                    </w:tc>
                  </w:tr>
                  <w:tr>
                    <w:trPr>
                      <w:trHeight w:val="240" w:hRule="exact"/>
                    </w:trPr>
                    <w:tc>
                      <w:tcPr>
                        <w:tcW w:w="27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841" w:type="dxa"/>
                        <w:vMerge/>
                        <w:tcBorders>
                          <w:left w:val="single" w:sz="9" w:space="0" w:color="D3D3D3"/>
                          <w:right w:val="single" w:sz="4" w:space="0" w:color="000000"/>
                        </w:tcBorders>
                        <w:shd w:val="clear" w:color="auto" w:fill="C7EDCC"/>
                      </w:tcPr>
                      <w:p>
                        <w:pPr/>
                      </w:p>
                    </w:tc>
                    <w:tc>
                      <w:tcPr>
                        <w:tcW w:w="3125" w:type="dxa"/>
                        <w:vMerge/>
                        <w:tcBorders>
                          <w:left w:val="single" w:sz="4" w:space="0" w:color="000000"/>
                          <w:right w:val="single" w:sz="4" w:space="0" w:color="000000"/>
                        </w:tcBorders>
                        <w:shd w:val="clear" w:color="auto" w:fill="C7EDCC"/>
                      </w:tcPr>
                      <w:p>
                        <w:pPr/>
                      </w:p>
                    </w:tc>
                  </w:tr>
                  <w:tr>
                    <w:trPr>
                      <w:trHeight w:val="1085" w:hRule="exact"/>
                    </w:trPr>
                    <w:tc>
                      <w:tcPr>
                        <w:tcW w:w="2716" w:type="dxa"/>
                        <w:tcBorders>
                          <w:top w:val="nil" w:sz="6" w:space="0" w:color="auto"/>
                          <w:left w:val="single" w:sz="4" w:space="0" w:color="000000"/>
                          <w:bottom w:val="single" w:sz="4" w:space="0" w:color="000000"/>
                          <w:right w:val="single" w:sz="4" w:space="0" w:color="000000"/>
                        </w:tcBorders>
                        <w:shd w:val="clear" w:color="auto" w:fill="D3D3D3"/>
                      </w:tcPr>
                      <w:p>
                        <w:pPr/>
                      </w:p>
                    </w:tc>
                    <w:tc>
                      <w:tcPr>
                        <w:tcW w:w="3841" w:type="dxa"/>
                        <w:vMerge/>
                        <w:tcBorders>
                          <w:left w:val="single" w:sz="9" w:space="0" w:color="D3D3D3"/>
                          <w:bottom w:val="single" w:sz="4" w:space="0" w:color="000000"/>
                          <w:right w:val="single" w:sz="4" w:space="0" w:color="000000"/>
                        </w:tcBorders>
                        <w:shd w:val="clear" w:color="auto" w:fill="C7EDCC"/>
                      </w:tcPr>
                      <w:p>
                        <w:pPr/>
                      </w:p>
                    </w:tc>
                    <w:tc>
                      <w:tcPr>
                        <w:tcW w:w="3125" w:type="dxa"/>
                        <w:vMerge/>
                        <w:tcBorders>
                          <w:left w:val="single" w:sz="4" w:space="0" w:color="000000"/>
                          <w:bottom w:val="single" w:sz="4" w:space="0" w:color="000000"/>
                          <w:right w:val="single" w:sz="4" w:space="0" w:color="000000"/>
                        </w:tcBorders>
                        <w:shd w:val="clear" w:color="auto" w:fill="C7EDCC"/>
                      </w:tcPr>
                      <w:p>
                        <w:pPr/>
                      </w:p>
                    </w:tc>
                  </w:tr>
                </w:tbl>
                <w:p>
                  <w:pPr/>
                </w:p>
              </w:txbxContent>
            </v:textbox>
            <w10:wrap type="none"/>
          </v:shape>
        </w:pict>
      </w:r>
      <w:r>
        <w:rPr/>
        <w:t>）</w:t>
      </w:r>
    </w:p>
    <w:p>
      <w:pPr>
        <w:pStyle w:val="BodyText"/>
        <w:spacing w:line="240" w:lineRule="auto" w:before="4"/>
        <w:ind w:left="0" w:right="101"/>
        <w:jc w:val="right"/>
      </w:pPr>
      <w:r>
        <w:rPr/>
        <w:t>）</w:t>
      </w:r>
    </w:p>
    <w:p>
      <w:pPr>
        <w:spacing w:after="0" w:line="240" w:lineRule="auto"/>
        <w:jc w:val="right"/>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2694"/>
        <w:gridCol w:w="7000"/>
      </w:tblGrid>
      <w:tr>
        <w:trPr>
          <w:trHeight w:val="250"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0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z w:val="18"/>
              </w:rPr>
              <w:t>0</w:t>
            </w:r>
          </w:p>
        </w:tc>
      </w:tr>
      <w:tr>
        <w:trPr>
          <w:trHeight w:val="251"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70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0</w:t>
            </w:r>
          </w:p>
        </w:tc>
      </w:tr>
      <w:tr>
        <w:trPr>
          <w:trHeight w:val="250"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0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z w:val="18"/>
              </w:rPr>
              <w:t>0</w:t>
            </w:r>
          </w:p>
        </w:tc>
      </w:tr>
      <w:tr>
        <w:trPr>
          <w:trHeight w:val="251"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70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我们认为，华媒控股股份有限公司于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 了有效的财务报告内部控制。</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会计师事务所是否出具非标准意见的内部控制审计报告</w:t>
      </w:r>
    </w:p>
    <w:p>
      <w:pPr>
        <w:pStyle w:val="BodyText"/>
        <w:spacing w:line="338" w:lineRule="auto" w:before="117"/>
        <w:ind w:right="36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_TOC_250002" w:id="10"/>
      <w:r>
        <w:rPr/>
        <w:t>第十节</w:t>
      </w:r>
      <w:r>
        <w:rPr>
          <w:spacing w:val="-9"/>
        </w:rPr>
        <w:t> </w:t>
      </w:r>
      <w:r>
        <w:rPr/>
        <w:t>公司债券相关情况</w:t>
      </w:r>
      <w:bookmarkEnd w:id="10"/>
      <w:r>
        <w:rPr>
          <w:b w:val="0"/>
          <w:bCs w:val="0"/>
        </w:rPr>
      </w:r>
    </w:p>
    <w:p>
      <w:pPr>
        <w:spacing w:line="240" w:lineRule="auto" w:before="8"/>
        <w:rPr>
          <w:rFonts w:ascii="宋体" w:hAnsi="宋体" w:cs="宋体" w:eastAsia="宋体" w:hint="default"/>
          <w:b/>
          <w:bCs/>
          <w:sz w:val="42"/>
          <w:szCs w:val="42"/>
        </w:rPr>
      </w:pPr>
    </w:p>
    <w:p>
      <w:pPr>
        <w:pStyle w:val="BodyText"/>
        <w:spacing w:line="357" w:lineRule="auto"/>
        <w:ind w:left="153" w:right="1131"/>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
        <w:jc w:val="center"/>
        <w:rPr>
          <w:b w:val="0"/>
          <w:bCs w:val="0"/>
        </w:rPr>
      </w:pPr>
      <w:bookmarkStart w:name="_TOC_250001" w:id="11"/>
      <w:r>
        <w:rPr/>
        <w:t>第十一节</w:t>
      </w:r>
      <w:r>
        <w:rPr>
          <w:spacing w:val="-7"/>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25"/>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33090012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徐殷鹏  叶凌超</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4"/>
          <w:szCs w:val="24"/>
        </w:rPr>
      </w:pPr>
    </w:p>
    <w:p>
      <w:pPr>
        <w:pStyle w:val="Heading5"/>
        <w:spacing w:line="240" w:lineRule="auto" w:before="0"/>
        <w:ind w:left="154" w:right="-20"/>
        <w:jc w:val="left"/>
        <w:rPr>
          <w:b w:val="0"/>
          <w:bCs w:val="0"/>
        </w:rPr>
      </w:pPr>
      <w:r>
        <w:rPr/>
        <w:t>浙江华媒控股股份有限公司全体股东：</w:t>
      </w:r>
      <w:r>
        <w:rPr>
          <w:b w:val="0"/>
          <w:bCs w:val="0"/>
        </w:rPr>
      </w:r>
    </w:p>
    <w:p>
      <w:pPr>
        <w:spacing w:line="357" w:lineRule="auto" w:before="51"/>
        <w:ind w:left="217" w:right="-19" w:hanging="64"/>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 </w:t>
      </w:r>
      <w:r>
        <w:rPr>
          <w:rFonts w:ascii="宋体" w:hAnsi="宋体" w:cs="宋体" w:eastAsia="宋体" w:hint="default"/>
          <w:b/>
          <w:bCs/>
          <w:sz w:val="18"/>
          <w:szCs w:val="18"/>
        </w:rPr>
        <w:t>审 计 报</w:t>
      </w:r>
      <w:r>
        <w:rPr>
          <w:rFonts w:ascii="宋体" w:hAnsi="宋体" w:cs="宋体" w:eastAsia="宋体" w:hint="default"/>
          <w:b/>
          <w:bCs/>
          <w:spacing w:val="-43"/>
          <w:sz w:val="18"/>
          <w:szCs w:val="18"/>
        </w:rPr>
        <w:t> </w:t>
      </w:r>
      <w:r>
        <w:rPr>
          <w:rFonts w:ascii="宋体" w:hAnsi="宋体" w:cs="宋体" w:eastAsia="宋体" w:hint="default"/>
          <w:b/>
          <w:bCs/>
          <w:sz w:val="18"/>
          <w:szCs w:val="18"/>
        </w:rPr>
        <w:t>告</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8"/>
          <w:szCs w:val="18"/>
        </w:rPr>
      </w:pPr>
    </w:p>
    <w:p>
      <w:pPr>
        <w:pStyle w:val="BodyText"/>
        <w:spacing w:line="240" w:lineRule="auto"/>
        <w:ind w:right="0"/>
        <w:jc w:val="left"/>
      </w:pPr>
      <w:r>
        <w:rPr/>
        <w:t>瑞华审字</w:t>
      </w:r>
      <w:r>
        <w:rPr>
          <w:rFonts w:ascii="Times New Roman" w:hAnsi="Times New Roman" w:cs="Times New Roman" w:eastAsia="Times New Roman" w:hint="default"/>
        </w:rPr>
        <w:t>[2018]33090012</w:t>
      </w:r>
      <w:r>
        <w:rPr/>
        <w:t>号号</w:t>
      </w:r>
    </w:p>
    <w:p>
      <w:pPr>
        <w:spacing w:after="0" w:line="240" w:lineRule="auto"/>
        <w:jc w:val="left"/>
        <w:sectPr>
          <w:type w:val="continuous"/>
          <w:pgSz w:w="11910" w:h="16840"/>
          <w:pgMar w:top="1060" w:bottom="1180" w:left="980" w:right="940"/>
          <w:cols w:num="3" w:equalWidth="0">
            <w:col w:w="3227" w:space="1053"/>
            <w:col w:w="1235" w:space="1819"/>
            <w:col w:w="2656"/>
          </w:cols>
        </w:sectPr>
      </w:pPr>
    </w:p>
    <w:p>
      <w:pPr>
        <w:spacing w:line="240" w:lineRule="auto" w:before="4"/>
        <w:rPr>
          <w:rFonts w:ascii="宋体" w:hAnsi="宋体" w:cs="宋体" w:eastAsia="宋体" w:hint="default"/>
          <w:sz w:val="26"/>
          <w:szCs w:val="26"/>
        </w:rPr>
      </w:pPr>
    </w:p>
    <w:p>
      <w:pPr>
        <w:pStyle w:val="BodyText"/>
        <w:spacing w:line="316" w:lineRule="auto" w:before="44"/>
        <w:ind w:left="634" w:right="170" w:firstLine="2"/>
        <w:jc w:val="left"/>
      </w:pPr>
      <w:r>
        <w:rPr>
          <w:rFonts w:ascii="宋体" w:hAnsi="宋体" w:cs="宋体" w:eastAsia="宋体" w:hint="default"/>
          <w:b/>
          <w:bCs/>
        </w:rPr>
        <w:t>一、审计意见</w:t>
      </w:r>
      <w:r>
        <w:rPr>
          <w:rFonts w:ascii="宋体" w:hAnsi="宋体" w:cs="宋体" w:eastAsia="宋体" w:hint="default"/>
          <w:b/>
          <w:bCs/>
          <w:w w:val="99"/>
        </w:rPr>
        <w:t> </w:t>
      </w:r>
      <w:r>
        <w:rPr/>
        <w:t>我们审计了浙江华媒控股股份有限公司（以下简称</w:t>
      </w:r>
      <w:r>
        <w:rPr>
          <w:rFonts w:ascii="Times New Roman" w:hAnsi="Times New Roman" w:cs="Times New Roman" w:eastAsia="Times New Roman" w:hint="default"/>
        </w:rPr>
        <w:t>“</w:t>
      </w:r>
      <w:r>
        <w:rPr/>
        <w:t>华媒控股公司</w:t>
      </w:r>
      <w:r>
        <w:rPr>
          <w:rFonts w:ascii="Times New Roman" w:hAnsi="Times New Roman" w:cs="Times New Roman" w:eastAsia="Times New Roman" w:hint="default"/>
        </w:rPr>
        <w:t>”</w:t>
      </w:r>
      <w:r>
        <w:rPr/>
        <w:t>）的财务报表，包括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w:t>
      </w:r>
    </w:p>
    <w:p>
      <w:pPr>
        <w:pStyle w:val="BodyText"/>
        <w:spacing w:line="300" w:lineRule="auto"/>
        <w:ind w:left="634" w:right="90" w:hanging="480"/>
        <w:jc w:val="left"/>
      </w:pPr>
      <w:r>
        <w:rPr/>
        <w:t>资产负债表，</w:t>
      </w:r>
      <w:r>
        <w:rPr>
          <w:rFonts w:ascii="Times New Roman" w:hAnsi="Times New Roman" w:cs="Times New Roman" w:eastAsia="Times New Roman" w:hint="default"/>
        </w:rPr>
        <w:t>2017</w:t>
      </w:r>
      <w:r>
        <w:rPr/>
        <w:t>年度的合并及公司利润表、合并及公司现金流量表、合并及公司股东权益变动表以及相关财务报表附注。 我们认为，后附的财务报表在所有重大方面按照企业会计准则的规定编制，公允反映了华媒控股公司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spacing w:line="240" w:lineRule="auto" w:before="13"/>
        <w:ind w:right="125"/>
        <w:jc w:val="left"/>
      </w:pPr>
      <w:r>
        <w:rPr/>
        <w:t>合并及公司的财务状况以及</w:t>
      </w:r>
      <w:r>
        <w:rPr>
          <w:rFonts w:ascii="Times New Roman" w:hAnsi="Times New Roman" w:cs="Times New Roman" w:eastAsia="Times New Roman" w:hint="default"/>
        </w:rPr>
        <w:t>2017</w:t>
      </w:r>
      <w:r>
        <w:rPr/>
        <w:t>年度合并及公司的经营成果和现金流量。</w:t>
      </w:r>
    </w:p>
    <w:p>
      <w:pPr>
        <w:spacing w:line="240" w:lineRule="auto" w:before="0"/>
        <w:rPr>
          <w:rFonts w:ascii="宋体" w:hAnsi="宋体" w:cs="宋体" w:eastAsia="宋体" w:hint="default"/>
          <w:sz w:val="18"/>
          <w:szCs w:val="18"/>
        </w:rPr>
      </w:pPr>
    </w:p>
    <w:p>
      <w:pPr>
        <w:pStyle w:val="BodyText"/>
        <w:spacing w:line="316" w:lineRule="auto" w:before="139"/>
        <w:ind w:left="634" w:right="170" w:firstLine="2"/>
        <w:jc w:val="left"/>
      </w:pPr>
      <w:r>
        <w:rPr>
          <w:rFonts w:ascii="宋体" w:hAnsi="宋体" w:cs="宋体" w:eastAsia="宋体" w:hint="default"/>
          <w:b/>
          <w:bCs/>
        </w:rPr>
        <w:t>二、形成审计意见的基础</w:t>
      </w:r>
      <w:r>
        <w:rPr>
          <w:rFonts w:ascii="宋体" w:hAnsi="宋体" w:cs="宋体" w:eastAsia="宋体" w:hint="default"/>
          <w:b/>
          <w:bCs/>
          <w:spacing w:val="1"/>
          <w:w w:val="99"/>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w:t>
      </w:r>
    </w:p>
    <w:p>
      <w:pPr>
        <w:pStyle w:val="BodyText"/>
        <w:spacing w:line="316" w:lineRule="auto"/>
        <w:ind w:right="125"/>
        <w:jc w:val="left"/>
      </w:pPr>
      <w:r>
        <w:rPr>
          <w:spacing w:val="-2"/>
        </w:rPr>
        <w:t>步阐述了我们在这些准则下的责任。按照中国注册会计师职业道德守则，我们独立于华媒控股公司，并履行了职业道德方面</w:t>
      </w:r>
      <w:r>
        <w:rPr>
          <w:spacing w:val="-66"/>
        </w:rPr>
        <w:t> </w:t>
      </w:r>
      <w:r>
        <w:rPr>
          <w:spacing w:val="-66"/>
        </w:rPr>
      </w:r>
      <w:r>
        <w:rPr/>
        <w:t>的其他责任。我们相信，我们获取的审计证据是充分、适当的，为发表审计意见提供了基础。</w:t>
      </w:r>
    </w:p>
    <w:p>
      <w:pPr>
        <w:spacing w:line="240" w:lineRule="auto" w:before="4"/>
        <w:rPr>
          <w:rFonts w:ascii="宋体" w:hAnsi="宋体" w:cs="宋体" w:eastAsia="宋体" w:hint="default"/>
          <w:sz w:val="25"/>
          <w:szCs w:val="25"/>
        </w:rPr>
      </w:pPr>
    </w:p>
    <w:p>
      <w:pPr>
        <w:pStyle w:val="BodyText"/>
        <w:spacing w:line="316" w:lineRule="auto"/>
        <w:ind w:left="634" w:right="125"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关键审计事项是我们根据职业判断，认为对本期财务报表审计最为重要的事项。这些事项的应对以对财务报表整体进</w:t>
      </w:r>
    </w:p>
    <w:p>
      <w:pPr>
        <w:pStyle w:val="BodyText"/>
        <w:spacing w:line="316" w:lineRule="auto" w:before="19"/>
        <w:ind w:right="125"/>
        <w:jc w:val="left"/>
      </w:pPr>
      <w:r>
        <w:rPr>
          <w:spacing w:val="-2"/>
        </w:rPr>
        <w:t>行审计并形成审计意见为背景，我们不对这些事项单独发表意见。我们确定下列事项是需要在审计报告中沟通的关键审计事</w:t>
      </w:r>
      <w:r>
        <w:rPr>
          <w:spacing w:val="-64"/>
        </w:rPr>
        <w:t> </w:t>
      </w:r>
      <w:r>
        <w:rPr>
          <w:spacing w:val="-64"/>
        </w:rPr>
      </w:r>
      <w:r>
        <w:rPr/>
        <w:t>项。</w:t>
      </w:r>
    </w:p>
    <w:p>
      <w:pPr>
        <w:pStyle w:val="Heading5"/>
        <w:spacing w:line="240" w:lineRule="auto"/>
        <w:ind w:right="125"/>
        <w:jc w:val="left"/>
        <w:rPr>
          <w:b w:val="0"/>
          <w:bCs w:val="0"/>
        </w:rPr>
      </w:pPr>
      <w:r>
        <w:rPr/>
        <w:t>（一）商誉减值</w:t>
      </w:r>
      <w:r>
        <w:rPr>
          <w:b w:val="0"/>
          <w:bCs w:val="0"/>
        </w:rPr>
      </w:r>
    </w:p>
    <w:p>
      <w:pPr>
        <w:pStyle w:val="Heading5"/>
        <w:spacing w:line="240" w:lineRule="auto" w:before="76"/>
        <w:ind w:right="125"/>
        <w:jc w:val="left"/>
        <w:rPr>
          <w:b w:val="0"/>
          <w:bCs w:val="0"/>
        </w:rPr>
      </w:pPr>
      <w:r>
        <w:rPr>
          <w:rFonts w:ascii="Times New Roman" w:hAnsi="Times New Roman" w:cs="Times New Roman" w:eastAsia="Times New Roman" w:hint="default"/>
        </w:rPr>
        <w:t>1</w:t>
      </w:r>
      <w:r>
        <w:rPr/>
        <w:t>、事项描述</w:t>
      </w:r>
      <w:r>
        <w:rPr>
          <w:b w:val="0"/>
          <w:bCs w:val="0"/>
        </w:rPr>
      </w:r>
    </w:p>
    <w:p>
      <w:pPr>
        <w:pStyle w:val="BodyText"/>
        <w:spacing w:line="240" w:lineRule="auto" w:before="63"/>
        <w:ind w:left="634" w:right="125"/>
        <w:jc w:val="left"/>
      </w:pPr>
      <w:r>
        <w:rPr/>
        <w:t>请参阅财务报表附注</w:t>
      </w:r>
      <w:r>
        <w:rPr>
          <w:rFonts w:ascii="Times New Roman" w:hAnsi="Times New Roman" w:cs="Times New Roman" w:eastAsia="Times New Roman" w:hint="default"/>
        </w:rPr>
        <w:t>“</w:t>
      </w:r>
      <w:r>
        <w:rPr/>
        <w:t>四、重要会计政策和会计估计</w:t>
      </w:r>
      <w:r>
        <w:rPr>
          <w:rFonts w:ascii="Times New Roman" w:hAnsi="Times New Roman" w:cs="Times New Roman" w:eastAsia="Times New Roman" w:hint="default"/>
        </w:rPr>
        <w:t>”(17)</w:t>
      </w:r>
      <w:r>
        <w:rPr>
          <w:rFonts w:ascii="Times New Roman" w:hAnsi="Times New Roman" w:cs="Times New Roman" w:eastAsia="Times New Roman" w:hint="default"/>
          <w:spacing w:val="25"/>
        </w:rPr>
        <w:t> </w:t>
      </w:r>
      <w:r>
        <w:rPr/>
        <w:t>长期资产减值及</w:t>
      </w:r>
      <w:r>
        <w:rPr>
          <w:rFonts w:ascii="Times New Roman" w:hAnsi="Times New Roman" w:cs="Times New Roman" w:eastAsia="Times New Roman" w:hint="default"/>
        </w:rPr>
        <w:t>“</w:t>
      </w:r>
      <w:r>
        <w:rPr/>
        <w:t>六、合并财务报表项目注释</w:t>
      </w:r>
      <w:r>
        <w:rPr>
          <w:rFonts w:ascii="Times New Roman" w:hAnsi="Times New Roman" w:cs="Times New Roman" w:eastAsia="Times New Roman" w:hint="default"/>
        </w:rPr>
        <w:t>”15</w:t>
      </w:r>
      <w:r>
        <w:rPr/>
        <w:t>商誉。</w:t>
      </w:r>
    </w:p>
    <w:p>
      <w:pPr>
        <w:pStyle w:val="BodyText"/>
        <w:spacing w:line="307" w:lineRule="auto" w:before="63"/>
        <w:ind w:right="90" w:firstLine="48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日，浙江华媒控股股份有限公司合并财务报表中商誉账面净值为人民币</w:t>
      </w:r>
      <w:r>
        <w:rPr>
          <w:rFonts w:ascii="Times New Roman" w:hAnsi="Times New Roman" w:cs="Times New Roman" w:eastAsia="Times New Roman" w:hint="default"/>
        </w:rPr>
        <w:t>57,006.59</w:t>
      </w:r>
      <w:r>
        <w:rPr/>
        <w:t>万元。主要形成为浙江 华媒控股股份有限公司于</w:t>
      </w:r>
      <w:r>
        <w:rPr>
          <w:rFonts w:ascii="Times New Roman" w:hAnsi="Times New Roman" w:cs="Times New Roman" w:eastAsia="Times New Roman" w:hint="default"/>
        </w:rPr>
        <w:t>2016</w:t>
      </w:r>
      <w:r>
        <w:rPr/>
        <w:t>年非同一控制下收购中教未来国际教育科技（北京）有限公司形成商誉金额为</w:t>
      </w:r>
      <w:r>
        <w:rPr>
          <w:rFonts w:ascii="Times New Roman" w:hAnsi="Times New Roman" w:cs="Times New Roman" w:eastAsia="Times New Roman" w:hint="default"/>
        </w:rPr>
        <w:t>52,501.38</w:t>
      </w:r>
      <w:r>
        <w:rPr/>
        <w:t>万元， 中教未来国际教育科技（北京）有限公司于</w:t>
      </w:r>
      <w:r>
        <w:rPr>
          <w:rFonts w:ascii="Times New Roman" w:hAnsi="Times New Roman" w:cs="Times New Roman" w:eastAsia="Times New Roman" w:hint="default"/>
        </w:rPr>
        <w:t>2016</w:t>
      </w:r>
      <w:r>
        <w:rPr/>
        <w:t>年非同一控制下收购智明远扬教育科技（北京）有限公司形成商誉金额为</w:t>
      </w:r>
      <w:r>
        <w:rPr>
          <w:spacing w:val="-7"/>
        </w:rPr>
        <w:t> </w:t>
      </w:r>
      <w:r>
        <w:rPr>
          <w:spacing w:val="-7"/>
        </w:rPr>
      </w:r>
      <w:r>
        <w:rPr>
          <w:rFonts w:ascii="Times New Roman" w:hAnsi="Times New Roman" w:cs="Times New Roman" w:eastAsia="Times New Roman" w:hint="default"/>
        </w:rPr>
        <w:t>3,995.19</w:t>
      </w:r>
      <w:r>
        <w:rPr/>
        <w:t>万元。对因企业合并所形成的商誉，无论是否存在减值迹象，每年都进行减值测试。商誉结合与其相关的资产组或</w:t>
      </w:r>
      <w:r>
        <w:rPr>
          <w:spacing w:val="-85"/>
        </w:rPr>
        <w:t> </w:t>
      </w:r>
      <w:r>
        <w:rPr>
          <w:spacing w:val="-85"/>
        </w:rPr>
      </w:r>
      <w:r>
        <w:rPr>
          <w:spacing w:val="-2"/>
        </w:rPr>
        <w:t>者资产组组合进行减值测试。在确定商誉的公允价值的过程中，华媒控股公司管理层引入外部估值专家对收购的股权价值的</w:t>
      </w:r>
      <w:r>
        <w:rPr>
          <w:spacing w:val="-64"/>
        </w:rPr>
        <w:t> </w:t>
      </w:r>
      <w:r>
        <w:rPr>
          <w:spacing w:val="-64"/>
        </w:rPr>
      </w:r>
      <w:r>
        <w:rPr>
          <w:spacing w:val="-2"/>
        </w:rPr>
        <w:t>公允价值进行复核，外部估值专家基于管理层编制的财务信息，采用了包括折现的现金流量预测在内的估值方法，如确定资</w:t>
      </w:r>
      <w:r>
        <w:rPr>
          <w:spacing w:val="-66"/>
        </w:rPr>
        <w:t> </w:t>
      </w:r>
      <w:r>
        <w:rPr>
          <w:spacing w:val="-66"/>
        </w:rPr>
      </w:r>
      <w:r>
        <w:rPr>
          <w:spacing w:val="-2"/>
        </w:rPr>
        <w:t>产规模、预算收入、永续期增长率和利润率以及采用的折现率等关键参数的会计估计。由于商誉对合并财务报表整体的重要</w:t>
      </w:r>
      <w:r>
        <w:rPr>
          <w:spacing w:val="-66"/>
        </w:rPr>
        <w:t> </w:t>
      </w:r>
      <w:r>
        <w:rPr>
          <w:spacing w:val="-66"/>
        </w:rPr>
      </w:r>
      <w:r>
        <w:rPr/>
        <w:t>性，且对收购形成的商誉的公允价值的估计涉及到管理层重大判断和估计，因此，我们将商誉减值识别为关键审计事项。</w:t>
      </w:r>
    </w:p>
    <w:p>
      <w:pPr>
        <w:spacing w:after="0" w:line="307" w:lineRule="auto"/>
        <w:jc w:val="left"/>
        <w:sectPr>
          <w:type w:val="continuous"/>
          <w:pgSz w:w="11910" w:h="16840"/>
          <w:pgMar w:top="1060" w:bottom="1180" w:left="980" w:right="940"/>
        </w:sectPr>
      </w:pPr>
    </w:p>
    <w:p>
      <w:pPr>
        <w:spacing w:line="240" w:lineRule="auto" w:before="12"/>
        <w:rPr>
          <w:rFonts w:ascii="宋体" w:hAnsi="宋体" w:cs="宋体" w:eastAsia="宋体" w:hint="default"/>
          <w:sz w:val="25"/>
          <w:szCs w:val="25"/>
        </w:rPr>
      </w:pPr>
    </w:p>
    <w:p>
      <w:pPr>
        <w:spacing w:line="300" w:lineRule="auto" w:before="44"/>
        <w:ind w:left="633" w:right="7171"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、审计应对</w:t>
      </w:r>
      <w:r>
        <w:rPr>
          <w:rFonts w:ascii="宋体" w:hAnsi="宋体" w:cs="宋体" w:eastAsia="宋体" w:hint="default"/>
          <w:b/>
          <w:bCs/>
          <w:spacing w:val="1"/>
          <w:w w:val="99"/>
          <w:sz w:val="18"/>
          <w:szCs w:val="18"/>
        </w:rPr>
        <w:t> </w:t>
      </w:r>
      <w:r>
        <w:rPr>
          <w:rFonts w:ascii="宋体" w:hAnsi="宋体" w:cs="宋体" w:eastAsia="宋体" w:hint="default"/>
          <w:sz w:val="18"/>
          <w:szCs w:val="18"/>
        </w:rPr>
        <w:t>我们执行的主要审计程序：</w:t>
      </w:r>
    </w:p>
    <w:p>
      <w:pPr>
        <w:pStyle w:val="BodyText"/>
        <w:spacing w:line="240" w:lineRule="auto" w:before="31"/>
        <w:ind w:left="513" w:right="125"/>
        <w:jc w:val="left"/>
      </w:pPr>
      <w:r>
        <w:rPr/>
        <w:t>（</w:t>
      </w:r>
      <w:r>
        <w:rPr>
          <w:rFonts w:ascii="Times New Roman" w:hAnsi="Times New Roman" w:cs="Times New Roman" w:eastAsia="Times New Roman" w:hint="default"/>
        </w:rPr>
        <w:t>1</w:t>
      </w:r>
      <w:r>
        <w:rPr/>
        <w:t>）复核管理层对资产组的认定和商誉的分摊方法；</w:t>
      </w:r>
    </w:p>
    <w:p>
      <w:pPr>
        <w:pStyle w:val="BodyText"/>
        <w:spacing w:line="300" w:lineRule="auto" w:before="63"/>
        <w:ind w:left="153" w:right="181" w:firstLine="360"/>
        <w:jc w:val="left"/>
      </w:pPr>
      <w:r>
        <w:rPr/>
        <w:t>（</w:t>
      </w:r>
      <w:r>
        <w:rPr>
          <w:rFonts w:ascii="Times New Roman" w:hAnsi="Times New Roman" w:cs="Times New Roman" w:eastAsia="Times New Roman" w:hint="default"/>
        </w:rPr>
        <w:t>2</w:t>
      </w:r>
      <w:r>
        <w:rPr/>
        <w:t>）与公司管理层讨论商誉减值测试过程中所使用的方法、关键评估的假设、参数的选择、预测未来收入及现金流折 现率等的合理性；</w:t>
      </w:r>
    </w:p>
    <w:p>
      <w:pPr>
        <w:pStyle w:val="BodyText"/>
        <w:spacing w:line="300" w:lineRule="auto" w:before="31"/>
        <w:ind w:left="153" w:right="83" w:firstLine="360"/>
        <w:jc w:val="left"/>
      </w:pPr>
      <w:r>
        <w:rPr>
          <w:spacing w:val="-2"/>
        </w:rPr>
        <w:t>（</w:t>
      </w:r>
      <w:r>
        <w:rPr>
          <w:rFonts w:ascii="Times New Roman" w:hAnsi="Times New Roman" w:cs="Times New Roman" w:eastAsia="Times New Roman" w:hint="default"/>
          <w:spacing w:val="-2"/>
        </w:rPr>
        <w:t>3</w:t>
      </w:r>
      <w:r>
        <w:rPr>
          <w:spacing w:val="-2"/>
        </w:rPr>
        <w:t>）与公司管理层聘请的外部评估机构专家等讨论商誉减值测试过程中所使用的方法、关键评估的假设、参数的选择、</w:t>
      </w:r>
      <w:r>
        <w:rPr/>
        <w:t> 预测未来收入及现金流折现率等的合理性；</w:t>
      </w:r>
    </w:p>
    <w:p>
      <w:pPr>
        <w:pStyle w:val="BodyText"/>
        <w:spacing w:line="300" w:lineRule="auto" w:before="31"/>
        <w:ind w:left="153" w:right="181" w:firstLine="360"/>
        <w:jc w:val="left"/>
      </w:pPr>
      <w:r>
        <w:rPr/>
        <w:t>（</w:t>
      </w:r>
      <w:r>
        <w:rPr>
          <w:rFonts w:ascii="Times New Roman" w:hAnsi="Times New Roman" w:cs="Times New Roman" w:eastAsia="Times New Roman" w:hint="default"/>
        </w:rPr>
        <w:t>4</w:t>
      </w:r>
      <w:r>
        <w:rPr/>
        <w:t>）评价由公司管理层聘请的外部评估机构的独立性、客观性、经验和资质，并邀请我们的内部评估专家对公允价值 评估所采用的方法和关键假设进行了复核；</w:t>
      </w:r>
    </w:p>
    <w:p>
      <w:pPr>
        <w:pStyle w:val="BodyText"/>
        <w:spacing w:line="240" w:lineRule="auto" w:before="31"/>
        <w:ind w:left="513" w:right="125"/>
        <w:jc w:val="left"/>
      </w:pPr>
      <w:r>
        <w:rPr/>
        <w:t>（</w:t>
      </w:r>
      <w:r>
        <w:rPr>
          <w:rFonts w:ascii="Times New Roman" w:hAnsi="Times New Roman" w:cs="Times New Roman" w:eastAsia="Times New Roman" w:hint="default"/>
        </w:rPr>
        <w:t>5</w:t>
      </w:r>
      <w:r>
        <w:rPr/>
        <w:t>）测试未来现金流量净现值的计算是否准确；</w:t>
      </w:r>
    </w:p>
    <w:p>
      <w:pPr>
        <w:pStyle w:val="BodyText"/>
        <w:spacing w:line="240" w:lineRule="auto" w:before="63"/>
        <w:ind w:left="371" w:right="125"/>
        <w:jc w:val="left"/>
      </w:pPr>
      <w:r>
        <w:rPr/>
        <w:t>（</w:t>
      </w:r>
      <w:r>
        <w:rPr>
          <w:rFonts w:ascii="Times New Roman" w:hAnsi="Times New Roman" w:cs="Times New Roman" w:eastAsia="Times New Roman" w:hint="default"/>
        </w:rPr>
        <w:t>6</w:t>
      </w:r>
      <w:r>
        <w:rPr/>
        <w:t>）评估管理层于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日对商誉及其减值估计结果、财务报表的披露是否恰当。</w:t>
      </w:r>
    </w:p>
    <w:p>
      <w:pPr>
        <w:pStyle w:val="Heading5"/>
        <w:spacing w:line="240" w:lineRule="auto" w:before="63"/>
        <w:ind w:right="125"/>
        <w:jc w:val="left"/>
        <w:rPr>
          <w:b w:val="0"/>
          <w:bCs w:val="0"/>
        </w:rPr>
      </w:pPr>
      <w:r>
        <w:rPr/>
        <w:t>（二）收入确认</w:t>
      </w:r>
      <w:r>
        <w:rPr>
          <w:b w:val="0"/>
          <w:bCs w:val="0"/>
        </w:rPr>
      </w:r>
    </w:p>
    <w:p>
      <w:pPr>
        <w:pStyle w:val="Heading5"/>
        <w:spacing w:line="240" w:lineRule="auto" w:before="76"/>
        <w:ind w:right="125"/>
        <w:jc w:val="left"/>
        <w:rPr>
          <w:b w:val="0"/>
          <w:bCs w:val="0"/>
        </w:rPr>
      </w:pPr>
      <w:r>
        <w:rPr>
          <w:rFonts w:ascii="Times New Roman" w:hAnsi="Times New Roman" w:cs="Times New Roman" w:eastAsia="Times New Roman" w:hint="default"/>
        </w:rPr>
        <w:t>1</w:t>
      </w:r>
      <w:r>
        <w:rPr/>
        <w:t>、事项描述</w:t>
      </w:r>
      <w:r>
        <w:rPr>
          <w:b w:val="0"/>
          <w:bCs w:val="0"/>
        </w:rPr>
      </w:r>
    </w:p>
    <w:p>
      <w:pPr>
        <w:pStyle w:val="BodyText"/>
        <w:spacing w:line="300" w:lineRule="auto" w:before="63"/>
        <w:ind w:left="634" w:right="150"/>
        <w:jc w:val="left"/>
      </w:pPr>
      <w:r>
        <w:rPr/>
        <w:t>请参阅财务报表附注</w:t>
      </w:r>
      <w:r>
        <w:rPr>
          <w:rFonts w:ascii="Times New Roman" w:hAnsi="Times New Roman" w:cs="Times New Roman" w:eastAsia="Times New Roman" w:hint="default"/>
        </w:rPr>
        <w:t>“</w:t>
      </w:r>
      <w:r>
        <w:rPr/>
        <w:t>四、重要会计政策和会计估计</w:t>
      </w:r>
      <w:r>
        <w:rPr>
          <w:rFonts w:ascii="Times New Roman" w:hAnsi="Times New Roman" w:cs="Times New Roman" w:eastAsia="Times New Roman" w:hint="default"/>
        </w:rPr>
        <w:t>”(20)</w:t>
      </w:r>
      <w:r>
        <w:rPr>
          <w:rFonts w:ascii="Times New Roman" w:hAnsi="Times New Roman" w:cs="Times New Roman" w:eastAsia="Times New Roman" w:hint="default"/>
          <w:spacing w:val="25"/>
        </w:rPr>
        <w:t> </w:t>
      </w:r>
      <w:r>
        <w:rPr/>
        <w:t>收入及</w:t>
      </w:r>
      <w:r>
        <w:rPr>
          <w:rFonts w:ascii="Times New Roman" w:hAnsi="Times New Roman" w:cs="Times New Roman" w:eastAsia="Times New Roman" w:hint="default"/>
        </w:rPr>
        <w:t>“</w:t>
      </w:r>
      <w:r>
        <w:rPr/>
        <w:t>六、合并财务报表项目注释</w:t>
      </w:r>
      <w:r>
        <w:rPr>
          <w:rFonts w:ascii="Times New Roman" w:hAnsi="Times New Roman" w:cs="Times New Roman" w:eastAsia="Times New Roman" w:hint="default"/>
        </w:rPr>
        <w:t>”37</w:t>
      </w:r>
      <w:r>
        <w:rPr/>
        <w:t>营业收入和成本。 华媒控股公司收入类型主要为</w:t>
      </w:r>
      <w:r>
        <w:rPr>
          <w:rFonts w:ascii="Times New Roman" w:hAnsi="Times New Roman" w:cs="Times New Roman" w:eastAsia="Times New Roman" w:hint="default"/>
        </w:rPr>
        <w:t>5</w:t>
      </w:r>
      <w:r>
        <w:rPr/>
        <w:t>大类：（</w:t>
      </w:r>
      <w:r>
        <w:rPr>
          <w:rFonts w:ascii="Times New Roman" w:hAnsi="Times New Roman" w:cs="Times New Roman" w:eastAsia="Times New Roman" w:hint="default"/>
        </w:rPr>
        <w:t>1</w:t>
      </w:r>
      <w:r>
        <w:rPr/>
        <w:t>）报刊发行收入（</w:t>
      </w:r>
      <w:r>
        <w:rPr>
          <w:rFonts w:ascii="Times New Roman" w:hAnsi="Times New Roman" w:cs="Times New Roman" w:eastAsia="Times New Roman" w:hint="default"/>
        </w:rPr>
        <w:t>2</w:t>
      </w:r>
      <w:r>
        <w:rPr/>
        <w:t>）广告策划收入（</w:t>
      </w:r>
      <w:r>
        <w:rPr>
          <w:rFonts w:ascii="Times New Roman" w:hAnsi="Times New Roman" w:cs="Times New Roman" w:eastAsia="Times New Roman" w:hint="default"/>
        </w:rPr>
        <w:t>3</w:t>
      </w:r>
      <w:r>
        <w:rPr/>
        <w:t>）印刷收入（</w:t>
      </w:r>
      <w:r>
        <w:rPr>
          <w:rFonts w:ascii="Times New Roman" w:hAnsi="Times New Roman" w:cs="Times New Roman" w:eastAsia="Times New Roman" w:hint="default"/>
        </w:rPr>
        <w:t>4</w:t>
      </w:r>
      <w:r>
        <w:rPr/>
        <w:t>）信息服务收入（</w:t>
      </w:r>
      <w:r>
        <w:rPr>
          <w:rFonts w:ascii="Times New Roman" w:hAnsi="Times New Roman" w:cs="Times New Roman" w:eastAsia="Times New Roman" w:hint="default"/>
        </w:rPr>
        <w:t>5</w:t>
      </w:r>
      <w:r>
        <w:rPr/>
        <w:t>）</w:t>
      </w:r>
    </w:p>
    <w:p>
      <w:pPr>
        <w:pStyle w:val="BodyText"/>
        <w:spacing w:line="300" w:lineRule="auto" w:before="13"/>
        <w:ind w:right="180"/>
        <w:jc w:val="left"/>
      </w:pPr>
      <w:r>
        <w:rPr/>
        <w:t>教育培训收入。华媒控股公司</w:t>
      </w:r>
      <w:r>
        <w:rPr>
          <w:rFonts w:ascii="Times New Roman" w:hAnsi="Times New Roman" w:cs="Times New Roman" w:eastAsia="Times New Roman" w:hint="default"/>
        </w:rPr>
        <w:t>2017</w:t>
      </w:r>
      <w:r>
        <w:rPr/>
        <w:t>年度营业收入金额为</w:t>
      </w:r>
      <w:r>
        <w:rPr>
          <w:rFonts w:ascii="Times New Roman" w:hAnsi="Times New Roman" w:cs="Times New Roman" w:eastAsia="Times New Roman" w:hint="default"/>
        </w:rPr>
        <w:t>183,226.80</w:t>
      </w:r>
      <w:r>
        <w:rPr/>
        <w:t>万元，收入金额重大且为关键业绩指标，从而存在管理层</w:t>
      </w:r>
      <w:r>
        <w:rPr>
          <w:spacing w:val="-85"/>
        </w:rPr>
        <w:t> </w:t>
      </w:r>
      <w:r>
        <w:rPr>
          <w:spacing w:val="-85"/>
        </w:rPr>
      </w:r>
      <w:r>
        <w:rPr/>
        <w:t>为了达到特定目标或期望而操纵收入确认时点的固有风险，因此，我们将收入确认识别为关键审计事项。</w:t>
      </w:r>
    </w:p>
    <w:p>
      <w:pPr>
        <w:spacing w:line="300" w:lineRule="auto" w:before="31"/>
        <w:ind w:left="634" w:right="7170"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、审计应对</w:t>
      </w:r>
      <w:r>
        <w:rPr>
          <w:rFonts w:ascii="宋体" w:hAnsi="宋体" w:cs="宋体" w:eastAsia="宋体" w:hint="default"/>
          <w:b/>
          <w:bCs/>
          <w:spacing w:val="1"/>
          <w:w w:val="99"/>
          <w:sz w:val="18"/>
          <w:szCs w:val="18"/>
        </w:rPr>
        <w:t> </w:t>
      </w:r>
      <w:r>
        <w:rPr>
          <w:rFonts w:ascii="宋体" w:hAnsi="宋体" w:cs="宋体" w:eastAsia="宋体" w:hint="default"/>
          <w:sz w:val="18"/>
          <w:szCs w:val="18"/>
        </w:rPr>
        <w:t>我们执行的主要审计程序：</w:t>
      </w:r>
    </w:p>
    <w:p>
      <w:pPr>
        <w:pStyle w:val="BodyText"/>
        <w:spacing w:line="240" w:lineRule="auto" w:before="31"/>
        <w:ind w:left="634" w:right="125"/>
        <w:jc w:val="left"/>
      </w:pPr>
      <w:r>
        <w:rPr/>
        <w:t>（</w:t>
      </w:r>
      <w:r>
        <w:rPr>
          <w:rFonts w:ascii="Times New Roman" w:hAnsi="Times New Roman" w:cs="Times New Roman" w:eastAsia="Times New Roman" w:hint="default"/>
        </w:rPr>
        <w:t>1</w:t>
      </w:r>
      <w:r>
        <w:rPr/>
        <w:t>）了解和评价管理层与收入确认相关的关键内部控制的设计和运行有效性；</w:t>
      </w:r>
    </w:p>
    <w:p>
      <w:pPr>
        <w:pStyle w:val="BodyText"/>
        <w:spacing w:line="240" w:lineRule="auto" w:before="63"/>
        <w:ind w:left="634" w:right="125"/>
        <w:jc w:val="left"/>
      </w:pPr>
      <w:r>
        <w:rPr/>
        <w:t>（</w:t>
      </w:r>
      <w:r>
        <w:rPr>
          <w:rFonts w:ascii="Times New Roman" w:hAnsi="Times New Roman" w:cs="Times New Roman" w:eastAsia="Times New Roman" w:hint="default"/>
        </w:rPr>
        <w:t>2</w:t>
      </w:r>
      <w:r>
        <w:rPr/>
        <w:t>）运用分析性复核，将数据与上年数据，同行业可比公司进行比较；</w:t>
      </w:r>
    </w:p>
    <w:p>
      <w:pPr>
        <w:pStyle w:val="BodyText"/>
        <w:spacing w:line="240" w:lineRule="auto" w:before="63"/>
        <w:ind w:left="634" w:right="125"/>
        <w:jc w:val="left"/>
      </w:pPr>
      <w:r>
        <w:rPr/>
        <w:t>（</w:t>
      </w:r>
      <w:r>
        <w:rPr>
          <w:rFonts w:ascii="Times New Roman" w:hAnsi="Times New Roman" w:cs="Times New Roman" w:eastAsia="Times New Roman" w:hint="default"/>
        </w:rPr>
        <w:t>3</w:t>
      </w:r>
      <w:r>
        <w:rPr/>
        <w:t>）检查报刊发行收入的报纸投递情况和收款情况；</w:t>
      </w:r>
    </w:p>
    <w:p>
      <w:pPr>
        <w:pStyle w:val="BodyText"/>
        <w:spacing w:line="240" w:lineRule="auto" w:before="63"/>
        <w:ind w:left="634" w:right="125"/>
        <w:jc w:val="left"/>
      </w:pPr>
      <w:r>
        <w:rPr/>
        <w:t>（</w:t>
      </w:r>
      <w:r>
        <w:rPr>
          <w:rFonts w:ascii="Times New Roman" w:hAnsi="Times New Roman" w:cs="Times New Roman" w:eastAsia="Times New Roman" w:hint="default"/>
        </w:rPr>
        <w:t>4</w:t>
      </w:r>
      <w:r>
        <w:rPr/>
        <w:t>）检查广告及策划收入的广告合同，广告刊登情况；</w:t>
      </w:r>
    </w:p>
    <w:p>
      <w:pPr>
        <w:pStyle w:val="BodyText"/>
        <w:spacing w:line="240" w:lineRule="auto" w:before="63"/>
        <w:ind w:left="642" w:right="125"/>
        <w:jc w:val="left"/>
      </w:pPr>
      <w:r>
        <w:rPr/>
        <w:t>（</w:t>
      </w:r>
      <w:r>
        <w:rPr>
          <w:rFonts w:ascii="Times New Roman" w:hAnsi="Times New Roman" w:cs="Times New Roman" w:eastAsia="Times New Roman" w:hint="default"/>
        </w:rPr>
        <w:t>5</w:t>
      </w:r>
      <w:r>
        <w:rPr/>
        <w:t>）检查印刷收入的印刷合同，订单，运输记录和验收记录；</w:t>
      </w:r>
    </w:p>
    <w:p>
      <w:pPr>
        <w:pStyle w:val="BodyText"/>
        <w:spacing w:line="240" w:lineRule="auto" w:before="63"/>
        <w:ind w:left="642" w:right="125"/>
        <w:jc w:val="left"/>
      </w:pPr>
      <w:r>
        <w:rPr/>
        <w:t>（</w:t>
      </w:r>
      <w:r>
        <w:rPr>
          <w:rFonts w:ascii="Times New Roman" w:hAnsi="Times New Roman" w:cs="Times New Roman" w:eastAsia="Times New Roman" w:hint="default"/>
        </w:rPr>
        <w:t>6</w:t>
      </w:r>
      <w:r>
        <w:rPr/>
        <w:t>）检查信息服务收入的移动平台数据，结算单，对账单及期后回款；</w:t>
      </w:r>
    </w:p>
    <w:p>
      <w:pPr>
        <w:pStyle w:val="BodyText"/>
        <w:spacing w:line="240" w:lineRule="auto" w:before="63"/>
        <w:ind w:left="641" w:right="125"/>
        <w:jc w:val="left"/>
      </w:pPr>
      <w:r>
        <w:rPr/>
        <w:t>（</w:t>
      </w:r>
      <w:r>
        <w:rPr>
          <w:rFonts w:ascii="Times New Roman" w:hAnsi="Times New Roman" w:cs="Times New Roman" w:eastAsia="Times New Roman" w:hint="default"/>
        </w:rPr>
        <w:t>7</w:t>
      </w:r>
      <w:r>
        <w:rPr/>
        <w:t>）检查教育培训收入的与高校的合作协议，学费收取情况，与高校的结算单，教师授课情况，学生考勤记录；</w:t>
      </w:r>
    </w:p>
    <w:p>
      <w:pPr>
        <w:pStyle w:val="BodyText"/>
        <w:spacing w:line="240" w:lineRule="auto" w:before="63"/>
        <w:ind w:left="642" w:right="125"/>
        <w:jc w:val="left"/>
      </w:pPr>
      <w:r>
        <w:rPr/>
        <w:t>（</w:t>
      </w:r>
      <w:r>
        <w:rPr>
          <w:rFonts w:ascii="Times New Roman" w:hAnsi="Times New Roman" w:cs="Times New Roman" w:eastAsia="Times New Roman" w:hint="default"/>
        </w:rPr>
        <w:t>8</w:t>
      </w:r>
      <w:r>
        <w:rPr/>
        <w:t>）对大额的交易额和应收账款余额执行函证程序。</w:t>
      </w:r>
    </w:p>
    <w:p>
      <w:pPr>
        <w:pStyle w:val="Heading5"/>
        <w:spacing w:line="240" w:lineRule="auto" w:before="63"/>
        <w:ind w:right="125"/>
        <w:jc w:val="left"/>
        <w:rPr>
          <w:b w:val="0"/>
          <w:bCs w:val="0"/>
        </w:rPr>
      </w:pPr>
      <w:r>
        <w:rPr/>
        <w:t>（三）可供出售金融资产和长期股权投资确认</w:t>
      </w:r>
      <w:r>
        <w:rPr>
          <w:b w:val="0"/>
          <w:bCs w:val="0"/>
        </w:rPr>
      </w:r>
    </w:p>
    <w:p>
      <w:pPr>
        <w:pStyle w:val="Heading5"/>
        <w:spacing w:line="240" w:lineRule="auto" w:before="76"/>
        <w:ind w:right="125"/>
        <w:jc w:val="left"/>
        <w:rPr>
          <w:b w:val="0"/>
          <w:bCs w:val="0"/>
        </w:rPr>
      </w:pPr>
      <w:r>
        <w:rPr>
          <w:rFonts w:ascii="Times New Roman" w:hAnsi="Times New Roman" w:cs="Times New Roman" w:eastAsia="Times New Roman" w:hint="default"/>
        </w:rPr>
        <w:t>1</w:t>
      </w:r>
      <w:r>
        <w:rPr/>
        <w:t>、事项描述</w:t>
      </w:r>
      <w:r>
        <w:rPr>
          <w:b w:val="0"/>
          <w:bCs w:val="0"/>
        </w:rPr>
      </w:r>
    </w:p>
    <w:p>
      <w:pPr>
        <w:pStyle w:val="BodyText"/>
        <w:spacing w:line="300" w:lineRule="auto" w:before="63"/>
        <w:ind w:right="83" w:firstLine="480"/>
        <w:jc w:val="left"/>
      </w:pPr>
      <w:r>
        <w:rPr/>
        <w:t>参见财务报表附注</w:t>
      </w:r>
      <w:r>
        <w:rPr>
          <w:rFonts w:ascii="Times New Roman" w:hAnsi="Times New Roman" w:cs="Times New Roman" w:eastAsia="Times New Roman" w:hint="default"/>
        </w:rPr>
        <w:t>“</w:t>
      </w:r>
      <w:r>
        <w:rPr/>
        <w:t>四、重要会计政策和会计估计</w:t>
      </w:r>
      <w:r>
        <w:rPr>
          <w:rFonts w:ascii="Times New Roman" w:hAnsi="Times New Roman" w:cs="Times New Roman" w:eastAsia="Times New Roman" w:hint="default"/>
        </w:rPr>
        <w:t>”(4)</w:t>
      </w:r>
      <w:r>
        <w:rPr>
          <w:rFonts w:ascii="Times New Roman" w:hAnsi="Times New Roman" w:cs="Times New Roman" w:eastAsia="Times New Roman" w:hint="default"/>
          <w:spacing w:val="19"/>
        </w:rPr>
        <w:t> </w:t>
      </w:r>
      <w:r>
        <w:rPr/>
        <w:t>同一控制下和非同一控制下企业合并的会计处理方法，（</w:t>
      </w:r>
      <w:r>
        <w:rPr>
          <w:rFonts w:ascii="Times New Roman" w:hAnsi="Times New Roman" w:cs="Times New Roman" w:eastAsia="Times New Roman" w:hint="default"/>
        </w:rPr>
        <w:t>8</w:t>
      </w:r>
      <w:r>
        <w:rPr/>
        <w:t>）金</w:t>
      </w:r>
      <w:r>
        <w:rPr>
          <w:spacing w:val="-4"/>
        </w:rPr>
        <w:t> </w:t>
      </w:r>
      <w:r>
        <w:rPr>
          <w:spacing w:val="-3"/>
        </w:rPr>
        <w:t>融工具，（</w:t>
      </w:r>
      <w:r>
        <w:rPr>
          <w:rFonts w:ascii="Times New Roman" w:hAnsi="Times New Roman" w:cs="Times New Roman" w:eastAsia="Times New Roman" w:hint="default"/>
          <w:spacing w:val="-3"/>
        </w:rPr>
        <w:t>11</w:t>
      </w:r>
      <w:r>
        <w:rPr>
          <w:spacing w:val="-3"/>
        </w:rPr>
        <w:t>）长期股权投资，（</w:t>
      </w:r>
      <w:r>
        <w:rPr>
          <w:rFonts w:ascii="Times New Roman" w:hAnsi="Times New Roman" w:cs="Times New Roman" w:eastAsia="Times New Roman" w:hint="default"/>
          <w:spacing w:val="-3"/>
        </w:rPr>
        <w:t>17</w:t>
      </w:r>
      <w:r>
        <w:rPr>
          <w:spacing w:val="-3"/>
        </w:rPr>
        <w:t>）长期资产减值及</w:t>
      </w:r>
      <w:r>
        <w:rPr>
          <w:rFonts w:ascii="Times New Roman" w:hAnsi="Times New Roman" w:cs="Times New Roman" w:eastAsia="Times New Roman" w:hint="default"/>
          <w:spacing w:val="-3"/>
        </w:rPr>
        <w:t>“</w:t>
      </w:r>
      <w:r>
        <w:rPr>
          <w:spacing w:val="-3"/>
        </w:rPr>
        <w:t>六、合并财务报表项目注释</w:t>
      </w:r>
      <w:r>
        <w:rPr>
          <w:rFonts w:ascii="Times New Roman" w:hAnsi="Times New Roman" w:cs="Times New Roman" w:eastAsia="Times New Roman" w:hint="default"/>
          <w:spacing w:val="-3"/>
        </w:rPr>
        <w:t>”10</w:t>
      </w:r>
      <w:r>
        <w:rPr>
          <w:spacing w:val="-3"/>
        </w:rPr>
        <w:t>可供出售金融资产，</w:t>
      </w:r>
      <w:r>
        <w:rPr>
          <w:rFonts w:ascii="Times New Roman" w:hAnsi="Times New Roman" w:cs="Times New Roman" w:eastAsia="Times New Roman" w:hint="default"/>
          <w:spacing w:val="-3"/>
        </w:rPr>
        <w:t>11</w:t>
      </w:r>
      <w:r>
        <w:rPr>
          <w:spacing w:val="-3"/>
        </w:rPr>
        <w:t>长期股权投资。</w:t>
      </w:r>
    </w:p>
    <w:p>
      <w:pPr>
        <w:spacing w:line="240" w:lineRule="auto" w:before="11"/>
        <w:rPr>
          <w:rFonts w:ascii="宋体" w:hAnsi="宋体" w:cs="宋体" w:eastAsia="宋体" w:hint="default"/>
          <w:sz w:val="24"/>
          <w:szCs w:val="24"/>
        </w:rPr>
      </w:pPr>
    </w:p>
    <w:p>
      <w:pPr>
        <w:pStyle w:val="BodyText"/>
        <w:spacing w:line="304" w:lineRule="auto"/>
        <w:ind w:right="90" w:firstLine="48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日，浙江华媒控股股份有限公司合并财务报表中可供出售金融资产金额为</w:t>
      </w:r>
      <w:r>
        <w:rPr>
          <w:rFonts w:ascii="Times New Roman" w:hAnsi="Times New Roman" w:cs="Times New Roman" w:eastAsia="Times New Roman" w:hint="default"/>
        </w:rPr>
        <w:t>11,585.74</w:t>
      </w:r>
      <w:r>
        <w:rPr/>
        <w:t>万元，长期股权投资 金额为</w:t>
      </w:r>
      <w:r>
        <w:rPr>
          <w:rFonts w:ascii="Times New Roman" w:hAnsi="Times New Roman" w:cs="Times New Roman" w:eastAsia="Times New Roman" w:hint="default"/>
        </w:rPr>
        <w:t>53,355.86</w:t>
      </w:r>
      <w:r>
        <w:rPr/>
        <w:t>万元，合计为</w:t>
      </w:r>
      <w:r>
        <w:rPr>
          <w:rFonts w:ascii="Times New Roman" w:hAnsi="Times New Roman" w:cs="Times New Roman" w:eastAsia="Times New Roman" w:hint="default"/>
        </w:rPr>
        <w:t>64,941.60</w:t>
      </w:r>
      <w:r>
        <w:rPr/>
        <w:t>万元，占期末资产总额的比例为</w:t>
      </w:r>
      <w:r>
        <w:rPr>
          <w:rFonts w:ascii="Times New Roman" w:hAnsi="Times New Roman" w:cs="Times New Roman" w:eastAsia="Times New Roman" w:hint="default"/>
        </w:rPr>
        <w:t>20.29%</w:t>
      </w:r>
      <w:r>
        <w:rPr/>
        <w:t>，金额重大。且本期发生多笔股权投资或处</w:t>
      </w:r>
      <w:r>
        <w:rPr>
          <w:spacing w:val="-27"/>
        </w:rPr>
        <w:t> </w:t>
      </w:r>
      <w:r>
        <w:rPr>
          <w:spacing w:val="-27"/>
        </w:rPr>
      </w:r>
      <w:r>
        <w:rPr/>
        <w:t>置交易，主要为（</w:t>
      </w:r>
      <w:r>
        <w:rPr>
          <w:rFonts w:ascii="Times New Roman" w:hAnsi="Times New Roman" w:cs="Times New Roman" w:eastAsia="Times New Roman" w:hint="default"/>
        </w:rPr>
        <w:t>1</w:t>
      </w:r>
      <w:r>
        <w:rPr/>
        <w:t>）本期处置持有的快点文化传播（上海）有限公司</w:t>
      </w:r>
      <w:r>
        <w:rPr>
          <w:rFonts w:ascii="Times New Roman" w:hAnsi="Times New Roman" w:cs="Times New Roman" w:eastAsia="Times New Roman" w:hint="default"/>
        </w:rPr>
        <w:t>12%</w:t>
      </w:r>
      <w:r>
        <w:rPr/>
        <w:t>的股权，长期股权投资核算方法由成本法转为权</w:t>
      </w:r>
      <w:r>
        <w:rPr>
          <w:spacing w:val="-58"/>
        </w:rPr>
        <w:t> </w:t>
      </w:r>
      <w:r>
        <w:rPr>
          <w:spacing w:val="-58"/>
        </w:rPr>
      </w:r>
      <w:r>
        <w:rPr/>
        <w:t>益法核算；（</w:t>
      </w:r>
      <w:r>
        <w:rPr>
          <w:rFonts w:ascii="Times New Roman" w:hAnsi="Times New Roman" w:cs="Times New Roman" w:eastAsia="Times New Roman" w:hint="default"/>
        </w:rPr>
        <w:t>2</w:t>
      </w:r>
      <w:r>
        <w:rPr/>
        <w:t>）本期持有的上海合印科技股份有限公司（以下简称</w:t>
      </w:r>
      <w:r>
        <w:rPr>
          <w:rFonts w:ascii="Times New Roman" w:hAnsi="Times New Roman" w:cs="Times New Roman" w:eastAsia="Times New Roman" w:hint="default"/>
        </w:rPr>
        <w:t>“</w:t>
      </w:r>
      <w:r>
        <w:rPr/>
        <w:t>上海合印</w:t>
      </w:r>
      <w:r>
        <w:rPr>
          <w:rFonts w:ascii="Times New Roman" w:hAnsi="Times New Roman" w:cs="Times New Roman" w:eastAsia="Times New Roman" w:hint="default"/>
        </w:rPr>
        <w:t>”</w:t>
      </w:r>
      <w:r>
        <w:rPr/>
        <w:t>）的股权，因对上海合印股权的持有意图从</w:t>
      </w:r>
      <w:r>
        <w:rPr>
          <w:spacing w:val="-69"/>
        </w:rPr>
        <w:t> </w:t>
      </w:r>
      <w:r>
        <w:rPr>
          <w:spacing w:val="-69"/>
        </w:rPr>
      </w:r>
      <w:r>
        <w:rPr>
          <w:spacing w:val="-2"/>
        </w:rPr>
        <w:t>战略性投资变为财务性投资，不再参与上海合印的日常经营管理，也没有保留其他可能对上海合印实施重大影响的方式，由</w:t>
      </w:r>
      <w:r>
        <w:rPr>
          <w:spacing w:val="-66"/>
        </w:rPr>
        <w:t> </w:t>
      </w:r>
      <w:r>
        <w:rPr>
          <w:spacing w:val="-66"/>
        </w:rPr>
      </w:r>
      <w:r>
        <w:rPr/>
        <w:t>权益法转为可供出售金融资产；（</w:t>
      </w:r>
      <w:r>
        <w:rPr>
          <w:rFonts w:ascii="Times New Roman" w:hAnsi="Times New Roman" w:cs="Times New Roman" w:eastAsia="Times New Roman" w:hint="default"/>
        </w:rPr>
        <w:t>3</w:t>
      </w:r>
      <w:r>
        <w:rPr/>
        <w:t>）本期发生同一控制下合并杭州萧山萧报教育咨询有限公司和杭州华媒企业管理有限公</w:t>
      </w:r>
      <w:r>
        <w:rPr>
          <w:spacing w:val="-83"/>
        </w:rPr>
        <w:t> </w:t>
      </w:r>
      <w:r>
        <w:rPr>
          <w:spacing w:val="-83"/>
        </w:rPr>
      </w:r>
      <w:r>
        <w:rPr/>
        <w:t>司，涉及合并日的判断，长期股权投资金额的确认以及对比较数据的追溯调整。从交易的性质和会计处理的复杂程度来看， 错报风险高，因此，我们将可供出售金融资产和长期股权投资确认识别为关键审计事项。</w:t>
      </w:r>
    </w:p>
    <w:p>
      <w:pPr>
        <w:spacing w:line="300" w:lineRule="auto" w:before="28"/>
        <w:ind w:left="634" w:right="7170"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、审计应对</w:t>
      </w:r>
      <w:r>
        <w:rPr>
          <w:rFonts w:ascii="宋体" w:hAnsi="宋体" w:cs="宋体" w:eastAsia="宋体" w:hint="default"/>
          <w:b/>
          <w:bCs/>
          <w:spacing w:val="1"/>
          <w:w w:val="99"/>
          <w:sz w:val="18"/>
          <w:szCs w:val="18"/>
        </w:rPr>
        <w:t> </w:t>
      </w:r>
      <w:r>
        <w:rPr>
          <w:rFonts w:ascii="宋体" w:hAnsi="宋体" w:cs="宋体" w:eastAsia="宋体" w:hint="default"/>
          <w:sz w:val="18"/>
          <w:szCs w:val="18"/>
        </w:rPr>
        <w:t>我们执行的主要审计程序：</w:t>
      </w:r>
    </w:p>
    <w:p>
      <w:pPr>
        <w:pStyle w:val="BodyText"/>
        <w:spacing w:line="240" w:lineRule="auto" w:before="31"/>
        <w:ind w:left="634" w:right="125"/>
        <w:jc w:val="left"/>
      </w:pPr>
      <w:r>
        <w:rPr/>
        <w:t>（</w:t>
      </w:r>
      <w:r>
        <w:rPr>
          <w:rFonts w:ascii="Times New Roman" w:hAnsi="Times New Roman" w:cs="Times New Roman" w:eastAsia="Times New Roman" w:hint="default"/>
        </w:rPr>
        <w:t>1</w:t>
      </w:r>
      <w:r>
        <w:rPr/>
        <w:t>）了解公司股权投资或处置的交易背景和管理层意图；</w:t>
      </w:r>
    </w:p>
    <w:p>
      <w:pPr>
        <w:pStyle w:val="BodyText"/>
        <w:spacing w:line="240" w:lineRule="auto" w:before="63"/>
        <w:ind w:left="634" w:right="125"/>
        <w:jc w:val="left"/>
      </w:pPr>
      <w:r>
        <w:rPr/>
        <w:t>（</w:t>
      </w:r>
      <w:r>
        <w:rPr>
          <w:rFonts w:ascii="Times New Roman" w:hAnsi="Times New Roman" w:cs="Times New Roman" w:eastAsia="Times New Roman" w:hint="default"/>
        </w:rPr>
        <w:t>2</w:t>
      </w:r>
      <w:r>
        <w:rPr/>
        <w:t>）获取公司的股东会决议，转让协议，收购协议，评估报告，股权持有意图发生变更的声明，工商变更资料，变</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125"/>
        <w:jc w:val="left"/>
      </w:pPr>
      <w:r>
        <w:rPr/>
        <w:t>更后的公司章程，复核股权投资或处置的确认依据是否充分，确认时点是否准确；</w:t>
      </w:r>
    </w:p>
    <w:p>
      <w:pPr>
        <w:pStyle w:val="BodyText"/>
        <w:spacing w:line="300" w:lineRule="auto" w:before="76"/>
        <w:ind w:right="187" w:firstLine="480"/>
        <w:jc w:val="both"/>
      </w:pPr>
      <w:r>
        <w:rPr/>
        <w:t>（</w:t>
      </w:r>
      <w:r>
        <w:rPr>
          <w:rFonts w:ascii="Times New Roman" w:hAnsi="Times New Roman" w:cs="Times New Roman" w:eastAsia="Times New Roman" w:hint="default"/>
        </w:rPr>
        <w:t>3</w:t>
      </w:r>
      <w:r>
        <w:rPr/>
        <w:t>）通过查阅企业会计准则，会计参考文献及类似案例，并咨询本所技术部专家会计处理是否正确，与管理层讨论</w:t>
      </w:r>
      <w:r>
        <w:rPr>
          <w:spacing w:val="1"/>
        </w:rPr>
        <w:t> </w:t>
      </w:r>
      <w:r>
        <w:rPr/>
        <w:t>企业会计处理是否正确；</w:t>
      </w:r>
    </w:p>
    <w:p>
      <w:pPr>
        <w:pStyle w:val="BodyText"/>
        <w:spacing w:line="309" w:lineRule="auto" w:before="31"/>
        <w:ind w:right="187" w:firstLine="480"/>
        <w:jc w:val="both"/>
      </w:pPr>
      <w:r>
        <w:rPr/>
        <w:t>（</w:t>
      </w:r>
      <w:r>
        <w:rPr>
          <w:rFonts w:ascii="Times New Roman" w:hAnsi="Times New Roman" w:cs="Times New Roman" w:eastAsia="Times New Roman" w:hint="default"/>
        </w:rPr>
        <w:t>4</w:t>
      </w:r>
      <w:r>
        <w:rPr/>
        <w:t>）对长期股权投资由成本法转为权益法核算，对剩余股权采用公允价值价值核算时，我们评价了评估机构的专业</w:t>
      </w:r>
      <w:r>
        <w:rPr>
          <w:spacing w:val="1"/>
        </w:rPr>
        <w:t> </w:t>
      </w:r>
      <w:r>
        <w:rPr>
          <w:spacing w:val="-2"/>
        </w:rPr>
        <w:t>资质、胜任能力和独立性并参考外部评估机构的评估报告，并邀请我们的内部评估专家对公允价值评估所采用的方法和关键</w:t>
      </w:r>
      <w:r>
        <w:rPr>
          <w:spacing w:val="-64"/>
        </w:rPr>
        <w:t> </w:t>
      </w:r>
      <w:r>
        <w:rPr>
          <w:spacing w:val="-64"/>
        </w:rPr>
      </w:r>
      <w:r>
        <w:rPr/>
        <w:t>假设进行了复核；</w:t>
      </w:r>
    </w:p>
    <w:p>
      <w:pPr>
        <w:pStyle w:val="BodyText"/>
        <w:spacing w:line="309" w:lineRule="auto" w:before="24"/>
        <w:ind w:right="187" w:firstLine="480"/>
        <w:jc w:val="both"/>
      </w:pPr>
      <w:r>
        <w:rPr/>
        <w:t>（</w:t>
      </w:r>
      <w:r>
        <w:rPr>
          <w:rFonts w:ascii="Times New Roman" w:hAnsi="Times New Roman" w:cs="Times New Roman" w:eastAsia="Times New Roman" w:hint="default"/>
        </w:rPr>
        <w:t>5</w:t>
      </w:r>
      <w:r>
        <w:rPr/>
        <w:t>）对重要的联营企业由项目组成员执行审计程序，对非重要的联营企业和合营企业获取外部审计报告并复核审计</w:t>
      </w:r>
      <w:r>
        <w:rPr>
          <w:spacing w:val="1"/>
        </w:rPr>
        <w:t> </w:t>
      </w:r>
      <w:r>
        <w:rPr>
          <w:spacing w:val="-2"/>
        </w:rPr>
        <w:t>报告的准确性和真实性，对长期股权投资期末金额与被投资单位净资产份额进行比较，尤其对溢价收购部分关注期末长期股</w:t>
      </w:r>
      <w:r>
        <w:rPr>
          <w:spacing w:val="-64"/>
        </w:rPr>
        <w:t> </w:t>
      </w:r>
      <w:r>
        <w:rPr>
          <w:spacing w:val="-64"/>
        </w:rPr>
      </w:r>
      <w:r>
        <w:rPr/>
        <w:t>权投资是否存在减值迹象，考虑了管理层评价减值迹象是否存在所作出的判断；</w:t>
      </w:r>
    </w:p>
    <w:p>
      <w:pPr>
        <w:pStyle w:val="BodyText"/>
        <w:spacing w:line="300" w:lineRule="auto" w:before="24"/>
        <w:ind w:right="187" w:firstLine="480"/>
        <w:jc w:val="both"/>
      </w:pPr>
      <w:r>
        <w:rPr/>
        <w:t>（</w:t>
      </w:r>
      <w:r>
        <w:rPr>
          <w:rFonts w:ascii="Times New Roman" w:hAnsi="Times New Roman" w:cs="Times New Roman" w:eastAsia="Times New Roman" w:hint="default"/>
        </w:rPr>
        <w:t>6</w:t>
      </w:r>
      <w:r>
        <w:rPr/>
        <w:t>）对权益法核算的可供出售金融资产，我们评估了管理层识别是否存在减值迹象所作出的判断，该评估是基于该</w:t>
      </w:r>
      <w:r>
        <w:rPr>
          <w:spacing w:val="1"/>
        </w:rPr>
        <w:t> </w:t>
      </w:r>
      <w:r>
        <w:rPr/>
        <w:t>金融工具的市场价格或被投资单位的财务状况。</w:t>
      </w:r>
    </w:p>
    <w:p>
      <w:pPr>
        <w:spacing w:line="240" w:lineRule="auto" w:before="11"/>
        <w:rPr>
          <w:rFonts w:ascii="宋体" w:hAnsi="宋体" w:cs="宋体" w:eastAsia="宋体" w:hint="default"/>
          <w:sz w:val="22"/>
          <w:szCs w:val="22"/>
        </w:rPr>
      </w:pPr>
    </w:p>
    <w:p>
      <w:pPr>
        <w:pStyle w:val="BodyText"/>
        <w:spacing w:line="316" w:lineRule="auto" w:before="44"/>
        <w:ind w:left="634" w:right="125" w:firstLine="2"/>
        <w:jc w:val="left"/>
      </w:pPr>
      <w:r>
        <w:rPr>
          <w:rFonts w:ascii="宋体" w:hAnsi="宋体" w:cs="宋体" w:eastAsia="宋体" w:hint="default"/>
          <w:b/>
          <w:bCs/>
        </w:rPr>
        <w:t>四、其他信息</w:t>
      </w:r>
      <w:r>
        <w:rPr>
          <w:rFonts w:ascii="宋体" w:hAnsi="宋体" w:cs="宋体" w:eastAsia="宋体" w:hint="default"/>
          <w:b/>
          <w:bCs/>
          <w:w w:val="99"/>
        </w:rPr>
        <w:t> </w:t>
      </w:r>
      <w:r>
        <w:rPr>
          <w:spacing w:val="-1"/>
        </w:rPr>
        <w:t>华媒控股公司管理层对其他信息负责。其他信息包括</w:t>
      </w:r>
      <w:r>
        <w:rPr>
          <w:rFonts w:ascii="Times New Roman" w:hAnsi="Times New Roman" w:cs="Times New Roman" w:eastAsia="Times New Roman" w:hint="default"/>
          <w:spacing w:val="-1"/>
        </w:rPr>
        <w:t>2017</w:t>
      </w:r>
      <w:r>
        <w:rPr>
          <w:spacing w:val="-1"/>
        </w:rPr>
        <w:t>年度报告中涵盖的信息，但不包括财务报表和我们的审计报</w:t>
      </w:r>
    </w:p>
    <w:p>
      <w:pPr>
        <w:pStyle w:val="BodyText"/>
        <w:spacing w:line="235" w:lineRule="exact"/>
        <w:ind w:right="125"/>
        <w:jc w:val="left"/>
      </w:pPr>
      <w:r>
        <w:rPr/>
        <w:t>告。</w:t>
      </w:r>
    </w:p>
    <w:p>
      <w:pPr>
        <w:pStyle w:val="BodyText"/>
        <w:spacing w:line="316" w:lineRule="auto" w:before="76"/>
        <w:ind w:left="634" w:right="125"/>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结合我们对财务报表的审计，我们的责任是阅读其他信息，在此过程中，考虑其他信息是否与财务报表或我们在审计</w:t>
      </w:r>
    </w:p>
    <w:p>
      <w:pPr>
        <w:pStyle w:val="BodyText"/>
        <w:spacing w:line="316" w:lineRule="auto" w:before="19"/>
        <w:ind w:left="634" w:right="125" w:hanging="480"/>
        <w:jc w:val="left"/>
      </w:pPr>
      <w:r>
        <w:rPr/>
        <w:t>过程中了解到的情况存在重大不一致或者似乎存在重大错报。 </w:t>
      </w:r>
      <w:r>
        <w:rPr>
          <w:spacing w:val="-1"/>
        </w:rPr>
        <w:t>基于我们已执行的工作，如果我们确定其他信息存在重大错报，我们应当报告该事实。在这方面，我们无任何事项需</w:t>
      </w:r>
    </w:p>
    <w:p>
      <w:pPr>
        <w:pStyle w:val="BodyText"/>
        <w:spacing w:line="240" w:lineRule="auto" w:before="19"/>
        <w:ind w:right="125"/>
        <w:jc w:val="left"/>
      </w:pPr>
      <w:r>
        <w:rPr/>
        <w:t>要报告。</w:t>
      </w:r>
    </w:p>
    <w:p>
      <w:pPr>
        <w:spacing w:line="240" w:lineRule="auto" w:before="0"/>
        <w:rPr>
          <w:rFonts w:ascii="宋体" w:hAnsi="宋体" w:cs="宋体" w:eastAsia="宋体" w:hint="default"/>
          <w:sz w:val="18"/>
          <w:szCs w:val="18"/>
        </w:rPr>
      </w:pPr>
    </w:p>
    <w:p>
      <w:pPr>
        <w:spacing w:line="316" w:lineRule="auto" w:before="153"/>
        <w:ind w:left="634" w:right="150" w:firstLine="2"/>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spacing w:val="1"/>
          <w:w w:val="99"/>
          <w:sz w:val="18"/>
          <w:szCs w:val="18"/>
        </w:rPr>
        <w:t> </w:t>
      </w:r>
      <w:r>
        <w:rPr>
          <w:rFonts w:ascii="宋体" w:hAnsi="宋体" w:cs="宋体" w:eastAsia="宋体" w:hint="default"/>
          <w:sz w:val="18"/>
          <w:szCs w:val="18"/>
        </w:rPr>
        <w:t>华媒控股公司管理层（以下简称管理层）负责按照企业会计准则的规定编制财务报表，使其实现公允反映，并设计、</w:t>
      </w:r>
    </w:p>
    <w:p>
      <w:pPr>
        <w:pStyle w:val="BodyText"/>
        <w:spacing w:line="316" w:lineRule="auto" w:before="19"/>
        <w:ind w:left="634" w:right="125" w:hanging="480"/>
        <w:jc w:val="left"/>
      </w:pPr>
      <w:r>
        <w:rPr/>
        <w:t>执行和维护必要的内部控制，以使财务报表不存在由于舞弊或错误导致的重大错报。 </w:t>
      </w:r>
      <w:r>
        <w:rPr>
          <w:spacing w:val="-1"/>
        </w:rPr>
        <w:t>在编制财务报表时，管理层负责评估华媒控股公司的持续经营能力，披露与持续经营相关的事项（如适用），并运用</w:t>
      </w:r>
    </w:p>
    <w:p>
      <w:pPr>
        <w:pStyle w:val="BodyText"/>
        <w:spacing w:line="316" w:lineRule="auto" w:before="19"/>
        <w:ind w:left="634" w:right="2970" w:hanging="480"/>
        <w:jc w:val="left"/>
      </w:pPr>
      <w:r>
        <w:rPr/>
        <w:t>持续经营假设，除非管理层计划清算华媒控股公司、终止运营或别无其他现实的选择。 治理层负责监督华媒控股公司的财务报告过程。</w:t>
      </w:r>
    </w:p>
    <w:p>
      <w:pPr>
        <w:spacing w:line="240" w:lineRule="auto" w:before="4"/>
        <w:rPr>
          <w:rFonts w:ascii="宋体" w:hAnsi="宋体" w:cs="宋体" w:eastAsia="宋体" w:hint="default"/>
          <w:sz w:val="25"/>
          <w:szCs w:val="25"/>
        </w:rPr>
      </w:pPr>
    </w:p>
    <w:p>
      <w:pPr>
        <w:spacing w:line="316" w:lineRule="auto" w:before="0"/>
        <w:ind w:left="634" w:right="125" w:firstLine="2"/>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spacing w:val="1"/>
          <w:w w:val="99"/>
          <w:sz w:val="18"/>
          <w:szCs w:val="18"/>
        </w:rPr>
        <w:t> </w:t>
      </w:r>
      <w:r>
        <w:rPr>
          <w:rFonts w:ascii="宋体" w:hAnsi="宋体" w:cs="宋体" w:eastAsia="宋体" w:hint="default"/>
          <w:spacing w:val="-1"/>
          <w:sz w:val="18"/>
          <w:szCs w:val="18"/>
        </w:rPr>
        <w:t>我们的目标是对财务报表整体是否不存在由于舞弊或错误导致的重大错报获取合理保证，并出具包含审计意见的审计</w:t>
      </w:r>
    </w:p>
    <w:p>
      <w:pPr>
        <w:pStyle w:val="BodyText"/>
        <w:spacing w:line="316" w:lineRule="auto" w:before="19"/>
        <w:ind w:right="189"/>
        <w:jc w:val="both"/>
      </w:pP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9"/>
        <w:ind w:left="634" w:right="125"/>
        <w:jc w:val="left"/>
      </w:pPr>
      <w:r>
        <w:rPr/>
        <w:t>在按照审计准则执行审计工作的过程中，我们运用职业判断，并保持职业怀疑。同时，我们也执行以下工作：</w:t>
      </w:r>
    </w:p>
    <w:p>
      <w:pPr>
        <w:pStyle w:val="BodyText"/>
        <w:spacing w:line="316" w:lineRule="auto" w:before="76"/>
        <w:ind w:right="99" w:firstLine="480"/>
        <w:jc w:val="both"/>
      </w:pPr>
      <w:r>
        <w:rPr>
          <w:spacing w:val="-3"/>
        </w:rPr>
        <w:t>（一）识别和评估由于舞弊或错误导致的财务报表重大错报风险，设计和实施审计程序以应对这些风险，并获取充分、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9"/>
        <w:ind w:left="634" w:right="125"/>
        <w:jc w:val="left"/>
      </w:pPr>
      <w:r>
        <w:rPr/>
        <w:t>（二）了解与审计相关的内部控制，以设计恰当的审计程序。</w:t>
      </w:r>
    </w:p>
    <w:p>
      <w:pPr>
        <w:pStyle w:val="BodyText"/>
        <w:spacing w:line="240" w:lineRule="auto" w:before="76"/>
        <w:ind w:left="634" w:right="125"/>
        <w:jc w:val="left"/>
      </w:pPr>
      <w:r>
        <w:rPr/>
        <w:t>（三）评价管理层选用会计政策的恰当性和作出会计估计及相关披露的合理性。</w:t>
      </w:r>
    </w:p>
    <w:p>
      <w:pPr>
        <w:pStyle w:val="BodyText"/>
        <w:spacing w:line="316" w:lineRule="auto" w:before="76"/>
        <w:ind w:right="189" w:firstLine="480"/>
        <w:jc w:val="both"/>
      </w:pPr>
      <w:r>
        <w:rPr>
          <w:spacing w:val="-1"/>
        </w:rPr>
        <w:t>（四）对管理层使用持续经营假设的恰当性得出结论。同时，根据获取的审计证据，就可能导致对华媒控股公司持续</w:t>
      </w:r>
      <w:r>
        <w:rPr/>
        <w:t> </w:t>
      </w:r>
      <w:r>
        <w:rPr>
          <w:spacing w:val="-2"/>
        </w:rPr>
        <w:t>经营能力产生重大疑虑的事项或情况是否存在重大不确定性得出结论。如果我们得出结论认为存在重大不确定性，审计准则</w:t>
      </w:r>
      <w:r>
        <w:rPr>
          <w:spacing w:val="-64"/>
        </w:rPr>
        <w:t> </w:t>
      </w:r>
      <w:r>
        <w:rPr>
          <w:spacing w:val="-64"/>
        </w:rPr>
      </w:r>
      <w:r>
        <w:rPr>
          <w:spacing w:val="-2"/>
        </w:rPr>
        <w:t>要求我们在审计报告中提请报表使用者注意财务报表中的相关披露；如果披露不充分，我们应当发表非无保留意见。我们的</w:t>
      </w:r>
      <w:r>
        <w:rPr>
          <w:spacing w:val="-66"/>
        </w:rPr>
        <w:t> </w:t>
      </w:r>
      <w:r>
        <w:rPr>
          <w:spacing w:val="-66"/>
        </w:rPr>
      </w:r>
      <w:r>
        <w:rPr/>
        <w:t>结论基于截至审计报告日可获得的信息。然而，未来的事项或情况可能导致华媒控股公司不能持续经营。</w:t>
      </w:r>
    </w:p>
    <w:p>
      <w:pPr>
        <w:pStyle w:val="BodyText"/>
        <w:spacing w:line="240" w:lineRule="auto" w:before="19"/>
        <w:ind w:left="634" w:right="125"/>
        <w:jc w:val="left"/>
      </w:pPr>
      <w:r>
        <w:rPr/>
        <w:t>（五）评价财务报表的总体列报、结构和内容（包括披露），并评价财务报表是否公允反映相关交易和事项。</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51" w:firstLine="480"/>
        <w:jc w:val="both"/>
      </w:pPr>
      <w:r>
        <w:rPr>
          <w:spacing w:val="-1"/>
        </w:rPr>
        <w:t>（六）就华媒控股公司中实体或业务活动的财务信息获取充分、适当的审计证据，以对财务报表发表意见。我们负责</w:t>
      </w:r>
      <w:r>
        <w:rPr/>
        <w:t> 指导、监督和执行集团审计。我们对审计意见承担全部责任。</w:t>
      </w:r>
    </w:p>
    <w:p>
      <w:pPr>
        <w:pStyle w:val="BodyText"/>
        <w:spacing w:line="316" w:lineRule="auto" w:before="19"/>
        <w:ind w:left="153" w:right="150" w:firstLine="470"/>
        <w:jc w:val="both"/>
      </w:pPr>
      <w:r>
        <w:rPr>
          <w:spacing w:val="-1"/>
        </w:rPr>
        <w:t>我们与治理层就计划的审计范围、时间安排和重大审计发现等事项进行沟通，包括沟通我们在审计中识别出的值得关</w:t>
      </w:r>
      <w:r>
        <w:rPr/>
        <w:t> 注的内部控制缺陷。</w:t>
      </w:r>
    </w:p>
    <w:p>
      <w:pPr>
        <w:spacing w:line="240" w:lineRule="auto" w:before="4"/>
        <w:rPr>
          <w:rFonts w:ascii="宋体" w:hAnsi="宋体" w:cs="宋体" w:eastAsia="宋体" w:hint="default"/>
          <w:sz w:val="25"/>
          <w:szCs w:val="25"/>
        </w:rPr>
      </w:pPr>
    </w:p>
    <w:p>
      <w:pPr>
        <w:pStyle w:val="BodyText"/>
        <w:spacing w:line="316" w:lineRule="auto"/>
        <w:ind w:left="153" w:right="150" w:firstLine="480"/>
        <w:jc w:val="both"/>
      </w:pPr>
      <w:r>
        <w:rPr>
          <w:spacing w:val="-1"/>
        </w:rPr>
        <w:t>我们还就已遵守与独立性相关的职业道德要求向治理层提供声明，并与治理层沟通可能被合理认为影响我们独立性的</w:t>
      </w:r>
      <w:r>
        <w:rPr/>
        <w:t> 所有关系和其他事项，以及相关的防范措施（如适用）。</w:t>
      </w:r>
    </w:p>
    <w:p>
      <w:pPr>
        <w:pStyle w:val="BodyText"/>
        <w:spacing w:line="316" w:lineRule="auto" w:before="19"/>
        <w:ind w:left="153" w:right="150" w:firstLine="480"/>
        <w:jc w:val="both"/>
      </w:pPr>
      <w:r>
        <w:rPr>
          <w:spacing w:val="-1"/>
        </w:rPr>
        <w:t>从与治理层沟通过的事项中，我们确定哪些事项对本期财务报表审计最为重要，因而构成关键审计事项。我们在审计</w:t>
      </w:r>
      <w:r>
        <w:rPr/>
        <w:t>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pStyle w:val="BodyText"/>
        <w:tabs>
          <w:tab w:pos="4454" w:val="left" w:leader="none"/>
        </w:tabs>
        <w:spacing w:line="644" w:lineRule="exact" w:before="35"/>
        <w:ind w:left="1908" w:right="2247" w:hanging="1394"/>
        <w:jc w:val="left"/>
      </w:pPr>
      <w:r>
        <w:rPr/>
        <w:t>瑞华会计师事务所（特殊普通合伙）</w:t>
        <w:tab/>
        <w:t>中国注册会计师（项目合伙人）：徐殷鹏 中国</w:t>
      </w:r>
      <w:r>
        <w:rPr>
          <w:rFonts w:ascii="Times New Roman" w:hAnsi="Times New Roman" w:cs="Times New Roman" w:eastAsia="Times New Roman" w:hint="default"/>
        </w:rPr>
        <w:t>·</w:t>
      </w:r>
      <w:r>
        <w:rPr/>
        <w:t>北京</w:t>
        <w:tab/>
        <w:t>中国注册会计师：叶凌超</w:t>
      </w:r>
    </w:p>
    <w:p>
      <w:pPr>
        <w:pStyle w:val="BodyText"/>
        <w:spacing w:line="243" w:lineRule="exact"/>
        <w:ind w:left="6123"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w:t>
      </w:r>
    </w:p>
    <w:p>
      <w:pPr>
        <w:spacing w:after="0" w:line="243" w:lineRule="exact"/>
        <w:jc w:val="left"/>
        <w:sectPr>
          <w:pgSz w:w="11910" w:h="16840"/>
          <w:pgMar w:header="747" w:footer="982" w:top="1060" w:bottom="1180" w:left="980" w:right="980"/>
        </w:sectPr>
      </w:pPr>
    </w:p>
    <w:p>
      <w:pPr>
        <w:pStyle w:val="Heading2"/>
        <w:spacing w:line="240" w:lineRule="auto" w:before="31"/>
        <w:ind w:right="0"/>
        <w:jc w:val="left"/>
        <w:rPr>
          <w:b w:val="0"/>
          <w:bCs w:val="0"/>
        </w:rPr>
      </w:pPr>
      <w:r>
        <w:rPr/>
        <w:pict>
          <v:group style="position:absolute;margin-left:55.200001pt;margin-top:2.245913pt;width:484.95pt;height:.1pt;mso-position-horizontal-relative:page;mso-position-vertical-relative:paragraph;z-index:-1168696" coordorigin="1104,45" coordsize="9699,2">
            <v:shape style="position:absolute;left:1104;top:45;width:9699;height:2" coordorigin="1104,45" coordsize="9699,0" path="m1104,45l10802,45e" filled="false" stroked="true" strokeweight=".72003pt" strokecolor="#000000">
              <v:path arrowok="t"/>
            </v:shape>
            <w10:wrap type="none"/>
          </v:group>
        </w:pict>
      </w:r>
      <w:r>
        <w:rPr/>
        <w:t>二、财务报表</w:t>
      </w:r>
      <w:r>
        <w:rPr>
          <w:b w:val="0"/>
          <w:bCs w:val="0"/>
        </w:rPr>
      </w:r>
    </w:p>
    <w:p>
      <w:pPr>
        <w:pStyle w:val="BodyText"/>
        <w:spacing w:line="240" w:lineRule="auto" w:before="87"/>
        <w:ind w:right="0"/>
        <w:jc w:val="left"/>
      </w:pPr>
      <w:r>
        <w:rPr/>
        <w:t>财务附注中报表的单位为：人民币元</w:t>
      </w: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24"/>
          <w:pgSz w:w="11910" w:h="16840"/>
          <w:pgMar w:footer="467" w:header="747" w:top="1060" w:bottom="660" w:left="980" w:right="980"/>
          <w:pgNumType w:start="76"/>
        </w:sectPr>
      </w:pPr>
    </w:p>
    <w:p>
      <w:pPr>
        <w:pStyle w:val="Heading3"/>
        <w:spacing w:line="240" w:lineRule="auto" w:before="35"/>
        <w:ind w:right="-20"/>
        <w:jc w:val="left"/>
        <w:rPr>
          <w:b w:val="0"/>
          <w:bCs w:val="0"/>
        </w:rPr>
      </w:pPr>
      <w:r>
        <w:rPr>
          <w:rFonts w:ascii="Times New Roman" w:hAnsi="Times New Roman" w:cs="Times New Roman" w:eastAsia="Times New Roman" w:hint="default"/>
        </w:rPr>
        <w:t>1</w:t>
      </w:r>
      <w:r>
        <w:rPr/>
        <w:t>、合并资产负债表</w:t>
      </w:r>
      <w:r>
        <w:rPr>
          <w:b w:val="0"/>
          <w:bCs w:val="0"/>
        </w:rPr>
      </w:r>
    </w:p>
    <w:p>
      <w:pPr>
        <w:pStyle w:val="BodyText"/>
        <w:spacing w:line="240" w:lineRule="auto" w:before="6"/>
        <w:ind w:right="-20"/>
        <w:jc w:val="left"/>
      </w:pPr>
      <w:r>
        <w:rPr/>
        <w:t>编制单位：浙江华媒控股股份有限公司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5"/>
          <w:szCs w:val="25"/>
        </w:rPr>
      </w:pPr>
    </w:p>
    <w:p>
      <w:pPr>
        <w:pStyle w:val="BodyText"/>
        <w:spacing w:line="240" w:lineRule="auto"/>
        <w:ind w:left="153"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5"/>
          <w:szCs w:val="25"/>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3" w:equalWidth="0">
            <w:col w:w="3215" w:space="862"/>
            <w:col w:w="1639" w:space="3203"/>
            <w:col w:w="1031"/>
          </w:cols>
        </w:sectPr>
      </w:pPr>
    </w:p>
    <w:p>
      <w:pPr>
        <w:spacing w:line="240" w:lineRule="auto" w:before="3"/>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4367"/>
        <w:gridCol w:w="2993"/>
        <w:gridCol w:w="2196"/>
      </w:tblGrid>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9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831,552,890.63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785,207,376.69</w:t>
            </w: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993"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993"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1,744,298.06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2,250,775.00</w:t>
            </w: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993"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4,610,000.00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2,276,748.41</w:t>
            </w: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363,372,009.84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523,089,136.95</w:t>
            </w: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40,871,018.47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18,054,904.26</w:t>
            </w: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993"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993"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993"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74,055.56</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993"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206,258,311.42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65,120,492.51</w:t>
            </w: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993"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31,434,880.24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33,196,957.22</w:t>
            </w: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993"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993"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118,231,541.26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70,092,123.20</w:t>
            </w: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1,598,149,005.48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1,499,288,514.24</w:t>
            </w: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9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993"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115,857,403.76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7,308,000.00</w:t>
            </w: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993"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993"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533,354,473.67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355,391,846.54</w:t>
            </w: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993"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233,048,360.22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234,562,796.74</w:t>
            </w: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993"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z w:val="18"/>
              </w:rPr>
              <w:t>29,126.21</w:t>
            </w: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993"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993"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993"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993"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79,166,277.90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36,275,629.68</w:t>
            </w: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1,098,508.76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2,651,126.54</w:t>
            </w: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570,065,947.34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751,853,876.09</w:t>
            </w: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14,225,694.83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12,263,181.33</w:t>
            </w: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5,404,840.99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3,219,255.58</w:t>
            </w: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50,233,829.33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67,012,767.84</w:t>
            </w: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1,602,455,336.80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1,470,567,606.55</w:t>
            </w: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3,200,604,342.28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2,969,856,120.79</w:t>
            </w: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9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190,450,000.00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25,600,000.00</w:t>
            </w: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993"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993"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993"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12"/>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4372"/>
        <w:gridCol w:w="2988"/>
        <w:gridCol w:w="2196"/>
      </w:tblGrid>
      <w:tr>
        <w:trPr>
          <w:trHeight w:val="285" w:hRule="exact"/>
        </w:trPr>
        <w:tc>
          <w:tcPr>
            <w:tcW w:w="4372" w:type="dxa"/>
            <w:tcBorders>
              <w:top w:val="single" w:sz="16"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988" w:type="dxa"/>
            <w:tcBorders>
              <w:top w:val="single" w:sz="16" w:space="0" w:color="000000"/>
              <w:left w:val="single" w:sz="13" w:space="0" w:color="D3D3D3"/>
              <w:bottom w:val="single" w:sz="4" w:space="0" w:color="000000"/>
              <w:right w:val="single" w:sz="4" w:space="0" w:color="000000"/>
            </w:tcBorders>
          </w:tcPr>
          <w:p>
            <w:pPr/>
          </w:p>
        </w:tc>
        <w:tc>
          <w:tcPr>
            <w:tcW w:w="2196" w:type="dxa"/>
            <w:tcBorders>
              <w:top w:val="single" w:sz="16"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67,324,006.00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25,193,864.60</w:t>
            </w: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114,819,416.40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179,347,940.63</w:t>
            </w: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304,659,662.92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263,431,455.86</w:t>
            </w: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74,319,162.15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60,717,324.88</w:t>
            </w: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26,560,924.39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29,093,310.75</w:t>
            </w: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447,772.48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z w:val="18"/>
              </w:rPr>
              <w:t>20,735.00</w:t>
            </w: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5,972,470.85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3,107,619.00</w:t>
            </w: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340,034,922.29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378,238,284.98</w:t>
            </w: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20,250,000.00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1,144,838,337.48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964,750,535.70</w:t>
            </w: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47,630,000.00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3,578,550.04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3,711,187.40</w:t>
            </w: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1,504,234.13</w:t>
            </w: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51,208,550.04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5,215,421.53</w:t>
            </w: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1,196,046,887.52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969,965,957.23</w:t>
            </w: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1,017,698,410.00</w:t>
            </w: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-234,802,992.81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-230,286,857.59</w:t>
            </w: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2,190,121.44</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71,424,943.39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69,102,092.76</w:t>
            </w: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943,649,656.35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914,264,843.64</w:t>
            </w: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1,800,160,138.37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1,770,778,488.81</w:t>
            </w: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204,397,316.39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2"/>
                <w:sz w:val="18"/>
              </w:rPr>
              <w:t>229,111,674.75</w:t>
            </w: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2,004,557,454.76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1,999,890,163.56</w:t>
            </w:r>
          </w:p>
        </w:tc>
      </w:tr>
      <w:tr>
        <w:trPr>
          <w:trHeight w:val="27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3" w:lineRule="exact"/>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3,200,604,342.28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2,969,856,120.79</w:t>
            </w:r>
          </w:p>
        </w:tc>
      </w:tr>
    </w:tbl>
    <w:p>
      <w:pPr>
        <w:pStyle w:val="BodyText"/>
        <w:tabs>
          <w:tab w:pos="3443" w:val="left" w:leader="none"/>
          <w:tab w:pos="7673" w:val="left" w:leader="none"/>
        </w:tabs>
        <w:spacing w:line="240" w:lineRule="auto" w:before="11"/>
        <w:ind w:left="114" w:right="0"/>
        <w:jc w:val="left"/>
      </w:pPr>
      <w:r>
        <w:rPr/>
        <w:t>法定代表人：董悦</w:t>
        <w:tab/>
        <w:t>主管会计工作负责人：郭勤勇</w:t>
        <w:tab/>
        <w:t>会计机构负责人：郭勤勇</w:t>
      </w:r>
    </w:p>
    <w:p>
      <w:pPr>
        <w:spacing w:after="0" w:line="240" w:lineRule="auto"/>
        <w:jc w:val="left"/>
        <w:sectPr>
          <w:pgSz w:w="11910" w:h="16840"/>
          <w:pgMar w:header="747" w:footer="467" w:top="1060" w:bottom="660" w:left="1020" w:right="10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127,525,804.06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32,061,433.52</w:t>
            </w:r>
          </w:p>
        </w:tc>
      </w:tr>
      <w:tr>
        <w:trPr>
          <w:trHeight w:val="635"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1" w:right="3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56,986.30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205,000,000.00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259,000,000.00</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309,493,229.17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167,779,164.35</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15,509.00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21,219.50</w:t>
            </w: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11,538.44</w:t>
            </w: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642,091,528.53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458,873,355.81</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2,840,361,875.12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2,930,662,257.99</w:t>
            </w: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405,399.71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523,532.21</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363,408.72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283,544.59</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51,330.70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88,679.62</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1,798,202.89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1,456,182.48</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2,842,980,217.14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2,933,014,196.89</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3,485,071,745.67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3,391,887,552.70</w:t>
            </w: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1910" w:h="16840"/>
          <w:pgMar w:footer="982" w:header="747" w:top="1060" w:bottom="1180" w:left="980" w:right="980"/>
          <w:pgNumType w:start="78"/>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期损益的金融负债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73,500.00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70,560.00</w:t>
            </w: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1,623,086.99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1,902,391.79</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1,162,815.84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148,487.70</w:t>
            </w: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159,500.00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2,130,230.85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2,127,619.00</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303,698,686.50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288,679,337.18</w:t>
            </w: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428,847,820.18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292,928,395.67</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428,847,820.18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292,928,395.67</w:t>
            </w: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1,017,698,410.00</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1,809,704,919.76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1,809,704,919.76</w:t>
            </w: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2,190,121.44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53,068,207.84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53,068,207.84</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173,562,266.45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218,487,619.43</w:t>
            </w:r>
          </w:p>
        </w:tc>
      </w:tr>
      <w:tr>
        <w:trPr>
          <w:trHeight w:val="32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3,056,223,925.49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3,098,959,157.03</w:t>
            </w:r>
          </w:p>
        </w:tc>
      </w:tr>
      <w:tr>
        <w:trPr>
          <w:trHeight w:val="323"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3,485,071,745.67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3,391,887,552.70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8"/>
        <w:rPr>
          <w:rFonts w:ascii="Times New Roman" w:hAnsi="Times New Roman" w:cs="Times New Roman" w:eastAsia="Times New Roman"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w w:val="95"/>
        </w:rPr>
        <w:t>3</w:t>
      </w:r>
      <w:r>
        <w:rPr>
          <w:w w:val="95"/>
        </w:rPr>
        <w:t>、合并利润表</w:t>
      </w:r>
      <w:r>
        <w:rPr>
          <w:b w:val="0"/>
          <w:bCs w:val="0"/>
        </w:rPr>
      </w:r>
    </w:p>
    <w:p>
      <w:pPr>
        <w:pStyle w:val="BodyText"/>
        <w:spacing w:line="240" w:lineRule="auto" w:before="29"/>
        <w:ind w:left="0" w:right="151"/>
        <w:jc w:val="right"/>
      </w:pPr>
      <w:r>
        <w:rPr/>
        <w:br w:type="column"/>
      </w:r>
      <w:r>
        <w:rPr/>
        <w:t>浙江华媒控股股份有限公司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0"/>
          <w:szCs w:val="20"/>
        </w:rPr>
      </w:pPr>
    </w:p>
    <w:p>
      <w:pPr>
        <w:pStyle w:val="BodyText"/>
        <w:spacing w:line="240" w:lineRule="auto"/>
        <w:ind w:left="0" w:right="150"/>
        <w:jc w:val="right"/>
      </w:pPr>
      <w:r>
        <w:rPr/>
        <w:pict>
          <v:group style="position:absolute;margin-left:55.200001pt;margin-top:-11.447986pt;width:484.95pt;height:.1pt;mso-position-horizontal-relative:page;mso-position-vertical-relative:paragraph;z-index:-1168648" coordorigin="1104,-229" coordsize="9699,2">
            <v:shape style="position:absolute;left:1104;top:-229;width:9699;height:2" coordorigin="1104,-229" coordsize="9699,0" path="m1104,-229l10802,-229e" filled="false" stroked="true" strokeweight=".71997pt" strokecolor="#000000">
              <v:path arrowok="t"/>
            </v:shape>
            <w10:wrap type="none"/>
          </v:group>
        </w:pict>
      </w:r>
      <w:r>
        <w:rPr/>
        <w:t>单位：元</w:t>
      </w:r>
    </w:p>
    <w:p>
      <w:pPr>
        <w:spacing w:after="0" w:line="240" w:lineRule="auto"/>
        <w:jc w:val="right"/>
        <w:sectPr>
          <w:headerReference w:type="default" r:id="rId26"/>
          <w:footerReference w:type="default" r:id="rId27"/>
          <w:pgSz w:w="11910" w:h="16840"/>
          <w:pgMar w:header="0" w:footer="0" w:top="220" w:bottom="0" w:left="980" w:right="980"/>
          <w:cols w:num="2" w:equalWidth="0">
            <w:col w:w="1524" w:space="4246"/>
            <w:col w:w="4180"/>
          </w:cols>
        </w:sectPr>
      </w:pPr>
    </w:p>
    <w:tbl>
      <w:tblPr>
        <w:tblW w:w="0" w:type="auto"/>
        <w:jc w:val="left"/>
        <w:tblInd w:w="160" w:type="dxa"/>
        <w:tblLayout w:type="fixed"/>
        <w:tblCellMar>
          <w:top w:w="0" w:type="dxa"/>
          <w:left w:w="0" w:type="dxa"/>
          <w:bottom w:w="0" w:type="dxa"/>
          <w:right w:w="0" w:type="dxa"/>
        </w:tblCellMar>
        <w:tblLook w:val="01E0"/>
      </w:tblPr>
      <w:tblGrid>
        <w:gridCol w:w="4939"/>
        <w:gridCol w:w="2279"/>
        <w:gridCol w:w="2338"/>
      </w:tblGrid>
      <w:tr>
        <w:trPr>
          <w:trHeight w:val="251"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68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71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1,832,268,001.47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1,832,144,605.06</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1,832,268,001.47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1,832,144,605.06</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79"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279"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279"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1,700,797,852.35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1,568,586,004.13</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1,368,394,473.46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1,263,823,208.11</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279"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279"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279"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279"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279"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279"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279"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18,720,757.20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20,707,100.95</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115,133,381.95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115,025,437.45</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181,046,944.41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149,302,932.62</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1,024,436.28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-5,439,766.63</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16,477,859.05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25,167,091.63</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105,622.40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-1,649.00</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76,216,005.97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29,453,203.27</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22,566,076.53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28,384,239.78</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3,512,242.63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-307,168.94</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9,265,910.72</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220,569,930.84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292,702,986.26</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3,628,339.97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7,165,756.02</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3,796,197.70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2,688,787.54</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220,402,073.11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297,179,954.74</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10,263,971.18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11,583,470.16</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210,138,101.93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285,596,484.58</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37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210,138,101.93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285,596,484.58</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146,809,823.33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225,115,501.44</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63,328,278.60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60,480,983.14</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2,190,121.44</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91"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2,190,121.44</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279"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279"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10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 综合收益中享有的份额</w:t>
            </w:r>
          </w:p>
        </w:tc>
        <w:tc>
          <w:tcPr>
            <w:tcW w:w="2279"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2,190,121.44</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10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 他综合收益中享有的份额</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2,190,121.44</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279"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279"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279"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279"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279"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279"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212,328,223.37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285,596,484.58</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148,999,944.77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225,115,501.44</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63,328,278.60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60,480,983.14</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27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0.14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0.220</w:t>
            </w:r>
          </w:p>
        </w:tc>
      </w:tr>
      <w:tr>
        <w:trPr>
          <w:trHeight w:val="250"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0.14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0.220</w:t>
            </w:r>
          </w:p>
        </w:tc>
      </w:tr>
    </w:tbl>
    <w:p>
      <w:pPr>
        <w:pStyle w:val="BodyText"/>
        <w:spacing w:line="240" w:lineRule="auto" w:before="74"/>
        <w:ind w:right="0"/>
        <w:jc w:val="left"/>
      </w:pPr>
      <w:r>
        <w:rPr/>
        <w:t>本期发生同一控制下企业合并的，被合并方在合并前实现的净利润为：</w:t>
      </w:r>
      <w:r>
        <w:rPr>
          <w:rFonts w:ascii="Times New Roman" w:hAnsi="Times New Roman" w:cs="Times New Roman" w:eastAsia="Times New Roman" w:hint="default"/>
        </w:rPr>
        <w:t>3,565,231.17</w:t>
      </w:r>
      <w:r>
        <w:rPr>
          <w:rFonts w:ascii="Times New Roman" w:hAnsi="Times New Roman" w:cs="Times New Roman" w:eastAsia="Times New Roman" w:hint="default"/>
          <w:spacing w:val="-3"/>
        </w:rPr>
        <w:t> </w:t>
      </w:r>
      <w:r>
        <w:rPr/>
        <w:t>元，上期被合并方实现的净利润为：</w:t>
      </w:r>
    </w:p>
    <w:p>
      <w:pPr>
        <w:pStyle w:val="BodyText"/>
        <w:spacing w:line="240" w:lineRule="auto" w:before="63"/>
        <w:ind w:left="153" w:right="0"/>
        <w:jc w:val="left"/>
      </w:pPr>
      <w:r>
        <w:rPr>
          <w:rFonts w:ascii="Times New Roman" w:hAnsi="Times New Roman" w:cs="Times New Roman" w:eastAsia="Times New Roman" w:hint="default"/>
        </w:rPr>
        <w:t>2,051,514.18</w:t>
      </w:r>
      <w:r>
        <w:rPr>
          <w:rFonts w:ascii="Times New Roman" w:hAnsi="Times New Roman" w:cs="Times New Roman" w:eastAsia="Times New Roman" w:hint="default"/>
          <w:spacing w:val="-3"/>
        </w:rPr>
        <w:t> </w:t>
      </w:r>
      <w:r>
        <w:rPr/>
        <w:t>元。</w:t>
      </w:r>
    </w:p>
    <w:p>
      <w:pPr>
        <w:pStyle w:val="BodyText"/>
        <w:tabs>
          <w:tab w:pos="3483" w:val="left" w:leader="none"/>
          <w:tab w:pos="7713" w:val="left" w:leader="none"/>
        </w:tabs>
        <w:spacing w:line="240" w:lineRule="auto" w:before="103"/>
        <w:ind w:left="153" w:right="0"/>
        <w:jc w:val="left"/>
      </w:pPr>
      <w:r>
        <w:rPr/>
        <w:t>法定代表人：董悦</w:t>
        <w:tab/>
        <w:t>主管会计工作负责人：郭勤勇</w:t>
        <w:tab/>
        <w:t>会计机构负责人：郭勤勇</w:t>
      </w:r>
    </w:p>
    <w:p>
      <w:pPr>
        <w:spacing w:line="240" w:lineRule="auto" w:before="12"/>
        <w:rPr>
          <w:rFonts w:ascii="宋体" w:hAnsi="宋体" w:cs="宋体" w:eastAsia="宋体" w:hint="default"/>
          <w:sz w:val="10"/>
          <w:szCs w:val="10"/>
        </w:rPr>
      </w:pPr>
    </w:p>
    <w:p>
      <w:pPr>
        <w:pStyle w:val="BodyText"/>
        <w:spacing w:line="240" w:lineRule="auto" w:before="76"/>
        <w:ind w:left="0" w:right="150"/>
        <w:jc w:val="right"/>
        <w:rPr>
          <w:rFonts w:ascii="Times New Roman" w:hAnsi="Times New Roman" w:cs="Times New Roman" w:eastAsia="Times New Roman" w:hint="default"/>
        </w:rPr>
      </w:pPr>
      <w:r>
        <w:rPr>
          <w:rFonts w:ascii="Times New Roman"/>
        </w:rPr>
        <w:t>80</w:t>
      </w:r>
    </w:p>
    <w:p>
      <w:pPr>
        <w:spacing w:after="0" w:line="240" w:lineRule="auto"/>
        <w:jc w:val="right"/>
        <w:rPr>
          <w:rFonts w:ascii="Times New Roman" w:hAnsi="Times New Roman" w:cs="Times New Roman" w:eastAsia="Times New Roman" w:hint="default"/>
        </w:rPr>
        <w:sectPr>
          <w:type w:val="continuous"/>
          <w:pgSz w:w="11910" w:h="16840"/>
          <w:pgMar w:top="1060" w:bottom="1180" w:left="980" w:right="980"/>
        </w:sectPr>
      </w:pPr>
    </w:p>
    <w:p>
      <w:pPr>
        <w:pStyle w:val="BodyText"/>
        <w:spacing w:line="240" w:lineRule="auto" w:before="21"/>
        <w:ind w:left="5923" w:right="0"/>
        <w:jc w:val="left"/>
      </w:pPr>
      <w:r>
        <w:rPr/>
        <w:t>浙江华媒控股股份有限公司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72"/>
        <w:gridCol w:w="2846"/>
        <w:gridCol w:w="2338"/>
      </w:tblGrid>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71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z w:val="18"/>
              </w:rPr>
              <w:t>214,219.02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3,814,687.81</w:t>
            </w:r>
          </w:p>
        </w:tc>
      </w:tr>
      <w:tr>
        <w:trPr>
          <w:trHeight w:val="280"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sz w:val="18"/>
              </w:rPr>
              <w:t>149,753.44</w:t>
            </w: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z w:val="18"/>
              </w:rPr>
              <w:t>42,525.74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z w:val="18"/>
              </w:rPr>
              <w:t>421,082.71</w:t>
            </w: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z w:val="18"/>
              </w:rPr>
              <w:t>17,493.94</w:t>
            </w: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23,763,005.27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25,051,004.01</w:t>
            </w: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1,959,695.38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z w:val="18"/>
              </w:rPr>
              <w:t>-566,205.73</w:t>
            </w: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z w:val="18"/>
              </w:rPr>
              <w:t>210.50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2,998,995.69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560,316,053.62</w:t>
            </w: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6,073,944.23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13,316,053.62</w:t>
            </w: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-22,552,222.18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539,057,613.06</w:t>
            </w: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z w:val="18"/>
              </w:rPr>
              <w:t>17,175.97</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z w:val="18"/>
              </w:rPr>
              <w:t>941.76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z w:val="18"/>
              </w:rPr>
              <w:t>1,806.09</w:t>
            </w: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-22,535,987.97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539,055,806.97</w:t>
            </w: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-22,535,987.97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539,055,806.97</w:t>
            </w: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right="228"/>
              <w:jc w:val="righ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-22,535,987.97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539,055,806.97</w:t>
            </w: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right="228"/>
              <w:jc w:val="righ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2,190,121.44</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w:t>
            </w:r>
          </w:p>
          <w:p>
            <w:pPr>
              <w:pStyle w:val="TableParagraph"/>
              <w:spacing w:line="240" w:lineRule="auto" w:before="18"/>
              <w:ind w:left="11"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w:t>
            </w:r>
          </w:p>
          <w:p>
            <w:pPr>
              <w:pStyle w:val="TableParagraph"/>
              <w:spacing w:line="240" w:lineRule="auto" w:before="19"/>
              <w:ind w:left="11" w:right="0"/>
              <w:jc w:val="left"/>
              <w:rPr>
                <w:rFonts w:ascii="宋体" w:hAnsi="宋体" w:cs="宋体" w:eastAsia="宋体" w:hint="default"/>
                <w:sz w:val="18"/>
                <w:szCs w:val="18"/>
              </w:rPr>
            </w:pPr>
            <w:r>
              <w:rPr>
                <w:rFonts w:ascii="宋体" w:hAnsi="宋体" w:cs="宋体" w:eastAsia="宋体" w:hint="default"/>
                <w:sz w:val="18"/>
                <w:szCs w:val="18"/>
              </w:rPr>
              <w:t>的其他综合收益中享有的份额</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2,190,121.44</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w:t>
            </w:r>
          </w:p>
          <w:p>
            <w:pPr>
              <w:pStyle w:val="TableParagraph"/>
              <w:spacing w:line="240" w:lineRule="auto" w:before="19"/>
              <w:ind w:left="11" w:right="0"/>
              <w:jc w:val="left"/>
              <w:rPr>
                <w:rFonts w:ascii="宋体" w:hAnsi="宋体" w:cs="宋体" w:eastAsia="宋体" w:hint="default"/>
                <w:sz w:val="18"/>
                <w:szCs w:val="18"/>
              </w:rPr>
            </w:pPr>
            <w:r>
              <w:rPr>
                <w:rFonts w:ascii="宋体" w:hAnsi="宋体" w:cs="宋体" w:eastAsia="宋体" w:hint="default"/>
                <w:sz w:val="18"/>
                <w:szCs w:val="18"/>
              </w:rPr>
              <w:t>益的其他综合收益中享有的份额</w:t>
            </w:r>
          </w:p>
        </w:tc>
        <w:tc>
          <w:tcPr>
            <w:tcW w:w="2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2,190,121.44</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w:t>
            </w:r>
          </w:p>
          <w:p>
            <w:pPr>
              <w:pStyle w:val="TableParagraph"/>
              <w:spacing w:line="240" w:lineRule="auto" w:before="19"/>
              <w:ind w:left="11" w:right="0"/>
              <w:jc w:val="left"/>
              <w:rPr>
                <w:rFonts w:ascii="宋体" w:hAnsi="宋体" w:cs="宋体" w:eastAsia="宋体" w:hint="default"/>
                <w:sz w:val="18"/>
                <w:szCs w:val="18"/>
              </w:rPr>
            </w:pPr>
            <w:r>
              <w:rPr>
                <w:rFonts w:ascii="宋体" w:hAnsi="宋体" w:cs="宋体" w:eastAsia="宋体" w:hint="default"/>
                <w:sz w:val="18"/>
                <w:szCs w:val="18"/>
              </w:rPr>
              <w:t>产损益</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846" w:type="dxa"/>
            <w:tcBorders>
              <w:top w:val="single" w:sz="4" w:space="0" w:color="000000"/>
              <w:left w:val="single" w:sz="13" w:space="0" w:color="D3D3D3"/>
              <w:bottom w:val="single" w:sz="6" w:space="0" w:color="D3D3D3"/>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-20,345,866.53</w:t>
            </w:r>
          </w:p>
        </w:tc>
        <w:tc>
          <w:tcPr>
            <w:tcW w:w="2338" w:type="dxa"/>
            <w:tcBorders>
              <w:top w:val="single" w:sz="4" w:space="0" w:color="000000"/>
              <w:left w:val="single" w:sz="4" w:space="0" w:color="000000"/>
              <w:bottom w:val="single" w:sz="10" w:space="0" w:color="D3D3D3"/>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539,055,806.97</w:t>
            </w:r>
          </w:p>
        </w:tc>
      </w:tr>
      <w:tr>
        <w:trPr>
          <w:trHeight w:val="263"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97" w:lineRule="exact"/>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84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86"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3" w:lineRule="exact"/>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846" w:type="dxa"/>
            <w:tcBorders>
              <w:top w:val="single" w:sz="10" w:space="0" w:color="D3D3D3"/>
              <w:left w:val="single" w:sz="13" w:space="0" w:color="D3D3D3"/>
              <w:bottom w:val="single" w:sz="4" w:space="0" w:color="000000"/>
              <w:right w:val="single" w:sz="4" w:space="0" w:color="000000"/>
            </w:tcBorders>
          </w:tcPr>
          <w:p>
            <w:pPr/>
          </w:p>
        </w:tc>
        <w:tc>
          <w:tcPr>
            <w:tcW w:w="2338" w:type="dxa"/>
            <w:tcBorders>
              <w:top w:val="single" w:sz="10" w:space="0" w:color="D3D3D3"/>
              <w:left w:val="single" w:sz="4" w:space="0" w:color="000000"/>
              <w:bottom w:val="single" w:sz="4" w:space="0" w:color="000000"/>
              <w:right w:val="single" w:sz="4" w:space="0" w:color="000000"/>
            </w:tcBorders>
          </w:tcPr>
          <w:p>
            <w:pPr/>
          </w:p>
        </w:tc>
      </w:tr>
      <w:tr>
        <w:trPr>
          <w:trHeight w:val="278"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846"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8"/>
          <w:footerReference w:type="default" r:id="rId29"/>
          <w:pgSz w:w="11910" w:h="16840"/>
          <w:pgMar w:header="0" w:footer="231" w:top="800" w:bottom="420" w:left="980" w:right="980"/>
        </w:sectPr>
      </w:pPr>
    </w:p>
    <w:p>
      <w:pPr>
        <w:spacing w:line="240" w:lineRule="auto" w:before="13"/>
        <w:rPr>
          <w:rFonts w:ascii="宋体" w:hAnsi="宋体" w:cs="宋体" w:eastAsia="宋体" w:hint="default"/>
          <w:sz w:val="19"/>
          <w:szCs w:val="19"/>
        </w:rPr>
      </w:pPr>
    </w:p>
    <w:p>
      <w:pPr>
        <w:pStyle w:val="Heading3"/>
        <w:spacing w:line="240" w:lineRule="auto"/>
        <w:ind w:right="-19"/>
        <w:jc w:val="left"/>
        <w:rPr>
          <w:b w:val="0"/>
          <w:bCs w:val="0"/>
        </w:rPr>
      </w:pPr>
      <w:r>
        <w:rPr>
          <w:rFonts w:ascii="Times New Roman" w:hAnsi="Times New Roman" w:cs="Times New Roman" w:eastAsia="Times New Roman" w:hint="default"/>
        </w:rPr>
        <w:t>5</w:t>
      </w:r>
      <w:r>
        <w:rPr/>
        <w:t>、合并现金流量表</w:t>
      </w:r>
      <w:r>
        <w:rPr>
          <w:b w:val="0"/>
          <w:bCs w:val="0"/>
        </w:rPr>
      </w:r>
    </w:p>
    <w:p>
      <w:pPr>
        <w:pStyle w:val="BodyText"/>
        <w:spacing w:line="240" w:lineRule="auto" w:before="17"/>
        <w:ind w:left="0" w:right="151"/>
        <w:jc w:val="right"/>
      </w:pPr>
      <w:r>
        <w:rPr/>
        <w:br w:type="column"/>
      </w:r>
      <w:r>
        <w:rPr/>
        <w:t>浙江华媒控股股份有限公司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p>
      <w:pPr>
        <w:spacing w:line="240" w:lineRule="auto" w:before="9"/>
        <w:rPr>
          <w:rFonts w:ascii="宋体" w:hAnsi="宋体" w:cs="宋体" w:eastAsia="宋体" w:hint="default"/>
          <w:sz w:val="20"/>
          <w:szCs w:val="20"/>
        </w:rPr>
      </w:pPr>
    </w:p>
    <w:p>
      <w:pPr>
        <w:pStyle w:val="BodyText"/>
        <w:spacing w:line="240" w:lineRule="auto"/>
        <w:ind w:left="0" w:right="150"/>
        <w:jc w:val="right"/>
      </w:pPr>
      <w:r>
        <w:rPr/>
        <w:pict>
          <v:group style="position:absolute;margin-left:55.200001pt;margin-top:-11.448018pt;width:484.95pt;height:.1pt;mso-position-horizontal-relative:page;mso-position-vertical-relative:paragraph;z-index:-1168600" coordorigin="1104,-229" coordsize="9699,2">
            <v:shape style="position:absolute;left:1104;top:-229;width:9699;height:2" coordorigin="1104,-229" coordsize="9699,0" path="m1104,-229l10802,-229e" filled="false" stroked="true" strokeweight=".72003pt" strokecolor="#000000">
              <v:path arrowok="t"/>
            </v:shape>
            <w10:wrap type="none"/>
          </v:group>
        </w:pict>
      </w:r>
      <w:r>
        <w:rPr/>
        <w:t>单位：元</w:t>
      </w:r>
    </w:p>
    <w:p>
      <w:pPr>
        <w:spacing w:after="0" w:line="240" w:lineRule="auto"/>
        <w:jc w:val="right"/>
        <w:sectPr>
          <w:headerReference w:type="default" r:id="rId30"/>
          <w:footerReference w:type="default" r:id="rId31"/>
          <w:pgSz w:w="11910" w:h="16840"/>
          <w:pgMar w:header="0" w:footer="231" w:top="380" w:bottom="420" w:left="980" w:right="980"/>
          <w:cols w:num="2" w:equalWidth="0">
            <w:col w:w="1947" w:space="3822"/>
            <w:col w:w="4181"/>
          </w:cols>
        </w:sectPr>
      </w:pPr>
    </w:p>
    <w:tbl>
      <w:tblPr>
        <w:tblW w:w="0" w:type="auto"/>
        <w:jc w:val="left"/>
        <w:tblInd w:w="160" w:type="dxa"/>
        <w:tblLayout w:type="fixed"/>
        <w:tblCellMar>
          <w:top w:w="0" w:type="dxa"/>
          <w:left w:w="0" w:type="dxa"/>
          <w:bottom w:w="0" w:type="dxa"/>
          <w:right w:w="0" w:type="dxa"/>
        </w:tblCellMar>
        <w:tblLook w:val="01E0"/>
      </w:tblPr>
      <w:tblGrid>
        <w:gridCol w:w="4083"/>
        <w:gridCol w:w="2851"/>
        <w:gridCol w:w="2622"/>
      </w:tblGrid>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8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1"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1,919,120,577.39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1,838,762,755.66</w:t>
            </w: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851"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851"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851"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851"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851"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851"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10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 金融资产净增加额</w:t>
            </w:r>
          </w:p>
        </w:tc>
        <w:tc>
          <w:tcPr>
            <w:tcW w:w="2851"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851"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851"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851"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156,512.72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6,092.00</w:t>
            </w:r>
          </w:p>
        </w:tc>
      </w:tr>
      <w:tr>
        <w:trPr>
          <w:trHeight w:val="251"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152,912,863.29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172,459,451.97</w:t>
            </w: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2,072,189,953.40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2,011,228,299.63</w:t>
            </w: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1,181,626,113.48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1,030,060,579.12</w:t>
            </w:r>
          </w:p>
        </w:tc>
      </w:tr>
      <w:tr>
        <w:trPr>
          <w:trHeight w:val="251"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851"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851"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851"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851"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851"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364,981,515.77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323,487,919.68</w:t>
            </w:r>
          </w:p>
        </w:tc>
      </w:tr>
      <w:tr>
        <w:trPr>
          <w:trHeight w:val="251"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64,048,090.82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80,122,510.12</w:t>
            </w: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276,288,724.69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287,600,603.66</w:t>
            </w: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1,886,944,444.76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1,721,271,612.58</w:t>
            </w:r>
          </w:p>
        </w:tc>
      </w:tr>
      <w:tr>
        <w:trPr>
          <w:trHeight w:val="251"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185,245,508.64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289,956,687.05</w:t>
            </w: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8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402,717,408.94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123,029,726.16</w:t>
            </w:r>
          </w:p>
        </w:tc>
      </w:tr>
      <w:tr>
        <w:trPr>
          <w:trHeight w:val="251"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18,220,795.80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10,660,727.37</w:t>
            </w:r>
          </w:p>
        </w:tc>
      </w:tr>
      <w:tr>
        <w:trPr>
          <w:trHeight w:val="49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5" w:firstLine="36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处置固定资产、无形资产和其他长期资产收回的</w:t>
            </w:r>
            <w:r>
              <w:rPr>
                <w:rFonts w:ascii="宋体" w:hAnsi="宋体" w:cs="宋体" w:eastAsia="宋体" w:hint="default"/>
                <w:sz w:val="18"/>
                <w:szCs w:val="18"/>
              </w:rPr>
              <w:t> 现金净额</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13,742,422.35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772,968.23</w:t>
            </w: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281"/>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851"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2,841,077.64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1,685.25</w:t>
            </w: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437,521,704.73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134,465,107.01</w:t>
            </w:r>
          </w:p>
        </w:tc>
      </w:tr>
      <w:tr>
        <w:trPr>
          <w:trHeight w:val="49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5" w:firstLine="360"/>
              <w:jc w:val="left"/>
              <w:rPr>
                <w:rFonts w:ascii="宋体" w:hAnsi="宋体" w:cs="宋体" w:eastAsia="宋体" w:hint="default"/>
                <w:sz w:val="18"/>
                <w:szCs w:val="18"/>
              </w:rPr>
            </w:pPr>
            <w:r>
              <w:rPr>
                <w:rFonts w:ascii="宋体" w:hAnsi="宋体" w:cs="宋体" w:eastAsia="宋体" w:hint="default"/>
                <w:spacing w:val="-5"/>
                <w:sz w:val="18"/>
                <w:szCs w:val="18"/>
              </w:rPr>
              <w:t>购建固定资产、无形资产和其他长期资产支付的</w:t>
            </w:r>
            <w:r>
              <w:rPr>
                <w:rFonts w:ascii="宋体" w:hAnsi="宋体" w:cs="宋体" w:eastAsia="宋体" w:hint="default"/>
                <w:sz w:val="18"/>
                <w:szCs w:val="18"/>
              </w:rPr>
              <w:t> 现金</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78,787,622.06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28,098,452.72</w:t>
            </w:r>
          </w:p>
        </w:tc>
      </w:tr>
      <w:tr>
        <w:trPr>
          <w:trHeight w:val="251"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589,603,828.63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157,628,450.00</w:t>
            </w: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851"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281"/>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851"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295,028,944.04</w:t>
            </w:r>
          </w:p>
        </w:tc>
      </w:tr>
      <w:tr>
        <w:trPr>
          <w:trHeight w:val="251"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45,430,631.17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81,648.35</w:t>
            </w: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713,822,081.86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480,837,495.11</w:t>
            </w: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-276,300,377.13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-346,372,388.10</w:t>
            </w:r>
          </w:p>
        </w:tc>
      </w:tr>
      <w:tr>
        <w:trPr>
          <w:trHeight w:val="251"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8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8,198,320.00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281"/>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8,198,320.00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251"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359,480,000.00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25,600,000.00</w:t>
            </w: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851"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25,535,159.00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25,600,000.01</w:t>
            </w:r>
          </w:p>
        </w:tc>
      </w:tr>
      <w:tr>
        <w:trPr>
          <w:trHeight w:val="251"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393,213,479.00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53,100,000.01</w:t>
            </w: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126,750,000.00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7,745,000.00</w:t>
            </w: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31,421,747.62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4,997,255.94</w:t>
            </w:r>
          </w:p>
        </w:tc>
      </w:tr>
      <w:tr>
        <w:trPr>
          <w:trHeight w:val="251"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right="281"/>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6,357,440.00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4,283,132.00</w:t>
            </w: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189,738,291.37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94,051,324.38</w:t>
            </w: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347,910,038.99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106,793,580.32</w:t>
            </w:r>
          </w:p>
        </w:tc>
      </w:tr>
      <w:tr>
        <w:trPr>
          <w:trHeight w:val="251"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45,303,440.01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-53,693,580.31</w:t>
            </w: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851"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-45,751,428.48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-110,109,281.36</w:t>
            </w:r>
          </w:p>
        </w:tc>
      </w:tr>
      <w:tr>
        <w:trPr>
          <w:trHeight w:val="251"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777,107,117.31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887,216,398.67</w:t>
            </w:r>
          </w:p>
        </w:tc>
      </w:tr>
      <w:tr>
        <w:trPr>
          <w:trHeight w:val="250"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731,355,688.83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777,107,117.31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21"/>
        <w:ind w:left="5923" w:right="0"/>
        <w:jc w:val="left"/>
      </w:pPr>
      <w:r>
        <w:rPr/>
        <w:t>浙江华媒控股股份有限公司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4136"/>
        <w:gridCol w:w="2890"/>
        <w:gridCol w:w="2656"/>
      </w:tblGrid>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8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8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80"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890" w:type="dxa"/>
            <w:tcBorders>
              <w:top w:val="single" w:sz="6" w:space="0" w:color="D3D3D3"/>
              <w:left w:val="single" w:sz="13" w:space="0" w:color="D3D3D3"/>
              <w:bottom w:val="single" w:sz="4" w:space="0" w:color="000000"/>
              <w:right w:val="single" w:sz="4" w:space="0" w:color="000000"/>
            </w:tcBorders>
          </w:tcPr>
          <w:p>
            <w:pPr/>
          </w:p>
        </w:tc>
        <w:tc>
          <w:tcPr>
            <w:tcW w:w="2656" w:type="dxa"/>
            <w:tcBorders>
              <w:top w:val="single" w:sz="6" w:space="0" w:color="D3D3D3"/>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3,919,883.94</w:t>
            </w: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890" w:type="dxa"/>
            <w:tcBorders>
              <w:top w:val="single" w:sz="4" w:space="0" w:color="000000"/>
              <w:left w:val="single" w:sz="13"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373,443,280.42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333,707,095.82</w:t>
            </w: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373,443,280.42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337,626,979.76</w:t>
            </w: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890" w:type="dxa"/>
            <w:tcBorders>
              <w:top w:val="single" w:sz="4" w:space="0" w:color="000000"/>
              <w:left w:val="single" w:sz="13"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z w:val="18"/>
              </w:rPr>
              <w:t>495,079.72</w:t>
            </w: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16,280,572.21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16,017,273.96</w:t>
            </w: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z w:val="18"/>
              </w:rPr>
              <w:t>138,803.89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2,487,631.75</w:t>
            </w: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352,325,703.01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49,840,888.31</w:t>
            </w: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pacing w:val="-1"/>
                <w:sz w:val="18"/>
              </w:rPr>
              <w:t>368,745,079.11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68,840,873.74</w:t>
            </w: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90" w:type="dxa"/>
            <w:tcBorders>
              <w:top w:val="single" w:sz="4" w:space="0" w:color="000000"/>
              <w:left w:val="single" w:sz="13" w:space="0" w:color="D3D3D3"/>
              <w:bottom w:val="single" w:sz="6" w:space="0" w:color="D3D3D3"/>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4,698,201.31</w:t>
            </w:r>
          </w:p>
        </w:tc>
        <w:tc>
          <w:tcPr>
            <w:tcW w:w="2656" w:type="dxa"/>
            <w:tcBorders>
              <w:top w:val="single" w:sz="4" w:space="0" w:color="000000"/>
              <w:left w:val="single" w:sz="4" w:space="0" w:color="000000"/>
              <w:bottom w:val="single" w:sz="6" w:space="0" w:color="D3D3D3"/>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268,786,106.02</w:t>
            </w: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8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890" w:type="dxa"/>
            <w:tcBorders>
              <w:top w:val="single" w:sz="6" w:space="0" w:color="D3D3D3"/>
              <w:left w:val="single" w:sz="13" w:space="0" w:color="D3D3D3"/>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65,100,000.00</w:t>
            </w:r>
          </w:p>
        </w:tc>
        <w:tc>
          <w:tcPr>
            <w:tcW w:w="2656" w:type="dxa"/>
            <w:tcBorders>
              <w:top w:val="single" w:sz="6" w:space="0" w:color="D3D3D3"/>
              <w:left w:val="single" w:sz="4" w:space="0" w:color="000000"/>
              <w:bottom w:val="single" w:sz="4" w:space="0" w:color="000000"/>
              <w:right w:val="single" w:sz="4" w:space="0" w:color="000000"/>
            </w:tcBorders>
          </w:tcPr>
          <w:p>
            <w:pP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41,189,500.00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处置固定资产、无形资产和其他长期资产收回的</w:t>
            </w:r>
          </w:p>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现金净额</w:t>
            </w:r>
          </w:p>
        </w:tc>
        <w:tc>
          <w:tcPr>
            <w:tcW w:w="2890" w:type="dxa"/>
            <w:tcBorders>
              <w:top w:val="single" w:sz="4" w:space="0" w:color="000000"/>
              <w:left w:val="single" w:sz="13"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right="333"/>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890" w:type="dxa"/>
            <w:tcBorders>
              <w:top w:val="single" w:sz="4" w:space="0" w:color="000000"/>
              <w:left w:val="single" w:sz="13"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z w:val="18"/>
              </w:rPr>
              <w:t>166,666.68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25,123,675.37</w:t>
            </w: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106,456,166.68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25,123,675.37</w:t>
            </w:r>
          </w:p>
        </w:tc>
      </w:tr>
      <w:tr>
        <w:trPr>
          <w:trHeight w:val="547"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pacing w:val="-2"/>
                <w:sz w:val="18"/>
                <w:szCs w:val="18"/>
              </w:rPr>
              <w:t>购建固定资产、无形资产和其他长期资产支付的</w:t>
            </w:r>
          </w:p>
          <w:p>
            <w:pPr>
              <w:pStyle w:val="TableParagraph"/>
              <w:spacing w:line="240" w:lineRule="auto" w:before="33"/>
              <w:ind w:left="11"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229,380.00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342,331.69</w:t>
            </w: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146,176,000.00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346,906,950.00</w:t>
            </w: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right="333"/>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890" w:type="dxa"/>
            <w:tcBorders>
              <w:top w:val="single" w:sz="4" w:space="0" w:color="000000"/>
              <w:left w:val="single" w:sz="13"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156,405,380.00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372,249,281.69</w:t>
            </w: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890" w:type="dxa"/>
            <w:tcBorders>
              <w:top w:val="single" w:sz="4" w:space="0" w:color="000000"/>
              <w:left w:val="single" w:sz="13" w:space="0" w:color="D3D3D3"/>
              <w:bottom w:val="single" w:sz="10" w:space="0" w:color="D3D3D3"/>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-49,949,213.32</w:t>
            </w:r>
          </w:p>
        </w:tc>
        <w:tc>
          <w:tcPr>
            <w:tcW w:w="2656" w:type="dxa"/>
            <w:tcBorders>
              <w:top w:val="single" w:sz="4" w:space="0" w:color="000000"/>
              <w:left w:val="single" w:sz="4" w:space="0" w:color="000000"/>
              <w:bottom w:val="single" w:sz="10" w:space="0" w:color="D3D3D3"/>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-347,125,606.32</w:t>
            </w: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8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890" w:type="dxa"/>
            <w:tcBorders>
              <w:top w:val="single" w:sz="10" w:space="0" w:color="D3D3D3"/>
              <w:left w:val="single" w:sz="13" w:space="0" w:color="D3D3D3"/>
              <w:bottom w:val="single" w:sz="4" w:space="0" w:color="000000"/>
              <w:right w:val="single" w:sz="4" w:space="0" w:color="000000"/>
            </w:tcBorders>
          </w:tcPr>
          <w:p>
            <w:pPr/>
          </w:p>
        </w:tc>
        <w:tc>
          <w:tcPr>
            <w:tcW w:w="2656" w:type="dxa"/>
            <w:tcBorders>
              <w:top w:val="single" w:sz="10" w:space="0" w:color="D3D3D3"/>
              <w:left w:val="single" w:sz="4" w:space="0" w:color="000000"/>
              <w:bottom w:val="single" w:sz="4" w:space="0" w:color="000000"/>
              <w:right w:val="single" w:sz="4" w:space="0" w:color="000000"/>
            </w:tcBorders>
          </w:tcPr>
          <w:p>
            <w:pP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890" w:type="dxa"/>
            <w:tcBorders>
              <w:top w:val="single" w:sz="4" w:space="0" w:color="000000"/>
              <w:left w:val="single" w:sz="13"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245,000,000.00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23,737,065.66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z w:val="18"/>
              </w:rPr>
              <w:t>30,495.00</w:t>
            </w: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z w:val="18"/>
              </w:rPr>
              <w:t>547,551.79</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104,284,617.45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z w:val="18"/>
              </w:rPr>
              <w:t>30,495.00</w:t>
            </w: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140,715,382.55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z w:val="18"/>
              </w:rPr>
              <w:t>-30,495.00</w:t>
            </w: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890" w:type="dxa"/>
            <w:tcBorders>
              <w:top w:val="single" w:sz="4" w:space="0" w:color="000000"/>
              <w:left w:val="single" w:sz="13"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95,464,370.54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-78,369,995.30</w:t>
            </w:r>
          </w:p>
        </w:tc>
      </w:tr>
      <w:tr>
        <w:trPr>
          <w:trHeight w:val="280"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32,061,433.52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110,431,428.82</w:t>
            </w:r>
          </w:p>
        </w:tc>
      </w:tr>
      <w:tr>
        <w:trPr>
          <w:trHeight w:val="278" w:hRule="exact"/>
        </w:trPr>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8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127,525,804.06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32,061,433.52</w:t>
            </w:r>
          </w:p>
        </w:tc>
      </w:tr>
    </w:tbl>
    <w:p>
      <w:pPr>
        <w:spacing w:after="0" w:line="240" w:lineRule="auto"/>
        <w:jc w:val="right"/>
        <w:rPr>
          <w:rFonts w:ascii="Times New Roman" w:hAnsi="Times New Roman" w:cs="Times New Roman" w:eastAsia="Times New Roman" w:hint="default"/>
          <w:sz w:val="18"/>
          <w:szCs w:val="18"/>
        </w:rPr>
        <w:sectPr>
          <w:headerReference w:type="default" r:id="rId32"/>
          <w:footerReference w:type="default" r:id="rId33"/>
          <w:pgSz w:w="11910" w:h="16840"/>
          <w:pgMar w:header="0" w:footer="231" w:top="800" w:bottom="420" w:left="980" w:right="980"/>
        </w:sectPr>
      </w:pPr>
    </w:p>
    <w:p>
      <w:pPr>
        <w:pStyle w:val="Heading3"/>
        <w:spacing w:line="240" w:lineRule="auto" w:before="53"/>
        <w:ind w:left="379" w:right="0"/>
        <w:jc w:val="left"/>
        <w:rPr>
          <w:b w:val="0"/>
          <w:bCs w:val="0"/>
        </w:rPr>
      </w:pPr>
      <w:r>
        <w:rPr/>
        <w:pict>
          <v:group style="position:absolute;margin-left:70.490997pt;margin-top:2.253643pt;width:700.95pt;height:.1pt;mso-position-horizontal-relative:page;mso-position-vertical-relative:paragraph;z-index:1864" coordorigin="1410,45" coordsize="14019,2">
            <v:shape style="position:absolute;left:1410;top:45;width:14019;height:2" coordorigin="1410,45" coordsize="14019,0" path="m1410,45l15428,45e" filled="false" stroked="true" strokeweight=".72pt" strokecolor="#000000">
              <v:path arrowok="t"/>
            </v:shape>
            <w10:wrap type="none"/>
          </v:group>
        </w:pict>
      </w:r>
      <w:r>
        <w:rPr>
          <w:rFonts w:ascii="Times New Roman" w:hAnsi="Times New Roman" w:cs="Times New Roman" w:eastAsia="Times New Roman" w:hint="default"/>
          <w:w w:val="95"/>
        </w:rPr>
        <w:t>7</w:t>
      </w:r>
      <w:r>
        <w:rPr>
          <w:w w:val="95"/>
        </w:rPr>
        <w:t>、合并所有者权益变动表</w:t>
      </w:r>
      <w:r>
        <w:rPr>
          <w:b w:val="0"/>
          <w:bCs w:val="0"/>
        </w:rPr>
      </w:r>
    </w:p>
    <w:p>
      <w:pPr>
        <w:pStyle w:val="BodyText"/>
        <w:spacing w:line="240" w:lineRule="auto" w:before="87"/>
        <w:ind w:left="379" w:right="0"/>
        <w:jc w:val="left"/>
      </w:pPr>
      <w:r>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BodyText"/>
        <w:spacing w:line="240" w:lineRule="auto"/>
        <w:ind w:left="379" w:right="0"/>
        <w:jc w:val="left"/>
      </w:pPr>
      <w:r>
        <w:rPr/>
        <w:pict>
          <v:group style="position:absolute;margin-left:188.271011pt;margin-top:40.572018pt;width:65.3500pt;height:36.5pt;mso-position-horizontal-relative:page;mso-position-vertical-relative:paragraph;z-index:-1168528" coordorigin="3765,811" coordsize="1307,730">
            <v:group style="position:absolute;left:3765;top:811;width:1307;height:730" coordorigin="3765,811" coordsize="1307,730">
              <v:shape style="position:absolute;left:3765;top:811;width:1307;height:730" coordorigin="3765,811" coordsize="1307,730" path="m5072,1056l5072,811,3765,811,3765,1541,3788,1537,3788,1056,5072,1056xe" filled="true" fillcolor="#d3d3d3" stroked="false">
                <v:path arrowok="t"/>
                <v:fill type="solid"/>
              </v:shape>
              <v:shape style="position:absolute;left:3765;top:811;width:1307;height:730" coordorigin="3765,811" coordsize="1307,730" path="m5072,1296l3788,1296,3788,1537,5072,1296xe" filled="true" fillcolor="#d3d3d3" stroked="false">
                <v:path arrowok="t"/>
                <v:fill type="solid"/>
              </v:shape>
              <v:shape style="position:absolute;left:3765;top:811;width:1307;height:730" coordorigin="3765,811" coordsize="1307,730" path="m5072,1296l5072,1056,5048,1056,5048,1296,5072,1296xe" filled="true" fillcolor="#d3d3d3" stroked="false">
                <v:path arrowok="t"/>
                <v:fill type="solid"/>
              </v:shape>
            </v:group>
            <v:group style="position:absolute;left:3788;top:1056;width:1260;height:240" coordorigin="3788,1056" coordsize="1260,240">
              <v:shape style="position:absolute;left:3788;top:1056;width:1260;height:240" coordorigin="3788,1056" coordsize="1260,240" path="m3788,1056l5048,1056,5048,1296,3788,1296,3788,1056xe" filled="true" fillcolor="#d3d3d3" stroked="false">
                <v:path arrowok="t"/>
                <v:fill type="solid"/>
              </v:shape>
            </v:group>
            <w10:wrap type="none"/>
          </v:group>
        </w:pict>
      </w:r>
      <w:r>
        <w:rPr/>
        <w:t>单位：元</w:t>
      </w:r>
    </w:p>
    <w:p>
      <w:pPr>
        <w:spacing w:after="0" w:line="240" w:lineRule="auto"/>
        <w:jc w:val="left"/>
        <w:sectPr>
          <w:headerReference w:type="default" r:id="rId34"/>
          <w:footerReference w:type="default" r:id="rId35"/>
          <w:pgSz w:w="16840" w:h="11910" w:orient="landscape"/>
          <w:pgMar w:header="867" w:footer="490" w:top="1060" w:bottom="680" w:left="1060" w:right="1280"/>
          <w:pgNumType w:start="84"/>
          <w:cols w:num="2" w:equalWidth="0">
            <w:col w:w="2803" w:space="10435"/>
            <w:col w:w="1262"/>
          </w:cols>
        </w:sectPr>
      </w:pPr>
    </w:p>
    <w:p>
      <w:pPr>
        <w:spacing w:line="240" w:lineRule="auto" w:before="0"/>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582"/>
        <w:gridCol w:w="1328"/>
        <w:gridCol w:w="444"/>
        <w:gridCol w:w="444"/>
        <w:gridCol w:w="340"/>
        <w:gridCol w:w="1241"/>
        <w:gridCol w:w="728"/>
        <w:gridCol w:w="1079"/>
        <w:gridCol w:w="548"/>
        <w:gridCol w:w="1091"/>
        <w:gridCol w:w="756"/>
        <w:gridCol w:w="1181"/>
        <w:gridCol w:w="1181"/>
        <w:gridCol w:w="1316"/>
      </w:tblGrid>
      <w:tr>
        <w:trPr>
          <w:trHeight w:val="250" w:hRule="exact"/>
        </w:trPr>
        <w:tc>
          <w:tcPr>
            <w:tcW w:w="2582" w:type="dxa"/>
            <w:vMerge w:val="restart"/>
            <w:tcBorders>
              <w:top w:val="single" w:sz="4" w:space="0" w:color="000000"/>
              <w:left w:val="single" w:sz="4" w:space="0" w:color="000000"/>
              <w:right w:val="single" w:sz="4" w:space="0" w:color="000000"/>
            </w:tcBorders>
            <w:shd w:val="clear" w:color="auto" w:fill="D3D3D3"/>
          </w:tcPr>
          <w:p>
            <w:pPr/>
          </w:p>
        </w:tc>
        <w:tc>
          <w:tcPr>
            <w:tcW w:w="11677"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0" w:hRule="exact"/>
        </w:trPr>
        <w:tc>
          <w:tcPr>
            <w:tcW w:w="2582" w:type="dxa"/>
            <w:vMerge/>
            <w:tcBorders>
              <w:left w:val="single" w:sz="4" w:space="0" w:color="000000"/>
              <w:bottom w:val="nil" w:sz="6" w:space="0" w:color="auto"/>
              <w:right w:val="single" w:sz="4" w:space="0" w:color="000000"/>
            </w:tcBorders>
            <w:shd w:val="clear" w:color="auto" w:fill="D3D3D3"/>
          </w:tcPr>
          <w:p>
            <w:pPr/>
          </w:p>
        </w:tc>
        <w:tc>
          <w:tcPr>
            <w:tcW w:w="917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8"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shd w:val="clear" w:color="auto" w:fill="D3D3D3"/>
          </w:tcPr>
          <w:p>
            <w:pPr/>
          </w:p>
        </w:tc>
        <w:tc>
          <w:tcPr>
            <w:tcW w:w="1316" w:type="dxa"/>
            <w:vMerge w:val="restart"/>
            <w:tcBorders>
              <w:top w:val="single" w:sz="4" w:space="0" w:color="000000"/>
              <w:left w:val="single" w:sz="4" w:space="0" w:color="000000"/>
              <w:right w:val="single" w:sz="4" w:space="0" w:color="000000"/>
            </w:tcBorders>
            <w:shd w:val="clear" w:color="auto" w:fill="D3D3D3"/>
          </w:tcPr>
          <w:p>
            <w:pPr/>
          </w:p>
        </w:tc>
      </w:tr>
      <w:tr>
        <w:trPr>
          <w:trHeight w:val="131" w:hRule="exact"/>
        </w:trPr>
        <w:tc>
          <w:tcPr>
            <w:tcW w:w="2582" w:type="dxa"/>
            <w:vMerge w:val="restart"/>
            <w:tcBorders>
              <w:top w:val="nil" w:sz="6" w:space="0" w:color="auto"/>
              <w:left w:val="single" w:sz="4" w:space="0" w:color="000000"/>
              <w:right w:val="single" w:sz="4" w:space="0" w:color="000000"/>
            </w:tcBorders>
            <w:shd w:val="clear" w:color="auto" w:fill="D3D3D3"/>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28"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19" w:lineRule="exact"/>
              <w:ind w:left="6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1" w:type="dxa"/>
            <w:vMerge w:val="restart"/>
            <w:tcBorders>
              <w:top w:val="single" w:sz="4" w:space="0" w:color="000000"/>
              <w:left w:val="single" w:sz="4" w:space="0" w:color="000000"/>
              <w:right w:val="single" w:sz="4" w:space="0" w:color="000000"/>
            </w:tcBorders>
            <w:shd w:val="clear" w:color="auto" w:fill="D3D3D3"/>
          </w:tcPr>
          <w:p>
            <w:pPr/>
          </w:p>
        </w:tc>
        <w:tc>
          <w:tcPr>
            <w:tcW w:w="728" w:type="dxa"/>
            <w:tcBorders>
              <w:top w:val="single" w:sz="4" w:space="0" w:color="000000"/>
              <w:left w:val="single" w:sz="4" w:space="0" w:color="000000"/>
              <w:bottom w:val="nil" w:sz="6" w:space="0" w:color="auto"/>
              <w:right w:val="single" w:sz="4" w:space="0" w:color="000000"/>
            </w:tcBorders>
            <w:shd w:val="clear" w:color="auto" w:fill="D3D3D3"/>
          </w:tcPr>
          <w:p>
            <w:pPr/>
          </w:p>
        </w:tc>
        <w:tc>
          <w:tcPr>
            <w:tcW w:w="1079" w:type="dxa"/>
            <w:tcBorders>
              <w:top w:val="single" w:sz="4" w:space="0" w:color="000000"/>
              <w:left w:val="single" w:sz="4" w:space="0" w:color="000000"/>
              <w:bottom w:val="nil" w:sz="6" w:space="0" w:color="auto"/>
              <w:right w:val="single" w:sz="4" w:space="0" w:color="000000"/>
            </w:tcBorders>
            <w:shd w:val="clear" w:color="auto" w:fill="D3D3D3"/>
          </w:tcPr>
          <w:p>
            <w:pPr/>
          </w:p>
        </w:tc>
        <w:tc>
          <w:tcPr>
            <w:tcW w:w="548"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vMerge w:val="restart"/>
            <w:tcBorders>
              <w:top w:val="single" w:sz="4" w:space="0" w:color="000000"/>
              <w:left w:val="single" w:sz="4" w:space="0" w:color="000000"/>
              <w:right w:val="single" w:sz="4" w:space="0" w:color="000000"/>
            </w:tcBorders>
            <w:shd w:val="clear" w:color="auto" w:fill="D3D3D3"/>
          </w:tcPr>
          <w:p>
            <w:pPr/>
          </w:p>
        </w:tc>
        <w:tc>
          <w:tcPr>
            <w:tcW w:w="75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1" w:type="dxa"/>
            <w:vMerge w:val="restart"/>
            <w:tcBorders>
              <w:top w:val="single" w:sz="4" w:space="0" w:color="000000"/>
              <w:left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r>
      <w:tr>
        <w:trPr>
          <w:trHeight w:val="118" w:hRule="exact"/>
        </w:trPr>
        <w:tc>
          <w:tcPr>
            <w:tcW w:w="2582" w:type="dxa"/>
            <w:vMerge/>
            <w:tcBorders>
              <w:left w:val="single" w:sz="4" w:space="0" w:color="000000"/>
              <w:bottom w:val="nil" w:sz="6" w:space="0" w:color="auto"/>
              <w:right w:val="single" w:sz="4" w:space="0" w:color="000000"/>
            </w:tcBorders>
            <w:shd w:val="clear" w:color="auto" w:fill="D3D3D3"/>
          </w:tcPr>
          <w:p>
            <w:pPr/>
          </w:p>
        </w:tc>
        <w:tc>
          <w:tcPr>
            <w:tcW w:w="1328" w:type="dxa"/>
            <w:vMerge/>
            <w:tcBorders>
              <w:left w:val="single" w:sz="4" w:space="0" w:color="000000"/>
              <w:right w:val="single" w:sz="4" w:space="0" w:color="000000"/>
            </w:tcBorders>
            <w:shd w:val="clear" w:color="auto" w:fill="D3D3D3"/>
          </w:tcPr>
          <w:p>
            <w:pPr/>
          </w:p>
        </w:tc>
        <w:tc>
          <w:tcPr>
            <w:tcW w:w="1228" w:type="dxa"/>
            <w:gridSpan w:val="3"/>
            <w:vMerge/>
            <w:tcBorders>
              <w:left w:val="single" w:sz="4" w:space="0" w:color="000000"/>
              <w:bottom w:val="single" w:sz="4" w:space="0" w:color="000000"/>
              <w:right w:val="single" w:sz="4" w:space="0" w:color="000000"/>
            </w:tcBorders>
            <w:shd w:val="clear" w:color="auto" w:fill="D3D3D3"/>
          </w:tcPr>
          <w:p>
            <w:pPr/>
          </w:p>
        </w:tc>
        <w:tc>
          <w:tcPr>
            <w:tcW w:w="1241" w:type="dxa"/>
            <w:vMerge/>
            <w:tcBorders>
              <w:left w:val="single" w:sz="4" w:space="0" w:color="000000"/>
              <w:bottom w:val="nil" w:sz="6" w:space="0" w:color="auto"/>
              <w:right w:val="single" w:sz="4" w:space="0" w:color="000000"/>
            </w:tcBorders>
            <w:shd w:val="clear" w:color="auto" w:fill="D3D3D3"/>
          </w:tcPr>
          <w:p>
            <w:pPr/>
          </w:p>
        </w:tc>
        <w:tc>
          <w:tcPr>
            <w:tcW w:w="7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ind w:left="269" w:right="20" w:hanging="246"/>
              <w:jc w:val="left"/>
              <w:rPr>
                <w:rFonts w:ascii="宋体" w:hAnsi="宋体" w:cs="宋体" w:eastAsia="宋体" w:hint="default"/>
                <w:sz w:val="18"/>
                <w:szCs w:val="18"/>
              </w:rPr>
            </w:pPr>
            <w:r>
              <w:rPr>
                <w:rFonts w:ascii="宋体" w:hAnsi="宋体" w:cs="宋体" w:eastAsia="宋体" w:hint="default"/>
                <w:spacing w:val="-12"/>
                <w:sz w:val="18"/>
                <w:szCs w:val="18"/>
              </w:rPr>
              <w:t>减：库存</w:t>
            </w:r>
            <w:r>
              <w:rPr>
                <w:rFonts w:ascii="宋体" w:hAnsi="宋体" w:cs="宋体" w:eastAsia="宋体" w:hint="default"/>
                <w:sz w:val="18"/>
                <w:szCs w:val="18"/>
              </w:rPr>
              <w:t> 股</w:t>
            </w:r>
          </w:p>
        </w:tc>
        <w:tc>
          <w:tcPr>
            <w:tcW w:w="10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ind w:left="443" w:right="8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4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ind w:left="88" w:right="8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1" w:type="dxa"/>
            <w:vMerge/>
            <w:tcBorders>
              <w:left w:val="single" w:sz="4" w:space="0" w:color="000000"/>
              <w:bottom w:val="nil" w:sz="6" w:space="0" w:color="auto"/>
              <w:right w:val="single" w:sz="4" w:space="0" w:color="000000"/>
            </w:tcBorders>
            <w:shd w:val="clear" w:color="auto" w:fill="D3D3D3"/>
          </w:tcPr>
          <w:p>
            <w:pPr/>
          </w:p>
        </w:tc>
        <w:tc>
          <w:tcPr>
            <w:tcW w:w="7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before="2"/>
              <w:ind w:left="101" w:right="10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1" w:type="dxa"/>
            <w:vMerge/>
            <w:tcBorders>
              <w:left w:val="single" w:sz="4" w:space="0" w:color="000000"/>
              <w:bottom w:val="nil" w:sz="6" w:space="0" w:color="auto"/>
              <w:right w:val="single" w:sz="4" w:space="0" w:color="000000"/>
            </w:tcBorders>
            <w:shd w:val="clear" w:color="auto" w:fill="D3D3D3"/>
          </w:tcPr>
          <w:p>
            <w:pPr/>
          </w:p>
        </w:tc>
        <w:tc>
          <w:tcPr>
            <w:tcW w:w="1181" w:type="dxa"/>
            <w:vMerge w:val="restart"/>
            <w:tcBorders>
              <w:top w:val="nil" w:sz="6" w:space="0" w:color="auto"/>
              <w:left w:val="single" w:sz="9" w:space="0" w:color="D3D3D3"/>
              <w:right w:val="single" w:sz="22" w:space="0" w:color="D3D3D3"/>
            </w:tcBorders>
          </w:tcPr>
          <w:p>
            <w:pPr>
              <w:pStyle w:val="TableParagraph"/>
              <w:spacing w:line="215" w:lineRule="exact"/>
              <w:ind w:left="3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少数股东权益</w:t>
            </w:r>
            <w:r>
              <w:rPr>
                <w:rFonts w:ascii="宋体" w:hAnsi="宋体" w:cs="宋体" w:eastAsia="宋体" w:hint="default"/>
                <w:sz w:val="18"/>
                <w:szCs w:val="18"/>
              </w:rPr>
            </w:r>
          </w:p>
        </w:tc>
        <w:tc>
          <w:tcPr>
            <w:tcW w:w="1316" w:type="dxa"/>
            <w:vMerge w:val="restart"/>
            <w:tcBorders>
              <w:top w:val="nil" w:sz="6" w:space="0" w:color="auto"/>
              <w:left w:val="single" w:sz="22" w:space="0" w:color="D3D3D3"/>
              <w:right w:val="single" w:sz="13" w:space="0" w:color="D3D3D3"/>
            </w:tcBorders>
          </w:tcPr>
          <w:p>
            <w:pPr>
              <w:pStyle w:val="TableParagraph"/>
              <w:spacing w:line="215" w:lineRule="exact"/>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所有者权益合计</w:t>
            </w:r>
            <w:r>
              <w:rPr>
                <w:rFonts w:ascii="宋体" w:hAnsi="宋体" w:cs="宋体" w:eastAsia="宋体" w:hint="default"/>
                <w:sz w:val="18"/>
                <w:szCs w:val="18"/>
              </w:rPr>
            </w:r>
          </w:p>
        </w:tc>
      </w:tr>
      <w:tr>
        <w:trPr>
          <w:trHeight w:val="116" w:hRule="exact"/>
        </w:trPr>
        <w:tc>
          <w:tcPr>
            <w:tcW w:w="2582" w:type="dxa"/>
            <w:vMerge w:val="restart"/>
            <w:tcBorders>
              <w:top w:val="nil" w:sz="6" w:space="0" w:color="auto"/>
              <w:left w:val="single" w:sz="4" w:space="0" w:color="000000"/>
              <w:right w:val="single" w:sz="4" w:space="0" w:color="000000"/>
            </w:tcBorders>
            <w:shd w:val="clear" w:color="auto" w:fill="D3D3D3"/>
          </w:tcPr>
          <w:p>
            <w:pPr/>
          </w:p>
        </w:tc>
        <w:tc>
          <w:tcPr>
            <w:tcW w:w="1328" w:type="dxa"/>
            <w:vMerge/>
            <w:tcBorders>
              <w:left w:val="single" w:sz="4" w:space="0" w:color="000000"/>
              <w:right w:val="single" w:sz="4" w:space="0" w:color="000000"/>
            </w:tcBorders>
            <w:shd w:val="clear" w:color="auto" w:fill="D3D3D3"/>
          </w:tcPr>
          <w:p>
            <w:pPr/>
          </w:p>
        </w:tc>
        <w:tc>
          <w:tcPr>
            <w:tcW w:w="4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2"/>
              <w:ind w:left="125" w:right="3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2"/>
              <w:ind w:left="125" w:right="3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3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2"/>
              <w:ind w:left="74" w:right="73"/>
              <w:jc w:val="left"/>
              <w:rPr>
                <w:rFonts w:ascii="宋体" w:hAnsi="宋体" w:cs="宋体" w:eastAsia="宋体" w:hint="default"/>
                <w:sz w:val="18"/>
                <w:szCs w:val="18"/>
              </w:rPr>
            </w:pPr>
            <w:r>
              <w:rPr>
                <w:rFonts w:ascii="宋体" w:hAnsi="宋体" w:cs="宋体" w:eastAsia="宋体" w:hint="default"/>
                <w:sz w:val="18"/>
                <w:szCs w:val="18"/>
              </w:rPr>
              <w:t>其 他</w:t>
            </w:r>
          </w:p>
        </w:tc>
        <w:tc>
          <w:tcPr>
            <w:tcW w:w="1241" w:type="dxa"/>
            <w:vMerge w:val="restart"/>
            <w:tcBorders>
              <w:top w:val="nil" w:sz="6" w:space="0" w:color="auto"/>
              <w:left w:val="single" w:sz="4" w:space="0" w:color="000000"/>
              <w:right w:val="single" w:sz="4" w:space="0" w:color="000000"/>
            </w:tcBorders>
            <w:shd w:val="clear" w:color="auto" w:fill="D3D3D3"/>
          </w:tcPr>
          <w:p>
            <w:pPr>
              <w:pStyle w:val="TableParagraph"/>
              <w:spacing w:line="220" w:lineRule="exact"/>
              <w:ind w:left="2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8" w:type="dxa"/>
            <w:vMerge/>
            <w:tcBorders>
              <w:left w:val="single" w:sz="4" w:space="0" w:color="000000"/>
              <w:right w:val="single" w:sz="4" w:space="0" w:color="000000"/>
            </w:tcBorders>
            <w:shd w:val="clear" w:color="auto" w:fill="D3D3D3"/>
          </w:tcPr>
          <w:p>
            <w:pPr/>
          </w:p>
        </w:tc>
        <w:tc>
          <w:tcPr>
            <w:tcW w:w="1079" w:type="dxa"/>
            <w:vMerge/>
            <w:tcBorders>
              <w:left w:val="single" w:sz="4" w:space="0" w:color="000000"/>
              <w:right w:val="single" w:sz="4" w:space="0" w:color="000000"/>
            </w:tcBorders>
            <w:shd w:val="clear" w:color="auto" w:fill="D3D3D3"/>
          </w:tcPr>
          <w:p>
            <w:pPr/>
          </w:p>
        </w:tc>
        <w:tc>
          <w:tcPr>
            <w:tcW w:w="548" w:type="dxa"/>
            <w:vMerge/>
            <w:tcBorders>
              <w:left w:val="single" w:sz="4" w:space="0" w:color="000000"/>
              <w:right w:val="single" w:sz="4" w:space="0" w:color="000000"/>
            </w:tcBorders>
            <w:shd w:val="clear" w:color="auto" w:fill="D3D3D3"/>
          </w:tcPr>
          <w:p>
            <w:pP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19" w:lineRule="exact"/>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56" w:type="dxa"/>
            <w:vMerge/>
            <w:tcBorders>
              <w:left w:val="single" w:sz="4" w:space="0" w:color="000000"/>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19" w:lineRule="exact"/>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9" w:space="0" w:color="D3D3D3"/>
              <w:bottom w:val="nil" w:sz="6" w:space="0" w:color="auto"/>
              <w:right w:val="single" w:sz="22" w:space="0" w:color="D3D3D3"/>
            </w:tcBorders>
          </w:tcPr>
          <w:p>
            <w:pPr/>
          </w:p>
        </w:tc>
        <w:tc>
          <w:tcPr>
            <w:tcW w:w="1316" w:type="dxa"/>
            <w:vMerge/>
            <w:tcBorders>
              <w:left w:val="single" w:sz="22" w:space="0" w:color="D3D3D3"/>
              <w:bottom w:val="nil" w:sz="6" w:space="0" w:color="auto"/>
              <w:right w:val="single" w:sz="13" w:space="0" w:color="D3D3D3"/>
            </w:tcBorders>
          </w:tcPr>
          <w:p>
            <w:pPr/>
          </w:p>
        </w:tc>
      </w:tr>
      <w:tr>
        <w:trPr>
          <w:trHeight w:val="125" w:hRule="exact"/>
        </w:trPr>
        <w:tc>
          <w:tcPr>
            <w:tcW w:w="2582" w:type="dxa"/>
            <w:vMerge/>
            <w:tcBorders>
              <w:left w:val="single" w:sz="4" w:space="0" w:color="000000"/>
              <w:right w:val="single" w:sz="4" w:space="0" w:color="000000"/>
            </w:tcBorders>
            <w:shd w:val="clear" w:color="auto" w:fill="D3D3D3"/>
          </w:tcPr>
          <w:p>
            <w:pPr/>
          </w:p>
        </w:tc>
        <w:tc>
          <w:tcPr>
            <w:tcW w:w="1328" w:type="dxa"/>
            <w:vMerge/>
            <w:tcBorders>
              <w:left w:val="single" w:sz="4" w:space="0" w:color="000000"/>
              <w:right w:val="single" w:sz="4" w:space="0" w:color="000000"/>
            </w:tcBorders>
            <w:shd w:val="clear" w:color="auto" w:fill="D3D3D3"/>
          </w:tcPr>
          <w:p>
            <w:pPr/>
          </w:p>
        </w:tc>
        <w:tc>
          <w:tcPr>
            <w:tcW w:w="444" w:type="dxa"/>
            <w:vMerge/>
            <w:tcBorders>
              <w:left w:val="single" w:sz="4" w:space="0" w:color="000000"/>
              <w:right w:val="single" w:sz="4" w:space="0" w:color="000000"/>
            </w:tcBorders>
            <w:shd w:val="clear" w:color="auto" w:fill="D3D3D3"/>
          </w:tcPr>
          <w:p>
            <w:pPr/>
          </w:p>
        </w:tc>
        <w:tc>
          <w:tcPr>
            <w:tcW w:w="444" w:type="dxa"/>
            <w:vMerge/>
            <w:tcBorders>
              <w:left w:val="single" w:sz="4" w:space="0" w:color="000000"/>
              <w:right w:val="single" w:sz="4" w:space="0" w:color="000000"/>
            </w:tcBorders>
            <w:shd w:val="clear" w:color="auto" w:fill="D3D3D3"/>
          </w:tcPr>
          <w:p>
            <w:pPr/>
          </w:p>
        </w:tc>
        <w:tc>
          <w:tcPr>
            <w:tcW w:w="340" w:type="dxa"/>
            <w:vMerge/>
            <w:tcBorders>
              <w:left w:val="single" w:sz="4" w:space="0" w:color="000000"/>
              <w:right w:val="single" w:sz="4" w:space="0" w:color="000000"/>
            </w:tcBorders>
            <w:shd w:val="clear" w:color="auto" w:fill="D3D3D3"/>
          </w:tcPr>
          <w:p>
            <w:pPr/>
          </w:p>
        </w:tc>
        <w:tc>
          <w:tcPr>
            <w:tcW w:w="1241" w:type="dxa"/>
            <w:vMerge/>
            <w:tcBorders>
              <w:left w:val="single" w:sz="4" w:space="0" w:color="000000"/>
              <w:bottom w:val="nil" w:sz="6" w:space="0" w:color="auto"/>
              <w:right w:val="single" w:sz="4" w:space="0" w:color="000000"/>
            </w:tcBorders>
            <w:shd w:val="clear" w:color="auto" w:fill="D3D3D3"/>
          </w:tcPr>
          <w:p>
            <w:pPr/>
          </w:p>
        </w:tc>
        <w:tc>
          <w:tcPr>
            <w:tcW w:w="728" w:type="dxa"/>
            <w:vMerge/>
            <w:tcBorders>
              <w:left w:val="single" w:sz="4" w:space="0" w:color="000000"/>
              <w:right w:val="single" w:sz="4" w:space="0" w:color="000000"/>
            </w:tcBorders>
            <w:shd w:val="clear" w:color="auto" w:fill="D3D3D3"/>
          </w:tcPr>
          <w:p>
            <w:pPr/>
          </w:p>
        </w:tc>
        <w:tc>
          <w:tcPr>
            <w:tcW w:w="1079" w:type="dxa"/>
            <w:vMerge/>
            <w:tcBorders>
              <w:left w:val="single" w:sz="4" w:space="0" w:color="000000"/>
              <w:right w:val="single" w:sz="4" w:space="0" w:color="000000"/>
            </w:tcBorders>
            <w:shd w:val="clear" w:color="auto" w:fill="D3D3D3"/>
          </w:tcPr>
          <w:p>
            <w:pPr/>
          </w:p>
        </w:tc>
        <w:tc>
          <w:tcPr>
            <w:tcW w:w="548" w:type="dxa"/>
            <w:vMerge/>
            <w:tcBorders>
              <w:left w:val="single" w:sz="4" w:space="0" w:color="000000"/>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756"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
        </w:tc>
        <w:tc>
          <w:tcPr>
            <w:tcW w:w="1316" w:type="dxa"/>
            <w:vMerge w:val="restart"/>
            <w:tcBorders>
              <w:top w:val="nil" w:sz="6" w:space="0" w:color="auto"/>
              <w:left w:val="single" w:sz="4" w:space="0" w:color="000000"/>
              <w:right w:val="single" w:sz="4" w:space="0" w:color="000000"/>
            </w:tcBorders>
            <w:shd w:val="clear" w:color="auto" w:fill="D3D3D3"/>
          </w:tcPr>
          <w:p>
            <w:pPr/>
          </w:p>
        </w:tc>
      </w:tr>
      <w:tr>
        <w:trPr>
          <w:trHeight w:val="250" w:hRule="exact"/>
        </w:trPr>
        <w:tc>
          <w:tcPr>
            <w:tcW w:w="2582"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c>
          <w:tcPr>
            <w:tcW w:w="444" w:type="dxa"/>
            <w:vMerge/>
            <w:tcBorders>
              <w:left w:val="single" w:sz="4" w:space="0" w:color="000000"/>
              <w:bottom w:val="single" w:sz="4" w:space="0" w:color="000000"/>
              <w:right w:val="single" w:sz="4" w:space="0" w:color="000000"/>
            </w:tcBorders>
            <w:shd w:val="clear" w:color="auto" w:fill="D3D3D3"/>
          </w:tcPr>
          <w:p>
            <w:pPr/>
          </w:p>
        </w:tc>
        <w:tc>
          <w:tcPr>
            <w:tcW w:w="444" w:type="dxa"/>
            <w:vMerge/>
            <w:tcBorders>
              <w:left w:val="single" w:sz="4" w:space="0" w:color="000000"/>
              <w:bottom w:val="single" w:sz="4" w:space="0" w:color="000000"/>
              <w:right w:val="single" w:sz="4" w:space="0" w:color="000000"/>
            </w:tcBorders>
            <w:shd w:val="clear" w:color="auto" w:fill="D3D3D3"/>
          </w:tcPr>
          <w:p>
            <w:pPr/>
          </w:p>
        </w:tc>
        <w:tc>
          <w:tcPr>
            <w:tcW w:w="340" w:type="dxa"/>
            <w:vMerge/>
            <w:tcBorders>
              <w:left w:val="single" w:sz="4" w:space="0" w:color="000000"/>
              <w:bottom w:val="single" w:sz="4" w:space="0" w:color="000000"/>
              <w:right w:val="single" w:sz="4" w:space="0" w:color="000000"/>
            </w:tcBorders>
            <w:shd w:val="clear" w:color="auto" w:fill="D3D3D3"/>
          </w:tcPr>
          <w:p>
            <w:pPr/>
          </w:p>
        </w:tc>
        <w:tc>
          <w:tcPr>
            <w:tcW w:w="1241" w:type="dxa"/>
            <w:tcBorders>
              <w:top w:val="nil" w:sz="6" w:space="0" w:color="auto"/>
              <w:left w:val="single" w:sz="4" w:space="0" w:color="000000"/>
              <w:bottom w:val="single" w:sz="4" w:space="0" w:color="000000"/>
              <w:right w:val="single" w:sz="4" w:space="0" w:color="000000"/>
            </w:tcBorders>
            <w:shd w:val="clear" w:color="auto" w:fill="D3D3D3"/>
          </w:tcPr>
          <w:p>
            <w:pPr/>
          </w:p>
        </w:tc>
        <w:tc>
          <w:tcPr>
            <w:tcW w:w="728" w:type="dxa"/>
            <w:vMerge/>
            <w:tcBorders>
              <w:left w:val="single" w:sz="4" w:space="0" w:color="000000"/>
              <w:bottom w:val="single" w:sz="4" w:space="0" w:color="000000"/>
              <w:right w:val="single" w:sz="4" w:space="0" w:color="000000"/>
            </w:tcBorders>
            <w:shd w:val="clear" w:color="auto" w:fill="D3D3D3"/>
          </w:tcPr>
          <w:p>
            <w:pPr/>
          </w:p>
        </w:tc>
        <w:tc>
          <w:tcPr>
            <w:tcW w:w="1079" w:type="dxa"/>
            <w:vMerge/>
            <w:tcBorders>
              <w:left w:val="single" w:sz="4" w:space="0" w:color="000000"/>
              <w:bottom w:val="single" w:sz="4" w:space="0" w:color="000000"/>
              <w:right w:val="single" w:sz="4" w:space="0" w:color="000000"/>
            </w:tcBorders>
            <w:shd w:val="clear" w:color="auto" w:fill="D3D3D3"/>
          </w:tcPr>
          <w:p>
            <w:pPr/>
          </w:p>
        </w:tc>
        <w:tc>
          <w:tcPr>
            <w:tcW w:w="548" w:type="dxa"/>
            <w:vMerge/>
            <w:tcBorders>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756"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-230,786,857.59</w:t>
            </w:r>
          </w:p>
        </w:tc>
        <w:tc>
          <w:tcPr>
            <w:tcW w:w="728" w:type="dxa"/>
            <w:tcBorders>
              <w:top w:val="single" w:sz="54" w:space="0" w:color="D3D3D3"/>
              <w:left w:val="single" w:sz="4" w:space="0" w:color="000000"/>
              <w:bottom w:val="single" w:sz="4" w:space="0" w:color="000000"/>
              <w:right w:val="single" w:sz="4" w:space="0" w:color="000000"/>
            </w:tcBorders>
          </w:tcPr>
          <w:p>
            <w:pPr/>
          </w:p>
        </w:tc>
        <w:tc>
          <w:tcPr>
            <w:tcW w:w="1079" w:type="dxa"/>
            <w:tcBorders>
              <w:top w:val="single" w:sz="54" w:space="0" w:color="D3D3D3"/>
              <w:left w:val="single" w:sz="4" w:space="0" w:color="000000"/>
              <w:bottom w:val="single" w:sz="4" w:space="0" w:color="000000"/>
              <w:right w:val="single" w:sz="4" w:space="0" w:color="000000"/>
            </w:tcBorders>
          </w:tcPr>
          <w:p>
            <w:pPr/>
          </w:p>
        </w:tc>
        <w:tc>
          <w:tcPr>
            <w:tcW w:w="548" w:type="dxa"/>
            <w:tcBorders>
              <w:top w:val="single" w:sz="54" w:space="0" w:color="D3D3D3"/>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69,102,092.76</w:t>
            </w:r>
          </w:p>
        </w:tc>
        <w:tc>
          <w:tcPr>
            <w:tcW w:w="756" w:type="dxa"/>
            <w:tcBorders>
              <w:top w:val="single" w:sz="54" w:space="0" w:color="D3D3D3"/>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910,699,612.47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2"/>
                <w:sz w:val="18"/>
              </w:rPr>
              <w:t>229,111,674.75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1,995,824,932.39</w:t>
            </w:r>
          </w:p>
        </w:tc>
      </w:tr>
      <w:tr>
        <w:trPr>
          <w:trHeight w:val="251"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73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500,000.00</w:t>
            </w: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3,565,231.17</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4,065,231.17</w:t>
            </w:r>
          </w:p>
        </w:tc>
      </w:tr>
      <w:tr>
        <w:trPr>
          <w:trHeight w:val="251"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-230,286,857.59</w:t>
            </w: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69,102,092.76</w:t>
            </w: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914,264,843.64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2"/>
                <w:sz w:val="18"/>
              </w:rPr>
              <w:t>229,111,674.75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1,999,890,163.56</w:t>
            </w:r>
          </w:p>
        </w:tc>
      </w:tr>
      <w:tr>
        <w:trPr>
          <w:trHeight w:val="49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2"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40" w:lineRule="auto" w:before="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28" w:type="dxa"/>
            <w:tcBorders>
              <w:top w:val="single" w:sz="4" w:space="0" w:color="000000"/>
              <w:left w:val="single" w:sz="9" w:space="0" w:color="D3D3D3"/>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-4,516,135.22</w:t>
            </w: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2,190,121.44</w:t>
            </w: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2" w:right="0"/>
              <w:jc w:val="center"/>
              <w:rPr>
                <w:rFonts w:ascii="Times New Roman" w:hAnsi="Times New Roman" w:cs="Times New Roman" w:eastAsia="Times New Roman" w:hint="default"/>
                <w:sz w:val="18"/>
                <w:szCs w:val="18"/>
              </w:rPr>
            </w:pPr>
            <w:r>
              <w:rPr>
                <w:rFonts w:ascii="Times New Roman"/>
                <w:sz w:val="18"/>
              </w:rPr>
              <w:t>2,322,850.63</w:t>
            </w: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29,384,812.71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-24,714,358.36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4,667,291.20</w:t>
            </w:r>
          </w:p>
        </w:tc>
      </w:tr>
      <w:tr>
        <w:trPr>
          <w:trHeight w:val="251"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8" w:type="dxa"/>
            <w:tcBorders>
              <w:top w:val="single" w:sz="4" w:space="0" w:color="000000"/>
              <w:left w:val="single" w:sz="9" w:space="0" w:color="D3D3D3"/>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2,190,121.44</w:t>
            </w: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146,809,823.33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63,328,278.60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212,328,223.37</w:t>
            </w: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-4,516,135.22</w:t>
            </w: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2" w:right="0"/>
              <w:jc w:val="center"/>
              <w:rPr>
                <w:rFonts w:ascii="Times New Roman" w:hAnsi="Times New Roman" w:cs="Times New Roman" w:eastAsia="Times New Roman" w:hint="default"/>
                <w:sz w:val="18"/>
                <w:szCs w:val="18"/>
              </w:rPr>
            </w:pPr>
            <w:r>
              <w:rPr>
                <w:rFonts w:ascii="Times New Roman"/>
                <w:sz w:val="18"/>
              </w:rPr>
              <w:t>2,322,850.63</w:t>
            </w: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-95,035,645.61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-81,685,196.96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-178,914,127.16</w:t>
            </w: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28" w:type="dxa"/>
            <w:tcBorders>
              <w:top w:val="single" w:sz="4" w:space="0" w:color="000000"/>
              <w:left w:val="single" w:sz="9" w:space="0" w:color="D3D3D3"/>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8,198,320.00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8,198,320.00</w:t>
            </w:r>
          </w:p>
        </w:tc>
      </w:tr>
      <w:tr>
        <w:trPr>
          <w:trHeight w:val="251"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．其他权益工具持有者投入资本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2" w:right="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．股份支付计入所有者权益的金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额</w:t>
            </w:r>
          </w:p>
        </w:tc>
        <w:tc>
          <w:tcPr>
            <w:tcW w:w="1328" w:type="dxa"/>
            <w:tcBorders>
              <w:top w:val="single" w:sz="4" w:space="0" w:color="000000"/>
              <w:left w:val="single" w:sz="9" w:space="0" w:color="D3D3D3"/>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9" w:space="0" w:color="D3D3D3"/>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-4,516,135.22</w:t>
            </w: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2" w:right="0"/>
              <w:jc w:val="center"/>
              <w:rPr>
                <w:rFonts w:ascii="Times New Roman" w:hAnsi="Times New Roman" w:cs="Times New Roman" w:eastAsia="Times New Roman" w:hint="default"/>
                <w:sz w:val="18"/>
                <w:szCs w:val="18"/>
              </w:rPr>
            </w:pPr>
            <w:r>
              <w:rPr>
                <w:rFonts w:ascii="Times New Roman"/>
                <w:sz w:val="18"/>
              </w:rPr>
              <w:t>2,322,850.63</w:t>
            </w: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-95,035,645.61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-89,883,516.96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-187,112,447.16</w:t>
            </w:r>
          </w:p>
        </w:tc>
      </w:tr>
      <w:tr>
        <w:trPr>
          <w:trHeight w:val="251"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8" w:type="dxa"/>
            <w:tcBorders>
              <w:top w:val="single" w:sz="4" w:space="0" w:color="000000"/>
              <w:left w:val="single" w:sz="9" w:space="0" w:color="D3D3D3"/>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-22,389,365.01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-6,357,440.00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-28,746,805.01</w:t>
            </w: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-22,389,365.01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-6,357,440.00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-28,746,805.01</w:t>
            </w: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82"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32"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28" w:type="dxa"/>
            <w:tcBorders>
              <w:top w:val="single" w:sz="4" w:space="0" w:color="000000"/>
              <w:left w:val="single" w:sz="22" w:space="0" w:color="FFFFFF"/>
              <w:bottom w:val="single" w:sz="4" w:space="0" w:color="000000"/>
              <w:right w:val="single" w:sz="4" w:space="0" w:color="000000"/>
            </w:tcBorders>
          </w:tcPr>
          <w:p>
            <w:pPr>
              <w:pStyle w:val="TableParagraph"/>
              <w:spacing w:line="219" w:lineRule="exact"/>
              <w:ind w:left="-163" w:right="0"/>
              <w:jc w:val="left"/>
              <w:rPr>
                <w:rFonts w:ascii="宋体" w:hAnsi="宋体" w:cs="宋体" w:eastAsia="宋体" w:hint="default"/>
                <w:sz w:val="18"/>
                <w:szCs w:val="18"/>
              </w:rPr>
            </w:pPr>
            <w:r>
              <w:rPr>
                <w:rFonts w:ascii="宋体" w:hAnsi="宋体" w:cs="宋体" w:eastAsia="宋体" w:hint="default"/>
                <w:sz w:val="18"/>
                <w:szCs w:val="18"/>
              </w:rPr>
              <w:t>）</w:t>
            </w: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2"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31"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28" w:type="dxa"/>
            <w:tcBorders>
              <w:top w:val="single" w:sz="4" w:space="0" w:color="000000"/>
              <w:left w:val="single" w:sz="22" w:space="0" w:color="FFFFFF"/>
              <w:bottom w:val="single" w:sz="4" w:space="0" w:color="000000"/>
              <w:right w:val="single" w:sz="4" w:space="0" w:color="000000"/>
            </w:tcBorders>
          </w:tcPr>
          <w:p>
            <w:pPr>
              <w:pStyle w:val="TableParagraph"/>
              <w:spacing w:line="217" w:lineRule="exact"/>
              <w:ind w:left="-163" w:right="0"/>
              <w:jc w:val="left"/>
              <w:rPr>
                <w:rFonts w:ascii="宋体" w:hAnsi="宋体" w:cs="宋体" w:eastAsia="宋体" w:hint="default"/>
                <w:sz w:val="18"/>
                <w:szCs w:val="18"/>
              </w:rPr>
            </w:pPr>
            <w:r>
              <w:rPr>
                <w:rFonts w:ascii="宋体" w:hAnsi="宋体" w:cs="宋体" w:eastAsia="宋体" w:hint="default"/>
                <w:sz w:val="18"/>
                <w:szCs w:val="18"/>
              </w:rPr>
              <w:t>）</w:t>
            </w: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44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-234,802,992.81</w:t>
            </w:r>
          </w:p>
        </w:tc>
        <w:tc>
          <w:tcPr>
            <w:tcW w:w="72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2,190,121.44</w:t>
            </w:r>
          </w:p>
        </w:tc>
        <w:tc>
          <w:tcPr>
            <w:tcW w:w="54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71,424,943.39</w:t>
            </w:r>
          </w:p>
        </w:tc>
        <w:tc>
          <w:tcPr>
            <w:tcW w:w="7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943,649,656.35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204,397,316.39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2,004,557,454.76</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80" w:left="1060" w:right="1280"/>
        </w:sectPr>
      </w:pPr>
    </w:p>
    <w:p>
      <w:pPr>
        <w:spacing w:line="240" w:lineRule="auto" w:before="12"/>
        <w:rPr>
          <w:rFonts w:ascii="宋体" w:hAnsi="宋体" w:cs="宋体" w:eastAsia="宋体" w:hint="default"/>
          <w:sz w:val="2"/>
          <w:szCs w:val="2"/>
        </w:rPr>
      </w:pPr>
    </w:p>
    <w:p>
      <w:pPr>
        <w:spacing w:line="20" w:lineRule="exact"/>
        <w:ind w:left="48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0"/>
        <w:ind w:left="519" w:right="0"/>
        <w:jc w:val="left"/>
      </w:pPr>
      <w:r>
        <w:rPr/>
        <w:t>上期金额</w:t>
      </w:r>
    </w:p>
    <w:p>
      <w:pPr>
        <w:pStyle w:val="BodyText"/>
        <w:spacing w:line="240" w:lineRule="auto" w:before="116"/>
        <w:ind w:left="0" w:right="159"/>
        <w:jc w:val="right"/>
      </w:pPr>
      <w:r>
        <w:rPr/>
        <w:t>单位：元</w:t>
      </w:r>
    </w:p>
    <w:p>
      <w:pPr>
        <w:spacing w:line="240" w:lineRule="auto" w:before="1"/>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582"/>
        <w:gridCol w:w="1328"/>
        <w:gridCol w:w="529"/>
        <w:gridCol w:w="530"/>
        <w:gridCol w:w="533"/>
        <w:gridCol w:w="1242"/>
        <w:gridCol w:w="721"/>
        <w:gridCol w:w="721"/>
        <w:gridCol w:w="721"/>
        <w:gridCol w:w="1092"/>
        <w:gridCol w:w="720"/>
        <w:gridCol w:w="1182"/>
        <w:gridCol w:w="1182"/>
        <w:gridCol w:w="1316"/>
      </w:tblGrid>
      <w:tr>
        <w:trPr>
          <w:trHeight w:val="250" w:hRule="exact"/>
        </w:trPr>
        <w:tc>
          <w:tcPr>
            <w:tcW w:w="2582" w:type="dxa"/>
            <w:vMerge w:val="restart"/>
            <w:tcBorders>
              <w:top w:val="single" w:sz="4" w:space="0" w:color="000000"/>
              <w:left w:val="single" w:sz="4" w:space="0" w:color="000000"/>
              <w:right w:val="single" w:sz="4" w:space="0" w:color="000000"/>
            </w:tcBorders>
            <w:shd w:val="clear" w:color="auto" w:fill="D3D3D3"/>
          </w:tcPr>
          <w:p>
            <w:pPr/>
          </w:p>
        </w:tc>
        <w:tc>
          <w:tcPr>
            <w:tcW w:w="11819"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2582" w:type="dxa"/>
            <w:vMerge/>
            <w:tcBorders>
              <w:left w:val="single" w:sz="4" w:space="0" w:color="000000"/>
              <w:bottom w:val="nil" w:sz="6" w:space="0" w:color="auto"/>
              <w:right w:val="single" w:sz="4" w:space="0" w:color="000000"/>
            </w:tcBorders>
            <w:shd w:val="clear" w:color="auto" w:fill="D3D3D3"/>
          </w:tcPr>
          <w:p>
            <w:pPr/>
          </w:p>
        </w:tc>
        <w:tc>
          <w:tcPr>
            <w:tcW w:w="932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2" w:type="dxa"/>
            <w:vMerge w:val="restart"/>
            <w:tcBorders>
              <w:top w:val="single" w:sz="4" w:space="0" w:color="000000"/>
              <w:left w:val="single" w:sz="4" w:space="0" w:color="000000"/>
              <w:right w:val="single" w:sz="4" w:space="0" w:color="000000"/>
            </w:tcBorders>
            <w:shd w:val="clear" w:color="auto" w:fill="D3D3D3"/>
          </w:tcPr>
          <w:p>
            <w:pPr/>
          </w:p>
        </w:tc>
        <w:tc>
          <w:tcPr>
            <w:tcW w:w="1316" w:type="dxa"/>
            <w:vMerge w:val="restart"/>
            <w:tcBorders>
              <w:top w:val="single" w:sz="4" w:space="0" w:color="000000"/>
              <w:left w:val="single" w:sz="4" w:space="0" w:color="000000"/>
              <w:right w:val="single" w:sz="4" w:space="0" w:color="000000"/>
            </w:tcBorders>
            <w:shd w:val="clear" w:color="auto" w:fill="D3D3D3"/>
          </w:tcPr>
          <w:p>
            <w:pPr/>
          </w:p>
        </w:tc>
      </w:tr>
      <w:tr>
        <w:trPr>
          <w:trHeight w:val="131" w:hRule="exact"/>
        </w:trPr>
        <w:tc>
          <w:tcPr>
            <w:tcW w:w="2582"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vMerge w:val="restart"/>
            <w:tcBorders>
              <w:top w:val="single" w:sz="4" w:space="0" w:color="000000"/>
              <w:left w:val="single" w:sz="4" w:space="0" w:color="000000"/>
              <w:right w:val="single" w:sz="4" w:space="0" w:color="000000"/>
            </w:tcBorders>
            <w:shd w:val="clear" w:color="auto" w:fill="D3D3D3"/>
          </w:tcPr>
          <w:p>
            <w:pPr/>
          </w:p>
        </w:tc>
        <w:tc>
          <w:tcPr>
            <w:tcW w:w="159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19" w:lineRule="exact"/>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2" w:type="dxa"/>
            <w:vMerge w:val="restart"/>
            <w:tcBorders>
              <w:top w:val="single" w:sz="4" w:space="0" w:color="000000"/>
              <w:left w:val="single" w:sz="4" w:space="0" w:color="000000"/>
              <w:right w:val="single" w:sz="4" w:space="0" w:color="000000"/>
            </w:tcBorders>
            <w:shd w:val="clear" w:color="auto" w:fill="D3D3D3"/>
          </w:tcPr>
          <w:p>
            <w:pPr/>
          </w:p>
        </w:tc>
        <w:tc>
          <w:tcPr>
            <w:tcW w:w="721" w:type="dxa"/>
            <w:tcBorders>
              <w:top w:val="single" w:sz="4" w:space="0" w:color="000000"/>
              <w:left w:val="single" w:sz="4" w:space="0" w:color="000000"/>
              <w:bottom w:val="nil" w:sz="6" w:space="0" w:color="auto"/>
              <w:right w:val="single" w:sz="4" w:space="0" w:color="000000"/>
            </w:tcBorders>
            <w:shd w:val="clear" w:color="auto" w:fill="D3D3D3"/>
          </w:tcPr>
          <w:p>
            <w:pPr/>
          </w:p>
        </w:tc>
        <w:tc>
          <w:tcPr>
            <w:tcW w:w="721" w:type="dxa"/>
            <w:tcBorders>
              <w:top w:val="single" w:sz="4" w:space="0" w:color="000000"/>
              <w:left w:val="single" w:sz="4" w:space="0" w:color="000000"/>
              <w:bottom w:val="nil" w:sz="6" w:space="0" w:color="auto"/>
              <w:right w:val="single" w:sz="4" w:space="0" w:color="000000"/>
            </w:tcBorders>
            <w:shd w:val="clear" w:color="auto" w:fill="D3D3D3"/>
          </w:tcPr>
          <w:p>
            <w:pPr/>
          </w:p>
        </w:tc>
        <w:tc>
          <w:tcPr>
            <w:tcW w:w="72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2" w:type="dxa"/>
            <w:vMerge w:val="restart"/>
            <w:tcBorders>
              <w:top w:val="single" w:sz="4" w:space="0" w:color="000000"/>
              <w:left w:val="single" w:sz="4" w:space="0" w:color="000000"/>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2" w:type="dxa"/>
            <w:vMerge w:val="restart"/>
            <w:tcBorders>
              <w:top w:val="single" w:sz="4" w:space="0" w:color="000000"/>
              <w:left w:val="single" w:sz="4" w:space="0" w:color="000000"/>
              <w:right w:val="single" w:sz="4" w:space="0" w:color="000000"/>
            </w:tcBorders>
            <w:shd w:val="clear" w:color="auto" w:fill="D3D3D3"/>
          </w:tcPr>
          <w:p>
            <w:pPr/>
          </w:p>
        </w:tc>
        <w:tc>
          <w:tcPr>
            <w:tcW w:w="1182" w:type="dxa"/>
            <w:vMerge/>
            <w:tcBorders>
              <w:left w:val="single" w:sz="4" w:space="0" w:color="000000"/>
              <w:bottom w:val="nil" w:sz="6" w:space="0" w:color="auto"/>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r>
      <w:tr>
        <w:trPr>
          <w:trHeight w:val="121" w:hRule="exact"/>
        </w:trPr>
        <w:tc>
          <w:tcPr>
            <w:tcW w:w="2582" w:type="dxa"/>
            <w:vMerge/>
            <w:tcBorders>
              <w:left w:val="single" w:sz="4" w:space="0" w:color="000000"/>
              <w:bottom w:val="nil" w:sz="6" w:space="0" w:color="auto"/>
              <w:right w:val="single" w:sz="4" w:space="0" w:color="000000"/>
            </w:tcBorders>
            <w:shd w:val="clear" w:color="auto" w:fill="D3D3D3"/>
          </w:tcPr>
          <w:p>
            <w:pPr/>
          </w:p>
        </w:tc>
        <w:tc>
          <w:tcPr>
            <w:tcW w:w="1328" w:type="dxa"/>
            <w:vMerge/>
            <w:tcBorders>
              <w:left w:val="single" w:sz="4" w:space="0" w:color="000000"/>
              <w:bottom w:val="nil" w:sz="6" w:space="0" w:color="auto"/>
              <w:right w:val="single" w:sz="4" w:space="0" w:color="000000"/>
            </w:tcBorders>
            <w:shd w:val="clear" w:color="auto" w:fill="D3D3D3"/>
          </w:tcPr>
          <w:p>
            <w:pPr/>
          </w:p>
        </w:tc>
        <w:tc>
          <w:tcPr>
            <w:tcW w:w="1592" w:type="dxa"/>
            <w:gridSpan w:val="3"/>
            <w:vMerge/>
            <w:tcBorders>
              <w:left w:val="single" w:sz="4" w:space="0" w:color="000000"/>
              <w:bottom w:val="single" w:sz="4" w:space="0" w:color="000000"/>
              <w:right w:val="single" w:sz="4" w:space="0" w:color="000000"/>
            </w:tcBorders>
            <w:shd w:val="clear" w:color="auto" w:fill="D3D3D3"/>
          </w:tcPr>
          <w:p>
            <w:pPr/>
          </w:p>
        </w:tc>
        <w:tc>
          <w:tcPr>
            <w:tcW w:w="1242" w:type="dxa"/>
            <w:vMerge/>
            <w:tcBorders>
              <w:left w:val="single" w:sz="4" w:space="0" w:color="000000"/>
              <w:bottom w:val="nil" w:sz="6" w:space="0" w:color="auto"/>
              <w:right w:val="single" w:sz="4" w:space="0" w:color="000000"/>
            </w:tcBorders>
            <w:shd w:val="clear" w:color="auto" w:fill="D3D3D3"/>
          </w:tcPr>
          <w:p>
            <w:pPr/>
          </w:p>
        </w:tc>
        <w:tc>
          <w:tcPr>
            <w:tcW w:w="72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ind w:left="265" w:right="22" w:hanging="243"/>
              <w:jc w:val="left"/>
              <w:rPr>
                <w:rFonts w:ascii="宋体" w:hAnsi="宋体" w:cs="宋体" w:eastAsia="宋体" w:hint="default"/>
                <w:sz w:val="18"/>
                <w:szCs w:val="18"/>
              </w:rPr>
            </w:pPr>
            <w:r>
              <w:rPr>
                <w:rFonts w:ascii="宋体" w:hAnsi="宋体" w:cs="宋体" w:eastAsia="宋体" w:hint="default"/>
                <w:spacing w:val="-14"/>
                <w:sz w:val="18"/>
                <w:szCs w:val="18"/>
              </w:rPr>
              <w:t>减：库存</w:t>
            </w:r>
            <w:r>
              <w:rPr>
                <w:rFonts w:ascii="宋体" w:hAnsi="宋体" w:cs="宋体" w:eastAsia="宋体" w:hint="default"/>
                <w:sz w:val="18"/>
                <w:szCs w:val="18"/>
              </w:rPr>
              <w:t> 股</w:t>
            </w:r>
          </w:p>
        </w:tc>
        <w:tc>
          <w:tcPr>
            <w:tcW w:w="72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ind w:left="85"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ind w:left="265" w:right="8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2" w:type="dxa"/>
            <w:vMerge/>
            <w:tcBorders>
              <w:left w:val="single" w:sz="4" w:space="0" w:color="000000"/>
              <w:bottom w:val="nil" w:sz="6" w:space="0" w:color="auto"/>
              <w:right w:val="single" w:sz="4" w:space="0" w:color="000000"/>
            </w:tcBorders>
            <w:shd w:val="clear" w:color="auto" w:fill="D3D3D3"/>
          </w:tcPr>
          <w:p>
            <w:pPr/>
          </w:p>
        </w:tc>
        <w:tc>
          <w:tcPr>
            <w:tcW w:w="7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before="2"/>
              <w:ind w:left="85" w:right="8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2" w:type="dxa"/>
            <w:vMerge/>
            <w:tcBorders>
              <w:left w:val="single" w:sz="4" w:space="0" w:color="000000"/>
              <w:bottom w:val="nil" w:sz="6" w:space="0" w:color="auto"/>
              <w:right w:val="single" w:sz="4" w:space="0" w:color="000000"/>
            </w:tcBorders>
            <w:shd w:val="clear" w:color="auto" w:fill="D3D3D3"/>
          </w:tcPr>
          <w:p>
            <w:pPr/>
          </w:p>
        </w:tc>
        <w:tc>
          <w:tcPr>
            <w:tcW w:w="1182" w:type="dxa"/>
            <w:vMerge w:val="restart"/>
            <w:tcBorders>
              <w:top w:val="nil" w:sz="6" w:space="0" w:color="auto"/>
              <w:left w:val="single" w:sz="9" w:space="0" w:color="D3D3D3"/>
              <w:right w:val="single" w:sz="9" w:space="0" w:color="D3D3D3"/>
            </w:tcBorders>
          </w:tcPr>
          <w:p>
            <w:pPr>
              <w:pStyle w:val="TableParagraph"/>
              <w:spacing w:line="215" w:lineRule="exact"/>
              <w:ind w:left="4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少数股东权益</w:t>
            </w:r>
            <w:r>
              <w:rPr>
                <w:rFonts w:ascii="宋体" w:hAnsi="宋体" w:cs="宋体" w:eastAsia="宋体" w:hint="default"/>
                <w:sz w:val="18"/>
                <w:szCs w:val="18"/>
              </w:rPr>
            </w:r>
          </w:p>
        </w:tc>
        <w:tc>
          <w:tcPr>
            <w:tcW w:w="1316" w:type="dxa"/>
            <w:vMerge w:val="restart"/>
            <w:tcBorders>
              <w:top w:val="nil" w:sz="6" w:space="0" w:color="auto"/>
              <w:left w:val="single" w:sz="9" w:space="0" w:color="D3D3D3"/>
              <w:right w:val="single" w:sz="13" w:space="0" w:color="D3D3D3"/>
            </w:tcBorders>
          </w:tcPr>
          <w:p>
            <w:pPr>
              <w:pStyle w:val="TableParagraph"/>
              <w:spacing w:line="215" w:lineRule="exact"/>
              <w:ind w:left="1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所有者权益合计</w:t>
            </w:r>
            <w:r>
              <w:rPr>
                <w:rFonts w:ascii="宋体" w:hAnsi="宋体" w:cs="宋体" w:eastAsia="宋体" w:hint="default"/>
                <w:sz w:val="18"/>
                <w:szCs w:val="18"/>
              </w:rPr>
            </w:r>
          </w:p>
        </w:tc>
      </w:tr>
      <w:tr>
        <w:trPr>
          <w:trHeight w:val="116" w:hRule="exact"/>
        </w:trPr>
        <w:tc>
          <w:tcPr>
            <w:tcW w:w="2582" w:type="dxa"/>
            <w:vMerge w:val="restart"/>
            <w:tcBorders>
              <w:top w:val="nil" w:sz="6" w:space="0" w:color="auto"/>
              <w:left w:val="single" w:sz="4" w:space="0" w:color="000000"/>
              <w:right w:val="single" w:sz="4" w:space="0" w:color="000000"/>
            </w:tcBorders>
            <w:shd w:val="clear" w:color="auto" w:fill="D3D3D3"/>
          </w:tcPr>
          <w:p>
            <w:pPr/>
          </w:p>
        </w:tc>
        <w:tc>
          <w:tcPr>
            <w:tcW w:w="1328" w:type="dxa"/>
            <w:vMerge w:val="restart"/>
            <w:tcBorders>
              <w:top w:val="nil" w:sz="6" w:space="0" w:color="auto"/>
              <w:left w:val="single" w:sz="4" w:space="0" w:color="000000"/>
              <w:right w:val="single" w:sz="4" w:space="0" w:color="000000"/>
            </w:tcBorders>
            <w:shd w:val="clear" w:color="auto" w:fill="D3D3D3"/>
          </w:tcPr>
          <w:p>
            <w:pPr>
              <w:pStyle w:val="TableParagraph"/>
              <w:spacing w:line="219" w:lineRule="exact"/>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1"/>
              <w:ind w:left="169"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1"/>
              <w:ind w:left="169"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vMerge w:val="restart"/>
            <w:tcBorders>
              <w:top w:val="single" w:sz="52" w:space="0" w:color="D3D3D3"/>
              <w:left w:val="single" w:sz="10" w:space="0" w:color="D3D3D3"/>
              <w:right w:val="single" w:sz="22" w:space="0" w:color="D3D3D3"/>
            </w:tcBorders>
          </w:tcPr>
          <w:p>
            <w:pPr>
              <w:pStyle w:val="TableParagraph"/>
              <w:spacing w:line="240" w:lineRule="auto" w:before="4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3"/>
                <w:sz w:val="18"/>
                <w:szCs w:val="18"/>
                <w:shd w:fill="D3D3D3" w:color="auto" w:val="clear"/>
              </w:rPr>
              <w:t> </w:t>
            </w:r>
            <w:r>
              <w:rPr>
                <w:rFonts w:ascii="宋体" w:hAnsi="宋体" w:cs="宋体" w:eastAsia="宋体" w:hint="default"/>
                <w:sz w:val="18"/>
                <w:szCs w:val="18"/>
                <w:shd w:fill="D3D3D3" w:color="auto" w:val="clear"/>
              </w:rPr>
              <w:t>其他</w:t>
            </w:r>
            <w:r>
              <w:rPr>
                <w:rFonts w:ascii="宋体" w:hAnsi="宋体" w:cs="宋体" w:eastAsia="宋体" w:hint="default"/>
                <w:sz w:val="18"/>
                <w:szCs w:val="18"/>
              </w:rPr>
            </w:r>
          </w:p>
        </w:tc>
        <w:tc>
          <w:tcPr>
            <w:tcW w:w="1242" w:type="dxa"/>
            <w:vMerge w:val="restart"/>
            <w:tcBorders>
              <w:top w:val="nil" w:sz="6" w:space="0" w:color="auto"/>
              <w:left w:val="single" w:sz="4" w:space="0" w:color="000000"/>
              <w:right w:val="single" w:sz="4" w:space="0" w:color="000000"/>
            </w:tcBorders>
            <w:shd w:val="clear" w:color="auto" w:fill="D3D3D3"/>
          </w:tcPr>
          <w:p>
            <w:pPr>
              <w:pStyle w:val="TableParagraph"/>
              <w:spacing w:line="219" w:lineRule="exact"/>
              <w:ind w:left="2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1" w:type="dxa"/>
            <w:vMerge/>
            <w:tcBorders>
              <w:left w:val="single" w:sz="4" w:space="0" w:color="000000"/>
              <w:right w:val="single" w:sz="4" w:space="0" w:color="000000"/>
            </w:tcBorders>
            <w:shd w:val="clear" w:color="auto" w:fill="D3D3D3"/>
          </w:tcPr>
          <w:p>
            <w:pPr/>
          </w:p>
        </w:tc>
        <w:tc>
          <w:tcPr>
            <w:tcW w:w="721" w:type="dxa"/>
            <w:vMerge/>
            <w:tcBorders>
              <w:left w:val="single" w:sz="4" w:space="0" w:color="000000"/>
              <w:right w:val="single" w:sz="4" w:space="0" w:color="000000"/>
            </w:tcBorders>
            <w:shd w:val="clear" w:color="auto" w:fill="D3D3D3"/>
          </w:tcPr>
          <w:p>
            <w:pPr/>
          </w:p>
        </w:tc>
        <w:tc>
          <w:tcPr>
            <w:tcW w:w="721" w:type="dxa"/>
            <w:vMerge/>
            <w:tcBorders>
              <w:left w:val="single" w:sz="4" w:space="0" w:color="000000"/>
              <w:right w:val="single" w:sz="4" w:space="0" w:color="000000"/>
            </w:tcBorders>
            <w:shd w:val="clear" w:color="auto" w:fill="D3D3D3"/>
          </w:tcPr>
          <w:p>
            <w:pPr/>
          </w:p>
        </w:tc>
        <w:tc>
          <w:tcPr>
            <w:tcW w:w="1092" w:type="dxa"/>
            <w:vMerge w:val="restart"/>
            <w:tcBorders>
              <w:top w:val="nil" w:sz="6" w:space="0" w:color="auto"/>
              <w:left w:val="single" w:sz="4" w:space="0" w:color="000000"/>
              <w:right w:val="single" w:sz="4" w:space="0" w:color="000000"/>
            </w:tcBorders>
            <w:shd w:val="clear" w:color="auto" w:fill="D3D3D3"/>
          </w:tcPr>
          <w:p>
            <w:pPr>
              <w:pStyle w:val="TableParagraph"/>
              <w:spacing w:line="218" w:lineRule="exact"/>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0" w:type="dxa"/>
            <w:vMerge/>
            <w:tcBorders>
              <w:left w:val="single" w:sz="4" w:space="0" w:color="000000"/>
              <w:right w:val="single" w:sz="4" w:space="0" w:color="000000"/>
            </w:tcBorders>
            <w:shd w:val="clear" w:color="auto" w:fill="D3D3D3"/>
          </w:tcPr>
          <w:p>
            <w:pPr/>
          </w:p>
        </w:tc>
        <w:tc>
          <w:tcPr>
            <w:tcW w:w="1182" w:type="dxa"/>
            <w:vMerge w:val="restart"/>
            <w:tcBorders>
              <w:top w:val="nil" w:sz="6" w:space="0" w:color="auto"/>
              <w:left w:val="single" w:sz="4" w:space="0" w:color="000000"/>
              <w:right w:val="single" w:sz="4" w:space="0" w:color="000000"/>
            </w:tcBorders>
            <w:shd w:val="clear" w:color="auto" w:fill="D3D3D3"/>
          </w:tcPr>
          <w:p>
            <w:pPr>
              <w:pStyle w:val="TableParagraph"/>
              <w:spacing w:line="218" w:lineRule="exact"/>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2" w:type="dxa"/>
            <w:vMerge/>
            <w:tcBorders>
              <w:left w:val="single" w:sz="9" w:space="0" w:color="D3D3D3"/>
              <w:bottom w:val="nil" w:sz="6" w:space="0" w:color="auto"/>
              <w:right w:val="single" w:sz="9" w:space="0" w:color="D3D3D3"/>
            </w:tcBorders>
          </w:tcPr>
          <w:p>
            <w:pPr/>
          </w:p>
        </w:tc>
        <w:tc>
          <w:tcPr>
            <w:tcW w:w="1316" w:type="dxa"/>
            <w:vMerge/>
            <w:tcBorders>
              <w:left w:val="single" w:sz="9" w:space="0" w:color="D3D3D3"/>
              <w:bottom w:val="nil" w:sz="6" w:space="0" w:color="auto"/>
              <w:right w:val="single" w:sz="13" w:space="0" w:color="D3D3D3"/>
            </w:tcBorders>
          </w:tcPr>
          <w:p>
            <w:pPr/>
          </w:p>
        </w:tc>
      </w:tr>
      <w:tr>
        <w:trPr>
          <w:trHeight w:val="125" w:hRule="exact"/>
        </w:trPr>
        <w:tc>
          <w:tcPr>
            <w:tcW w:w="2582" w:type="dxa"/>
            <w:vMerge/>
            <w:tcBorders>
              <w:left w:val="single" w:sz="4" w:space="0" w:color="000000"/>
              <w:right w:val="single" w:sz="4" w:space="0" w:color="000000"/>
            </w:tcBorders>
            <w:shd w:val="clear" w:color="auto" w:fill="D3D3D3"/>
          </w:tcPr>
          <w:p>
            <w:pPr/>
          </w:p>
        </w:tc>
        <w:tc>
          <w:tcPr>
            <w:tcW w:w="1328" w:type="dxa"/>
            <w:vMerge/>
            <w:tcBorders>
              <w:left w:val="single" w:sz="4" w:space="0" w:color="000000"/>
              <w:bottom w:val="nil" w:sz="6" w:space="0" w:color="auto"/>
              <w:right w:val="single" w:sz="4" w:space="0" w:color="000000"/>
            </w:tcBorders>
            <w:shd w:val="clear" w:color="auto" w:fill="D3D3D3"/>
          </w:tcPr>
          <w:p>
            <w:pPr/>
          </w:p>
        </w:tc>
        <w:tc>
          <w:tcPr>
            <w:tcW w:w="529" w:type="dxa"/>
            <w:vMerge/>
            <w:tcBorders>
              <w:left w:val="single" w:sz="4" w:space="0" w:color="000000"/>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3" w:type="dxa"/>
            <w:vMerge/>
            <w:tcBorders>
              <w:left w:val="single" w:sz="10" w:space="0" w:color="D3D3D3"/>
              <w:right w:val="single" w:sz="22" w:space="0" w:color="D3D3D3"/>
            </w:tcBorders>
          </w:tcPr>
          <w:p>
            <w:pPr/>
          </w:p>
        </w:tc>
        <w:tc>
          <w:tcPr>
            <w:tcW w:w="1242" w:type="dxa"/>
            <w:vMerge/>
            <w:tcBorders>
              <w:left w:val="single" w:sz="4" w:space="0" w:color="000000"/>
              <w:bottom w:val="nil" w:sz="6" w:space="0" w:color="auto"/>
              <w:right w:val="single" w:sz="4" w:space="0" w:color="000000"/>
            </w:tcBorders>
            <w:shd w:val="clear" w:color="auto" w:fill="D3D3D3"/>
          </w:tcPr>
          <w:p>
            <w:pPr/>
          </w:p>
        </w:tc>
        <w:tc>
          <w:tcPr>
            <w:tcW w:w="721" w:type="dxa"/>
            <w:vMerge/>
            <w:tcBorders>
              <w:left w:val="single" w:sz="4" w:space="0" w:color="000000"/>
              <w:right w:val="single" w:sz="4" w:space="0" w:color="000000"/>
            </w:tcBorders>
            <w:shd w:val="clear" w:color="auto" w:fill="D3D3D3"/>
          </w:tcPr>
          <w:p>
            <w:pPr/>
          </w:p>
        </w:tc>
        <w:tc>
          <w:tcPr>
            <w:tcW w:w="721" w:type="dxa"/>
            <w:vMerge/>
            <w:tcBorders>
              <w:left w:val="single" w:sz="4" w:space="0" w:color="000000"/>
              <w:right w:val="single" w:sz="4" w:space="0" w:color="000000"/>
            </w:tcBorders>
            <w:shd w:val="clear" w:color="auto" w:fill="D3D3D3"/>
          </w:tcPr>
          <w:p>
            <w:pPr/>
          </w:p>
        </w:tc>
        <w:tc>
          <w:tcPr>
            <w:tcW w:w="721" w:type="dxa"/>
            <w:vMerge/>
            <w:tcBorders>
              <w:left w:val="single" w:sz="4" w:space="0" w:color="000000"/>
              <w:right w:val="single" w:sz="4" w:space="0" w:color="000000"/>
            </w:tcBorders>
            <w:shd w:val="clear" w:color="auto" w:fill="D3D3D3"/>
          </w:tcPr>
          <w:p>
            <w:pPr/>
          </w:p>
        </w:tc>
        <w:tc>
          <w:tcPr>
            <w:tcW w:w="1092" w:type="dxa"/>
            <w:vMerge/>
            <w:tcBorders>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right w:val="single" w:sz="4" w:space="0" w:color="000000"/>
            </w:tcBorders>
            <w:shd w:val="clear" w:color="auto" w:fill="D3D3D3"/>
          </w:tcPr>
          <w:p>
            <w:pPr/>
          </w:p>
        </w:tc>
        <w:tc>
          <w:tcPr>
            <w:tcW w:w="1182" w:type="dxa"/>
            <w:vMerge/>
            <w:tcBorders>
              <w:left w:val="single" w:sz="4" w:space="0" w:color="000000"/>
              <w:bottom w:val="nil" w:sz="6" w:space="0" w:color="auto"/>
              <w:right w:val="single" w:sz="4" w:space="0" w:color="000000"/>
            </w:tcBorders>
            <w:shd w:val="clear" w:color="auto" w:fill="D3D3D3"/>
          </w:tcPr>
          <w:p>
            <w:pPr/>
          </w:p>
        </w:tc>
        <w:tc>
          <w:tcPr>
            <w:tcW w:w="1182" w:type="dxa"/>
            <w:vMerge w:val="restart"/>
            <w:tcBorders>
              <w:top w:val="nil" w:sz="6" w:space="0" w:color="auto"/>
              <w:left w:val="single" w:sz="4" w:space="0" w:color="000000"/>
              <w:right w:val="single" w:sz="4" w:space="0" w:color="000000"/>
            </w:tcBorders>
            <w:shd w:val="clear" w:color="auto" w:fill="D3D3D3"/>
          </w:tcPr>
          <w:p>
            <w:pPr/>
          </w:p>
        </w:tc>
        <w:tc>
          <w:tcPr>
            <w:tcW w:w="1316" w:type="dxa"/>
            <w:vMerge w:val="restart"/>
            <w:tcBorders>
              <w:top w:val="nil" w:sz="6" w:space="0" w:color="auto"/>
              <w:left w:val="single" w:sz="4" w:space="0" w:color="000000"/>
              <w:right w:val="single" w:sz="4" w:space="0" w:color="000000"/>
            </w:tcBorders>
            <w:shd w:val="clear" w:color="auto" w:fill="D3D3D3"/>
          </w:tcPr>
          <w:p>
            <w:pPr/>
          </w:p>
        </w:tc>
      </w:tr>
      <w:tr>
        <w:trPr>
          <w:trHeight w:val="120" w:hRule="exact"/>
        </w:trPr>
        <w:tc>
          <w:tcPr>
            <w:tcW w:w="2582" w:type="dxa"/>
            <w:vMerge/>
            <w:tcBorders>
              <w:left w:val="single" w:sz="4" w:space="0" w:color="000000"/>
              <w:right w:val="single" w:sz="4" w:space="0" w:color="000000"/>
            </w:tcBorders>
            <w:shd w:val="clear" w:color="auto" w:fill="D3D3D3"/>
          </w:tcPr>
          <w:p>
            <w:pPr/>
          </w:p>
        </w:tc>
        <w:tc>
          <w:tcPr>
            <w:tcW w:w="1328" w:type="dxa"/>
            <w:vMerge w:val="restart"/>
            <w:tcBorders>
              <w:top w:val="nil" w:sz="6" w:space="0" w:color="auto"/>
              <w:left w:val="single" w:sz="4" w:space="0" w:color="000000"/>
              <w:right w:val="single" w:sz="4" w:space="0" w:color="000000"/>
            </w:tcBorders>
            <w:shd w:val="clear" w:color="auto" w:fill="D3D3D3"/>
          </w:tcPr>
          <w:p>
            <w:pPr/>
          </w:p>
        </w:tc>
        <w:tc>
          <w:tcPr>
            <w:tcW w:w="529" w:type="dxa"/>
            <w:vMerge/>
            <w:tcBorders>
              <w:left w:val="single" w:sz="4" w:space="0" w:color="000000"/>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3" w:type="dxa"/>
            <w:vMerge/>
            <w:tcBorders>
              <w:left w:val="single" w:sz="10" w:space="0" w:color="D3D3D3"/>
              <w:right w:val="single" w:sz="22" w:space="0" w:color="D3D3D3"/>
            </w:tcBorders>
          </w:tcPr>
          <w:p>
            <w:pPr/>
          </w:p>
        </w:tc>
        <w:tc>
          <w:tcPr>
            <w:tcW w:w="1242" w:type="dxa"/>
            <w:vMerge w:val="restart"/>
            <w:tcBorders>
              <w:top w:val="nil" w:sz="6" w:space="0" w:color="auto"/>
              <w:left w:val="single" w:sz="4" w:space="0" w:color="000000"/>
              <w:right w:val="single" w:sz="4" w:space="0" w:color="000000"/>
            </w:tcBorders>
            <w:shd w:val="clear" w:color="auto" w:fill="D3D3D3"/>
          </w:tcPr>
          <w:p>
            <w:pPr/>
          </w:p>
        </w:tc>
        <w:tc>
          <w:tcPr>
            <w:tcW w:w="721" w:type="dxa"/>
            <w:vMerge/>
            <w:tcBorders>
              <w:left w:val="single" w:sz="4" w:space="0" w:color="000000"/>
              <w:bottom w:val="nil" w:sz="6" w:space="0" w:color="auto"/>
              <w:right w:val="single" w:sz="4" w:space="0" w:color="000000"/>
            </w:tcBorders>
            <w:shd w:val="clear" w:color="auto" w:fill="D3D3D3"/>
          </w:tcPr>
          <w:p>
            <w:pPr/>
          </w:p>
        </w:tc>
        <w:tc>
          <w:tcPr>
            <w:tcW w:w="721" w:type="dxa"/>
            <w:vMerge/>
            <w:tcBorders>
              <w:left w:val="single" w:sz="4" w:space="0" w:color="000000"/>
              <w:bottom w:val="nil" w:sz="6" w:space="0" w:color="auto"/>
              <w:right w:val="single" w:sz="4" w:space="0" w:color="000000"/>
            </w:tcBorders>
            <w:shd w:val="clear" w:color="auto" w:fill="D3D3D3"/>
          </w:tcPr>
          <w:p>
            <w:pPr/>
          </w:p>
        </w:tc>
        <w:tc>
          <w:tcPr>
            <w:tcW w:w="721" w:type="dxa"/>
            <w:vMerge/>
            <w:tcBorders>
              <w:left w:val="single" w:sz="4" w:space="0" w:color="000000"/>
              <w:bottom w:val="nil" w:sz="6" w:space="0" w:color="auto"/>
              <w:right w:val="single" w:sz="4" w:space="0" w:color="000000"/>
            </w:tcBorders>
            <w:shd w:val="clear" w:color="auto" w:fill="D3D3D3"/>
          </w:tcPr>
          <w:p>
            <w:pPr/>
          </w:p>
        </w:tc>
        <w:tc>
          <w:tcPr>
            <w:tcW w:w="1092" w:type="dxa"/>
            <w:vMerge w:val="restart"/>
            <w:tcBorders>
              <w:top w:val="nil" w:sz="6" w:space="0" w:color="auto"/>
              <w:left w:val="single" w:sz="4" w:space="0" w:color="000000"/>
              <w:right w:val="single" w:sz="4" w:space="0" w:color="000000"/>
            </w:tcBorders>
            <w:shd w:val="clear" w:color="auto" w:fill="D3D3D3"/>
          </w:tcPr>
          <w:p>
            <w:pPr/>
          </w:p>
        </w:tc>
        <w:tc>
          <w:tcPr>
            <w:tcW w:w="720" w:type="dxa"/>
            <w:vMerge/>
            <w:tcBorders>
              <w:left w:val="single" w:sz="4" w:space="0" w:color="000000"/>
              <w:bottom w:val="nil" w:sz="6" w:space="0" w:color="auto"/>
              <w:right w:val="single" w:sz="4" w:space="0" w:color="000000"/>
            </w:tcBorders>
            <w:shd w:val="clear" w:color="auto" w:fill="D3D3D3"/>
          </w:tcPr>
          <w:p>
            <w:pPr/>
          </w:p>
        </w:tc>
        <w:tc>
          <w:tcPr>
            <w:tcW w:w="1182" w:type="dxa"/>
            <w:vMerge w:val="restart"/>
            <w:tcBorders>
              <w:top w:val="nil" w:sz="6" w:space="0" w:color="auto"/>
              <w:left w:val="single" w:sz="4" w:space="0" w:color="000000"/>
              <w:right w:val="single" w:sz="4" w:space="0" w:color="000000"/>
            </w:tcBorders>
            <w:shd w:val="clear" w:color="auto" w:fill="D3D3D3"/>
          </w:tcPr>
          <w:p>
            <w:pPr/>
          </w:p>
        </w:tc>
        <w:tc>
          <w:tcPr>
            <w:tcW w:w="1182"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r>
      <w:tr>
        <w:trPr>
          <w:trHeight w:val="130" w:hRule="exact"/>
        </w:trPr>
        <w:tc>
          <w:tcPr>
            <w:tcW w:w="2582"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c>
          <w:tcPr>
            <w:tcW w:w="529" w:type="dxa"/>
            <w:vMerge/>
            <w:tcBorders>
              <w:left w:val="single" w:sz="4" w:space="0" w:color="000000"/>
              <w:bottom w:val="single" w:sz="4" w:space="0" w:color="000000"/>
              <w:right w:val="single" w:sz="4" w:space="0" w:color="000000"/>
            </w:tcBorders>
            <w:shd w:val="clear" w:color="auto" w:fill="D3D3D3"/>
          </w:tcPr>
          <w:p>
            <w:pPr/>
          </w:p>
        </w:tc>
        <w:tc>
          <w:tcPr>
            <w:tcW w:w="530" w:type="dxa"/>
            <w:vMerge/>
            <w:tcBorders>
              <w:left w:val="single" w:sz="4" w:space="0" w:color="000000"/>
              <w:bottom w:val="single" w:sz="4" w:space="0" w:color="000000"/>
              <w:right w:val="single" w:sz="4" w:space="0" w:color="000000"/>
            </w:tcBorders>
            <w:shd w:val="clear" w:color="auto" w:fill="D3D3D3"/>
          </w:tcPr>
          <w:p>
            <w:pPr/>
          </w:p>
        </w:tc>
        <w:tc>
          <w:tcPr>
            <w:tcW w:w="533" w:type="dxa"/>
            <w:vMerge/>
            <w:tcBorders>
              <w:left w:val="single" w:sz="10" w:space="0" w:color="D3D3D3"/>
              <w:bottom w:val="single" w:sz="52" w:space="0" w:color="D3D3D3"/>
              <w:right w:val="single" w:sz="22" w:space="0" w:color="D3D3D3"/>
            </w:tcBorders>
          </w:tcPr>
          <w:p>
            <w:pPr/>
          </w:p>
        </w:tc>
        <w:tc>
          <w:tcPr>
            <w:tcW w:w="1242" w:type="dxa"/>
            <w:vMerge/>
            <w:tcBorders>
              <w:left w:val="single" w:sz="4" w:space="0" w:color="000000"/>
              <w:bottom w:val="single" w:sz="4" w:space="0" w:color="000000"/>
              <w:right w:val="single" w:sz="4" w:space="0" w:color="000000"/>
            </w:tcBorders>
            <w:shd w:val="clear" w:color="auto" w:fill="D3D3D3"/>
          </w:tcPr>
          <w:p>
            <w:pPr/>
          </w:p>
        </w:tc>
        <w:tc>
          <w:tcPr>
            <w:tcW w:w="721" w:type="dxa"/>
            <w:tcBorders>
              <w:top w:val="nil" w:sz="6" w:space="0" w:color="auto"/>
              <w:left w:val="single" w:sz="4" w:space="0" w:color="000000"/>
              <w:bottom w:val="single" w:sz="4" w:space="0" w:color="000000"/>
              <w:right w:val="single" w:sz="4" w:space="0" w:color="000000"/>
            </w:tcBorders>
            <w:shd w:val="clear" w:color="auto" w:fill="D3D3D3"/>
          </w:tcPr>
          <w:p>
            <w:pPr/>
          </w:p>
        </w:tc>
        <w:tc>
          <w:tcPr>
            <w:tcW w:w="721" w:type="dxa"/>
            <w:tcBorders>
              <w:top w:val="nil" w:sz="6" w:space="0" w:color="auto"/>
              <w:left w:val="single" w:sz="4" w:space="0" w:color="000000"/>
              <w:bottom w:val="single" w:sz="4" w:space="0" w:color="000000"/>
              <w:right w:val="single" w:sz="4" w:space="0" w:color="000000"/>
            </w:tcBorders>
            <w:shd w:val="clear" w:color="auto" w:fill="D3D3D3"/>
          </w:tcPr>
          <w:p>
            <w:pPr/>
          </w:p>
        </w:tc>
        <w:tc>
          <w:tcPr>
            <w:tcW w:w="72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2" w:type="dxa"/>
            <w:vMerge/>
            <w:tcBorders>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2" w:type="dxa"/>
            <w:vMerge/>
            <w:tcBorders>
              <w:left w:val="single" w:sz="4" w:space="0" w:color="000000"/>
              <w:bottom w:val="single" w:sz="4" w:space="0" w:color="000000"/>
              <w:right w:val="single" w:sz="4" w:space="0" w:color="000000"/>
            </w:tcBorders>
            <w:shd w:val="clear" w:color="auto" w:fill="D3D3D3"/>
          </w:tcPr>
          <w:p>
            <w:pPr/>
          </w:p>
        </w:tc>
        <w:tc>
          <w:tcPr>
            <w:tcW w:w="1182"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52" w:space="0" w:color="D3D3D3"/>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-234,762,836.82</w:t>
            </w:r>
          </w:p>
        </w:tc>
        <w:tc>
          <w:tcPr>
            <w:tcW w:w="721" w:type="dxa"/>
            <w:tcBorders>
              <w:top w:val="single" w:sz="54" w:space="0" w:color="D3D3D3"/>
              <w:left w:val="single" w:sz="4" w:space="0" w:color="000000"/>
              <w:bottom w:val="single" w:sz="4" w:space="0" w:color="000000"/>
              <w:right w:val="single" w:sz="4" w:space="0" w:color="000000"/>
            </w:tcBorders>
          </w:tcPr>
          <w:p>
            <w:pPr/>
          </w:p>
        </w:tc>
        <w:tc>
          <w:tcPr>
            <w:tcW w:w="721" w:type="dxa"/>
            <w:tcBorders>
              <w:top w:val="single" w:sz="54" w:space="0" w:color="D3D3D3"/>
              <w:left w:val="single" w:sz="4" w:space="0" w:color="000000"/>
              <w:bottom w:val="single" w:sz="4" w:space="0" w:color="000000"/>
              <w:right w:val="single" w:sz="4" w:space="0" w:color="000000"/>
            </w:tcBorders>
          </w:tcPr>
          <w:p>
            <w:pPr/>
          </w:p>
        </w:tc>
        <w:tc>
          <w:tcPr>
            <w:tcW w:w="721" w:type="dxa"/>
            <w:tcBorders>
              <w:top w:val="single" w:sz="54" w:space="0" w:color="D3D3D3"/>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center"/>
              <w:rPr>
                <w:rFonts w:ascii="Times New Roman" w:hAnsi="Times New Roman" w:cs="Times New Roman" w:eastAsia="Times New Roman" w:hint="default"/>
                <w:sz w:val="18"/>
                <w:szCs w:val="18"/>
              </w:rPr>
            </w:pPr>
            <w:r>
              <w:rPr>
                <w:rFonts w:ascii="Times New Roman"/>
                <w:sz w:val="18"/>
              </w:rPr>
              <w:t>44,825,690.60</w:t>
            </w:r>
          </w:p>
        </w:tc>
        <w:tc>
          <w:tcPr>
            <w:tcW w:w="720" w:type="dxa"/>
            <w:tcBorders>
              <w:top w:val="single" w:sz="54" w:space="0" w:color="D3D3D3"/>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711,912,027.37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169,919,207.76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1,709,592,498.91</w:t>
            </w:r>
          </w:p>
        </w:tc>
      </w:tr>
      <w:tr>
        <w:trPr>
          <w:trHeight w:val="251"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500,000.00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1,513,716.99</w:t>
            </w: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2,013,716.99</w:t>
            </w:r>
          </w:p>
        </w:tc>
      </w:tr>
      <w:tr>
        <w:trPr>
          <w:trHeight w:val="251"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-234,262,836.82</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center"/>
              <w:rPr>
                <w:rFonts w:ascii="Times New Roman" w:hAnsi="Times New Roman" w:cs="Times New Roman" w:eastAsia="Times New Roman" w:hint="default"/>
                <w:sz w:val="18"/>
                <w:szCs w:val="18"/>
              </w:rPr>
            </w:pPr>
            <w:r>
              <w:rPr>
                <w:rFonts w:ascii="Times New Roman"/>
                <w:sz w:val="18"/>
              </w:rPr>
              <w:t>44,825,690.60</w:t>
            </w: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713,425,744.36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169,919,207.76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1,711,606,215.90</w:t>
            </w:r>
          </w:p>
        </w:tc>
      </w:tr>
      <w:tr>
        <w:trPr>
          <w:trHeight w:val="49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40" w:lineRule="auto" w:before="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28" w:type="dxa"/>
            <w:tcBorders>
              <w:top w:val="single" w:sz="4" w:space="0" w:color="000000"/>
              <w:left w:val="single" w:sz="10" w:space="0" w:color="D3D3D3"/>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3,975,979.23</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24,276,402.16</w:t>
            </w: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200,839,099.28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59,192,466.99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288,283,947.66</w:t>
            </w:r>
          </w:p>
        </w:tc>
      </w:tr>
      <w:tr>
        <w:trPr>
          <w:trHeight w:val="251"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225,115,501.44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60,480,983.14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285,596,484.58</w:t>
            </w: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3,975,979.23</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2,994,615.85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6,970,595.08</w:t>
            </w: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1,900,000.00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251"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．其他权益工具持有者投入资本</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1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．股份支付计入所有者权益的金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额</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3,975,979.23</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1,094,615.85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5,070,595.08</w:t>
            </w:r>
          </w:p>
        </w:tc>
      </w:tr>
      <w:tr>
        <w:trPr>
          <w:trHeight w:val="251"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Times New Roman" w:hAnsi="Times New Roman" w:cs="Times New Roman" w:eastAsia="Times New Roman" w:hint="default"/>
                <w:sz w:val="18"/>
                <w:szCs w:val="18"/>
              </w:rPr>
            </w:pPr>
            <w:r>
              <w:rPr>
                <w:rFonts w:ascii="Times New Roman"/>
                <w:sz w:val="18"/>
              </w:rPr>
              <w:t>24,276,402.16</w:t>
            </w: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-24,276,402.16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-4,283,132.00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-4,283,132.00</w:t>
            </w: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28" w:type="dxa"/>
            <w:tcBorders>
              <w:top w:val="single" w:sz="4" w:space="0" w:color="000000"/>
              <w:left w:val="single" w:sz="10" w:space="0" w:color="D3D3D3"/>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center"/>
              <w:rPr>
                <w:rFonts w:ascii="Times New Roman" w:hAnsi="Times New Roman" w:cs="Times New Roman" w:eastAsia="Times New Roman" w:hint="default"/>
                <w:sz w:val="18"/>
                <w:szCs w:val="18"/>
              </w:rPr>
            </w:pPr>
            <w:r>
              <w:rPr>
                <w:rFonts w:ascii="Times New Roman"/>
                <w:sz w:val="18"/>
              </w:rPr>
              <w:t>24,276,402.16</w:t>
            </w: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-24,276,402.16</w:t>
            </w: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-4,283,132.00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-4,283,132.00</w:t>
            </w: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82"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28" w:type="dxa"/>
            <w:tcBorders>
              <w:top w:val="single" w:sz="4" w:space="0" w:color="000000"/>
              <w:left w:val="single" w:sz="23" w:space="0" w:color="FFFFFF"/>
              <w:bottom w:val="single" w:sz="4" w:space="0" w:color="000000"/>
              <w:right w:val="single" w:sz="4" w:space="0" w:color="000000"/>
            </w:tcBorders>
          </w:tcPr>
          <w:p>
            <w:pPr>
              <w:pStyle w:val="TableParagraph"/>
              <w:spacing w:line="219" w:lineRule="exact"/>
              <w:ind w:left="-164" w:right="0"/>
              <w:jc w:val="left"/>
              <w:rPr>
                <w:rFonts w:ascii="宋体" w:hAnsi="宋体" w:cs="宋体" w:eastAsia="宋体" w:hint="default"/>
                <w:sz w:val="18"/>
                <w:szCs w:val="18"/>
              </w:rPr>
            </w:pPr>
            <w:r>
              <w:rPr>
                <w:rFonts w:ascii="宋体" w:hAnsi="宋体" w:cs="宋体" w:eastAsia="宋体" w:hint="default"/>
                <w:sz w:val="18"/>
                <w:szCs w:val="18"/>
              </w:rPr>
              <w:t>）</w:t>
            </w: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2"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28" w:type="dxa"/>
            <w:tcBorders>
              <w:top w:val="single" w:sz="4" w:space="0" w:color="000000"/>
              <w:left w:val="single" w:sz="23" w:space="0" w:color="FFFFFF"/>
              <w:bottom w:val="single" w:sz="4" w:space="0" w:color="000000"/>
              <w:right w:val="single" w:sz="4" w:space="0" w:color="000000"/>
            </w:tcBorders>
          </w:tcPr>
          <w:p>
            <w:pPr>
              <w:pStyle w:val="TableParagraph"/>
              <w:spacing w:line="217" w:lineRule="exact"/>
              <w:ind w:left="-164" w:right="0"/>
              <w:jc w:val="left"/>
              <w:rPr>
                <w:rFonts w:ascii="宋体" w:hAnsi="宋体" w:cs="宋体" w:eastAsia="宋体" w:hint="default"/>
                <w:sz w:val="18"/>
                <w:szCs w:val="18"/>
              </w:rPr>
            </w:pPr>
            <w:r>
              <w:rPr>
                <w:rFonts w:ascii="宋体" w:hAnsi="宋体" w:cs="宋体" w:eastAsia="宋体" w:hint="default"/>
                <w:sz w:val="18"/>
                <w:szCs w:val="18"/>
              </w:rPr>
              <w:t>）</w:t>
            </w: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52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-230,286,857.59</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center"/>
              <w:rPr>
                <w:rFonts w:ascii="Times New Roman" w:hAnsi="Times New Roman" w:cs="Times New Roman" w:eastAsia="Times New Roman" w:hint="default"/>
                <w:sz w:val="18"/>
                <w:szCs w:val="18"/>
              </w:rPr>
            </w:pPr>
            <w:r>
              <w:rPr>
                <w:rFonts w:ascii="Times New Roman"/>
                <w:sz w:val="18"/>
              </w:rPr>
              <w:t>69,102,092.76</w:t>
            </w:r>
          </w:p>
        </w:tc>
        <w:tc>
          <w:tcPr>
            <w:tcW w:w="72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914,264,843.64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2"/>
                <w:sz w:val="18"/>
              </w:rPr>
              <w:t>229,111,674.75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1,999,890,163.56</w:t>
            </w:r>
          </w:p>
        </w:tc>
      </w:tr>
    </w:tbl>
    <w:p>
      <w:pPr>
        <w:spacing w:after="0" w:line="240" w:lineRule="auto"/>
        <w:jc w:val="right"/>
        <w:rPr>
          <w:rFonts w:ascii="Times New Roman" w:hAnsi="Times New Roman" w:cs="Times New Roman" w:eastAsia="Times New Roman" w:hint="default"/>
          <w:sz w:val="18"/>
          <w:szCs w:val="18"/>
        </w:rPr>
        <w:sectPr>
          <w:footerReference w:type="default" r:id="rId36"/>
          <w:pgSz w:w="16840" w:h="11910" w:orient="landscape"/>
          <w:pgMar w:footer="368" w:header="867" w:top="1060" w:bottom="560" w:left="920" w:right="1280"/>
          <w:pgNumType w:start="85"/>
        </w:sectPr>
      </w:pPr>
    </w:p>
    <w:p>
      <w:pPr>
        <w:pStyle w:val="Heading3"/>
        <w:spacing w:line="240" w:lineRule="auto" w:before="53"/>
        <w:ind w:left="139" w:right="0"/>
        <w:jc w:val="left"/>
        <w:rPr>
          <w:b w:val="0"/>
          <w:bCs w:val="0"/>
        </w:rPr>
      </w:pPr>
      <w:r>
        <w:rPr/>
        <w:pict>
          <v:group style="position:absolute;margin-left:70.490997pt;margin-top:2.253643pt;width:700.95pt;height:.1pt;mso-position-horizontal-relative:page;mso-position-vertical-relative:paragraph;z-index:1936" coordorigin="1410,45" coordsize="14019,2">
            <v:shape style="position:absolute;left:1410;top:45;width:14019;height:2" coordorigin="1410,45" coordsize="14019,0" path="m1410,45l15428,45e" filled="false" stroked="true" strokeweight=".72pt" strokecolor="#000000">
              <v:path arrowok="t"/>
            </v:shape>
            <w10:wrap type="none"/>
          </v:group>
        </w:pict>
      </w:r>
      <w:r>
        <w:rPr>
          <w:rFonts w:ascii="Times New Roman" w:hAnsi="Times New Roman" w:cs="Times New Roman" w:eastAsia="Times New Roman" w:hint="default"/>
          <w:w w:val="95"/>
        </w:rPr>
        <w:t>8</w:t>
      </w:r>
      <w:r>
        <w:rPr>
          <w:w w:val="95"/>
        </w:rPr>
        <w:t>、母公司所有者权益变动表</w:t>
      </w:r>
      <w:r>
        <w:rPr>
          <w:b w:val="0"/>
          <w:bCs w:val="0"/>
        </w:rPr>
      </w:r>
    </w:p>
    <w:p>
      <w:pPr>
        <w:pStyle w:val="BodyText"/>
        <w:spacing w:line="240" w:lineRule="auto" w:before="87"/>
        <w:ind w:left="139" w:right="0"/>
        <w:jc w:val="left"/>
      </w:pPr>
      <w:r>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BodyText"/>
        <w:spacing w:line="240" w:lineRule="auto"/>
        <w:ind w:left="139" w:right="0"/>
        <w:jc w:val="left"/>
      </w:pPr>
      <w:r>
        <w:rPr/>
        <w:pict>
          <v:group style="position:absolute;margin-left:432.770996pt;margin-top:28.032005pt;width:52.7pt;height:18.3pt;mso-position-horizontal-relative:page;mso-position-vertical-relative:paragraph;z-index:-1168456" coordorigin="8655,561" coordsize="1054,366">
            <v:group style="position:absolute;left:8655;top:561;width:1054;height:366" coordorigin="8655,561" coordsize="1054,366">
              <v:shape style="position:absolute;left:8655;top:561;width:1054;height:366" coordorigin="8655,561" coordsize="1054,366" path="m9709,687l9709,561,8655,561,9018,687,9709,687xe" filled="true" fillcolor="#d3d3d3" stroked="false">
                <v:path arrowok="t"/>
                <v:fill type="solid"/>
              </v:shape>
              <v:shape style="position:absolute;left:8655;top:561;width:1054;height:366" coordorigin="8655,561" coordsize="1054,366" path="m9686,927l9686,919,9018,687,8678,687,8678,927,9686,927xe" filled="true" fillcolor="#d3d3d3" stroked="false">
                <v:path arrowok="t"/>
                <v:fill type="solid"/>
              </v:shape>
              <v:shape style="position:absolute;left:8655;top:561;width:1054;height:366" coordorigin="8655,561" coordsize="1054,366" path="m9709,927l9709,687,9686,687,9686,919,9709,927xe" filled="true" fillcolor="#d3d3d3" stroked="false">
                <v:path arrowok="t"/>
                <v:fill type="solid"/>
              </v:shape>
            </v:group>
            <v:group style="position:absolute;left:8678;top:687;width:1008;height:240" coordorigin="8678,687" coordsize="1008,240">
              <v:shape style="position:absolute;left:8678;top:687;width:1008;height:240" coordorigin="8678,687" coordsize="1008,240" path="m8678,687l8678,927,9686,927,9686,687,8678,687xe" filled="true" fillcolor="#d3d3d3" stroked="false">
                <v:path arrowok="t"/>
                <v:fill type="solid"/>
              </v:shape>
            </v:group>
            <w10:wrap type="none"/>
          </v:group>
        </w:pict>
      </w:r>
      <w:r>
        <w:rPr/>
        <w:t>单位：元</w:t>
      </w:r>
    </w:p>
    <w:p>
      <w:pPr>
        <w:spacing w:after="0" w:line="240" w:lineRule="auto"/>
        <w:jc w:val="left"/>
        <w:sectPr>
          <w:pgSz w:w="16840" w:h="11910" w:orient="landscape"/>
          <w:pgMar w:header="867" w:footer="368" w:top="1060" w:bottom="560" w:left="1300" w:right="1300"/>
          <w:cols w:num="2" w:equalWidth="0">
            <w:col w:w="2774" w:space="10464"/>
            <w:col w:w="1002"/>
          </w:cols>
        </w:sectPr>
      </w:pPr>
    </w:p>
    <w:p>
      <w:pPr>
        <w:spacing w:line="240" w:lineRule="auto" w:before="0"/>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981"/>
        <w:gridCol w:w="1327"/>
        <w:gridCol w:w="868"/>
        <w:gridCol w:w="866"/>
        <w:gridCol w:w="870"/>
        <w:gridCol w:w="1315"/>
        <w:gridCol w:w="1063"/>
        <w:gridCol w:w="1060"/>
        <w:gridCol w:w="1064"/>
        <w:gridCol w:w="1091"/>
        <w:gridCol w:w="1181"/>
        <w:gridCol w:w="1316"/>
      </w:tblGrid>
      <w:tr>
        <w:trPr>
          <w:trHeight w:val="250" w:hRule="exact"/>
        </w:trPr>
        <w:tc>
          <w:tcPr>
            <w:tcW w:w="1981"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2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31" w:hRule="exact"/>
        </w:trPr>
        <w:tc>
          <w:tcPr>
            <w:tcW w:w="1981" w:type="dxa"/>
            <w:vMerge w:val="restart"/>
            <w:tcBorders>
              <w:top w:val="nil" w:sz="6" w:space="0" w:color="auto"/>
              <w:left w:val="single" w:sz="4" w:space="0" w:color="000000"/>
              <w:right w:val="single" w:sz="4" w:space="0" w:color="000000"/>
            </w:tcBorders>
            <w:shd w:val="clear" w:color="auto" w:fill="D3D3D3"/>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7" w:type="dxa"/>
            <w:tcBorders>
              <w:top w:val="single" w:sz="4" w:space="0" w:color="000000"/>
              <w:left w:val="single" w:sz="4" w:space="0" w:color="000000"/>
              <w:bottom w:val="nil" w:sz="6" w:space="0" w:color="auto"/>
              <w:right w:val="single" w:sz="4" w:space="0" w:color="000000"/>
            </w:tcBorders>
            <w:shd w:val="clear" w:color="auto" w:fill="D3D3D3"/>
          </w:tcPr>
          <w:p>
            <w:pPr/>
          </w:p>
        </w:tc>
        <w:tc>
          <w:tcPr>
            <w:tcW w:w="260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17" w:lineRule="exact"/>
              <w:ind w:left="75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13" w:space="0" w:color="D3D3D3"/>
              <w:right w:val="single" w:sz="10" w:space="0" w:color="D3D3D3"/>
            </w:tcBorders>
          </w:tcPr>
          <w:p>
            <w:pPr>
              <w:pStyle w:val="TableParagraph"/>
              <w:spacing w:line="240" w:lineRule="auto" w:before="107"/>
              <w:ind w:left="6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6"/>
              <w:ind w:left="434" w:right="7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6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1" w:type="dxa"/>
            <w:tcBorders>
              <w:top w:val="single" w:sz="4" w:space="0" w:color="000000"/>
              <w:left w:val="single" w:sz="4" w:space="0" w:color="000000"/>
              <w:bottom w:val="nil" w:sz="6" w:space="0" w:color="auto"/>
              <w:right w:val="single" w:sz="4" w:space="0" w:color="000000"/>
            </w:tcBorders>
            <w:shd w:val="clear" w:color="auto" w:fill="D3D3D3"/>
          </w:tcPr>
          <w:p>
            <w:pPr/>
          </w:p>
        </w:tc>
        <w:tc>
          <w:tcPr>
            <w:tcW w:w="131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16" w:hRule="exact"/>
        </w:trPr>
        <w:tc>
          <w:tcPr>
            <w:tcW w:w="1981" w:type="dxa"/>
            <w:vMerge/>
            <w:tcBorders>
              <w:left w:val="single" w:sz="4" w:space="0" w:color="000000"/>
              <w:bottom w:val="nil" w:sz="6" w:space="0" w:color="auto"/>
              <w:right w:val="single" w:sz="4" w:space="0" w:color="000000"/>
            </w:tcBorders>
            <w:shd w:val="clear" w:color="auto" w:fill="D3D3D3"/>
          </w:tcPr>
          <w:p>
            <w:pPr/>
          </w:p>
        </w:tc>
        <w:tc>
          <w:tcPr>
            <w:tcW w:w="1327"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604" w:type="dxa"/>
            <w:gridSpan w:val="3"/>
            <w:vMerge/>
            <w:tcBorders>
              <w:left w:val="single" w:sz="4" w:space="0" w:color="000000"/>
              <w:bottom w:val="single" w:sz="4" w:space="0" w:color="000000"/>
              <w:right w:val="single" w:sz="4" w:space="0" w:color="000000"/>
            </w:tcBorders>
            <w:shd w:val="clear" w:color="auto" w:fill="D3D3D3"/>
          </w:tcPr>
          <w:p>
            <w:pPr/>
          </w:p>
        </w:tc>
        <w:tc>
          <w:tcPr>
            <w:tcW w:w="1315"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tcBorders>
              <w:left w:val="single" w:sz="13" w:space="0" w:color="D3D3D3"/>
              <w:right w:val="single" w:sz="10" w:space="0" w:color="D3D3D3"/>
            </w:tcBorders>
          </w:tcPr>
          <w:p>
            <w:pPr/>
          </w:p>
        </w:tc>
        <w:tc>
          <w:tcPr>
            <w:tcW w:w="1060" w:type="dxa"/>
            <w:vMerge/>
            <w:tcBorders>
              <w:left w:val="single" w:sz="4" w:space="0" w:color="000000"/>
              <w:right w:val="single" w:sz="4" w:space="0" w:color="000000"/>
            </w:tcBorders>
            <w:shd w:val="clear" w:color="auto" w:fill="D3D3D3"/>
          </w:tcPr>
          <w:p>
            <w:pPr/>
          </w:p>
        </w:tc>
        <w:tc>
          <w:tcPr>
            <w:tcW w:w="1064"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16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53" w:hRule="exact"/>
        </w:trPr>
        <w:tc>
          <w:tcPr>
            <w:tcW w:w="1981"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1" w:lineRule="exact"/>
              <w:ind w:left="15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1" w:lineRule="exact"/>
              <w:ind w:left="15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1" w:lineRule="exact"/>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13" w:space="0" w:color="D3D3D3"/>
              <w:bottom w:val="single" w:sz="4" w:space="0" w:color="000000"/>
              <w:right w:val="single" w:sz="10" w:space="0" w:color="D3D3D3"/>
            </w:tcBorders>
          </w:tcPr>
          <w:p>
            <w:pPr/>
          </w:p>
        </w:tc>
        <w:tc>
          <w:tcPr>
            <w:tcW w:w="1060"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91"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250"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7" w:type="dxa"/>
            <w:tcBorders>
              <w:top w:val="single" w:sz="50" w:space="0" w:color="D3D3D3"/>
              <w:left w:val="single" w:sz="13" w:space="0" w:color="D3D3D3"/>
              <w:bottom w:val="single" w:sz="4" w:space="0" w:color="000000"/>
              <w:right w:val="single" w:sz="4" w:space="0" w:color="000000"/>
            </w:tcBorders>
          </w:tcPr>
          <w:p>
            <w:pPr>
              <w:pStyle w:val="TableParagraph"/>
              <w:spacing w:line="173" w:lineRule="exact"/>
              <w:ind w:right="0"/>
              <w:jc w:val="center"/>
              <w:rPr>
                <w:rFonts w:ascii="Times New Roman" w:hAnsi="Times New Roman" w:cs="Times New Roman" w:eastAsia="Times New Roman" w:hint="default"/>
                <w:sz w:val="18"/>
                <w:szCs w:val="18"/>
              </w:rPr>
            </w:pPr>
            <w:r>
              <w:rPr>
                <w:rFonts w:ascii="Times New Roman"/>
                <w:sz w:val="18"/>
              </w:rPr>
              <w:t>1,017,698,410.00</w:t>
            </w: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50" w:space="0" w:color="D3D3D3"/>
              <w:left w:val="single" w:sz="4" w:space="0" w:color="000000"/>
              <w:bottom w:val="single" w:sz="4" w:space="0" w:color="000000"/>
              <w:right w:val="single" w:sz="4" w:space="0" w:color="000000"/>
            </w:tcBorders>
          </w:tcPr>
          <w:p>
            <w:pPr>
              <w:pStyle w:val="TableParagraph"/>
              <w:spacing w:line="173" w:lineRule="exact"/>
              <w:ind w:right="0"/>
              <w:jc w:val="center"/>
              <w:rPr>
                <w:rFonts w:ascii="Times New Roman" w:hAnsi="Times New Roman" w:cs="Times New Roman" w:eastAsia="Times New Roman" w:hint="default"/>
                <w:sz w:val="18"/>
                <w:szCs w:val="18"/>
              </w:rPr>
            </w:pPr>
            <w:r>
              <w:rPr>
                <w:rFonts w:ascii="Times New Roman"/>
                <w:sz w:val="18"/>
              </w:rPr>
              <w:t>1,809,704,919.76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50" w:space="0" w:color="D3D3D3"/>
              <w:left w:val="single" w:sz="4" w:space="0" w:color="000000"/>
              <w:bottom w:val="single" w:sz="4" w:space="0" w:color="000000"/>
              <w:right w:val="single" w:sz="4" w:space="0" w:color="000000"/>
            </w:tcBorders>
          </w:tcPr>
          <w:p>
            <w:pPr/>
          </w:p>
        </w:tc>
        <w:tc>
          <w:tcPr>
            <w:tcW w:w="1091" w:type="dxa"/>
            <w:tcBorders>
              <w:top w:val="single" w:sz="50" w:space="0" w:color="D3D3D3"/>
              <w:left w:val="single" w:sz="4" w:space="0" w:color="000000"/>
              <w:bottom w:val="single" w:sz="4" w:space="0" w:color="000000"/>
              <w:right w:val="single" w:sz="4" w:space="0" w:color="000000"/>
            </w:tcBorders>
          </w:tcPr>
          <w:p>
            <w:pPr>
              <w:pStyle w:val="TableParagraph"/>
              <w:spacing w:line="173" w:lineRule="exact"/>
              <w:ind w:left="23" w:right="0"/>
              <w:jc w:val="left"/>
              <w:rPr>
                <w:rFonts w:ascii="Times New Roman" w:hAnsi="Times New Roman" w:cs="Times New Roman" w:eastAsia="Times New Roman" w:hint="default"/>
                <w:sz w:val="18"/>
                <w:szCs w:val="18"/>
              </w:rPr>
            </w:pPr>
            <w:r>
              <w:rPr>
                <w:rFonts w:ascii="Times New Roman"/>
                <w:sz w:val="18"/>
              </w:rPr>
              <w:t>53,068,207.84</w:t>
            </w:r>
          </w:p>
        </w:tc>
        <w:tc>
          <w:tcPr>
            <w:tcW w:w="1181" w:type="dxa"/>
            <w:tcBorders>
              <w:top w:val="single" w:sz="50" w:space="0" w:color="D3D3D3"/>
              <w:left w:val="single" w:sz="4" w:space="0" w:color="000000"/>
              <w:bottom w:val="single" w:sz="4" w:space="0" w:color="000000"/>
              <w:right w:val="single" w:sz="4" w:space="0" w:color="000000"/>
            </w:tcBorders>
          </w:tcPr>
          <w:p>
            <w:pPr>
              <w:pStyle w:val="TableParagraph"/>
              <w:spacing w:line="173" w:lineRule="exact"/>
              <w:ind w:left="2" w:right="0"/>
              <w:jc w:val="center"/>
              <w:rPr>
                <w:rFonts w:ascii="Times New Roman" w:hAnsi="Times New Roman" w:cs="Times New Roman" w:eastAsia="Times New Roman" w:hint="default"/>
                <w:sz w:val="18"/>
                <w:szCs w:val="18"/>
              </w:rPr>
            </w:pPr>
            <w:r>
              <w:rPr>
                <w:rFonts w:ascii="Times New Roman"/>
                <w:sz w:val="18"/>
              </w:rPr>
              <w:t>218,487,619.43</w:t>
            </w:r>
          </w:p>
        </w:tc>
        <w:tc>
          <w:tcPr>
            <w:tcW w:w="1316" w:type="dxa"/>
            <w:tcBorders>
              <w:top w:val="single" w:sz="54" w:space="0" w:color="D3D3D3"/>
              <w:left w:val="single" w:sz="4" w:space="0" w:color="000000"/>
              <w:bottom w:val="single" w:sz="4" w:space="0" w:color="000000"/>
              <w:right w:val="single" w:sz="4" w:space="0" w:color="000000"/>
            </w:tcBorders>
          </w:tcPr>
          <w:p>
            <w:pPr>
              <w:pStyle w:val="TableParagraph"/>
              <w:spacing w:line="169" w:lineRule="exact"/>
              <w:ind w:right="21"/>
              <w:jc w:val="right"/>
              <w:rPr>
                <w:rFonts w:ascii="Times New Roman" w:hAnsi="Times New Roman" w:cs="Times New Roman" w:eastAsia="Times New Roman" w:hint="default"/>
                <w:sz w:val="18"/>
                <w:szCs w:val="18"/>
              </w:rPr>
            </w:pPr>
            <w:r>
              <w:rPr>
                <w:rFonts w:ascii="Times New Roman"/>
                <w:spacing w:val="-1"/>
                <w:sz w:val="18"/>
              </w:rPr>
              <w:t>3,098,959,157.03</w:t>
            </w:r>
          </w:p>
        </w:tc>
      </w:tr>
      <w:tr>
        <w:trPr>
          <w:trHeight w:val="250"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157"/>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right="15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146"/>
              <w:jc w:val="center"/>
              <w:rPr>
                <w:rFonts w:ascii="宋体" w:hAnsi="宋体" w:cs="宋体" w:eastAsia="宋体" w:hint="default"/>
                <w:sz w:val="18"/>
                <w:szCs w:val="18"/>
              </w:rPr>
            </w:pPr>
            <w:r>
              <w:rPr>
                <w:rFonts w:ascii="宋体" w:hAnsi="宋体" w:cs="宋体" w:eastAsia="宋体" w:hint="default"/>
                <w:sz w:val="18"/>
                <w:szCs w:val="18"/>
              </w:rPr>
              <w:t>其他</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1,017,698,410.00</w:t>
            </w: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1,809,704,919.76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53,068,207.84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218,487,619.43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3,098,959,157.03</w:t>
            </w:r>
          </w:p>
        </w:tc>
      </w:tr>
      <w:tr>
        <w:trPr>
          <w:trHeight w:val="491"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2,190,121.44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2" w:right="0"/>
              <w:jc w:val="center"/>
              <w:rPr>
                <w:rFonts w:ascii="Times New Roman" w:hAnsi="Times New Roman" w:cs="Times New Roman" w:eastAsia="Times New Roman" w:hint="default"/>
                <w:sz w:val="18"/>
                <w:szCs w:val="18"/>
              </w:rPr>
            </w:pPr>
            <w:r>
              <w:rPr>
                <w:rFonts w:ascii="Times New Roman"/>
                <w:sz w:val="18"/>
              </w:rPr>
              <w:t>-44,925,352.98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-42,735,231.54</w:t>
            </w:r>
          </w:p>
        </w:tc>
      </w:tr>
      <w:tr>
        <w:trPr>
          <w:trHeight w:val="250"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7" w:type="dxa"/>
            <w:tcBorders>
              <w:top w:val="single" w:sz="4" w:space="0" w:color="000000"/>
              <w:left w:val="single" w:sz="10" w:space="0" w:color="D3D3D3"/>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2,190,121.44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2" w:right="0"/>
              <w:jc w:val="center"/>
              <w:rPr>
                <w:rFonts w:ascii="Times New Roman" w:hAnsi="Times New Roman" w:cs="Times New Roman" w:eastAsia="Times New Roman" w:hint="default"/>
                <w:sz w:val="18"/>
                <w:szCs w:val="18"/>
              </w:rPr>
            </w:pPr>
            <w:r>
              <w:rPr>
                <w:rFonts w:ascii="Times New Roman"/>
                <w:sz w:val="18"/>
              </w:rPr>
              <w:t>-22,535,987.97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-20,345,866.53</w:t>
            </w:r>
          </w:p>
        </w:tc>
      </w:tr>
      <w:tr>
        <w:trPr>
          <w:trHeight w:val="490"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10"/>
              <w:jc w:val="left"/>
              <w:rPr>
                <w:rFonts w:ascii="宋体" w:hAnsi="宋体" w:cs="宋体" w:eastAsia="宋体" w:hint="default"/>
                <w:sz w:val="18"/>
                <w:szCs w:val="18"/>
              </w:rPr>
            </w:pPr>
            <w:r>
              <w:rPr>
                <w:rFonts w:ascii="宋体" w:hAnsi="宋体" w:cs="宋体" w:eastAsia="宋体" w:hint="default"/>
                <w:spacing w:val="-3"/>
                <w:sz w:val="18"/>
                <w:szCs w:val="18"/>
              </w:rPr>
              <w:t>（二）所有者投入和减少</w:t>
            </w:r>
            <w:r>
              <w:rPr>
                <w:rFonts w:ascii="宋体" w:hAnsi="宋体" w:cs="宋体" w:eastAsia="宋体" w:hint="default"/>
                <w:sz w:val="18"/>
                <w:szCs w:val="18"/>
              </w:rPr>
              <w:t> 资本</w:t>
            </w:r>
          </w:p>
        </w:tc>
        <w:tc>
          <w:tcPr>
            <w:tcW w:w="1327" w:type="dxa"/>
            <w:tcBorders>
              <w:top w:val="single" w:sz="4" w:space="0" w:color="000000"/>
              <w:left w:val="single" w:sz="10" w:space="0" w:color="D3D3D3"/>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27" w:type="dxa"/>
            <w:tcBorders>
              <w:top w:val="single" w:sz="4" w:space="0" w:color="000000"/>
              <w:left w:val="single" w:sz="10" w:space="0" w:color="D3D3D3"/>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327" w:type="dxa"/>
            <w:tcBorders>
              <w:top w:val="single" w:sz="4" w:space="0" w:color="000000"/>
              <w:left w:val="single" w:sz="10" w:space="0" w:color="D3D3D3"/>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327" w:type="dxa"/>
            <w:tcBorders>
              <w:top w:val="single" w:sz="4" w:space="0" w:color="000000"/>
              <w:left w:val="single" w:sz="10" w:space="0" w:color="D3D3D3"/>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7" w:type="dxa"/>
            <w:tcBorders>
              <w:top w:val="single" w:sz="4" w:space="0" w:color="000000"/>
              <w:left w:val="single" w:sz="10" w:space="0" w:color="D3D3D3"/>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7" w:type="dxa"/>
            <w:tcBorders>
              <w:top w:val="single" w:sz="4" w:space="0" w:color="000000"/>
              <w:left w:val="single" w:sz="10" w:space="0" w:color="D3D3D3"/>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2" w:right="0"/>
              <w:jc w:val="center"/>
              <w:rPr>
                <w:rFonts w:ascii="Times New Roman" w:hAnsi="Times New Roman" w:cs="Times New Roman" w:eastAsia="Times New Roman" w:hint="default"/>
                <w:sz w:val="18"/>
                <w:szCs w:val="18"/>
              </w:rPr>
            </w:pPr>
            <w:r>
              <w:rPr>
                <w:rFonts w:ascii="Times New Roman"/>
                <w:sz w:val="18"/>
              </w:rPr>
              <w:t>-22,389,365.01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-22,389,365.01</w:t>
            </w:r>
          </w:p>
        </w:tc>
      </w:tr>
      <w:tr>
        <w:trPr>
          <w:trHeight w:val="250"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27" w:type="dxa"/>
            <w:tcBorders>
              <w:top w:val="single" w:sz="4" w:space="0" w:color="000000"/>
              <w:left w:val="single" w:sz="10" w:space="0" w:color="D3D3D3"/>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2" w:right="0"/>
              <w:jc w:val="center"/>
              <w:rPr>
                <w:rFonts w:ascii="Times New Roman" w:hAnsi="Times New Roman" w:cs="Times New Roman" w:eastAsia="Times New Roman" w:hint="default"/>
                <w:sz w:val="18"/>
                <w:szCs w:val="18"/>
              </w:rPr>
            </w:pPr>
            <w:r>
              <w:rPr>
                <w:rFonts w:ascii="Times New Roman"/>
                <w:sz w:val="18"/>
              </w:rPr>
              <w:t>-22,389,365.01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-22,389,365.01</w:t>
            </w:r>
          </w:p>
        </w:tc>
      </w:tr>
      <w:tr>
        <w:trPr>
          <w:trHeight w:val="250"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10"/>
              <w:jc w:val="left"/>
              <w:rPr>
                <w:rFonts w:ascii="宋体" w:hAnsi="宋体" w:cs="宋体" w:eastAsia="宋体" w:hint="default"/>
                <w:sz w:val="18"/>
                <w:szCs w:val="18"/>
              </w:rPr>
            </w:pPr>
            <w:r>
              <w:rPr>
                <w:rFonts w:ascii="宋体" w:hAnsi="宋体" w:cs="宋体" w:eastAsia="宋体" w:hint="default"/>
                <w:spacing w:val="-3"/>
                <w:sz w:val="18"/>
                <w:szCs w:val="18"/>
              </w:rPr>
              <w:t>（四）所有者权益内部结</w:t>
            </w:r>
            <w:r>
              <w:rPr>
                <w:rFonts w:ascii="宋体" w:hAnsi="宋体" w:cs="宋体" w:eastAsia="宋体" w:hint="default"/>
                <w:sz w:val="18"/>
                <w:szCs w:val="18"/>
              </w:rPr>
              <w:t> 转</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 w:right="1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．资本公积转增资本（或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股本）</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1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．盈余公积转增资本（或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股本）</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1,017,698,410.00</w:t>
            </w:r>
          </w:p>
        </w:tc>
        <w:tc>
          <w:tcPr>
            <w:tcW w:w="86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1,809,704,919.76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2,190,121.44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53,068,207.84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173,562,266.45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3,056,223,925.49</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80" w:left="1300" w:right="130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0"/>
        <w:ind w:left="139" w:right="0"/>
        <w:jc w:val="left"/>
      </w:pPr>
      <w:r>
        <w:rPr/>
        <w:t>上期金额</w:t>
      </w:r>
    </w:p>
    <w:p>
      <w:pPr>
        <w:pStyle w:val="BodyText"/>
        <w:spacing w:line="240" w:lineRule="auto" w:before="116"/>
        <w:ind w:left="0" w:right="139"/>
        <w:jc w:val="right"/>
      </w:pPr>
      <w:r>
        <w:rPr/>
        <w:t>单位：元</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973"/>
        <w:gridCol w:w="1328"/>
        <w:gridCol w:w="858"/>
        <w:gridCol w:w="858"/>
        <w:gridCol w:w="859"/>
        <w:gridCol w:w="1316"/>
        <w:gridCol w:w="1054"/>
        <w:gridCol w:w="1052"/>
        <w:gridCol w:w="1056"/>
        <w:gridCol w:w="1091"/>
        <w:gridCol w:w="1241"/>
        <w:gridCol w:w="1316"/>
      </w:tblGrid>
      <w:tr>
        <w:trPr>
          <w:trHeight w:val="250" w:hRule="exact"/>
        </w:trPr>
        <w:tc>
          <w:tcPr>
            <w:tcW w:w="1973"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2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30" w:hRule="exact"/>
        </w:trPr>
        <w:tc>
          <w:tcPr>
            <w:tcW w:w="1973" w:type="dxa"/>
            <w:vMerge w:val="restart"/>
            <w:tcBorders>
              <w:top w:val="nil" w:sz="6" w:space="0" w:color="auto"/>
              <w:left w:val="single" w:sz="4" w:space="0" w:color="000000"/>
              <w:right w:val="single" w:sz="4" w:space="0" w:color="000000"/>
            </w:tcBorders>
            <w:shd w:val="clear" w:color="auto" w:fill="D3D3D3"/>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nil" w:sz="6" w:space="0" w:color="auto"/>
              <w:right w:val="single" w:sz="4" w:space="0" w:color="000000"/>
            </w:tcBorders>
            <w:shd w:val="clear" w:color="auto" w:fill="D3D3D3"/>
          </w:tcPr>
          <w:p>
            <w:pPr/>
          </w:p>
        </w:tc>
        <w:tc>
          <w:tcPr>
            <w:tcW w:w="257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17" w:lineRule="exact"/>
              <w:ind w:left="74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6" w:type="dxa"/>
            <w:tcBorders>
              <w:top w:val="single" w:sz="4" w:space="0" w:color="000000"/>
              <w:left w:val="single" w:sz="4" w:space="0" w:color="000000"/>
              <w:bottom w:val="nil" w:sz="6" w:space="0" w:color="auto"/>
              <w:right w:val="single" w:sz="4" w:space="0" w:color="000000"/>
            </w:tcBorders>
            <w:shd w:val="clear" w:color="auto" w:fill="D3D3D3"/>
          </w:tcPr>
          <w:p>
            <w:pPr/>
          </w:p>
        </w:tc>
        <w:tc>
          <w:tcPr>
            <w:tcW w:w="105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4"/>
              <w:ind w:left="431" w:right="68"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tcBorders>
              <w:top w:val="single" w:sz="4" w:space="0" w:color="000000"/>
              <w:left w:val="single" w:sz="4" w:space="0" w:color="000000"/>
              <w:bottom w:val="nil" w:sz="6" w:space="0" w:color="auto"/>
              <w:right w:val="single" w:sz="4" w:space="0" w:color="000000"/>
            </w:tcBorders>
            <w:shd w:val="clear" w:color="auto" w:fill="D3D3D3"/>
          </w:tcPr>
          <w:p>
            <w:pPr/>
          </w:p>
        </w:tc>
        <w:tc>
          <w:tcPr>
            <w:tcW w:w="1241" w:type="dxa"/>
            <w:tcBorders>
              <w:top w:val="single" w:sz="4" w:space="0" w:color="000000"/>
              <w:left w:val="single" w:sz="4" w:space="0" w:color="000000"/>
              <w:bottom w:val="nil" w:sz="6" w:space="0" w:color="auto"/>
              <w:right w:val="single" w:sz="4" w:space="0" w:color="000000"/>
            </w:tcBorders>
            <w:shd w:val="clear" w:color="auto" w:fill="D3D3D3"/>
          </w:tcPr>
          <w:p>
            <w:pPr/>
          </w:p>
        </w:tc>
        <w:tc>
          <w:tcPr>
            <w:tcW w:w="131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18" w:hRule="exact"/>
        </w:trPr>
        <w:tc>
          <w:tcPr>
            <w:tcW w:w="1973" w:type="dxa"/>
            <w:vMerge/>
            <w:tcBorders>
              <w:left w:val="single" w:sz="4" w:space="0" w:color="000000"/>
              <w:bottom w:val="nil" w:sz="6" w:space="0" w:color="auto"/>
              <w:right w:val="single" w:sz="4" w:space="0" w:color="000000"/>
            </w:tcBorders>
            <w:shd w:val="clear" w:color="auto" w:fill="D3D3D3"/>
          </w:tcPr>
          <w:p>
            <w:pPr/>
          </w:p>
        </w:tc>
        <w:tc>
          <w:tcPr>
            <w:tcW w:w="1328"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575" w:type="dxa"/>
            <w:gridSpan w:val="3"/>
            <w:vMerge/>
            <w:tcBorders>
              <w:left w:val="single" w:sz="4" w:space="0" w:color="000000"/>
              <w:bottom w:val="single" w:sz="4" w:space="0" w:color="000000"/>
              <w:right w:val="single" w:sz="4" w:space="0" w:color="000000"/>
            </w:tcBorders>
            <w:shd w:val="clear" w:color="auto" w:fill="D3D3D3"/>
          </w:tcPr>
          <w:p>
            <w:pPr/>
          </w:p>
        </w:tc>
        <w:tc>
          <w:tcPr>
            <w:tcW w:w="1316"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29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54"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52" w:type="dxa"/>
            <w:vMerge/>
            <w:tcBorders>
              <w:left w:val="single" w:sz="4" w:space="0" w:color="000000"/>
              <w:right w:val="single" w:sz="4" w:space="0" w:color="000000"/>
            </w:tcBorders>
            <w:shd w:val="clear" w:color="auto" w:fill="D3D3D3"/>
          </w:tcPr>
          <w:p>
            <w:pPr/>
          </w:p>
        </w:tc>
        <w:tc>
          <w:tcPr>
            <w:tcW w:w="1056"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16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41"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1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53" w:hRule="exact"/>
        </w:trPr>
        <w:tc>
          <w:tcPr>
            <w:tcW w:w="19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c>
          <w:tcPr>
            <w:tcW w:w="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1" w:lineRule="exact"/>
              <w:ind w:left="15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1" w:lineRule="exact"/>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1" w:lineRule="exact"/>
              <w:ind w:left="2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6" w:type="dxa"/>
            <w:vMerge/>
            <w:tcBorders>
              <w:left w:val="single" w:sz="4" w:space="0" w:color="000000"/>
              <w:bottom w:val="single" w:sz="4" w:space="0" w:color="000000"/>
              <w:right w:val="single" w:sz="4" w:space="0" w:color="000000"/>
            </w:tcBorders>
            <w:shd w:val="clear" w:color="auto" w:fill="D3D3D3"/>
          </w:tcPr>
          <w:p>
            <w:pPr/>
          </w:p>
        </w:tc>
        <w:tc>
          <w:tcPr>
            <w:tcW w:w="1054" w:type="dxa"/>
            <w:vMerge/>
            <w:tcBorders>
              <w:left w:val="single" w:sz="4" w:space="0" w:color="000000"/>
              <w:bottom w:val="single" w:sz="4" w:space="0" w:color="000000"/>
              <w:right w:val="single" w:sz="4" w:space="0" w:color="000000"/>
            </w:tcBorders>
            <w:shd w:val="clear" w:color="auto" w:fill="D3D3D3"/>
          </w:tcPr>
          <w:p>
            <w:pPr/>
          </w:p>
        </w:tc>
        <w:tc>
          <w:tcPr>
            <w:tcW w:w="1052" w:type="dxa"/>
            <w:vMerge/>
            <w:tcBorders>
              <w:left w:val="single" w:sz="4" w:space="0" w:color="000000"/>
              <w:bottom w:val="single" w:sz="4" w:space="0" w:color="000000"/>
              <w:right w:val="single" w:sz="4" w:space="0" w:color="000000"/>
            </w:tcBorders>
            <w:shd w:val="clear" w:color="auto" w:fill="D3D3D3"/>
          </w:tcPr>
          <w:p>
            <w:pPr/>
          </w:p>
        </w:tc>
        <w:tc>
          <w:tcPr>
            <w:tcW w:w="1056" w:type="dxa"/>
            <w:vMerge/>
            <w:tcBorders>
              <w:left w:val="single" w:sz="4" w:space="0" w:color="000000"/>
              <w:bottom w:val="single" w:sz="4" w:space="0" w:color="000000"/>
              <w:right w:val="single" w:sz="4" w:space="0" w:color="000000"/>
            </w:tcBorders>
            <w:shd w:val="clear" w:color="auto" w:fill="D3D3D3"/>
          </w:tcPr>
          <w:p>
            <w:pPr/>
          </w:p>
        </w:tc>
        <w:tc>
          <w:tcPr>
            <w:tcW w:w="1091" w:type="dxa"/>
            <w:vMerge/>
            <w:tcBorders>
              <w:left w:val="single" w:sz="4" w:space="0" w:color="000000"/>
              <w:bottom w:val="single" w:sz="4" w:space="0" w:color="000000"/>
              <w:right w:val="single" w:sz="4" w:space="0" w:color="000000"/>
            </w:tcBorders>
            <w:shd w:val="clear" w:color="auto" w:fill="D3D3D3"/>
          </w:tcPr>
          <w:p>
            <w:pPr/>
          </w:p>
        </w:tc>
        <w:tc>
          <w:tcPr>
            <w:tcW w:w="1241"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250"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8" w:type="dxa"/>
            <w:tcBorders>
              <w:top w:val="single" w:sz="54" w:space="0" w:color="D3D3D3"/>
              <w:left w:val="single" w:sz="13" w:space="0" w:color="D3D3D3"/>
              <w:bottom w:val="single" w:sz="4" w:space="0" w:color="000000"/>
              <w:right w:val="single" w:sz="4" w:space="0" w:color="000000"/>
            </w:tcBorders>
          </w:tcPr>
          <w:p>
            <w:pPr>
              <w:pStyle w:val="TableParagraph"/>
              <w:spacing w:line="168" w:lineRule="exact"/>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54" w:space="0" w:color="D3D3D3"/>
              <w:left w:val="single" w:sz="4" w:space="0" w:color="000000"/>
              <w:bottom w:val="single" w:sz="4" w:space="0" w:color="000000"/>
              <w:right w:val="single" w:sz="4" w:space="0" w:color="000000"/>
            </w:tcBorders>
          </w:tcPr>
          <w:p>
            <w:pPr>
              <w:pStyle w:val="TableParagraph"/>
              <w:spacing w:line="168" w:lineRule="exact"/>
              <w:ind w:right="0"/>
              <w:jc w:val="center"/>
              <w:rPr>
                <w:rFonts w:ascii="Times New Roman" w:hAnsi="Times New Roman" w:cs="Times New Roman" w:eastAsia="Times New Roman" w:hint="default"/>
                <w:sz w:val="18"/>
                <w:szCs w:val="18"/>
              </w:rPr>
            </w:pPr>
            <w:r>
              <w:rPr>
                <w:rFonts w:ascii="Times New Roman"/>
                <w:sz w:val="18"/>
              </w:rPr>
              <w:t>1,809,704,919.76</w:t>
            </w:r>
          </w:p>
        </w:tc>
        <w:tc>
          <w:tcPr>
            <w:tcW w:w="1054" w:type="dxa"/>
            <w:tcBorders>
              <w:top w:val="single" w:sz="54" w:space="0" w:color="D3D3D3"/>
              <w:left w:val="single" w:sz="4" w:space="0" w:color="000000"/>
              <w:bottom w:val="single" w:sz="4" w:space="0" w:color="000000"/>
              <w:right w:val="single" w:sz="4" w:space="0" w:color="000000"/>
            </w:tcBorders>
          </w:tcPr>
          <w:p>
            <w:pPr/>
          </w:p>
        </w:tc>
        <w:tc>
          <w:tcPr>
            <w:tcW w:w="1052" w:type="dxa"/>
            <w:tcBorders>
              <w:top w:val="single" w:sz="6" w:space="0" w:color="000000"/>
              <w:left w:val="single" w:sz="4" w:space="0" w:color="000000"/>
              <w:bottom w:val="single" w:sz="4" w:space="0" w:color="000000"/>
              <w:right w:val="single" w:sz="4" w:space="0" w:color="000000"/>
            </w:tcBorders>
          </w:tcPr>
          <w:p>
            <w:pPr/>
          </w:p>
        </w:tc>
        <w:tc>
          <w:tcPr>
            <w:tcW w:w="1056" w:type="dxa"/>
            <w:tcBorders>
              <w:top w:val="single" w:sz="54" w:space="0" w:color="D3D3D3"/>
              <w:left w:val="single" w:sz="4" w:space="0" w:color="000000"/>
              <w:bottom w:val="single" w:sz="4" w:space="0" w:color="000000"/>
              <w:right w:val="single" w:sz="4" w:space="0" w:color="000000"/>
            </w:tcBorders>
          </w:tcPr>
          <w:p>
            <w:pPr/>
          </w:p>
        </w:tc>
        <w:tc>
          <w:tcPr>
            <w:tcW w:w="1091" w:type="dxa"/>
            <w:tcBorders>
              <w:top w:val="single" w:sz="54" w:space="0" w:color="D3D3D3"/>
              <w:left w:val="single" w:sz="4" w:space="0" w:color="000000"/>
              <w:bottom w:val="single" w:sz="4" w:space="0" w:color="000000"/>
              <w:right w:val="single" w:sz="4" w:space="0" w:color="000000"/>
            </w:tcBorders>
          </w:tcPr>
          <w:p>
            <w:pPr>
              <w:pStyle w:val="TableParagraph"/>
              <w:spacing w:line="168" w:lineRule="exact"/>
              <w:ind w:right="19"/>
              <w:jc w:val="right"/>
              <w:rPr>
                <w:rFonts w:ascii="Times New Roman" w:hAnsi="Times New Roman" w:cs="Times New Roman" w:eastAsia="Times New Roman" w:hint="default"/>
                <w:sz w:val="18"/>
                <w:szCs w:val="18"/>
              </w:rPr>
            </w:pPr>
            <w:r>
              <w:rPr>
                <w:rFonts w:ascii="Times New Roman"/>
                <w:spacing w:val="-1"/>
                <w:sz w:val="18"/>
              </w:rPr>
              <w:t>28,791,805.68</w:t>
            </w:r>
          </w:p>
        </w:tc>
        <w:tc>
          <w:tcPr>
            <w:tcW w:w="1241" w:type="dxa"/>
            <w:tcBorders>
              <w:top w:val="single" w:sz="54" w:space="0" w:color="D3D3D3"/>
              <w:left w:val="single" w:sz="4" w:space="0" w:color="000000"/>
              <w:bottom w:val="single" w:sz="4" w:space="0" w:color="000000"/>
              <w:right w:val="single" w:sz="4" w:space="0" w:color="000000"/>
            </w:tcBorders>
          </w:tcPr>
          <w:p>
            <w:pPr>
              <w:pStyle w:val="TableParagraph"/>
              <w:spacing w:line="168" w:lineRule="exact"/>
              <w:ind w:left="2" w:right="0"/>
              <w:jc w:val="center"/>
              <w:rPr>
                <w:rFonts w:ascii="Times New Roman" w:hAnsi="Times New Roman" w:cs="Times New Roman" w:eastAsia="Times New Roman" w:hint="default"/>
                <w:sz w:val="18"/>
                <w:szCs w:val="18"/>
              </w:rPr>
            </w:pPr>
            <w:r>
              <w:rPr>
                <w:rFonts w:ascii="Times New Roman"/>
                <w:sz w:val="18"/>
              </w:rPr>
              <w:t>-296,291,785.38</w:t>
            </w:r>
          </w:p>
        </w:tc>
        <w:tc>
          <w:tcPr>
            <w:tcW w:w="1316" w:type="dxa"/>
            <w:tcBorders>
              <w:top w:val="single" w:sz="54" w:space="0" w:color="D3D3D3"/>
              <w:left w:val="single" w:sz="4" w:space="0" w:color="000000"/>
              <w:bottom w:val="single" w:sz="4" w:space="0" w:color="000000"/>
              <w:right w:val="single" w:sz="4" w:space="0" w:color="000000"/>
            </w:tcBorders>
          </w:tcPr>
          <w:p>
            <w:pPr>
              <w:pStyle w:val="TableParagraph"/>
              <w:spacing w:line="168" w:lineRule="exact"/>
              <w:ind w:right="0"/>
              <w:jc w:val="center"/>
              <w:rPr>
                <w:rFonts w:ascii="Times New Roman" w:hAnsi="Times New Roman" w:cs="Times New Roman" w:eastAsia="Times New Roman" w:hint="default"/>
                <w:sz w:val="18"/>
                <w:szCs w:val="18"/>
              </w:rPr>
            </w:pPr>
            <w:r>
              <w:rPr>
                <w:rFonts w:ascii="Times New Roman"/>
                <w:sz w:val="18"/>
              </w:rPr>
              <w:t>2,559,903,350.06</w:t>
            </w:r>
          </w:p>
        </w:tc>
      </w:tr>
      <w:tr>
        <w:trPr>
          <w:trHeight w:val="250"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14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8"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right="14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328"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138"/>
              <w:jc w:val="center"/>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1,809,704,919.76</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28,791,805.68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-296,291,785.38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2,559,903,350.06</w:t>
            </w:r>
          </w:p>
        </w:tc>
      </w:tr>
      <w:tr>
        <w:trPr>
          <w:trHeight w:val="491"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28"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24,276,402.16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2" w:right="0"/>
              <w:jc w:val="center"/>
              <w:rPr>
                <w:rFonts w:ascii="Times New Roman" w:hAnsi="Times New Roman" w:cs="Times New Roman" w:eastAsia="Times New Roman" w:hint="default"/>
                <w:sz w:val="18"/>
                <w:szCs w:val="18"/>
              </w:rPr>
            </w:pPr>
            <w:r>
              <w:rPr>
                <w:rFonts w:ascii="Times New Roman"/>
                <w:sz w:val="18"/>
              </w:rPr>
              <w:t>514,779,404.81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38" w:right="0"/>
              <w:jc w:val="center"/>
              <w:rPr>
                <w:rFonts w:ascii="Times New Roman" w:hAnsi="Times New Roman" w:cs="Times New Roman" w:eastAsia="Times New Roman" w:hint="default"/>
                <w:sz w:val="18"/>
                <w:szCs w:val="18"/>
              </w:rPr>
            </w:pPr>
            <w:r>
              <w:rPr>
                <w:rFonts w:ascii="Times New Roman"/>
                <w:sz w:val="18"/>
              </w:rPr>
              <w:t>539,055,806.97</w:t>
            </w:r>
          </w:p>
        </w:tc>
      </w:tr>
      <w:tr>
        <w:trPr>
          <w:trHeight w:val="250"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8"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2" w:right="0"/>
              <w:jc w:val="center"/>
              <w:rPr>
                <w:rFonts w:ascii="Times New Roman" w:hAnsi="Times New Roman" w:cs="Times New Roman" w:eastAsia="Times New Roman" w:hint="default"/>
                <w:sz w:val="18"/>
                <w:szCs w:val="18"/>
              </w:rPr>
            </w:pPr>
            <w:r>
              <w:rPr>
                <w:rFonts w:ascii="Times New Roman"/>
                <w:sz w:val="18"/>
              </w:rPr>
              <w:t>539,055,806.97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38" w:right="0"/>
              <w:jc w:val="center"/>
              <w:rPr>
                <w:rFonts w:ascii="Times New Roman" w:hAnsi="Times New Roman" w:cs="Times New Roman" w:eastAsia="Times New Roman" w:hint="default"/>
                <w:sz w:val="18"/>
                <w:szCs w:val="18"/>
              </w:rPr>
            </w:pPr>
            <w:r>
              <w:rPr>
                <w:rFonts w:ascii="Times New Roman"/>
                <w:sz w:val="18"/>
              </w:rPr>
              <w:t>539,055,806.97</w:t>
            </w:r>
          </w:p>
        </w:tc>
      </w:tr>
      <w:tr>
        <w:trPr>
          <w:trHeight w:val="490"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9"/>
              <w:jc w:val="left"/>
              <w:rPr>
                <w:rFonts w:ascii="宋体" w:hAnsi="宋体" w:cs="宋体" w:eastAsia="宋体" w:hint="default"/>
                <w:sz w:val="18"/>
                <w:szCs w:val="18"/>
              </w:rPr>
            </w:pPr>
            <w:r>
              <w:rPr>
                <w:rFonts w:ascii="宋体" w:hAnsi="宋体" w:cs="宋体" w:eastAsia="宋体" w:hint="default"/>
                <w:spacing w:val="-4"/>
                <w:sz w:val="18"/>
                <w:szCs w:val="18"/>
              </w:rPr>
              <w:t>（二）所有者投入和减少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28"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328"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328"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8"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24,276,402.16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2" w:right="0"/>
              <w:jc w:val="center"/>
              <w:rPr>
                <w:rFonts w:ascii="Times New Roman" w:hAnsi="Times New Roman" w:cs="Times New Roman" w:eastAsia="Times New Roman" w:hint="default"/>
                <w:sz w:val="18"/>
                <w:szCs w:val="18"/>
              </w:rPr>
            </w:pPr>
            <w:r>
              <w:rPr>
                <w:rFonts w:ascii="Times New Roman"/>
                <w:sz w:val="18"/>
              </w:rPr>
              <w:t>-24,276,402.16</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28"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24,276,402.16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2" w:right="0"/>
              <w:jc w:val="center"/>
              <w:rPr>
                <w:rFonts w:ascii="Times New Roman" w:hAnsi="Times New Roman" w:cs="Times New Roman" w:eastAsia="Times New Roman" w:hint="default"/>
                <w:sz w:val="18"/>
                <w:szCs w:val="18"/>
              </w:rPr>
            </w:pPr>
            <w:r>
              <w:rPr>
                <w:rFonts w:ascii="Times New Roman"/>
                <w:sz w:val="18"/>
              </w:rPr>
              <w:t>-24,276,402.16</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328"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9"/>
              <w:jc w:val="left"/>
              <w:rPr>
                <w:rFonts w:ascii="宋体" w:hAnsi="宋体" w:cs="宋体" w:eastAsia="宋体" w:hint="default"/>
                <w:sz w:val="18"/>
                <w:szCs w:val="18"/>
              </w:rPr>
            </w:pPr>
            <w:r>
              <w:rPr>
                <w:rFonts w:ascii="宋体" w:hAnsi="宋体" w:cs="宋体" w:eastAsia="宋体" w:hint="default"/>
                <w:spacing w:val="-4"/>
                <w:sz w:val="18"/>
                <w:szCs w:val="18"/>
              </w:rPr>
              <w:t>（四）所有者权益内部结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转</w:t>
            </w:r>
          </w:p>
        </w:tc>
        <w:tc>
          <w:tcPr>
            <w:tcW w:w="1328"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 w:right="9"/>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．资本公积转增资本（或</w:t>
            </w:r>
            <w:r>
              <w:rPr>
                <w:rFonts w:ascii="宋体" w:hAnsi="宋体" w:cs="宋体" w:eastAsia="宋体" w:hint="default"/>
                <w:sz w:val="18"/>
                <w:szCs w:val="18"/>
              </w:rPr>
              <w:t> 股本）</w:t>
            </w:r>
          </w:p>
        </w:tc>
        <w:tc>
          <w:tcPr>
            <w:tcW w:w="1328"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9"/>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．盈余公积转增资本（或</w:t>
            </w:r>
            <w:r>
              <w:rPr>
                <w:rFonts w:ascii="宋体" w:hAnsi="宋体" w:cs="宋体" w:eastAsia="宋体" w:hint="default"/>
                <w:sz w:val="18"/>
                <w:szCs w:val="18"/>
              </w:rPr>
              <w:t> 股本）</w:t>
            </w:r>
          </w:p>
        </w:tc>
        <w:tc>
          <w:tcPr>
            <w:tcW w:w="1328"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28"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28"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28"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1,809,704,919.76</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53,068,207.84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2" w:right="0"/>
              <w:jc w:val="center"/>
              <w:rPr>
                <w:rFonts w:ascii="Times New Roman" w:hAnsi="Times New Roman" w:cs="Times New Roman" w:eastAsia="Times New Roman" w:hint="default"/>
                <w:sz w:val="18"/>
                <w:szCs w:val="18"/>
              </w:rPr>
            </w:pPr>
            <w:r>
              <w:rPr>
                <w:rFonts w:ascii="Times New Roman"/>
                <w:sz w:val="18"/>
              </w:rPr>
              <w:t>218,487,619.43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3,098,959,157.03</w:t>
            </w:r>
          </w:p>
        </w:tc>
      </w:tr>
    </w:tbl>
    <w:p>
      <w:pPr>
        <w:spacing w:after="0" w:line="240" w:lineRule="auto"/>
        <w:jc w:val="center"/>
        <w:rPr>
          <w:rFonts w:ascii="Times New Roman" w:hAnsi="Times New Roman" w:cs="Times New Roman" w:eastAsia="Times New Roman" w:hint="default"/>
          <w:sz w:val="18"/>
          <w:szCs w:val="18"/>
        </w:rPr>
        <w:sectPr>
          <w:footerReference w:type="default" r:id="rId37"/>
          <w:pgSz w:w="16840" w:h="11910" w:orient="landscape"/>
          <w:pgMar w:footer="368" w:header="867" w:top="1060" w:bottom="560" w:left="1300" w:right="1300"/>
        </w:sectPr>
      </w:pPr>
    </w:p>
    <w:p>
      <w:pPr>
        <w:spacing w:line="240" w:lineRule="auto" w:before="9"/>
        <w:rPr>
          <w:rFonts w:ascii="宋体" w:hAnsi="宋体" w:cs="宋体" w:eastAsia="宋体" w:hint="default"/>
          <w:sz w:val="19"/>
          <w:szCs w:val="19"/>
        </w:rPr>
      </w:pPr>
    </w:p>
    <w:p>
      <w:pPr>
        <w:pStyle w:val="Heading2"/>
        <w:spacing w:line="240" w:lineRule="auto" w:before="26"/>
        <w:ind w:right="125"/>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88" w:firstLine="480"/>
        <w:jc w:val="both"/>
      </w:pPr>
      <w:r>
        <w:rPr/>
        <w:t>浙江华媒控股股份有限公司（以下简称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）系由浙江华智控股股份有限公司更名而来，其前身为重庆 </w:t>
      </w:r>
      <w:r>
        <w:rPr>
          <w:spacing w:val="-1"/>
        </w:rPr>
        <w:t>川仪股份有限公司，系于</w:t>
      </w:r>
      <w:r>
        <w:rPr>
          <w:rFonts w:ascii="Times New Roman" w:hAnsi="Times New Roman" w:cs="Times New Roman" w:eastAsia="Times New Roman" w:hint="default"/>
          <w:spacing w:val="-1"/>
        </w:rPr>
        <w:t>1993</w:t>
      </w:r>
      <w:r>
        <w:rPr>
          <w:spacing w:val="-1"/>
        </w:rPr>
        <w:t>年经重庆市体改委体改发</w:t>
      </w:r>
      <w:r>
        <w:rPr>
          <w:rFonts w:ascii="Times New Roman" w:hAnsi="Times New Roman" w:cs="Times New Roman" w:eastAsia="Times New Roman" w:hint="default"/>
          <w:spacing w:val="-1"/>
        </w:rPr>
        <w:t>[1993]30</w:t>
      </w:r>
      <w:r>
        <w:rPr>
          <w:spacing w:val="-1"/>
        </w:rPr>
        <w:t>号文批准设立的定向募集股份有限公司，于</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5</w:t>
      </w:r>
      <w:r>
        <w:rPr>
          <w:spacing w:val="-1"/>
        </w:rPr>
        <w:t>月和</w:t>
      </w:r>
      <w:r>
        <w:rPr>
          <w:rFonts w:ascii="Times New Roman" w:hAnsi="Times New Roman" w:cs="Times New Roman" w:eastAsia="Times New Roman" w:hint="default"/>
          <w:spacing w:val="-1"/>
        </w:rPr>
        <w:t>7</w:t>
      </w:r>
      <w:r>
        <w:rPr>
          <w:spacing w:val="-1"/>
        </w:rPr>
        <w:t>月</w:t>
      </w:r>
      <w:r>
        <w:rPr>
          <w:spacing w:val="-50"/>
        </w:rPr>
        <w:t> </w:t>
      </w:r>
      <w:r>
        <w:rPr>
          <w:spacing w:val="-2"/>
        </w:rPr>
        <w:t>分别进行了股权转让和重大资产重组，华方医药科技有限公司（原名华立产业集团有限公司，以下简称</w:t>
      </w:r>
      <w:r>
        <w:rPr>
          <w:rFonts w:ascii="Times New Roman" w:hAnsi="Times New Roman" w:cs="Times New Roman" w:eastAsia="Times New Roman" w:hint="default"/>
          <w:spacing w:val="-2"/>
        </w:rPr>
        <w:t>“</w:t>
      </w:r>
      <w:r>
        <w:rPr>
          <w:spacing w:val="-2"/>
        </w:rPr>
        <w:t>华方医药</w:t>
      </w:r>
      <w:r>
        <w:rPr>
          <w:rFonts w:ascii="Times New Roman" w:hAnsi="Times New Roman" w:cs="Times New Roman" w:eastAsia="Times New Roman" w:hint="default"/>
          <w:spacing w:val="-2"/>
        </w:rPr>
        <w:t>”</w:t>
      </w:r>
      <w:r>
        <w:rPr>
          <w:spacing w:val="-2"/>
        </w:rPr>
        <w:t>）成为公</w:t>
      </w:r>
      <w:r>
        <w:rPr>
          <w:spacing w:val="-44"/>
        </w:rPr>
        <w:t> </w:t>
      </w:r>
      <w:r>
        <w:rPr>
          <w:spacing w:val="-44"/>
        </w:rPr>
      </w:r>
      <w:r>
        <w:rPr>
          <w:spacing w:val="-3"/>
        </w:rPr>
        <w:t>司第一大股东。</w:t>
      </w:r>
      <w:r>
        <w:rPr>
          <w:rFonts w:ascii="Times New Roman" w:hAnsi="Times New Roman" w:cs="Times New Roman" w:eastAsia="Times New Roman" w:hint="default"/>
          <w:spacing w:val="-3"/>
        </w:rPr>
        <w:t>1999</w:t>
      </w:r>
      <w:r>
        <w:rPr>
          <w:spacing w:val="-3"/>
        </w:rPr>
        <w:t>年</w:t>
      </w:r>
      <w:r>
        <w:rPr>
          <w:rFonts w:ascii="Times New Roman" w:hAnsi="Times New Roman" w:cs="Times New Roman" w:eastAsia="Times New Roman" w:hint="default"/>
          <w:spacing w:val="-3"/>
        </w:rPr>
        <w:t>10</w:t>
      </w:r>
      <w:r>
        <w:rPr>
          <w:spacing w:val="-3"/>
        </w:rPr>
        <w:t>月公司更名为重庆华立控股股份有限公司，</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6</w:t>
      </w:r>
      <w:r>
        <w:rPr>
          <w:spacing w:val="-3"/>
        </w:rPr>
        <w:t>月更名为重庆华立药业股份有限公司。根据</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33"/>
        </w:rPr>
        <w:t>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4</w:t>
      </w:r>
      <w:r>
        <w:rPr>
          <w:spacing w:val="-2"/>
        </w:rPr>
        <w:t>日华方医药与华立集团股份有限公司（以下简称</w:t>
      </w:r>
      <w:r>
        <w:rPr>
          <w:rFonts w:ascii="Times New Roman" w:hAnsi="Times New Roman" w:cs="Times New Roman" w:eastAsia="Times New Roman" w:hint="default"/>
          <w:spacing w:val="-2"/>
        </w:rPr>
        <w:t>“</w:t>
      </w:r>
      <w:r>
        <w:rPr>
          <w:spacing w:val="-2"/>
        </w:rPr>
        <w:t>华立集团</w:t>
      </w:r>
      <w:r>
        <w:rPr>
          <w:rFonts w:ascii="Times New Roman" w:hAnsi="Times New Roman" w:cs="Times New Roman" w:eastAsia="Times New Roman" w:hint="default"/>
          <w:spacing w:val="-2"/>
        </w:rPr>
        <w:t>”</w:t>
      </w:r>
      <w:r>
        <w:rPr>
          <w:spacing w:val="-2"/>
        </w:rPr>
        <w:t>）签订的股权转让合同，华方医药将持有公司</w:t>
      </w:r>
      <w:r>
        <w:rPr>
          <w:rFonts w:ascii="Times New Roman" w:hAnsi="Times New Roman" w:cs="Times New Roman" w:eastAsia="Times New Roman" w:hint="default"/>
          <w:spacing w:val="-2"/>
        </w:rPr>
        <w:t>23.52%</w:t>
      </w:r>
      <w:r>
        <w:rPr>
          <w:spacing w:val="-2"/>
        </w:rPr>
        <w:t>的股</w:t>
      </w:r>
      <w:r>
        <w:rPr>
          <w:spacing w:val="-53"/>
        </w:rPr>
        <w:t> </w:t>
      </w:r>
      <w:r>
        <w:rPr/>
        <w:t>份转让给华立集团，华立集团成为公司第一大股东。</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日，公司名称变更为重庆华智控股股份有限公司。</w:t>
      </w:r>
      <w:r>
        <w:rPr>
          <w:rFonts w:ascii="Times New Roman" w:hAnsi="Times New Roman" w:cs="Times New Roman" w:eastAsia="Times New Roman" w:hint="default"/>
        </w:rPr>
        <w:t>2011</w:t>
      </w:r>
      <w:r>
        <w:rPr>
          <w:rFonts w:ascii="Times New Roman" w:hAnsi="Times New Roman" w:cs="Times New Roman" w:eastAsia="Times New Roman" w:hint="default"/>
          <w:spacing w:val="35"/>
        </w:rPr>
        <w:t> </w:t>
      </w:r>
      <w:r>
        <w:rPr/>
        <w:t>年</w:t>
      </w:r>
      <w:r>
        <w:rPr>
          <w:rFonts w:ascii="Times New Roman" w:hAnsi="Times New Roman" w:cs="Times New Roman" w:eastAsia="Times New Roman" w:hint="default"/>
        </w:rPr>
        <w:t>12</w:t>
      </w:r>
      <w:r>
        <w:rPr/>
        <w:t>月公司更名为浙江华智控股股份有限公司。</w:t>
      </w:r>
    </w:p>
    <w:p>
      <w:pPr>
        <w:pStyle w:val="BodyText"/>
        <w:spacing w:line="300" w:lineRule="auto" w:before="13"/>
        <w:ind w:right="188" w:firstLine="480"/>
        <w:jc w:val="both"/>
      </w:pPr>
      <w:r>
        <w:rPr>
          <w:rFonts w:ascii="Times New Roman" w:hAnsi="Times New Roman" w:cs="Times New Roman" w:eastAsia="Times New Roman" w:hint="default"/>
        </w:rPr>
        <w:t>1996</w:t>
      </w:r>
      <w:r>
        <w:rPr/>
        <w:t>年公司经批准向社会公开发行</w:t>
      </w:r>
      <w:r>
        <w:rPr>
          <w:rFonts w:ascii="Times New Roman" w:hAnsi="Times New Roman" w:cs="Times New Roman" w:eastAsia="Times New Roman" w:hint="default"/>
        </w:rPr>
        <w:t>A</w:t>
      </w:r>
      <w:r>
        <w:rPr/>
        <w:t>股股票，同年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4,500</w:t>
      </w:r>
      <w:r>
        <w:rPr/>
        <w:t>万股人民币普通股股票在深交所挂牌上市。经历次 增资，截至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日，公司注册资本</w:t>
      </w:r>
      <w:r>
        <w:rPr>
          <w:rFonts w:ascii="Times New Roman" w:hAnsi="Times New Roman" w:cs="Times New Roman" w:eastAsia="Times New Roman" w:hint="default"/>
        </w:rPr>
        <w:t>487,731,995.00</w:t>
      </w:r>
      <w:r>
        <w:rPr/>
        <w:t>元，股份</w:t>
      </w:r>
      <w:r>
        <w:rPr>
          <w:rFonts w:ascii="Times New Roman" w:hAnsi="Times New Roman" w:cs="Times New Roman" w:eastAsia="Times New Roman" w:hint="default"/>
        </w:rPr>
        <w:t>487,731,995</w:t>
      </w:r>
      <w:r>
        <w:rPr/>
        <w:t>股，均为无限售条件流通股。</w:t>
      </w:r>
    </w:p>
    <w:p>
      <w:pPr>
        <w:pStyle w:val="BodyText"/>
        <w:spacing w:line="304" w:lineRule="auto" w:before="13"/>
        <w:ind w:left="153" w:right="178" w:firstLine="480"/>
        <w:jc w:val="both"/>
      </w:pPr>
      <w:r>
        <w:rPr>
          <w:spacing w:val="-1"/>
        </w:rPr>
        <w:t>根据浙江华智控股股份有限公司</w:t>
      </w:r>
      <w:r>
        <w:rPr>
          <w:rFonts w:ascii="Times New Roman" w:hAnsi="Times New Roman" w:cs="Times New Roman" w:eastAsia="Times New Roman" w:hint="default"/>
          <w:spacing w:val="-1"/>
        </w:rPr>
        <w:t>2014</w:t>
      </w:r>
      <w:r>
        <w:rPr>
          <w:spacing w:val="-1"/>
        </w:rPr>
        <w:t>年第七届董事会第十一次会议决议和</w:t>
      </w:r>
      <w:r>
        <w:rPr>
          <w:rFonts w:ascii="Times New Roman" w:hAnsi="Times New Roman" w:cs="Times New Roman" w:eastAsia="Times New Roman" w:hint="default"/>
          <w:spacing w:val="-1"/>
        </w:rPr>
        <w:t>2014</w:t>
      </w:r>
      <w:r>
        <w:rPr>
          <w:spacing w:val="-1"/>
        </w:rPr>
        <w:t>年第一次临时股东大会决议、</w:t>
      </w:r>
      <w:r>
        <w:rPr>
          <w:rFonts w:ascii="Times New Roman" w:hAnsi="Times New Roman" w:cs="Times New Roman" w:eastAsia="Times New Roman" w:hint="default"/>
          <w:spacing w:val="-1"/>
        </w:rPr>
        <w:t>2014</w:t>
      </w:r>
      <w:r>
        <w:rPr>
          <w:spacing w:val="-1"/>
        </w:rPr>
        <w:t>年第</w:t>
      </w:r>
      <w:r>
        <w:rPr/>
        <w:t> </w:t>
      </w:r>
      <w:r>
        <w:rPr>
          <w:spacing w:val="-2"/>
        </w:rPr>
        <w:t>二次临时股东大会决议，并经中共中央宣传部出具《关于同意杭州日报报业集团下属经营性资产借壳上市方案的函》、国家</w:t>
      </w:r>
      <w:r>
        <w:rPr>
          <w:spacing w:val="-66"/>
        </w:rPr>
        <w:t> </w:t>
      </w:r>
      <w:r>
        <w:rPr>
          <w:spacing w:val="-66"/>
        </w:rPr>
      </w:r>
      <w:r>
        <w:rPr>
          <w:spacing w:val="-1"/>
        </w:rPr>
        <w:t>新闻出版广电总局出具《关于同意杭州日报报业集团借壳上市的批复》（新出审字</w:t>
      </w:r>
      <w:r>
        <w:rPr>
          <w:rFonts w:ascii="Times New Roman" w:hAnsi="Times New Roman" w:cs="Times New Roman" w:eastAsia="Times New Roman" w:hint="default"/>
          <w:spacing w:val="-1"/>
        </w:rPr>
        <w:t>[2013]1684</w:t>
      </w:r>
      <w:r>
        <w:rPr>
          <w:spacing w:val="-1"/>
        </w:rPr>
        <w:t>号）、浙江省财政厅出具《关</w:t>
      </w:r>
      <w:r>
        <w:rPr>
          <w:spacing w:val="-56"/>
        </w:rPr>
        <w:t> </w:t>
      </w:r>
      <w:r>
        <w:rPr>
          <w:spacing w:val="-56"/>
        </w:rPr>
      </w:r>
      <w:r>
        <w:rPr>
          <w:spacing w:val="-1"/>
        </w:rPr>
        <w:t>于同意杭报集团下属传媒经营性资产借壳上市方案的批复》（浙财文资</w:t>
      </w:r>
      <w:r>
        <w:rPr>
          <w:rFonts w:ascii="Times New Roman" w:hAnsi="Times New Roman" w:cs="Times New Roman" w:eastAsia="Times New Roman" w:hint="default"/>
          <w:spacing w:val="-1"/>
        </w:rPr>
        <w:t>[2014]11</w:t>
      </w:r>
      <w:r>
        <w:rPr>
          <w:spacing w:val="-1"/>
        </w:rPr>
        <w:t>号）、中国证券监督管理委员会《关于核准</w:t>
      </w:r>
      <w:r>
        <w:rPr>
          <w:spacing w:val="-57"/>
        </w:rPr>
        <w:t> </w:t>
      </w:r>
      <w:r>
        <w:rPr>
          <w:spacing w:val="-57"/>
        </w:rPr>
      </w:r>
      <w:r>
        <w:rPr>
          <w:spacing w:val="12"/>
        </w:rPr>
        <w:t>浙江华智控股股份有限公司重大资产重组及向杭州日报报业集团有限公司等发行股份购买资产的批复》（证监许可</w:t>
      </w:r>
      <w:r>
        <w:rPr>
          <w:spacing w:val="-49"/>
        </w:rPr>
        <w:t> </w:t>
      </w:r>
      <w:r>
        <w:rPr>
          <w:spacing w:val="-49"/>
        </w:rPr>
      </w:r>
      <w:r>
        <w:rPr>
          <w:rFonts w:ascii="Times New Roman" w:hAnsi="Times New Roman" w:cs="Times New Roman" w:eastAsia="Times New Roman" w:hint="default"/>
          <w:spacing w:val="-1"/>
        </w:rPr>
        <w:t>[2014]1274</w:t>
      </w:r>
      <w:r>
        <w:rPr>
          <w:spacing w:val="-1"/>
        </w:rPr>
        <w:t>号）及《关于核准豁免杭州日报报业集团有限公司及一致行动人要约收购浙江华智控股股份有限公司股份义务的</w:t>
      </w:r>
      <w:r>
        <w:rPr>
          <w:spacing w:val="-54"/>
        </w:rPr>
        <w:t> </w:t>
      </w:r>
      <w:r>
        <w:rPr>
          <w:spacing w:val="-54"/>
        </w:rPr>
      </w:r>
      <w:r>
        <w:rPr>
          <w:spacing w:val="2"/>
        </w:rPr>
        <w:t>批复》（证监许可</w:t>
      </w:r>
      <w:r>
        <w:rPr>
          <w:rFonts w:ascii="Times New Roman" w:hAnsi="Times New Roman" w:cs="Times New Roman" w:eastAsia="Times New Roman" w:hint="default"/>
          <w:spacing w:val="2"/>
        </w:rPr>
        <w:t>[2014]1275</w:t>
      </w:r>
      <w:r>
        <w:rPr>
          <w:spacing w:val="2"/>
        </w:rPr>
        <w:t>号）批准，浙江华智控股股份有限公司对杭州日报报业集团有限公司和都市快报社发行股份</w:t>
      </w:r>
      <w:r>
        <w:rPr>
          <w:spacing w:val="-64"/>
        </w:rPr>
        <w:t> </w:t>
      </w:r>
      <w:r>
        <w:rPr>
          <w:spacing w:val="-64"/>
        </w:rPr>
      </w:r>
      <w:r>
        <w:rPr>
          <w:rFonts w:ascii="Times New Roman" w:hAnsi="Times New Roman" w:cs="Times New Roman" w:eastAsia="Times New Roman" w:hint="default"/>
          <w:spacing w:val="-2"/>
        </w:rPr>
        <w:t>529,966,415</w:t>
      </w:r>
      <w:r>
        <w:rPr>
          <w:spacing w:val="-2"/>
        </w:rPr>
        <w:t>股，购买杭州日报报业集团有限公司和都市快报社拥有的传媒类</w:t>
      </w:r>
      <w:r>
        <w:rPr>
          <w:rFonts w:ascii="Times New Roman" w:hAnsi="Times New Roman" w:cs="Times New Roman" w:eastAsia="Times New Roman" w:hint="default"/>
          <w:spacing w:val="-2"/>
        </w:rPr>
        <w:t>11</w:t>
      </w:r>
      <w:r>
        <w:rPr>
          <w:spacing w:val="-2"/>
        </w:rPr>
        <w:t>家企业股权。上述交易完成后，杭州日报报业</w:t>
      </w:r>
      <w:r>
        <w:rPr>
          <w:spacing w:val="-54"/>
        </w:rPr>
        <w:t> </w:t>
      </w:r>
      <w:r>
        <w:rPr>
          <w:spacing w:val="-54"/>
        </w:rPr>
      </w:r>
      <w:r>
        <w:rPr/>
        <w:t>集团有限公司成为本公司的控股股东，杭州日报报业集团（杭州日报社）持有杭州日报报业集团有限公司</w:t>
      </w:r>
      <w:r>
        <w:rPr>
          <w:rFonts w:ascii="Times New Roman" w:hAnsi="Times New Roman" w:cs="Times New Roman" w:eastAsia="Times New Roman" w:hint="default"/>
        </w:rPr>
        <w:t>100%</w:t>
      </w:r>
      <w:r>
        <w:rPr/>
        <w:t>股权、成为</w:t>
      </w:r>
      <w:r>
        <w:rPr>
          <w:spacing w:val="-56"/>
        </w:rPr>
        <w:t> </w:t>
      </w:r>
      <w:r>
        <w:rPr>
          <w:spacing w:val="-56"/>
        </w:rPr>
      </w:r>
      <w:r>
        <w:rPr/>
        <w:t>本公司的实际控制人。</w:t>
      </w:r>
    </w:p>
    <w:p>
      <w:pPr>
        <w:pStyle w:val="BodyText"/>
        <w:spacing w:line="300" w:lineRule="auto" w:before="28"/>
        <w:ind w:left="633" w:right="171"/>
        <w:jc w:val="left"/>
      </w:pPr>
      <w:r>
        <w:rPr/>
        <w:t>本财务报表业经本公司董事会于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日决议批准报出。 本公司</w:t>
      </w:r>
      <w:r>
        <w:rPr>
          <w:rFonts w:ascii="Times New Roman" w:hAnsi="Times New Roman" w:cs="Times New Roman" w:eastAsia="Times New Roman" w:hint="default"/>
        </w:rPr>
        <w:t>2017</w:t>
      </w:r>
      <w:r>
        <w:rPr/>
        <w:t>年度纳入合并范围的二级子公司共</w:t>
      </w:r>
      <w:r>
        <w:rPr>
          <w:rFonts w:ascii="Times New Roman" w:hAnsi="Times New Roman" w:cs="Times New Roman" w:eastAsia="Times New Roman" w:hint="default"/>
        </w:rPr>
        <w:t>15</w:t>
      </w:r>
      <w:r>
        <w:rPr/>
        <w:t>户，详见本附注八</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。本公司本年度合并范围比</w:t>
      </w:r>
    </w:p>
    <w:p>
      <w:pPr>
        <w:pStyle w:val="BodyText"/>
        <w:spacing w:line="300" w:lineRule="auto" w:before="13"/>
        <w:ind w:left="634" w:right="83" w:hanging="480"/>
        <w:jc w:val="left"/>
      </w:pPr>
      <w:r>
        <w:rPr/>
        <w:t>上年度增加</w:t>
      </w:r>
      <w:r>
        <w:rPr>
          <w:rFonts w:ascii="Times New Roman" w:hAnsi="Times New Roman" w:cs="Times New Roman" w:eastAsia="Times New Roman" w:hint="default"/>
        </w:rPr>
        <w:t>1</w:t>
      </w:r>
      <w:r>
        <w:rPr/>
        <w:t>户二级子公司，详见本附注七</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 </w:t>
      </w:r>
      <w:r>
        <w:rPr>
          <w:spacing w:val="-3"/>
        </w:rPr>
        <w:t>本公司及各子公司主要从事：设计、制作、代理、发布国内各类广告，实业投资，新媒体技术开发，经营进出口业务，</w:t>
      </w:r>
    </w:p>
    <w:p>
      <w:pPr>
        <w:pStyle w:val="BodyText"/>
        <w:spacing w:line="240" w:lineRule="auto" w:before="31"/>
        <w:ind w:right="125"/>
        <w:jc w:val="left"/>
      </w:pPr>
      <w:r>
        <w:rPr/>
        <w:t>会展服务。（上述经营范围不含国家法律法规规定禁止、限制和许可经营的项目）。</w:t>
      </w:r>
    </w:p>
    <w:p>
      <w:pPr>
        <w:spacing w:line="240" w:lineRule="auto" w:before="2"/>
        <w:rPr>
          <w:rFonts w:ascii="宋体" w:hAnsi="宋体" w:cs="宋体" w:eastAsia="宋体" w:hint="default"/>
          <w:sz w:val="25"/>
          <w:szCs w:val="25"/>
        </w:rPr>
      </w:pPr>
    </w:p>
    <w:p>
      <w:pPr>
        <w:pStyle w:val="Heading2"/>
        <w:spacing w:line="240" w:lineRule="auto"/>
        <w:ind w:right="125"/>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88" w:firstLine="480"/>
        <w:jc w:val="both"/>
      </w:pPr>
      <w:r>
        <w:rPr>
          <w:spacing w:val="-1"/>
        </w:rPr>
        <w:t>本公司财务报表以持续经营假设为基础，根据实际发生的交易和事项，按照财政部发布的《企业会计准则</w:t>
      </w:r>
      <w:r>
        <w:rPr>
          <w:rFonts w:ascii="Times New Roman" w:hAnsi="Times New Roman" w:cs="Times New Roman" w:eastAsia="Times New Roman" w:hint="default"/>
          <w:spacing w:val="-1"/>
        </w:rPr>
        <w:t>——</w:t>
      </w:r>
      <w:r>
        <w:rPr>
          <w:spacing w:val="-1"/>
        </w:rPr>
        <w:t>基本准</w:t>
      </w:r>
      <w:r>
        <w:rPr/>
        <w:t> 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w:t>
      </w:r>
      <w:r>
        <w:rPr>
          <w:spacing w:val="-83"/>
        </w:rPr>
        <w:t> </w:t>
      </w:r>
      <w:r>
        <w:rPr>
          <w:spacing w:val="-83"/>
        </w:rPr>
      </w:r>
      <w:r>
        <w:rPr>
          <w:spacing w:val="-2"/>
        </w:rPr>
        <w:t>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w:t>
      </w:r>
      <w:r>
        <w:rPr>
          <w:spacing w:val="-42"/>
        </w:rPr>
        <w:t> </w:t>
      </w:r>
      <w:r>
        <w:rPr>
          <w:spacing w:val="-42"/>
        </w:rPr>
      </w:r>
      <w:r>
        <w:rPr/>
        <w:t>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3"/>
        <w:ind w:right="189" w:firstLine="480"/>
        <w:jc w:val="both"/>
      </w:pPr>
      <w:r>
        <w:rPr>
          <w:spacing w:val="-1"/>
        </w:rPr>
        <w:t>根据企业会计准则的相关规定，本公司会计核算以权责发生制为基础。除某些金融工具外，本财务报表均以历史成本</w:t>
      </w:r>
      <w:r>
        <w:rPr/>
        <w:t> 为计量基础。资产如果发生减值，则按照相关规定计提相应的减值准备。</w:t>
      </w:r>
    </w:p>
    <w:p>
      <w:pPr>
        <w:spacing w:line="240" w:lineRule="auto" w:before="7"/>
        <w:rPr>
          <w:rFonts w:ascii="宋体" w:hAnsi="宋体" w:cs="宋体" w:eastAsia="宋体" w:hint="default"/>
          <w:sz w:val="22"/>
          <w:szCs w:val="22"/>
        </w:rPr>
      </w:pPr>
    </w:p>
    <w:p>
      <w:pPr>
        <w:pStyle w:val="Heading3"/>
        <w:spacing w:line="240" w:lineRule="auto"/>
        <w:ind w:right="125"/>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5"/>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1"/>
        <w:rPr>
          <w:rFonts w:ascii="宋体" w:hAnsi="宋体" w:cs="宋体" w:eastAsia="宋体" w:hint="default"/>
          <w:sz w:val="24"/>
          <w:szCs w:val="24"/>
        </w:rPr>
      </w:pPr>
    </w:p>
    <w:p>
      <w:pPr>
        <w:pStyle w:val="Heading2"/>
        <w:spacing w:line="240" w:lineRule="auto"/>
        <w:ind w:right="125"/>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5"/>
        <w:jc w:val="left"/>
      </w:pPr>
      <w:r>
        <w:rPr/>
        <w:t>公司是否需要遵守特殊行业的披露要求</w:t>
      </w:r>
    </w:p>
    <w:p>
      <w:pPr>
        <w:spacing w:after="0" w:line="240" w:lineRule="auto"/>
        <w:jc w:val="left"/>
        <w:sectPr>
          <w:headerReference w:type="default" r:id="rId38"/>
          <w:footerReference w:type="default" r:id="rId39"/>
          <w:pgSz w:w="11910" w:h="16840"/>
          <w:pgMar w:header="877" w:footer="982" w:top="1100" w:bottom="1180" w:left="980" w:right="940"/>
          <w:pgNumType w:start="88"/>
        </w:sectPr>
      </w:pPr>
    </w:p>
    <w:p>
      <w:pPr>
        <w:spacing w:line="240" w:lineRule="auto" w:before="13"/>
        <w:rPr>
          <w:rFonts w:ascii="宋体" w:hAnsi="宋体" w:cs="宋体" w:eastAsia="宋体" w:hint="default"/>
          <w:sz w:val="21"/>
          <w:szCs w:val="21"/>
        </w:rPr>
      </w:pPr>
    </w:p>
    <w:p>
      <w:pPr>
        <w:pStyle w:val="BodyText"/>
        <w:spacing w:line="357" w:lineRule="auto" w:before="44"/>
        <w:ind w:left="153" w:right="7291"/>
        <w:jc w:val="left"/>
      </w:pPr>
      <w:r>
        <w:rPr/>
        <w:t>否 具体会计政策和会计估计提示：</w:t>
      </w:r>
    </w:p>
    <w:p>
      <w:pPr>
        <w:pStyle w:val="BodyText"/>
        <w:spacing w:line="312" w:lineRule="auto" w:before="28"/>
        <w:ind w:left="153" w:right="186" w:firstLine="480"/>
        <w:jc w:val="both"/>
      </w:pPr>
      <w:r>
        <w:rPr>
          <w:spacing w:val="-1"/>
        </w:rPr>
        <w:t>本公司及各子公司从事报刊发行业广告策划及印刷相关业务、信息服务业务、教育培训业务。本公司及各子公司根据</w:t>
      </w:r>
      <w:r>
        <w:rPr/>
        <w:t> </w:t>
      </w:r>
      <w:r>
        <w:rPr>
          <w:spacing w:val="-2"/>
        </w:rPr>
        <w:t>实际生产经营特点，依据相关企业会计准则的规定，对收入确认、研究开发支出等交易和事项制定了若干项具体会计政策和</w:t>
      </w:r>
      <w:r>
        <w:rPr>
          <w:spacing w:val="-66"/>
        </w:rPr>
        <w:t> </w:t>
      </w:r>
      <w:r>
        <w:rPr>
          <w:spacing w:val="-66"/>
        </w:rPr>
      </w:r>
      <w:r>
        <w:rPr/>
        <w:t>会计估计，详见本附注四、</w:t>
      </w:r>
      <w:r>
        <w:rPr>
          <w:rFonts w:ascii="Times New Roman" w:hAnsi="Times New Roman" w:cs="Times New Roman" w:eastAsia="Times New Roman" w:hint="default"/>
        </w:rPr>
        <w:t>20“</w:t>
      </w:r>
      <w:r>
        <w:rPr/>
        <w:t>收入</w:t>
      </w:r>
      <w:r>
        <w:rPr>
          <w:rFonts w:ascii="Times New Roman" w:hAnsi="Times New Roman" w:cs="Times New Roman" w:eastAsia="Times New Roman" w:hint="default"/>
        </w:rPr>
        <w:t>”</w:t>
      </w:r>
      <w:r>
        <w:rPr/>
        <w:t>各项描述。关于管理层所作出的重大会计判断和估计的说明，请参阅附注四、</w:t>
      </w:r>
      <w:r>
        <w:rPr>
          <w:rFonts w:ascii="Times New Roman" w:hAnsi="Times New Roman" w:cs="Times New Roman" w:eastAsia="Times New Roman" w:hint="default"/>
        </w:rPr>
        <w:t>25“</w:t>
      </w:r>
      <w:r>
        <w:rPr/>
        <w:t>重大</w:t>
      </w:r>
      <w:r>
        <w:rPr>
          <w:spacing w:val="-58"/>
        </w:rPr>
        <w:t> </w:t>
      </w:r>
      <w:r>
        <w:rPr/>
        <w:t>会计判断和估计</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1"/>
          <w:szCs w:val="21"/>
        </w:rPr>
      </w:pPr>
    </w:p>
    <w:p>
      <w:pPr>
        <w:pStyle w:val="Heading3"/>
        <w:spacing w:line="240" w:lineRule="auto"/>
        <w:ind w:right="125"/>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90" w:firstLine="290"/>
        <w:jc w:val="both"/>
      </w:pPr>
      <w:r>
        <w:rPr>
          <w:spacing w:val="-1"/>
        </w:rPr>
        <w:t>本公司编制的财务报表符合企业会计准则的要求，真实、完整地反映了本公司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日的财务状况及</w:t>
      </w:r>
      <w:r>
        <w:rPr>
          <w:rFonts w:ascii="Times New Roman" w:hAnsi="Times New Roman" w:cs="Times New Roman" w:eastAsia="Times New Roman" w:hint="default"/>
          <w:spacing w:val="-1"/>
        </w:rPr>
        <w:t>2017</w:t>
      </w:r>
      <w:r>
        <w:rPr>
          <w:spacing w:val="-1"/>
        </w:rPr>
        <w:t>年度的</w:t>
      </w:r>
      <w:r>
        <w:rPr/>
        <w:t> </w:t>
      </w:r>
      <w:r>
        <w:rPr>
          <w:spacing w:val="-2"/>
        </w:rPr>
        <w:t>经营成果和现金流量等有关信息。此外，本公司的财务报表在所有重大方面符合中国证券监督管理委员会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w:t>
      </w:r>
      <w:r>
        <w:rPr>
          <w:spacing w:val="-62"/>
        </w:rPr>
        <w:t> </w:t>
      </w:r>
      <w:r>
        <w:rPr>
          <w:spacing w:val="-62"/>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1"/>
        <w:rPr>
          <w:rFonts w:ascii="宋体" w:hAnsi="宋体" w:cs="宋体" w:eastAsia="宋体" w:hint="default"/>
          <w:sz w:val="22"/>
          <w:szCs w:val="22"/>
        </w:rPr>
      </w:pPr>
    </w:p>
    <w:p>
      <w:pPr>
        <w:pStyle w:val="Heading3"/>
        <w:spacing w:line="240" w:lineRule="auto"/>
        <w:ind w:right="125"/>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1" w:firstLine="480"/>
        <w:jc w:val="both"/>
      </w:pPr>
      <w:r>
        <w:rPr>
          <w:spacing w:val="-3"/>
        </w:rPr>
        <w:t>本公司的会计期间分为年度和中期，会计中期指短于一个完整的会计年度的报告期间。本公司会计年度采用公历年度，</w:t>
      </w:r>
      <w:r>
        <w:rPr/>
        <w:t>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1"/>
          <w:szCs w:val="21"/>
        </w:rPr>
      </w:pPr>
    </w:p>
    <w:p>
      <w:pPr>
        <w:pStyle w:val="Heading3"/>
        <w:spacing w:line="240" w:lineRule="auto"/>
        <w:ind w:right="125"/>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91" w:firstLine="480"/>
        <w:jc w:val="both"/>
      </w:pPr>
      <w:r>
        <w:rPr>
          <w:spacing w:val="-1"/>
        </w:rPr>
        <w:t>正常营业周期是指本公司从购买用于加工的资产起至实现现金或现金等价物的期间。本公司以</w:t>
      </w:r>
      <w:r>
        <w:rPr>
          <w:rFonts w:ascii="Times New Roman" w:hAnsi="Times New Roman" w:cs="Times New Roman" w:eastAsia="Times New Roman" w:hint="default"/>
          <w:spacing w:val="-1"/>
        </w:rPr>
        <w:t>12</w:t>
      </w:r>
      <w:r>
        <w:rPr>
          <w:spacing w:val="-1"/>
        </w:rPr>
        <w:t>个月作为一个营业周</w:t>
      </w:r>
      <w:r>
        <w:rPr/>
        <w:t> 期，并以其作为资产和负债的流动性划分标准。</w:t>
      </w:r>
    </w:p>
    <w:p>
      <w:pPr>
        <w:spacing w:line="240" w:lineRule="auto" w:before="6"/>
        <w:rPr>
          <w:rFonts w:ascii="宋体" w:hAnsi="宋体" w:cs="宋体" w:eastAsia="宋体" w:hint="default"/>
          <w:sz w:val="23"/>
          <w:szCs w:val="23"/>
        </w:rPr>
      </w:pPr>
    </w:p>
    <w:p>
      <w:pPr>
        <w:pStyle w:val="Heading3"/>
        <w:spacing w:line="240" w:lineRule="auto"/>
        <w:ind w:right="125"/>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91" w:firstLine="480"/>
        <w:jc w:val="both"/>
      </w:pPr>
      <w:r>
        <w:rPr>
          <w:spacing w:val="-1"/>
        </w:rPr>
        <w:t>人民币为本公司及境内子公司经营所处的主要经济环境中的货币，本公司及境内子公司以人民币为记账本位币。本公</w:t>
      </w:r>
      <w:r>
        <w:rPr/>
        <w:t> 司编制本财务报表时所采用的货币为人民币。</w:t>
      </w:r>
    </w:p>
    <w:p>
      <w:pPr>
        <w:spacing w:line="240" w:lineRule="auto" w:before="7"/>
        <w:rPr>
          <w:rFonts w:ascii="宋体" w:hAnsi="宋体" w:cs="宋体" w:eastAsia="宋体" w:hint="default"/>
          <w:sz w:val="22"/>
          <w:szCs w:val="22"/>
        </w:rPr>
      </w:pPr>
    </w:p>
    <w:p>
      <w:pPr>
        <w:pStyle w:val="Heading3"/>
        <w:spacing w:line="240" w:lineRule="auto"/>
        <w:ind w:right="125"/>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6" w:right="190" w:firstLine="480"/>
        <w:jc w:val="both"/>
      </w:pPr>
      <w:r>
        <w:rPr>
          <w:spacing w:val="-1"/>
        </w:rPr>
        <w:t>企业合并，是指将两个或两个以上单独的企业合并形成一个报告主体的交易或事项。企业合并分为同一控制下企业合</w:t>
      </w:r>
      <w:r>
        <w:rPr/>
        <w:t> 并和非同一控制下企业合并。</w:t>
      </w:r>
    </w:p>
    <w:p>
      <w:pPr>
        <w:pStyle w:val="BodyText"/>
        <w:spacing w:line="300" w:lineRule="auto" w:before="19"/>
        <w:ind w:left="633" w:right="151"/>
        <w:jc w:val="left"/>
      </w:pPr>
      <w:r>
        <w:rPr/>
        <w:t>（</w:t>
      </w:r>
      <w:r>
        <w:rPr>
          <w:rFonts w:ascii="Times New Roman" w:hAnsi="Times New Roman" w:cs="Times New Roman" w:eastAsia="Times New Roman" w:hint="default"/>
        </w:rPr>
        <w:t>1</w:t>
      </w:r>
      <w:r>
        <w:rPr/>
        <w:t>）同一控制下企业合并 参与合并的企业在合并前后均受同一方或相同的多方最终控制，且该控制并非暂时性的，为同一控制下的企业合并。</w:t>
      </w:r>
    </w:p>
    <w:p>
      <w:pPr>
        <w:pStyle w:val="BodyText"/>
        <w:spacing w:line="316" w:lineRule="auto" w:before="31"/>
        <w:ind w:left="153" w:right="125"/>
        <w:jc w:val="left"/>
      </w:pPr>
      <w:r>
        <w:rPr>
          <w:spacing w:val="-2"/>
        </w:rPr>
        <w:t>同一控制下的企业合并，在合并日取得对其他参与合并企业控制权的一方为合并方，参与合并的其他企业为被合并方。合并</w:t>
      </w:r>
      <w:r>
        <w:rPr>
          <w:spacing w:val="-66"/>
        </w:rPr>
        <w:t> </w:t>
      </w:r>
      <w:r>
        <w:rPr>
          <w:spacing w:val="-66"/>
        </w:rPr>
      </w:r>
      <w:r>
        <w:rPr/>
        <w:t>日，是指合并方实际取得对被合并方控制权的日期。</w:t>
      </w:r>
    </w:p>
    <w:p>
      <w:pPr>
        <w:pStyle w:val="BodyText"/>
        <w:spacing w:line="316" w:lineRule="auto" w:before="19"/>
        <w:ind w:left="153" w:right="101" w:firstLine="480"/>
        <w:jc w:val="both"/>
      </w:pPr>
      <w:r>
        <w:rPr/>
        <w:t>合并方取得的资产和负债均按合并日在被合并方的账面价值计量。合并方取得的净资产账面价值与支付的合并对价账 </w:t>
      </w:r>
      <w:r>
        <w:rPr>
          <w:spacing w:val="-4"/>
        </w:rPr>
        <w:t>面价值（或发行股份面值总额）的差额，调整资本公积（股本溢价）；资本公积（股本溢价）不足以冲减的，调整留存收益。</w:t>
      </w:r>
    </w:p>
    <w:p>
      <w:pPr>
        <w:pStyle w:val="BodyText"/>
        <w:spacing w:line="240" w:lineRule="auto" w:before="19"/>
        <w:ind w:left="633" w:right="125"/>
        <w:jc w:val="left"/>
      </w:pPr>
      <w:r>
        <w:rPr/>
        <w:t>合并方为进行企业合并发生的各项直接费用，于发生时计入当期损益。</w:t>
      </w:r>
    </w:p>
    <w:p>
      <w:pPr>
        <w:pStyle w:val="BodyText"/>
        <w:spacing w:line="300" w:lineRule="auto" w:before="76"/>
        <w:ind w:left="633" w:right="125"/>
        <w:jc w:val="left"/>
      </w:pPr>
      <w:r>
        <w:rPr/>
        <w:t>（</w:t>
      </w:r>
      <w:r>
        <w:rPr>
          <w:rFonts w:ascii="Times New Roman" w:hAnsi="Times New Roman" w:cs="Times New Roman" w:eastAsia="Times New Roman" w:hint="default"/>
        </w:rPr>
        <w:t>2</w:t>
      </w:r>
      <w:r>
        <w:rPr/>
        <w:t>）非同一控制下企业合并 </w:t>
      </w:r>
      <w:r>
        <w:rPr>
          <w:spacing w:val="-1"/>
        </w:rPr>
        <w:t>参与合并的企业在合并前后不受同一方或相同的多方最终控制的，为非同一控制下的企业合并。非同一控制下的企业</w:t>
      </w:r>
    </w:p>
    <w:p>
      <w:pPr>
        <w:pStyle w:val="BodyText"/>
        <w:spacing w:line="316" w:lineRule="auto" w:before="31"/>
        <w:ind w:left="153" w:right="125"/>
        <w:jc w:val="left"/>
      </w:pPr>
      <w:r>
        <w:rPr>
          <w:spacing w:val="-2"/>
        </w:rPr>
        <w:t>合并，在购买日取得对其他参与合并企业控制权的一方为购买方，参与合并的其他企业为被购买方。购买日，是指为购买方</w:t>
      </w:r>
      <w:r>
        <w:rPr>
          <w:spacing w:val="-66"/>
        </w:rPr>
        <w:t> </w:t>
      </w:r>
      <w:r>
        <w:rPr>
          <w:spacing w:val="-66"/>
        </w:rPr>
      </w:r>
      <w:r>
        <w:rPr/>
        <w:t>实际取得对被购买方控制权的日期。</w:t>
      </w:r>
    </w:p>
    <w:p>
      <w:pPr>
        <w:pStyle w:val="BodyText"/>
        <w:spacing w:line="240" w:lineRule="auto" w:before="19"/>
        <w:ind w:left="633" w:right="125"/>
        <w:jc w:val="left"/>
      </w:pPr>
      <w:r>
        <w:rPr/>
        <w:t>对于非同一控制下的企业合并，合并成本包含购买日购买方为取得对被购买方的控制权而付出的资产、发生或承担的</w:t>
      </w:r>
    </w:p>
    <w:p>
      <w:pPr>
        <w:spacing w:after="0" w:line="24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4" w:lineRule="auto" w:before="44"/>
        <w:ind w:left="153" w:right="190"/>
        <w:jc w:val="both"/>
      </w:pPr>
      <w:r>
        <w:rPr>
          <w:spacing w:val="-2"/>
        </w:rPr>
        <w:t>负债以及发行的权益性证券的公允价值，为企业合并发生的审计、法律服务、评估咨询等中介费用以及其他管理费用于发生</w:t>
      </w:r>
      <w:r>
        <w:rPr>
          <w:spacing w:val="-66"/>
        </w:rPr>
        <w:t> </w:t>
      </w:r>
      <w:r>
        <w:rPr>
          <w:spacing w:val="-66"/>
        </w:rPr>
      </w:r>
      <w:r>
        <w:rPr>
          <w:spacing w:val="-2"/>
        </w:rPr>
        <w:t>时计入当期损益。购买方作为合并对价发行的权益性证券或债务性证券的交易费用，计入权益性证券或债务性证券的初始确</w:t>
      </w:r>
      <w:r>
        <w:rPr>
          <w:spacing w:val="-64"/>
        </w:rPr>
        <w:t> </w:t>
      </w:r>
      <w:r>
        <w:rPr>
          <w:spacing w:val="-64"/>
        </w:rPr>
      </w:r>
      <w:r>
        <w:rPr>
          <w:spacing w:val="-2"/>
        </w:rPr>
        <w:t>认金额。所涉及的或有对价按其在购买日的公允价值计入合并成本，购买日后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w:t>
      </w:r>
      <w:r>
        <w:rPr>
          <w:spacing w:val="-62"/>
        </w:rPr>
        <w:t> </w:t>
      </w:r>
      <w:r>
        <w:rPr>
          <w:spacing w:val="-2"/>
        </w:rPr>
        <w:t>一步证据而需要调整或有对价的，相应调整合并商誉。购买方发生的合并成本及在合并中取得的可辨认净资产按购买日的公</w:t>
      </w:r>
      <w:r>
        <w:rPr>
          <w:spacing w:val="-64"/>
        </w:rPr>
        <w:t> </w:t>
      </w:r>
      <w:r>
        <w:rPr>
          <w:spacing w:val="-64"/>
        </w:rPr>
      </w:r>
      <w:r>
        <w:rPr>
          <w:spacing w:val="-2"/>
        </w:rPr>
        <w:t>允价值计量。合并成本大于合并中取得的被购买方于购买日可辨认净资产公允价值份额的差额，确认为商誉。合并成本小于</w:t>
      </w:r>
      <w:r>
        <w:rPr>
          <w:spacing w:val="-66"/>
        </w:rPr>
        <w:t> </w:t>
      </w:r>
      <w:r>
        <w:rPr>
          <w:spacing w:val="-66"/>
        </w:rPr>
      </w:r>
      <w:r>
        <w:rPr>
          <w:spacing w:val="-2"/>
        </w:rPr>
        <w:t>合并中取得的被购买方可辨认净资产公允价值份额的，首先对取得的被购买方各项可辨认资产、负债及或有负债的公允价值</w:t>
      </w:r>
      <w:r>
        <w:rPr>
          <w:spacing w:val="-64"/>
        </w:rPr>
        <w:t> </w:t>
      </w:r>
      <w:r>
        <w:rPr>
          <w:spacing w:val="-64"/>
        </w:rPr>
      </w:r>
      <w:r>
        <w:rPr>
          <w:spacing w:val="-2"/>
        </w:rPr>
        <w:t>以及合并成本的计量进行复核，复核后合并成本仍小于合并中取得的被购买方可辨认净资产公允价值份额的，其差额计入当</w:t>
      </w:r>
      <w:r>
        <w:rPr>
          <w:spacing w:val="-64"/>
        </w:rPr>
        <w:t> </w:t>
      </w:r>
      <w:r>
        <w:rPr>
          <w:spacing w:val="-64"/>
        </w:rPr>
      </w:r>
      <w:r>
        <w:rPr/>
        <w:t>期损益。</w:t>
      </w:r>
    </w:p>
    <w:p>
      <w:pPr>
        <w:pStyle w:val="BodyText"/>
        <w:spacing w:line="312" w:lineRule="auto" w:before="20"/>
        <w:ind w:left="153" w:right="190" w:firstLine="480"/>
        <w:jc w:val="both"/>
      </w:pPr>
      <w:r>
        <w:rPr>
          <w:spacing w:val="-1"/>
        </w:rPr>
        <w:t>购买方取得被购买方的可抵扣暂时性差异，在购买日因不符合递延所得税资产确认条件而未予确认的，在购买日后</w:t>
      </w:r>
      <w:r>
        <w:rPr>
          <w:rFonts w:ascii="Times New Roman" w:hAnsi="Times New Roman" w:cs="Times New Roman" w:eastAsia="Times New Roman" w:hint="default"/>
          <w:spacing w:val="-1"/>
        </w:rPr>
        <w:t>12</w:t>
      </w:r>
      <w:r>
        <w:rPr>
          <w:rFonts w:ascii="Times New Roman" w:hAnsi="Times New Roman" w:cs="Times New Roman" w:eastAsia="Times New Roman" w:hint="default"/>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2"/>
        <w:ind w:left="153" w:right="93" w:firstLine="480"/>
        <w:jc w:val="left"/>
      </w:pPr>
      <w:r>
        <w:rPr>
          <w:spacing w:val="-7"/>
        </w:rPr>
        <w:t>通过多次交易分步实现的非同一控制下企业合并，根据《财政部关于印发企业会计准则解释第</w:t>
      </w:r>
      <w:r>
        <w:rPr>
          <w:rFonts w:ascii="Times New Roman" w:hAnsi="Times New Roman" w:cs="Times New Roman" w:eastAsia="Times New Roman" w:hint="default"/>
          <w:spacing w:val="-7"/>
        </w:rPr>
        <w:t>5</w:t>
      </w:r>
      <w:r>
        <w:rPr>
          <w:spacing w:val="-7"/>
        </w:rPr>
        <w:t>号的通知》（财会〔</w:t>
      </w:r>
      <w:r>
        <w:rPr>
          <w:rFonts w:ascii="Times New Roman" w:hAnsi="Times New Roman" w:cs="Times New Roman" w:eastAsia="Times New Roman" w:hint="default"/>
          <w:spacing w:val="-7"/>
        </w:rPr>
        <w:t>2012</w:t>
      </w:r>
      <w:r>
        <w:rPr>
          <w:spacing w:val="-7"/>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的，参考本部分前面各段描述及本附注四、</w:t>
      </w:r>
      <w:r>
        <w:rPr>
          <w:rFonts w:ascii="Times New Roman" w:hAnsi="Times New Roman" w:cs="Times New Roman" w:eastAsia="Times New Roman" w:hint="default"/>
        </w:rPr>
        <w:t>11“</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189" w:firstLine="480"/>
        <w:jc w:val="both"/>
      </w:pPr>
      <w:r>
        <w:rPr>
          <w:spacing w:val="-1"/>
        </w:rPr>
        <w:t>在个别财务报表中，以购买日之前所持被购买方的股权投资的账面价值与购买日新增投资成本之和，作为该项投资的</w:t>
      </w:r>
      <w:r>
        <w:rPr/>
        <w:t> </w:t>
      </w:r>
      <w:r>
        <w:rPr>
          <w:spacing w:val="-2"/>
        </w:rPr>
        <w:t>初始投资成本；购买日之前持有的被购买方的股权涉及其他综合收益的，在处置该项投资时将与其相关的其他综合收益采用</w:t>
      </w:r>
      <w:r>
        <w:rPr>
          <w:spacing w:val="-64"/>
        </w:rPr>
        <w:t> </w:t>
      </w:r>
      <w:r>
        <w:rPr>
          <w:spacing w:val="-64"/>
        </w:rPr>
      </w:r>
      <w:r>
        <w:rPr>
          <w:spacing w:val="-2"/>
        </w:rPr>
        <w:t>与被购买方直接处置相关资产或负债相同的基础进行会计处理（即，除了按照权益法核算的在被购买方重新计量设定受益计</w:t>
      </w:r>
      <w:r>
        <w:rPr>
          <w:spacing w:val="-64"/>
        </w:rPr>
        <w:t> </w:t>
      </w:r>
      <w:r>
        <w:rPr>
          <w:spacing w:val="-64"/>
        </w:rPr>
      </w:r>
      <w:r>
        <w:rPr/>
        <w:t>划净负债或净资产导致的变动中的相应份额以外，其余转入当期投资收益）。</w:t>
      </w:r>
    </w:p>
    <w:p>
      <w:pPr>
        <w:pStyle w:val="BodyText"/>
        <w:spacing w:line="316" w:lineRule="auto" w:before="19"/>
        <w:ind w:right="189" w:firstLine="480"/>
        <w:jc w:val="both"/>
      </w:pPr>
      <w:r>
        <w:rPr>
          <w:spacing w:val="-1"/>
        </w:rPr>
        <w:t>在合并财务报表中，对于购买日之前持有的被购买方的股权，按照该股权在购买日的公允价值进行重新计量，公允价</w:t>
      </w:r>
      <w:r>
        <w:rPr/>
        <w:t> </w:t>
      </w:r>
      <w:r>
        <w:rPr>
          <w:spacing w:val="-2"/>
        </w:rPr>
        <w:t>值与其账面价值的差额计入当期投资收益；购买日之前持有的被购买方的股权涉及其他综合收益的，与其相关的其他综合收</w:t>
      </w:r>
      <w:r>
        <w:rPr>
          <w:spacing w:val="-64"/>
        </w:rPr>
        <w:t> </w:t>
      </w:r>
      <w:r>
        <w:rPr>
          <w:spacing w:val="-64"/>
        </w:rPr>
      </w:r>
      <w:r>
        <w:rPr>
          <w:spacing w:val="-2"/>
        </w:rPr>
        <w:t>益应当采用与被购买方直接处置相关资产或负债相同的基础进行会计处理（即，除了按照权益法核算的在被购买方重新计量</w:t>
      </w:r>
      <w:r>
        <w:rPr>
          <w:spacing w:val="-64"/>
        </w:rPr>
        <w:t> </w:t>
      </w:r>
      <w:r>
        <w:rPr>
          <w:spacing w:val="-64"/>
        </w:rPr>
      </w:r>
      <w:r>
        <w:rPr/>
        <w:t>设定受益计划净负债或净资产导致的变动中的相应份额以外，其余转为购买日所属当期投资收益）。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3" w:right="125"/>
        <w:jc w:val="left"/>
      </w:pPr>
      <w:r>
        <w:rPr/>
        <w:t>（</w:t>
      </w:r>
      <w:r>
        <w:rPr>
          <w:rFonts w:ascii="Times New Roman" w:hAnsi="Times New Roman" w:cs="Times New Roman" w:eastAsia="Times New Roman" w:hint="default"/>
        </w:rPr>
        <w:t>1</w:t>
      </w:r>
      <w:r>
        <w:rPr/>
        <w:t>）合并财务报表范围的确定原则 </w:t>
      </w:r>
      <w:r>
        <w:rPr>
          <w:spacing w:val="-1"/>
        </w:rPr>
        <w:t>合并财务报表的合并范围以控制为基础予以确定。控制是指本公司拥有对被投资方的权力，通过参与被投资方的相关</w:t>
      </w:r>
    </w:p>
    <w:p>
      <w:pPr>
        <w:pStyle w:val="BodyText"/>
        <w:spacing w:line="316" w:lineRule="auto" w:before="31"/>
        <w:ind w:left="153" w:right="191"/>
        <w:jc w:val="both"/>
      </w:pPr>
      <w:r>
        <w:rPr>
          <w:spacing w:val="-2"/>
        </w:rPr>
        <w:t>活动而享有可变回报，并且有能力运用对被投资方的权力影响该回报金额。合并范围包括本公司及全部子公司。子公司，是</w:t>
      </w:r>
      <w:r>
        <w:rPr>
          <w:spacing w:val="-66"/>
        </w:rPr>
        <w:t> </w:t>
      </w:r>
      <w:r>
        <w:rPr>
          <w:spacing w:val="-66"/>
        </w:rPr>
      </w:r>
      <w:r>
        <w:rPr/>
        <w:t>指被本公司控制的主体。</w:t>
      </w:r>
    </w:p>
    <w:p>
      <w:pPr>
        <w:pStyle w:val="BodyText"/>
        <w:spacing w:line="240" w:lineRule="auto" w:before="19"/>
        <w:ind w:left="634" w:right="125"/>
        <w:jc w:val="left"/>
      </w:pPr>
      <w:r>
        <w:rPr/>
        <w:t>一旦相关事实和情况的变化导致上述控制定义涉及的相关要素发生了变化，本公司将进行重新评估。</w:t>
      </w:r>
    </w:p>
    <w:p>
      <w:pPr>
        <w:pStyle w:val="BodyText"/>
        <w:spacing w:line="300" w:lineRule="auto" w:before="76"/>
        <w:ind w:left="634" w:right="125"/>
        <w:jc w:val="left"/>
      </w:pPr>
      <w:r>
        <w:rPr/>
        <w:t>（</w:t>
      </w:r>
      <w:r>
        <w:rPr>
          <w:rFonts w:ascii="Times New Roman" w:hAnsi="Times New Roman" w:cs="Times New Roman" w:eastAsia="Times New Roman" w:hint="default"/>
        </w:rPr>
        <w:t>2</w:t>
      </w:r>
      <w:r>
        <w:rPr/>
        <w:t>）合并财务报表编制的方法 </w:t>
      </w:r>
      <w:r>
        <w:rPr>
          <w:spacing w:val="-1"/>
        </w:rPr>
        <w:t>从取得子公司的净资产和生产经营决策的实际控制权之日起，本公司开始将其纳入合并范围；从丧失实际控制权之日</w:t>
      </w:r>
    </w:p>
    <w:p>
      <w:pPr>
        <w:pStyle w:val="BodyText"/>
        <w:spacing w:line="316" w:lineRule="auto" w:before="31"/>
        <w:ind w:left="153" w:right="191"/>
        <w:jc w:val="both"/>
      </w:pPr>
      <w:r>
        <w:rPr>
          <w:spacing w:val="-2"/>
        </w:rPr>
        <w:t>起停止纳入合并范围。对于处置的子公司，处置日前的经营成果和现金流量已经适当地包括在合并利润表和合并现金流量表</w:t>
      </w:r>
      <w:r>
        <w:rPr>
          <w:spacing w:val="-64"/>
        </w:rPr>
        <w:t> </w:t>
      </w:r>
      <w:r>
        <w:rPr>
          <w:spacing w:val="-64"/>
        </w:rPr>
      </w:r>
      <w:r>
        <w:rPr>
          <w:spacing w:val="-2"/>
        </w:rPr>
        <w:t>中；当期处置的子公司，不调整合并资产负债表的期初数。非同一控制下企业合并增加的子公司，其购买日后的经营成果及</w:t>
      </w:r>
      <w:r>
        <w:rPr>
          <w:spacing w:val="-66"/>
        </w:rPr>
        <w:t> </w:t>
      </w:r>
      <w:r>
        <w:rPr>
          <w:spacing w:val="-66"/>
        </w:rPr>
      </w:r>
      <w:r>
        <w:rPr>
          <w:spacing w:val="-2"/>
        </w:rPr>
        <w:t>现金流量已经适当地包括在合并利润表和合并现金流量表中，且不调整合并财务报表的期初数和对比数。同一控制下企业合</w:t>
      </w:r>
      <w:r>
        <w:rPr>
          <w:spacing w:val="-64"/>
        </w:rPr>
        <w:t> </w:t>
      </w:r>
      <w:r>
        <w:rPr>
          <w:spacing w:val="-64"/>
        </w:rPr>
      </w:r>
      <w:r>
        <w:rPr>
          <w:spacing w:val="-2"/>
        </w:rPr>
        <w:t>并增加的子公司及吸收合并下的被合并方，其自合并当期期初至合并日的经营成果和现金流量已经适当地包括在合并利润表</w:t>
      </w:r>
      <w:r>
        <w:rPr>
          <w:spacing w:val="-64"/>
        </w:rPr>
        <w:t> </w:t>
      </w:r>
      <w:r>
        <w:rPr>
          <w:spacing w:val="-64"/>
        </w:rPr>
      </w:r>
      <w:r>
        <w:rPr/>
        <w:t>和合并现金流量表中，并且同时调整合并财务报表的对比数。</w:t>
      </w:r>
    </w:p>
    <w:p>
      <w:pPr>
        <w:pStyle w:val="BodyText"/>
        <w:spacing w:line="316" w:lineRule="auto" w:before="19"/>
        <w:ind w:left="153" w:right="191" w:firstLine="480"/>
        <w:jc w:val="both"/>
      </w:pPr>
      <w:r>
        <w:rPr>
          <w:spacing w:val="-1"/>
        </w:rPr>
        <w:t>在编制合并财务报表时，子公司与本公司采用的会计政策或会计期间不一致的，按照本公司的会计政策和会计期间对</w:t>
      </w:r>
      <w:r>
        <w:rPr/>
        <w:t> </w:t>
      </w:r>
      <w:r>
        <w:rPr>
          <w:spacing w:val="-2"/>
        </w:rPr>
        <w:t>子公司财务报表进行必要的调整。对于非同一控制下企业合并取得的子公司，以购买日可辨认净资产公允价值为基础对其财</w:t>
      </w:r>
      <w:r>
        <w:rPr>
          <w:spacing w:val="-64"/>
        </w:rPr>
        <w:t> </w:t>
      </w:r>
      <w:r>
        <w:rPr>
          <w:spacing w:val="-64"/>
        </w:rPr>
      </w:r>
      <w:r>
        <w:rPr/>
        <w:t>务报表进行调整。</w:t>
      </w:r>
    </w:p>
    <w:p>
      <w:pPr>
        <w:pStyle w:val="BodyText"/>
        <w:spacing w:line="316" w:lineRule="auto" w:before="19"/>
        <w:ind w:left="634" w:right="125"/>
        <w:jc w:val="left"/>
      </w:pPr>
      <w:r>
        <w:rPr/>
        <w:t>公司内所有重大往来余额、交易及未实现利润在合并财务报表编制时予以抵销。 </w:t>
      </w:r>
      <w:r>
        <w:rPr>
          <w:spacing w:val="2"/>
        </w:rPr>
        <w:t>子公司的股东权益及当期净损益中不属于本公司所拥有的部分分别作为少数股东权益及少数股东损益在合并财务报</w:t>
      </w:r>
      <w:r>
        <w:rPr/>
      </w:r>
    </w:p>
    <w:p>
      <w:pPr>
        <w:spacing w:after="0" w:line="316"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00" w:lineRule="auto" w:before="44"/>
        <w:ind w:left="153" w:right="189"/>
        <w:jc w:val="both"/>
      </w:pPr>
      <w:r>
        <w:rPr/>
        <w:t>表中股东权益及净利润项下单独列示。子公司当期净损益中属于少数股东权益的份额，在合并利润表中净利润项目下以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w:t>
      </w:r>
      <w:r>
        <w:rPr>
          <w:spacing w:val="-76"/>
        </w:rPr>
        <w:t> </w:t>
      </w:r>
      <w:r>
        <w:rPr/>
        <w:t>数股东损益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w:t>
      </w:r>
      <w:r>
        <w:rPr>
          <w:spacing w:val="-77"/>
        </w:rPr>
        <w:t> </w:t>
      </w:r>
      <w:r>
        <w:rPr>
          <w:spacing w:val="-77"/>
        </w:rPr>
      </w:r>
      <w:r>
        <w:rPr/>
        <w:t>数股东权益。</w:t>
      </w:r>
    </w:p>
    <w:p>
      <w:pPr>
        <w:pStyle w:val="BodyText"/>
        <w:spacing w:line="312" w:lineRule="auto" w:before="31"/>
        <w:ind w:left="153" w:right="190" w:firstLine="480"/>
        <w:jc w:val="both"/>
      </w:pPr>
      <w:r>
        <w:rPr>
          <w:spacing w:val="-1"/>
        </w:rPr>
        <w:t>当因处置部分股权投资或其他原因丧失了对原有子公司的控制权时，对于剩余股权，按照其在丧失控制权日的公允价</w:t>
      </w:r>
      <w:r>
        <w:rPr/>
        <w:t> </w:t>
      </w:r>
      <w:r>
        <w:rPr>
          <w:spacing w:val="-2"/>
        </w:rPr>
        <w:t>值进行重新计量。处置股权取得的对价与剩余股权公允价值之和，减去按原持股比例计算应享有原有子公司自购买日开始持</w:t>
      </w:r>
      <w:r>
        <w:rPr>
          <w:spacing w:val="-64"/>
        </w:rPr>
        <w:t> </w:t>
      </w:r>
      <w:r>
        <w:rPr>
          <w:spacing w:val="-64"/>
        </w:rPr>
      </w:r>
      <w:r>
        <w:rPr>
          <w:spacing w:val="-2"/>
        </w:rPr>
        <w:t>续计算的净资产的份额之间的差额，计入丧失控制权当期的投资收益。与原有子公司股权投资相关的其他综合收益，在丧失</w:t>
      </w:r>
      <w:r>
        <w:rPr>
          <w:spacing w:val="-66"/>
        </w:rPr>
        <w:t> </w:t>
      </w:r>
      <w:r>
        <w:rPr>
          <w:spacing w:val="-66"/>
        </w:rPr>
      </w:r>
      <w:r>
        <w:rPr>
          <w:spacing w:val="-2"/>
        </w:rPr>
        <w:t>控制权时采用与被购买方直接处置相关资产或负债相同的基础进行会计处理（即，除了在该原有子公司重新计量设定受益计</w:t>
      </w:r>
      <w:r>
        <w:rPr>
          <w:spacing w:val="-64"/>
        </w:rPr>
        <w:t> </w:t>
      </w:r>
      <w:r>
        <w:rPr>
          <w:spacing w:val="-64"/>
        </w:rPr>
      </w:r>
      <w:r>
        <w:rPr>
          <w:spacing w:val="-4"/>
        </w:rPr>
        <w:t>划净负债或净资产导致的变动以外，其余一并转为当期投资收益）。其后，对该部分剩余股权按照《企业会计准则第</w:t>
      </w:r>
      <w:r>
        <w:rPr>
          <w:rFonts w:ascii="Times New Roman" w:hAnsi="Times New Roman" w:cs="Times New Roman" w:eastAsia="Times New Roman" w:hint="default"/>
          <w:spacing w:val="-4"/>
        </w:rPr>
        <w:t>2</w:t>
      </w:r>
      <w:r>
        <w:rPr>
          <w:spacing w:val="-4"/>
        </w:rPr>
        <w:t>号</w:t>
      </w:r>
      <w:r>
        <w:rPr>
          <w:rFonts w:ascii="Times New Roman" w:hAnsi="Times New Roman" w:cs="Times New Roman" w:eastAsia="Times New Roman" w:hint="default"/>
          <w:spacing w:val="-4"/>
        </w:rPr>
        <w:t>——</w:t>
      </w:r>
      <w:r>
        <w:rPr>
          <w:rFonts w:ascii="Times New Roman" w:hAnsi="Times New Roman" w:cs="Times New Roman" w:eastAsia="Times New Roman" w:hint="default"/>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11“</w:t>
      </w:r>
      <w:r>
        <w:rPr/>
        <w:t>长期股 权投资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8“</w:t>
      </w:r>
      <w:r>
        <w:rPr/>
        <w:t>金融工具</w:t>
      </w:r>
      <w:r>
        <w:rPr>
          <w:rFonts w:ascii="Times New Roman" w:hAnsi="Times New Roman" w:cs="Times New Roman" w:eastAsia="Times New Roman" w:hint="default"/>
        </w:rPr>
        <w:t>”</w:t>
      </w:r>
      <w:r>
        <w:rPr/>
        <w:t>。</w:t>
      </w:r>
    </w:p>
    <w:p>
      <w:pPr>
        <w:pStyle w:val="BodyText"/>
        <w:spacing w:line="312" w:lineRule="auto" w:before="3"/>
        <w:ind w:left="153" w:right="83" w:firstLine="480"/>
        <w:jc w:val="left"/>
      </w:pPr>
      <w:r>
        <w:rPr/>
        <w:t>本公司通过多次交易分步处置对子公司股权投资直至丧失控制权的，需区分处置对子公司股权投资直至丧失控制权的 </w:t>
      </w:r>
      <w:r>
        <w:rPr>
          <w:spacing w:val="-2"/>
        </w:rPr>
        <w:t>各项交易是否属于一揽子交易。处置对子公司股权投资的各项交易的条款、条件以及经济影响符合以下一种或多种情况，通</w:t>
      </w:r>
      <w:r>
        <w:rPr>
          <w:spacing w:val="-66"/>
        </w:rPr>
        <w:t> </w:t>
      </w:r>
      <w:r>
        <w:rPr>
          <w:spacing w:val="-66"/>
        </w:rPr>
      </w:r>
      <w:r>
        <w:rPr>
          <w:spacing w:val="-2"/>
        </w:rPr>
        <w:t>常表明应将多次交易事项作为一揽子交易进行会计处理：①这些交易是同时或者在考虑了彼此影响的情况下订立的；②这些</w:t>
      </w:r>
      <w:r>
        <w:rPr>
          <w:spacing w:val="-64"/>
        </w:rPr>
        <w:t> </w:t>
      </w:r>
      <w:r>
        <w:rPr>
          <w:spacing w:val="-64"/>
        </w:rPr>
      </w:r>
      <w:r>
        <w:rPr>
          <w:spacing w:val="-4"/>
        </w:rPr>
        <w:t>交易整体才能达成一项完整的商业结果；③一项交易的发生取决于其他至少一项交易的发生；④一项交易单独看是不经济的，</w:t>
      </w:r>
      <w:r>
        <w:rPr>
          <w:spacing w:val="-44"/>
        </w:rPr>
        <w:t> </w:t>
      </w:r>
      <w:r>
        <w:rPr>
          <w:spacing w:val="-44"/>
        </w:rPr>
      </w:r>
      <w:r>
        <w:rPr/>
        <w:t>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 部分处置对子公司的长期股权投资</w:t>
      </w:r>
      <w:r>
        <w:rPr>
          <w:rFonts w:ascii="Times New Roman" w:hAnsi="Times New Roman" w:cs="Times New Roman" w:eastAsia="Times New Roman" w:hint="default"/>
        </w:rPr>
        <w:t>”</w:t>
      </w:r>
      <w:r>
        <w:rPr/>
        <w:t>（详见本附注四、</w:t>
      </w:r>
      <w:r>
        <w:rPr>
          <w:rFonts w:ascii="Times New Roman" w:hAnsi="Times New Roman" w:cs="Times New Roman" w:eastAsia="Times New Roman" w:hint="default"/>
        </w:rPr>
        <w:t>11</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 </w:t>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83" w:firstLine="480"/>
        <w:jc w:val="left"/>
      </w:pPr>
      <w:r>
        <w:rPr>
          <w:spacing w:val="-3"/>
        </w:rPr>
        <w:t>合营安排，是指一项由两个或两个以上的参与方共同控制的安排。本公司根据在合营安排中享有的权利和承担的义务，</w:t>
      </w:r>
      <w:r>
        <w:rPr/>
        <w:t>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00" w:lineRule="auto" w:before="19"/>
        <w:ind w:right="277" w:firstLine="480"/>
        <w:jc w:val="both"/>
      </w:pPr>
      <w:r>
        <w:rPr/>
        <w:t>本公司对合营企业的投资采用权益法核算，按照本附注四、</w:t>
      </w:r>
      <w:r>
        <w:rPr>
          <w:rFonts w:ascii="Times New Roman" w:hAnsi="Times New Roman" w:cs="Times New Roman" w:eastAsia="Times New Roman" w:hint="default"/>
        </w:rPr>
        <w:t>11</w:t>
      </w:r>
      <w:r>
        <w:rPr/>
        <w:t>（</w:t>
      </w:r>
      <w:r>
        <w:rPr>
          <w:rFonts w:ascii="Times New Roman" w:hAnsi="Times New Roman" w:cs="Times New Roman" w:eastAsia="Times New Roman" w:hint="default"/>
        </w:rPr>
        <w:t>2</w:t>
      </w:r>
      <w:r>
        <w:rPr/>
        <w:t>）②</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 策处理。</w:t>
      </w:r>
    </w:p>
    <w:p>
      <w:pPr>
        <w:pStyle w:val="BodyText"/>
        <w:spacing w:line="316" w:lineRule="auto" w:before="31"/>
        <w:ind w:right="189" w:firstLine="480"/>
        <w:jc w:val="both"/>
      </w:pPr>
      <w:r>
        <w:rPr>
          <w:spacing w:val="-1"/>
        </w:rPr>
        <w:t>本公司作为合营方对共同经营，确认本公司单独持有的资产、单独所承担的负债，以及按本公司份额确认共同持有的</w:t>
      </w:r>
      <w:r>
        <w:rPr/>
        <w:t> </w:t>
      </w:r>
      <w:r>
        <w:rPr>
          <w:spacing w:val="-2"/>
        </w:rPr>
        <w:t>资产和共同承担的负债；确认出售本公司享有的共同经营产出份额所产生的收入；按本公司份额确认共同经营因出售产出所</w:t>
      </w:r>
      <w:r>
        <w:rPr>
          <w:spacing w:val="-64"/>
        </w:rPr>
        <w:t> </w:t>
      </w:r>
      <w:r>
        <w:rPr>
          <w:spacing w:val="-64"/>
        </w:rPr>
      </w:r>
      <w:r>
        <w:rPr/>
        <w:t>产生的收入；确认本公司单独所发生的费用，以及按本公司份额确认共同经营发生的费用。</w:t>
      </w:r>
    </w:p>
    <w:p>
      <w:pPr>
        <w:pStyle w:val="BodyText"/>
        <w:spacing w:line="312" w:lineRule="auto" w:before="19"/>
        <w:ind w:right="191" w:firstLine="480"/>
        <w:jc w:val="both"/>
      </w:pPr>
      <w:r>
        <w:rPr>
          <w:spacing w:val="-1"/>
        </w:rPr>
        <w:t>当本公司作为合营方向共同经营投出或出售资产（该资产不构成业务，下同）、或者自共同经营购买资产时，在该等</w:t>
      </w:r>
      <w:r>
        <w:rPr/>
        <w:t> </w:t>
      </w:r>
      <w:r>
        <w:rPr>
          <w:spacing w:val="-2"/>
        </w:rPr>
        <w:t>资产出售给第三方之前，本公司仅确认因该交易产生的损益中归属于共同经营其他参与方的部分。该等资产发生符合《企业</w:t>
      </w:r>
      <w:r>
        <w:rPr>
          <w:spacing w:val="-66"/>
        </w:rPr>
        <w:t> </w:t>
      </w:r>
      <w:r>
        <w:rPr>
          <w:spacing w:val="-66"/>
        </w:rPr>
      </w:r>
      <w:r>
        <w:rPr/>
        <w:t>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 认该损失；对于本公司自共同经营购买资产的情况，本公司按承担的份额确认该损失。</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91" w:firstLine="480"/>
        <w:jc w:val="both"/>
      </w:pPr>
      <w:r>
        <w:rPr>
          <w:spacing w:val="-1"/>
        </w:rPr>
        <w:t>本公司现金及现金等价物包括库存现金、可以随时用于支付的存款以及本公司持有的期限短（一般为从购买日起三个</w:t>
      </w:r>
      <w:r>
        <w:rPr/>
        <w:t> 月内到期）、流动性强、易于转换为已知金额现金、价值变动风险很小的投资。</w:t>
      </w:r>
    </w:p>
    <w:p>
      <w:pPr>
        <w:spacing w:after="0" w:line="316" w:lineRule="auto"/>
        <w:jc w:val="both"/>
        <w:sectPr>
          <w:pgSz w:w="11910" w:h="16840"/>
          <w:pgMar w:header="877" w:footer="982" w:top="1100" w:bottom="1180" w:left="980" w:right="940"/>
        </w:sectPr>
      </w:pPr>
    </w:p>
    <w:p>
      <w:pPr>
        <w:spacing w:line="240" w:lineRule="auto" w:before="10"/>
        <w:rPr>
          <w:rFonts w:ascii="宋体" w:hAnsi="宋体" w:cs="宋体" w:eastAsia="宋体" w:hint="default"/>
          <w:sz w:val="20"/>
          <w:szCs w:val="20"/>
        </w:rPr>
      </w:pPr>
    </w:p>
    <w:p>
      <w:pPr>
        <w:pStyle w:val="Heading3"/>
        <w:spacing w:line="240" w:lineRule="auto" w:before="35"/>
        <w:ind w:right="125"/>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91" w:firstLine="480"/>
        <w:jc w:val="both"/>
      </w:pPr>
      <w:r>
        <w:rPr>
          <w:spacing w:val="-1"/>
        </w:rPr>
        <w:t>在本公司成为金融工具合同的一方时确认一项金融资产或金融负债。金融资产和金融负债在初始确认时以公允价值计</w:t>
      </w:r>
      <w:r>
        <w:rPr/>
        <w:t>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00" w:lineRule="auto" w:before="19"/>
        <w:ind w:left="633" w:right="151"/>
        <w:jc w:val="left"/>
      </w:pPr>
      <w:r>
        <w:rPr/>
        <w:t>（</w:t>
      </w:r>
      <w:r>
        <w:rPr>
          <w:rFonts w:ascii="Times New Roman" w:hAnsi="Times New Roman" w:cs="Times New Roman" w:eastAsia="Times New Roman" w:hint="default"/>
        </w:rPr>
        <w:t>1</w:t>
      </w:r>
      <w:r>
        <w:rPr/>
        <w:t>）金融资产和金融负债的公允价值确定方法 公允价值，是指市场参与者在计量日发生的有序交易中，出售一项资产所能收到或者转移一项负债所需支付的价格。</w:t>
      </w:r>
    </w:p>
    <w:p>
      <w:pPr>
        <w:pStyle w:val="BodyText"/>
        <w:spacing w:line="316" w:lineRule="auto" w:before="31"/>
        <w:ind w:left="153" w:right="83"/>
        <w:jc w:val="left"/>
      </w:pPr>
      <w:r>
        <w:rPr>
          <w:spacing w:val="-2"/>
        </w:rPr>
        <w:t>金融工具存在活跃市场的，本公司采用活跃市场中的报价确定其公允价值。活跃市场中的报价是指易于定期从交易所、经纪</w:t>
      </w:r>
      <w:r>
        <w:rPr>
          <w:spacing w:val="-66"/>
        </w:rPr>
        <w:t> </w:t>
      </w:r>
      <w:r>
        <w:rPr>
          <w:spacing w:val="-66"/>
        </w:rPr>
      </w:r>
      <w:r>
        <w:rPr>
          <w:spacing w:val="-2"/>
        </w:rPr>
        <w:t>商、行业协会、定价服务机构等获得的价格，且代表了在公平交易中实际发生的市场交易的价格。金融工具不存在活跃市场</w:t>
      </w:r>
      <w:r>
        <w:rPr>
          <w:spacing w:val="-66"/>
        </w:rPr>
        <w:t> </w:t>
      </w:r>
      <w:r>
        <w:rPr>
          <w:spacing w:val="-66"/>
        </w:rPr>
      </w:r>
      <w:r>
        <w:rPr>
          <w:spacing w:val="-4"/>
        </w:rPr>
        <w:t>的，本公司采用估值技术确定其公允价值。估值技术包括参考熟悉情况并自愿交易的各方最近进行的市场交易中使用的价格、</w:t>
      </w:r>
      <w:r>
        <w:rPr>
          <w:spacing w:val="-44"/>
        </w:rPr>
        <w:t> </w:t>
      </w:r>
      <w:r>
        <w:rPr>
          <w:spacing w:val="-44"/>
        </w:rPr>
      </w:r>
      <w:r>
        <w:rPr/>
        <w:t>参照实质上相同的其他金融工具当前的公允价值、现金流量折现法和期权定价模型等。</w:t>
      </w:r>
    </w:p>
    <w:p>
      <w:pPr>
        <w:pStyle w:val="BodyText"/>
        <w:spacing w:line="300" w:lineRule="auto" w:before="19"/>
        <w:ind w:left="633" w:right="125"/>
        <w:jc w:val="left"/>
      </w:pPr>
      <w:r>
        <w:rPr/>
        <w:t>（</w:t>
      </w:r>
      <w:r>
        <w:rPr>
          <w:rFonts w:ascii="Times New Roman" w:hAnsi="Times New Roman" w:cs="Times New Roman" w:eastAsia="Times New Roman" w:hint="default"/>
        </w:rPr>
        <w:t>2</w:t>
      </w:r>
      <w:r>
        <w:rPr/>
        <w:t>）金融资产的分类、确认和计量 </w:t>
      </w:r>
      <w:r>
        <w:rPr>
          <w:spacing w:val="-1"/>
        </w:rPr>
        <w:t>以常规方式买卖金融资产，按交易日进行会计确认和终止确认。金融资产在初始确认时划分为以公允价值计量且其变</w:t>
      </w:r>
    </w:p>
    <w:p>
      <w:pPr>
        <w:pStyle w:val="BodyText"/>
        <w:spacing w:line="240" w:lineRule="auto" w:before="31"/>
        <w:ind w:left="153" w:right="125"/>
        <w:jc w:val="left"/>
      </w:pPr>
      <w:r>
        <w:rPr/>
        <w:t>动计入当期损益的金融资产、持有至到期投资、贷款和应收款项以及可供出售金融资产。</w:t>
      </w:r>
    </w:p>
    <w:p>
      <w:pPr>
        <w:pStyle w:val="BodyText"/>
        <w:spacing w:line="316" w:lineRule="auto" w:before="76"/>
        <w:ind w:left="633" w:right="171"/>
        <w:jc w:val="left"/>
      </w:pPr>
      <w:r>
        <w:rPr/>
        <w:t>①以公允价值计量且其变动计入当期损益的金融资产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取得该金融资产的目的，主要是为了近期内出售；</w:t>
      </w:r>
      <w:r>
        <w:rPr>
          <w:rFonts w:ascii="Times New Roman" w:hAnsi="Times New Roman" w:cs="Times New Roman" w:eastAsia="Times New Roman" w:hint="default"/>
        </w:rPr>
        <w:t>B.</w:t>
      </w:r>
      <w:r>
        <w:rPr/>
        <w:t>属于进行</w:t>
      </w:r>
    </w:p>
    <w:p>
      <w:pPr>
        <w:pStyle w:val="BodyText"/>
        <w:spacing w:line="309" w:lineRule="auto"/>
        <w:ind w:left="153" w:right="191"/>
        <w:jc w:val="both"/>
      </w:pPr>
      <w:r>
        <w:rPr>
          <w:spacing w:val="-2"/>
        </w:rPr>
        <w:t>集中管理的可辨认金融工具组合的一部分，且有客观证据表明本公司近期采用短期获利方式对该组合进行管理；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w:t>
      </w:r>
      <w:r>
        <w:rPr>
          <w:spacing w:val="-49"/>
        </w:rPr>
        <w:t> </w:t>
      </w:r>
      <w:r>
        <w:rPr>
          <w:spacing w:val="-2"/>
        </w:rPr>
        <w:t>工具，但是，被指定且为有效套期工具的衍生工具、属于财务担保合同的衍生工具、与在活跃市场中没有报价且其公允价值</w:t>
      </w:r>
      <w:r>
        <w:rPr>
          <w:spacing w:val="-66"/>
        </w:rPr>
        <w:t> </w:t>
      </w:r>
      <w:r>
        <w:rPr>
          <w:spacing w:val="-66"/>
        </w:rPr>
      </w:r>
      <w:r>
        <w:rPr/>
        <w:t>不能可靠计量的权益工具投资挂钩并须通过交付该权益工具结算的衍生工具除外。</w:t>
      </w:r>
    </w:p>
    <w:p>
      <w:pPr>
        <w:pStyle w:val="BodyText"/>
        <w:spacing w:line="307" w:lineRule="auto" w:before="24"/>
        <w:ind w:left="153" w:right="191" w:firstLine="480"/>
        <w:jc w:val="both"/>
      </w:pPr>
      <w:r>
        <w:rPr>
          <w:spacing w:val="-1"/>
        </w:rPr>
        <w:t>符合下述条件之一的金融资产，在初始确认时可指定为以公允价值计量且其变动计入当期损益的金融资产：</w:t>
      </w:r>
      <w:r>
        <w:rPr>
          <w:rFonts w:ascii="Times New Roman" w:hAnsi="Times New Roman" w:cs="Times New Roman" w:eastAsia="Times New Roman" w:hint="default"/>
          <w:spacing w:val="-1"/>
        </w:rPr>
        <w:t>A.</w:t>
      </w:r>
      <w:r>
        <w:rPr>
          <w:spacing w:val="-1"/>
        </w:rPr>
        <w:t>该指定</w:t>
      </w:r>
      <w:r>
        <w:rPr/>
        <w:t> </w:t>
      </w:r>
      <w:r>
        <w:rPr>
          <w:spacing w:val="-2"/>
        </w:rPr>
        <w:t>可以消除或明显减少由于该金融资产的计量基础不同所导致的相关利得或损失在确认或计量方面不一致的情况；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w:t>
      </w:r>
      <w:r>
        <w:rPr>
          <w:spacing w:val="-49"/>
        </w:rPr>
        <w:t> </w:t>
      </w:r>
      <w:r>
        <w:rPr>
          <w:spacing w:val="-2"/>
        </w:rPr>
        <w:t>险管理或投资策略的正式书面文件已载明，对该金融资产所在的金融资产组合或金融资产和金融负债组合以公允价值为基础</w:t>
      </w:r>
      <w:r>
        <w:rPr>
          <w:spacing w:val="-64"/>
        </w:rPr>
        <w:t> </w:t>
      </w:r>
      <w:r>
        <w:rPr>
          <w:spacing w:val="-64"/>
        </w:rPr>
      </w:r>
      <w:r>
        <w:rPr/>
        <w:t>进行管理、评价并向关键管理人员报告。</w:t>
      </w:r>
    </w:p>
    <w:p>
      <w:pPr>
        <w:pStyle w:val="BodyText"/>
        <w:spacing w:line="316" w:lineRule="auto" w:before="26"/>
        <w:ind w:left="153" w:right="191" w:firstLine="480"/>
        <w:jc w:val="both"/>
      </w:pPr>
      <w:r>
        <w:rPr>
          <w:spacing w:val="-1"/>
        </w:rPr>
        <w:t>以公允价值计量且其变动计入当期损益的金融资产采用公允价值进行后续计量，公允价值变动形成的利得或损失以及</w:t>
      </w:r>
      <w:r>
        <w:rPr/>
        <w:t> 与该等金融资产相关的股利和利息收入计入当期损益。</w:t>
      </w:r>
    </w:p>
    <w:p>
      <w:pPr>
        <w:pStyle w:val="BodyText"/>
        <w:spacing w:line="316" w:lineRule="auto" w:before="19"/>
        <w:ind w:left="633" w:right="125"/>
        <w:jc w:val="left"/>
      </w:pPr>
      <w:r>
        <w:rPr/>
        <w:t>②持有至到期投资 是指到期日固定、回收金额固定或可确定，且本公司有明确意图和能力持有至到期的非衍生金融资产。 </w:t>
      </w:r>
      <w:r>
        <w:rPr>
          <w:spacing w:val="-1"/>
        </w:rPr>
        <w:t>持有至到期投资采用实际利率法，按摊余成本进行后续计量，在终止确认、发生减值或摊销时产生的利得或损失，计</w:t>
      </w:r>
    </w:p>
    <w:p>
      <w:pPr>
        <w:pStyle w:val="BodyText"/>
        <w:spacing w:line="240" w:lineRule="auto" w:before="19"/>
        <w:ind w:left="153" w:right="125"/>
        <w:jc w:val="left"/>
      </w:pPr>
      <w:r>
        <w:rPr/>
        <w:t>入当期损益。</w:t>
      </w:r>
    </w:p>
    <w:p>
      <w:pPr>
        <w:pStyle w:val="BodyText"/>
        <w:spacing w:line="316" w:lineRule="auto" w:before="76"/>
        <w:ind w:left="153" w:right="191" w:firstLine="480"/>
        <w:jc w:val="both"/>
      </w:pPr>
      <w:r>
        <w:rPr>
          <w:spacing w:val="-1"/>
        </w:rPr>
        <w:t>实际利率法是指按照金融资产或金融负债（含一组金融资产或金融负债）的实际利率计算其摊余成本及各期利息收入</w:t>
      </w:r>
      <w:r>
        <w:rPr/>
        <w:t> </w:t>
      </w:r>
      <w:r>
        <w:rPr>
          <w:spacing w:val="-2"/>
        </w:rPr>
        <w:t>或支出的方法。实际利率是指将金融资产或金融负债在预期存续期间或适用的更短期间内的未来现金流量，折现为该金融资</w:t>
      </w:r>
      <w:r>
        <w:rPr>
          <w:spacing w:val="-64"/>
        </w:rPr>
        <w:t> </w:t>
      </w:r>
      <w:r>
        <w:rPr>
          <w:spacing w:val="-64"/>
        </w:rPr>
      </w:r>
      <w:r>
        <w:rPr/>
        <w:t>产或金融负债当前账面价值所使用的利率。</w:t>
      </w:r>
    </w:p>
    <w:p>
      <w:pPr>
        <w:pStyle w:val="BodyText"/>
        <w:spacing w:line="316" w:lineRule="auto" w:before="19"/>
        <w:ind w:left="153" w:right="191" w:firstLine="480"/>
        <w:jc w:val="both"/>
      </w:pPr>
      <w:r>
        <w:rPr>
          <w:spacing w:val="-1"/>
        </w:rPr>
        <w:t>在计算实际利率时，本公司将在考虑金融资产或金融负债所有合同条款的基础上预计未来现金流量（不考虑未来的信</w:t>
      </w:r>
      <w:r>
        <w:rPr/>
        <w:t> </w:t>
      </w:r>
      <w:r>
        <w:rPr>
          <w:spacing w:val="-2"/>
        </w:rPr>
        <w:t>用损失），同时还将考虑金融资产或金融负债合同各方之间支付或收取的、属于实际利率组成部分的各项收费、交易费用及</w:t>
      </w:r>
      <w:r>
        <w:rPr>
          <w:spacing w:val="-66"/>
        </w:rPr>
        <w:t> </w:t>
      </w:r>
      <w:r>
        <w:rPr>
          <w:spacing w:val="-66"/>
        </w:rPr>
      </w:r>
      <w:r>
        <w:rPr/>
        <w:t>折价或溢价等。</w:t>
      </w:r>
    </w:p>
    <w:p>
      <w:pPr>
        <w:pStyle w:val="BodyText"/>
        <w:spacing w:line="316" w:lineRule="auto" w:before="19"/>
        <w:ind w:left="633" w:right="125"/>
        <w:jc w:val="left"/>
      </w:pPr>
      <w:r>
        <w:rPr/>
        <w:t>③贷款和应收款项 </w:t>
      </w:r>
      <w:r>
        <w:rPr>
          <w:spacing w:val="-1"/>
        </w:rPr>
        <w:t>是指在活跃市场中没有报价、回收金额固定或可确定的非衍生金融资产。本公司划分为贷款和应收款的金融资产包括</w:t>
      </w:r>
    </w:p>
    <w:p>
      <w:pPr>
        <w:pStyle w:val="BodyText"/>
        <w:spacing w:line="316" w:lineRule="auto" w:before="19"/>
        <w:ind w:left="633" w:right="125" w:hanging="480"/>
        <w:jc w:val="left"/>
      </w:pPr>
      <w:r>
        <w:rPr/>
        <w:t>应收票据、应收账款、应收利息、应收股利及其他应收款等。 </w:t>
      </w:r>
      <w:r>
        <w:rPr>
          <w:spacing w:val="-1"/>
        </w:rPr>
        <w:t>贷款和应收款项采用实际利率法，按摊余成本进行后续计量，在终止确认、发生减值或摊销时产生的利得或损失，计</w:t>
      </w:r>
    </w:p>
    <w:p>
      <w:pPr>
        <w:pStyle w:val="BodyText"/>
        <w:spacing w:line="240" w:lineRule="auto" w:before="19"/>
        <w:ind w:left="153" w:right="125"/>
        <w:jc w:val="left"/>
      </w:pPr>
      <w:r>
        <w:rPr/>
        <w:t>入当期损益。</w:t>
      </w:r>
    </w:p>
    <w:p>
      <w:pPr>
        <w:pStyle w:val="BodyText"/>
        <w:spacing w:line="240" w:lineRule="auto" w:before="76"/>
        <w:ind w:left="633" w:right="125"/>
        <w:jc w:val="left"/>
      </w:pPr>
      <w:r>
        <w:rPr/>
        <w:t>④可供出售金融资产</w:t>
      </w:r>
    </w:p>
    <w:p>
      <w:pPr>
        <w:spacing w:after="0" w:line="24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331" w:firstLine="480"/>
        <w:jc w:val="left"/>
      </w:pPr>
      <w:r>
        <w:rPr/>
        <w:t>包括初始确认时即被指定为可供出售的非衍生金融资产，以及除了以公允价值计量且其变动计入当期损益的金融资 产、贷款和应收款项、持有至到期投资以外的金融资产。</w:t>
      </w:r>
    </w:p>
    <w:p>
      <w:pPr>
        <w:pStyle w:val="BodyText"/>
        <w:spacing w:line="316" w:lineRule="auto" w:before="19"/>
        <w:ind w:left="153" w:right="190" w:firstLine="480"/>
        <w:jc w:val="both"/>
      </w:pPr>
      <w:r>
        <w:rPr>
          <w:spacing w:val="-1"/>
        </w:rPr>
        <w:t>可供出售债务工具投资的期末成本按照摊余成本法确定，即初始确认金额扣除已偿还的本金，加上或减去采用实际利</w:t>
      </w:r>
      <w:r>
        <w:rPr/>
        <w:t> </w:t>
      </w: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pStyle w:val="BodyText"/>
        <w:spacing w:line="316" w:lineRule="auto" w:before="19"/>
        <w:ind w:left="153" w:right="91" w:firstLine="480"/>
        <w:jc w:val="left"/>
      </w:pPr>
      <w:r>
        <w:rPr/>
        <w:t>可供出售金融资产采用公允价值进行后续计量，公允价值变动形成的利得或损失，除减值损失和外币货币性金融资产 与摊余成本相关的汇兑差额计入当期损益外，确认为其他综合收益，在该金融资产终止确认时转出，计入当期损益。但是， </w:t>
      </w: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衍生金融资产，按照成本进行后续计量。</w:t>
      </w:r>
    </w:p>
    <w:p>
      <w:pPr>
        <w:pStyle w:val="BodyText"/>
        <w:spacing w:line="240" w:lineRule="auto" w:before="19"/>
        <w:ind w:left="633" w:right="125"/>
        <w:jc w:val="left"/>
      </w:pPr>
      <w:r>
        <w:rPr/>
        <w:t>可供出售金融资产持有期间取得的利息及被投资单位宣告发放的现金股利，计入投资收益。</w:t>
      </w:r>
    </w:p>
    <w:p>
      <w:pPr>
        <w:pStyle w:val="BodyText"/>
        <w:spacing w:line="300" w:lineRule="auto" w:before="76"/>
        <w:ind w:left="633" w:right="125"/>
        <w:jc w:val="left"/>
      </w:pPr>
      <w:r>
        <w:rPr/>
        <w:t>（</w:t>
      </w:r>
      <w:r>
        <w:rPr>
          <w:rFonts w:ascii="Times New Roman" w:hAnsi="Times New Roman" w:cs="Times New Roman" w:eastAsia="Times New Roman" w:hint="default"/>
        </w:rPr>
        <w:t>3</w:t>
      </w:r>
      <w:r>
        <w:rPr/>
        <w:t>）金融资产减值 </w:t>
      </w:r>
      <w:r>
        <w:rPr>
          <w:spacing w:val="-1"/>
        </w:rPr>
        <w:t>除了以公允价值计量且其变动计入当期损益的金融资产外，本公司在每个资产负债表日对其他金融资产的账面价值进</w:t>
      </w:r>
    </w:p>
    <w:p>
      <w:pPr>
        <w:pStyle w:val="BodyText"/>
        <w:spacing w:line="316" w:lineRule="auto" w:before="31"/>
        <w:ind w:left="633" w:right="125" w:hanging="480"/>
        <w:jc w:val="left"/>
      </w:pPr>
      <w:r>
        <w:rPr/>
        <w:t>行检查，有客观证据表明金融资产发生减值的，计提减值准备。 </w:t>
      </w:r>
      <w:r>
        <w:rPr>
          <w:spacing w:val="-1"/>
        </w:rPr>
        <w:t>本公司对单项金额重大的金融资产单独进行减值测试；对单项金额不重大的金融资产，单独进行减值测试或包括在具</w:t>
      </w:r>
    </w:p>
    <w:p>
      <w:pPr>
        <w:pStyle w:val="BodyText"/>
        <w:spacing w:line="316" w:lineRule="auto" w:before="19"/>
        <w:ind w:left="153" w:right="191"/>
        <w:jc w:val="both"/>
      </w:pPr>
      <w:r>
        <w:rPr>
          <w:spacing w:val="-2"/>
        </w:rPr>
        <w:t>有类似信用风险特征的金融资产组合中进行减值测试。单独测试未发生减值的金融资产（包括单项金额重大和不重大的金融</w:t>
      </w:r>
      <w:r>
        <w:rPr>
          <w:spacing w:val="-64"/>
        </w:rPr>
        <w:t> </w:t>
      </w:r>
      <w:r>
        <w:rPr>
          <w:spacing w:val="-64"/>
        </w:rPr>
      </w:r>
      <w:r>
        <w:rPr>
          <w:spacing w:val="-2"/>
        </w:rPr>
        <w:t>资产），包括在具有类似信用风险特征的金融资产组合中再进行减值测试。已单项确认减值损失的金融资产，不包括在具有</w:t>
      </w:r>
      <w:r>
        <w:rPr>
          <w:spacing w:val="-66"/>
        </w:rPr>
        <w:t> </w:t>
      </w:r>
      <w:r>
        <w:rPr>
          <w:spacing w:val="-66"/>
        </w:rPr>
      </w:r>
      <w:r>
        <w:rPr/>
        <w:t>类似信用风险特征的金融资产组合中进行减值测试。</w:t>
      </w:r>
    </w:p>
    <w:p>
      <w:pPr>
        <w:pStyle w:val="BodyText"/>
        <w:spacing w:line="316" w:lineRule="auto" w:before="19"/>
        <w:ind w:left="633" w:right="125"/>
        <w:jc w:val="left"/>
      </w:pPr>
      <w:r>
        <w:rPr/>
        <w:t>①持有至到期投资、贷款和应收款项减值 </w:t>
      </w:r>
      <w:r>
        <w:rPr>
          <w:spacing w:val="-1"/>
        </w:rPr>
        <w:t>以成本或摊余成本计量的金融资产将其账面价值减记至预计未来现金流量现值，减记金额确认为减值损失，计入当期</w:t>
      </w:r>
    </w:p>
    <w:p>
      <w:pPr>
        <w:pStyle w:val="BodyText"/>
        <w:spacing w:line="316" w:lineRule="auto" w:before="19"/>
        <w:ind w:left="153" w:right="91"/>
        <w:jc w:val="left"/>
      </w:pPr>
      <w:r>
        <w:rPr/>
        <w:t>损益。金融资产在确认减值损失后，如有客观证据表明该金融资产价值已恢复，且客观上与确认该损失后发生的事项有关， </w:t>
      </w:r>
      <w:r>
        <w:rPr>
          <w:spacing w:val="-2"/>
        </w:rPr>
        <w:t>原确认的减值损失予以转回，金融资产转回减值损失后的账面价值不超过假定不计提减值准备情况下该金融资产在转回日的</w:t>
      </w:r>
      <w:r>
        <w:rPr>
          <w:spacing w:val="-64"/>
        </w:rPr>
        <w:t> </w:t>
      </w:r>
      <w:r>
        <w:rPr>
          <w:spacing w:val="-64"/>
        </w:rPr>
      </w:r>
      <w:r>
        <w:rPr/>
        <w:t>摊余成本。</w:t>
      </w:r>
    </w:p>
    <w:p>
      <w:pPr>
        <w:pStyle w:val="BodyText"/>
        <w:spacing w:line="316" w:lineRule="auto" w:before="19"/>
        <w:ind w:left="633" w:right="125"/>
        <w:jc w:val="left"/>
      </w:pPr>
      <w:r>
        <w:rPr/>
        <w:t>②可供出售金融资产减值 </w:t>
      </w:r>
      <w:r>
        <w:rPr>
          <w:spacing w:val="-1"/>
        </w:rPr>
        <w:t>当综合相关因素判断可供出售权益工具投资公允价值下跌是严重或非暂时性下跌时，表明该可供出售权益工具投资发</w:t>
      </w:r>
    </w:p>
    <w:p>
      <w:pPr>
        <w:pStyle w:val="BodyText"/>
        <w:spacing w:line="300" w:lineRule="auto" w:before="19"/>
        <w:ind w:left="633" w:right="151" w:hanging="480"/>
        <w:jc w:val="left"/>
      </w:pPr>
      <w:r>
        <w:rPr/>
        <w:t>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可供出售金融资产发生减值时，将原计入其他综合收益的因公允价值下降形成的累计损失予以转出并计入当期损益，</w:t>
      </w:r>
    </w:p>
    <w:p>
      <w:pPr>
        <w:pStyle w:val="BodyText"/>
        <w:spacing w:line="316" w:lineRule="auto" w:before="31"/>
        <w:ind w:left="153" w:right="271"/>
        <w:jc w:val="left"/>
      </w:pPr>
      <w:r>
        <w:rPr/>
        <w:t>该转出的累计损失为该资产初始取得成本扣除已收回本金和已摊销金额、当前公允价值和原已计入损益的减值损失后的余 额。</w:t>
      </w:r>
    </w:p>
    <w:p>
      <w:pPr>
        <w:pStyle w:val="BodyText"/>
        <w:spacing w:line="316" w:lineRule="auto" w:before="19"/>
        <w:ind w:left="153" w:right="190" w:firstLine="480"/>
        <w:jc w:val="both"/>
      </w:pPr>
      <w:r>
        <w:rPr>
          <w:spacing w:val="-1"/>
        </w:rPr>
        <w:t>在确认减值损失后，期后如有客观证据表明该金融资产价值已恢复，且客观上与确认该损失后发生的事项有关，原确</w:t>
      </w:r>
      <w:r>
        <w:rPr/>
        <w:t> </w:t>
      </w:r>
      <w:r>
        <w:rPr>
          <w:spacing w:val="-2"/>
        </w:rPr>
        <w:t>认的减值损失予以转回，可供出售权益工具投资的减值损失转回确认为其他综合收益，可供出售债务工具的减值损失转回计</w:t>
      </w:r>
      <w:r>
        <w:rPr>
          <w:spacing w:val="-64"/>
        </w:rPr>
        <w:t> </w:t>
      </w:r>
      <w:r>
        <w:rPr>
          <w:spacing w:val="-64"/>
        </w:rPr>
      </w:r>
      <w:r>
        <w:rPr/>
        <w:t>入当期损益。</w:t>
      </w:r>
    </w:p>
    <w:p>
      <w:pPr>
        <w:pStyle w:val="BodyText"/>
        <w:spacing w:line="316" w:lineRule="auto" w:before="19"/>
        <w:ind w:left="153" w:right="190" w:firstLine="480"/>
        <w:jc w:val="both"/>
      </w:pPr>
      <w:r>
        <w:rPr>
          <w:spacing w:val="-1"/>
        </w:rPr>
        <w:t>在活跃市场中没有报价且其公允价值不能可靠计量的权益工具投资，或与该权益工具挂钩并须通过交付该权益工具结</w:t>
      </w:r>
      <w:r>
        <w:rPr/>
        <w:t> 算的衍生金融资产的减值损失，不予转回。</w:t>
      </w:r>
    </w:p>
    <w:p>
      <w:pPr>
        <w:pStyle w:val="BodyText"/>
        <w:spacing w:line="300" w:lineRule="auto" w:before="19"/>
        <w:ind w:left="633" w:right="151"/>
        <w:jc w:val="left"/>
      </w:pPr>
      <w:r>
        <w:rPr/>
        <w:t>（</w:t>
      </w:r>
      <w:r>
        <w:rPr>
          <w:rFonts w:ascii="Times New Roman" w:hAnsi="Times New Roman" w:cs="Times New Roman" w:eastAsia="Times New Roman" w:hint="default"/>
        </w:rPr>
        <w:t>4</w:t>
      </w:r>
      <w:r>
        <w:rPr/>
        <w:t>）金融资产转移的确认依据和计量方法 满足下列条件之一的金融资产，予以终止确认：①收取该金融资产现金流量的合同权利终止；②该金融资产已转移，</w:t>
      </w:r>
    </w:p>
    <w:p>
      <w:pPr>
        <w:pStyle w:val="BodyText"/>
        <w:spacing w:line="316" w:lineRule="auto" w:before="31"/>
        <w:ind w:left="153" w:right="125"/>
        <w:jc w:val="left"/>
      </w:pP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产所有权上几乎所有的风险和报酬，但是放弃了对该金融资产的控制。</w:t>
      </w:r>
    </w:p>
    <w:p>
      <w:pPr>
        <w:pStyle w:val="BodyText"/>
        <w:spacing w:line="316" w:lineRule="auto" w:before="19"/>
        <w:ind w:left="153" w:right="190" w:firstLine="480"/>
        <w:jc w:val="both"/>
      </w:pPr>
      <w:r>
        <w:rPr>
          <w:spacing w:val="-1"/>
        </w:rPr>
        <w:t>若企业既没有转移也没有保留金融资产所有权上几乎所有的风险和报酬，且未放弃对该金融资产的控制的，则按照继</w:t>
      </w:r>
      <w:r>
        <w:rPr/>
        <w:t> </w:t>
      </w:r>
      <w:r>
        <w:rPr>
          <w:spacing w:val="-2"/>
        </w:rPr>
        <w:t>续涉入所转移金融资产的程度确认有关金融资产，并相应确认有关负债。继续涉入所转移金融资产的程度，是指该金融资产</w:t>
      </w:r>
      <w:r>
        <w:rPr>
          <w:spacing w:val="-66"/>
        </w:rPr>
        <w:t> </w:t>
      </w:r>
      <w:r>
        <w:rPr>
          <w:spacing w:val="-66"/>
        </w:rPr>
      </w:r>
      <w:r>
        <w:rPr/>
        <w:t>价值变动使企业面临的风险水平。</w:t>
      </w:r>
    </w:p>
    <w:p>
      <w:pPr>
        <w:pStyle w:val="BodyText"/>
        <w:spacing w:line="316" w:lineRule="auto" w:before="19"/>
        <w:ind w:left="153" w:right="190" w:firstLine="480"/>
        <w:jc w:val="both"/>
      </w:pPr>
      <w:r>
        <w:rPr>
          <w:spacing w:val="-1"/>
        </w:rPr>
        <w:t>金融资产整体转移满足终止确认条件的，将所转移金融资产的账面价值及因转移而收到的对价与原计入其他综合收益</w:t>
      </w:r>
      <w:r>
        <w:rPr/>
        <w:t> 的公允价值变动累计额之和的差额计入当期损益。</w:t>
      </w:r>
    </w:p>
    <w:p>
      <w:pPr>
        <w:pStyle w:val="BodyText"/>
        <w:spacing w:line="316" w:lineRule="auto" w:before="19"/>
        <w:ind w:left="153" w:right="190" w:firstLine="480"/>
        <w:jc w:val="both"/>
      </w:pPr>
      <w:r>
        <w:rPr>
          <w:spacing w:val="-1"/>
        </w:rPr>
        <w:t>金融资产部分转移满足终止确认条件的，将所转移金融资产的账面价值在终止确认及未终止确认部分之间按其相对的</w:t>
      </w:r>
      <w:r>
        <w:rPr/>
        <w:t> </w:t>
      </w:r>
      <w:r>
        <w:rPr>
          <w:spacing w:val="-2"/>
        </w:rPr>
        <w:t>公允价值进行分摊，并将因转移而收到的对价与应分摊至终止确认部分的原计入其他综合收益的公允价值变动累计额之和与</w:t>
      </w:r>
    </w:p>
    <w:p>
      <w:pPr>
        <w:spacing w:after="0" w:line="316" w:lineRule="auto"/>
        <w:jc w:val="both"/>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633" w:right="0" w:hanging="480"/>
        <w:jc w:val="left"/>
      </w:pPr>
      <w:r>
        <w:rPr/>
        <w:t>分摊的前述账面金额之差额计入当期损益。 </w:t>
      </w:r>
      <w:r>
        <w:rPr>
          <w:spacing w:val="-1"/>
        </w:rPr>
        <w:t>本公司对采用附追索权方式出售的金融资产，或将持有的金融资产背书转让，需确定该金融资产所有权上几乎所有的</w:t>
      </w:r>
    </w:p>
    <w:p>
      <w:pPr>
        <w:pStyle w:val="BodyText"/>
        <w:spacing w:line="316" w:lineRule="auto" w:before="19"/>
        <w:ind w:left="153" w:right="150"/>
        <w:jc w:val="both"/>
      </w:pPr>
      <w:r>
        <w:rPr>
          <w:spacing w:val="-2"/>
        </w:rPr>
        <w:t>风险和报酬是否已经转移。已将该金融资产所有权上几乎所有的风险和报酬转移给转入方的，终止确认该金融资产；保留了</w:t>
      </w:r>
      <w:r>
        <w:rPr>
          <w:spacing w:val="-66"/>
        </w:rPr>
        <w:t> </w:t>
      </w:r>
      <w:r>
        <w:rPr>
          <w:spacing w:val="-66"/>
        </w:rPr>
      </w:r>
      <w:r>
        <w:rPr>
          <w:spacing w:val="-2"/>
        </w:rPr>
        <w:t>金融资产所有权上几乎所有的风险和报酬的，不终止确认该金融资产；既没有转移也没有保留金融资产所有权上几乎所有的</w:t>
      </w:r>
      <w:r>
        <w:rPr>
          <w:spacing w:val="-64"/>
        </w:rPr>
        <w:t> </w:t>
      </w:r>
      <w:r>
        <w:rPr>
          <w:spacing w:val="-64"/>
        </w:rPr>
      </w:r>
      <w:r>
        <w:rPr/>
        <w:t>风险和报酬的，则继续判断企业是否对该资产保留了控制，并根据前面各段所述的原则进行会计处理。</w:t>
      </w:r>
    </w:p>
    <w:p>
      <w:pPr>
        <w:pStyle w:val="BodyText"/>
        <w:spacing w:line="300" w:lineRule="auto" w:before="19"/>
        <w:ind w:left="633" w:right="291"/>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w:t>
      </w:r>
    </w:p>
    <w:p>
      <w:pPr>
        <w:pStyle w:val="BodyText"/>
        <w:spacing w:line="316" w:lineRule="auto" w:before="31"/>
        <w:ind w:left="153" w:right="151"/>
        <w:jc w:val="both"/>
      </w:pPr>
      <w:r>
        <w:rPr>
          <w:spacing w:val="-2"/>
        </w:rPr>
        <w:t>债，以公允价值计量。对于以公允价值计量且其变动计入当期损益的金融负债，相关的交易费用直接计入当期损益；对于其</w:t>
      </w:r>
      <w:r>
        <w:rPr>
          <w:spacing w:val="-66"/>
        </w:rPr>
        <w:t> </w:t>
      </w:r>
      <w:r>
        <w:rPr>
          <w:spacing w:val="-66"/>
        </w:rPr>
      </w:r>
      <w:r>
        <w:rPr/>
        <w:t>他金融负债，相关交易费用计入初始确认金额。</w:t>
      </w:r>
    </w:p>
    <w:p>
      <w:pPr>
        <w:pStyle w:val="BodyText"/>
        <w:spacing w:line="316" w:lineRule="auto" w:before="19"/>
        <w:ind w:left="633" w:right="291"/>
        <w:jc w:val="left"/>
      </w:pPr>
      <w:r>
        <w:rPr/>
        <w:t>①以公允价值计量且其变动计入当期损益的金融负债 分类为交易性金融负债和在初始确认时指定为以公允价值计量且其变动计入当期损益的金融负债的条件与分类为交</w:t>
      </w:r>
    </w:p>
    <w:p>
      <w:pPr>
        <w:pStyle w:val="BodyText"/>
        <w:spacing w:line="316" w:lineRule="auto" w:before="19"/>
        <w:ind w:left="633" w:right="0" w:hanging="480"/>
        <w:jc w:val="left"/>
      </w:pPr>
      <w:r>
        <w:rPr/>
        <w:t>易性金融资产和在初始确认时指定为以公允价值计量且其变动计入当期损益的金融资产的条件一致。 </w:t>
      </w:r>
      <w:r>
        <w:rPr>
          <w:spacing w:val="-1"/>
        </w:rPr>
        <w:t>以公允价值计量且其变动计入当期损益的金融负债采用公允价值进行后续计量，公允价值的变动形成的利得或损失以</w:t>
      </w:r>
    </w:p>
    <w:p>
      <w:pPr>
        <w:pStyle w:val="BodyText"/>
        <w:spacing w:line="240" w:lineRule="auto" w:before="19"/>
        <w:ind w:left="153" w:right="0"/>
        <w:jc w:val="both"/>
      </w:pPr>
      <w:r>
        <w:rPr/>
        <w:t>及与该等金融负债相关的股利和利息支出计入当期损益。</w:t>
      </w:r>
    </w:p>
    <w:p>
      <w:pPr>
        <w:pStyle w:val="BodyText"/>
        <w:spacing w:line="316" w:lineRule="auto" w:before="76"/>
        <w:ind w:left="633" w:right="0"/>
        <w:jc w:val="left"/>
      </w:pPr>
      <w:r>
        <w:rPr/>
        <w:t>②其他金融负债 </w:t>
      </w:r>
      <w:r>
        <w:rPr>
          <w:spacing w:val="-1"/>
        </w:rPr>
        <w:t>与在活跃市场中没有报价、公允价值不能可靠计量的权益工具挂钩并须通过交付该权益工具结算的衍生金融负债，按</w:t>
      </w:r>
    </w:p>
    <w:p>
      <w:pPr>
        <w:pStyle w:val="BodyText"/>
        <w:spacing w:line="316" w:lineRule="auto" w:before="19"/>
        <w:ind w:left="153" w:right="151"/>
        <w:jc w:val="both"/>
      </w:pPr>
      <w:r>
        <w:rPr>
          <w:spacing w:val="-2"/>
        </w:rPr>
        <w:t>照成本进行后续计量。其他金融负债采用实际利率法，按摊余成本进行后续计量，终止确认或摊销产生的利得或损失计入当</w:t>
      </w:r>
      <w:r>
        <w:rPr>
          <w:spacing w:val="-66"/>
        </w:rPr>
        <w:t> </w:t>
      </w:r>
      <w:r>
        <w:rPr>
          <w:spacing w:val="-66"/>
        </w:rPr>
      </w:r>
      <w:r>
        <w:rPr/>
        <w:t>期损益。</w:t>
      </w:r>
    </w:p>
    <w:p>
      <w:pPr>
        <w:pStyle w:val="BodyText"/>
        <w:spacing w:line="316" w:lineRule="auto" w:before="19"/>
        <w:ind w:left="633" w:right="0"/>
        <w:jc w:val="left"/>
      </w:pPr>
      <w:r>
        <w:rPr/>
        <w:t>③财务担保合同及贷款承诺 </w:t>
      </w:r>
      <w:r>
        <w:rPr>
          <w:spacing w:val="-1"/>
        </w:rPr>
        <w:t>不属于指定为以公允价值计量且其变动计入当期损益的金融负债的财务担保合同，或没有指定为以公允价值计量且其</w:t>
      </w:r>
    </w:p>
    <w:p>
      <w:pPr>
        <w:pStyle w:val="BodyText"/>
        <w:spacing w:line="300" w:lineRule="auto" w:before="19"/>
        <w:ind w:left="153" w:right="151"/>
        <w:jc w:val="both"/>
      </w:pPr>
      <w:r>
        <w:rPr>
          <w:spacing w:val="-2"/>
        </w:rPr>
        <w:t>变动计入损益并将以低于市场利率贷款的贷款承诺，以公允价值进行初始确认，在初始确认后按照《企业会计准则第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9"/>
        </w:rPr>
        <w:t> </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收入》的原则确定的累计摊销额后的余额之中的较</w:t>
      </w:r>
      <w:r>
        <w:rPr>
          <w:spacing w:val="-64"/>
        </w:rPr>
        <w:t> </w:t>
      </w:r>
      <w:r>
        <w:rPr>
          <w:spacing w:val="-64"/>
        </w:rPr>
      </w:r>
      <w:r>
        <w:rPr/>
        <w:t>高者进行后续计量。</w:t>
      </w:r>
    </w:p>
    <w:p>
      <w:pPr>
        <w:pStyle w:val="BodyText"/>
        <w:spacing w:line="300" w:lineRule="auto" w:before="31"/>
        <w:ind w:left="633" w:right="0"/>
        <w:jc w:val="left"/>
      </w:pPr>
      <w:r>
        <w:rPr/>
        <w:t>（</w:t>
      </w:r>
      <w:r>
        <w:rPr>
          <w:rFonts w:ascii="Times New Roman" w:hAnsi="Times New Roman" w:cs="Times New Roman" w:eastAsia="Times New Roman" w:hint="default"/>
        </w:rPr>
        <w:t>6</w:t>
      </w:r>
      <w:r>
        <w:rPr/>
        <w:t>）金融负债的终止确认 </w:t>
      </w:r>
      <w:r>
        <w:rPr>
          <w:spacing w:val="-1"/>
        </w:rPr>
        <w:t>金融负债的现时义务全部或部分已经解除的，才能终止确认该金融负债或其一部分。本公司（债务人）与债权人之间</w:t>
      </w:r>
    </w:p>
    <w:p>
      <w:pPr>
        <w:pStyle w:val="BodyText"/>
        <w:spacing w:line="316" w:lineRule="auto" w:before="31"/>
        <w:ind w:left="153" w:right="151"/>
        <w:jc w:val="both"/>
      </w:pPr>
      <w:r>
        <w:rPr>
          <w:spacing w:val="-2"/>
        </w:rPr>
        <w:t>签订协议，以承担新金融负债方式替换现存金融负债，且新金融负债与现存金融负债的合同条款实质上不同的，终止确认现</w:t>
      </w:r>
      <w:r>
        <w:rPr>
          <w:spacing w:val="-66"/>
        </w:rPr>
        <w:t> </w:t>
      </w:r>
      <w:r>
        <w:rPr>
          <w:spacing w:val="-66"/>
        </w:rPr>
      </w:r>
      <w:r>
        <w:rPr/>
        <w:t>存金融负债，并同时确认新金融负债。</w:t>
      </w:r>
    </w:p>
    <w:p>
      <w:pPr>
        <w:pStyle w:val="BodyText"/>
        <w:spacing w:line="316" w:lineRule="auto" w:before="19"/>
        <w:ind w:left="153" w:right="150" w:firstLine="480"/>
        <w:jc w:val="both"/>
      </w:pPr>
      <w:r>
        <w:rPr>
          <w:spacing w:val="-1"/>
        </w:rPr>
        <w:t>金融负债全部或部分终止确认的，将终止确认部分的账面价值与支付的对价（包括转出的非现金资产或承担的新金融</w:t>
      </w:r>
      <w:r>
        <w:rPr/>
        <w:t> 负债）之间的差额，计入当期损益。</w:t>
      </w:r>
    </w:p>
    <w:p>
      <w:pPr>
        <w:pStyle w:val="BodyText"/>
        <w:spacing w:line="300" w:lineRule="auto" w:before="19"/>
        <w:ind w:left="633" w:right="0"/>
        <w:jc w:val="left"/>
      </w:pPr>
      <w:r>
        <w:rPr/>
        <w:t>（</w:t>
      </w:r>
      <w:r>
        <w:rPr>
          <w:rFonts w:ascii="Times New Roman" w:hAnsi="Times New Roman" w:cs="Times New Roman" w:eastAsia="Times New Roman" w:hint="default"/>
        </w:rPr>
        <w:t>7</w:t>
      </w:r>
      <w:r>
        <w:rPr/>
        <w:t>）衍生工具及嵌入衍生工具 </w:t>
      </w:r>
      <w:r>
        <w:rPr>
          <w:spacing w:val="-1"/>
        </w:rPr>
        <w:t>衍生工具于相关合同签署日以公允价值进行初始计量，并以公允价值进行后续计量。除指定为套期工具且套期高度有</w:t>
      </w:r>
    </w:p>
    <w:p>
      <w:pPr>
        <w:pStyle w:val="BodyText"/>
        <w:spacing w:line="316" w:lineRule="auto" w:before="31"/>
        <w:ind w:left="153" w:right="150"/>
        <w:jc w:val="both"/>
      </w:pPr>
      <w:r>
        <w:rPr>
          <w:spacing w:val="-2"/>
        </w:rPr>
        <w:t>效的衍生工具，其公允价值变动形成的利得或损失将根据套期关系的性质按照套期会计的要求确定计入损益的期间外，其余</w:t>
      </w:r>
      <w:r>
        <w:rPr>
          <w:spacing w:val="-64"/>
        </w:rPr>
        <w:t> </w:t>
      </w:r>
      <w:r>
        <w:rPr>
          <w:spacing w:val="-64"/>
        </w:rPr>
      </w:r>
      <w:r>
        <w:rPr/>
        <w:t>衍生工具的公允价值变动计入当期损益。</w:t>
      </w:r>
    </w:p>
    <w:p>
      <w:pPr>
        <w:pStyle w:val="BodyText"/>
        <w:spacing w:line="316" w:lineRule="auto" w:before="19"/>
        <w:ind w:left="153" w:right="150" w:firstLine="480"/>
        <w:jc w:val="both"/>
      </w:pPr>
      <w:r>
        <w:rPr>
          <w:spacing w:val="-1"/>
        </w:rPr>
        <w:t>对包含嵌入衍生工具的混合工具，如未指定为以公允价值计量且其变动计入当期损益的金融资产或金融负债，嵌入衍</w:t>
      </w:r>
      <w:r>
        <w:rPr/>
        <w:t> </w:t>
      </w:r>
      <w:r>
        <w:rPr>
          <w:spacing w:val="-2"/>
        </w:rPr>
        <w:t>生工具与该主合同在经济特征及风险方面不存在紧密关系，且与嵌入衍生工具条件相同，单独存在的工具符合衍生工具定义</w:t>
      </w:r>
      <w:r>
        <w:rPr>
          <w:spacing w:val="-64"/>
        </w:rPr>
        <w:t> </w:t>
      </w:r>
      <w:r>
        <w:rPr>
          <w:spacing w:val="-64"/>
        </w:rPr>
      </w:r>
      <w:r>
        <w:rPr>
          <w:spacing w:val="-2"/>
        </w:rPr>
        <w:t>的，嵌入衍生工具从混合工具中分拆，作为单独的衍生金融工具处理。如果无法在取得时或后续的资产负债表日对嵌入衍生</w:t>
      </w:r>
      <w:r>
        <w:rPr>
          <w:spacing w:val="-66"/>
        </w:rPr>
        <w:t> </w:t>
      </w:r>
      <w:r>
        <w:rPr>
          <w:spacing w:val="-66"/>
        </w:rPr>
      </w:r>
      <w:r>
        <w:rPr/>
        <w:t>工具进行单独计量，则将混合工具整体指定为以公允价值计量且其变动计入当期损益的金融资产或金融负债。</w:t>
      </w:r>
    </w:p>
    <w:p>
      <w:pPr>
        <w:pStyle w:val="BodyText"/>
        <w:spacing w:line="300" w:lineRule="auto" w:before="19"/>
        <w:ind w:left="633" w:right="0"/>
        <w:jc w:val="left"/>
      </w:pPr>
      <w:r>
        <w:rPr/>
        <w:t>（</w:t>
      </w:r>
      <w:r>
        <w:rPr>
          <w:rFonts w:ascii="Times New Roman" w:hAnsi="Times New Roman" w:cs="Times New Roman" w:eastAsia="Times New Roman" w:hint="default"/>
        </w:rPr>
        <w:t>8</w:t>
      </w:r>
      <w:r>
        <w:rPr/>
        <w:t>）金融资产和金融负债的抵销 </w:t>
      </w:r>
      <w:r>
        <w:rPr>
          <w:spacing w:val="-1"/>
        </w:rPr>
        <w:t>当本公司具有抵销已确认金融资产和金融负债的法定权利，且目前可执行该种法定权利，同时本公司计划以净额结算</w:t>
      </w:r>
    </w:p>
    <w:p>
      <w:pPr>
        <w:pStyle w:val="BodyText"/>
        <w:spacing w:line="316" w:lineRule="auto" w:before="31"/>
        <w:ind w:left="153" w:right="151"/>
        <w:jc w:val="both"/>
      </w:pPr>
      <w:r>
        <w:rPr>
          <w:spacing w:val="-2"/>
        </w:rPr>
        <w:t>或同时变现该金融资产和清偿该金融负债时，金融资产和金融负债以相互抵销后的金额在资产负债表内列示。除此以外，金</w:t>
      </w:r>
      <w:r>
        <w:rPr>
          <w:spacing w:val="-66"/>
        </w:rPr>
        <w:t> </w:t>
      </w:r>
      <w:r>
        <w:rPr>
          <w:spacing w:val="-66"/>
        </w:rPr>
      </w:r>
      <w:r>
        <w:rPr/>
        <w:t>融资产和金融负债在资产负债表内分别列示，不予相互抵销。</w:t>
      </w:r>
    </w:p>
    <w:p>
      <w:pPr>
        <w:pStyle w:val="BodyText"/>
        <w:spacing w:line="300" w:lineRule="auto" w:before="19"/>
        <w:ind w:left="633" w:right="0"/>
        <w:jc w:val="left"/>
      </w:pPr>
      <w:r>
        <w:rPr/>
        <w:t>（</w:t>
      </w:r>
      <w:r>
        <w:rPr>
          <w:rFonts w:ascii="Times New Roman" w:hAnsi="Times New Roman" w:cs="Times New Roman" w:eastAsia="Times New Roman" w:hint="default"/>
        </w:rPr>
        <w:t>9</w:t>
      </w:r>
      <w:r>
        <w:rPr/>
        <w:t>）权益工具 </w:t>
      </w:r>
      <w:r>
        <w:rPr>
          <w:spacing w:val="-1"/>
        </w:rPr>
        <w:t>权益工具是指能证明拥有本公司在扣除所有负债后的资产中的剩余权益的合同。本公司发行（含再融资）、回购、出</w:t>
      </w:r>
    </w:p>
    <w:p>
      <w:pPr>
        <w:pStyle w:val="BodyText"/>
        <w:spacing w:line="240" w:lineRule="auto" w:before="31"/>
        <w:ind w:left="153" w:right="0"/>
        <w:jc w:val="both"/>
      </w:pPr>
      <w:r>
        <w:rPr/>
        <w:t>售或注销权益工具作为权益的变动处理。本公司不确认权益工具的公允价值变动。与权益性交易相关的交易费用从权益中扣</w:t>
      </w:r>
    </w:p>
    <w:p>
      <w:pPr>
        <w:spacing w:after="0" w:line="240" w:lineRule="auto"/>
        <w:jc w:val="both"/>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240" w:lineRule="auto" w:before="44"/>
        <w:ind w:left="153" w:right="125"/>
        <w:jc w:val="left"/>
      </w:pPr>
      <w:r>
        <w:rPr/>
        <w:t>减。</w:t>
      </w:r>
    </w:p>
    <w:p>
      <w:pPr>
        <w:pStyle w:val="BodyText"/>
        <w:spacing w:line="240" w:lineRule="auto" w:before="76"/>
        <w:ind w:left="633" w:right="83"/>
        <w:jc w:val="left"/>
      </w:pPr>
      <w:r>
        <w:rPr>
          <w:spacing w:val="-3"/>
        </w:rPr>
        <w:t>本公司对权益工具持有方的各种分配（不包括股票股利），减少股东权益。本公司不确认权益工具的公允价值变动额。</w:t>
      </w:r>
    </w:p>
    <w:p>
      <w:pPr>
        <w:spacing w:line="240" w:lineRule="auto" w:before="3"/>
        <w:rPr>
          <w:rFonts w:ascii="宋体" w:hAnsi="宋体" w:cs="宋体" w:eastAsia="宋体" w:hint="default"/>
          <w:sz w:val="24"/>
          <w:szCs w:val="24"/>
        </w:rPr>
      </w:pPr>
    </w:p>
    <w:p>
      <w:pPr>
        <w:pStyle w:val="Heading3"/>
        <w:spacing w:line="240" w:lineRule="auto" w:before="35"/>
        <w:ind w:right="125"/>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28"/>
        <w:gridCol w:w="5740"/>
      </w:tblGrid>
      <w:tr>
        <w:trPr>
          <w:trHeight w:val="714" w:hRule="exact"/>
        </w:trPr>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7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万元以上的应收款项确认为单项金额重大的 应收款项。</w:t>
            </w:r>
          </w:p>
        </w:tc>
      </w:tr>
      <w:tr>
        <w:trPr>
          <w:trHeight w:val="1338" w:hRule="exact"/>
        </w:trPr>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7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3"/>
                <w:sz w:val="18"/>
                <w:szCs w:val="18"/>
              </w:rPr>
              <w:t>本公司对单项金额重大的应收款项单独进行减值测试，单独测试未发生减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值的金融资产，包括在具有类似信用风险特征的金融资产组合中进行减值</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测试。单项测试已确认减值损失的应收款项，不再包括在具有类似信用风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险特征的应收款项组合中进行减值测试。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125"/>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125"/>
        <w:jc w:val="left"/>
      </w:pPr>
      <w:r>
        <w:rPr/>
        <w:t>组合中，采用账龄分析法计提坏账准备的：</w:t>
      </w:r>
    </w:p>
    <w:p>
      <w:pPr>
        <w:pStyle w:val="BodyText"/>
        <w:spacing w:line="240" w:lineRule="auto" w:before="117"/>
        <w:ind w:left="153" w:right="1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9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125"/>
        <w:jc w:val="left"/>
      </w:pPr>
      <w:r>
        <w:rPr/>
        <w:t>组合中，采用余额百分比法计提坏账准备的：</w:t>
      </w:r>
    </w:p>
    <w:p>
      <w:pPr>
        <w:pStyle w:val="BodyText"/>
        <w:spacing w:line="338" w:lineRule="auto" w:before="117"/>
        <w:ind w:right="65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1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25"/>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5"/>
        <w:rPr>
          <w:rFonts w:ascii="宋体" w:hAnsi="宋体" w:cs="宋体" w:eastAsia="宋体" w:hint="default"/>
          <w:b/>
          <w:bCs/>
          <w:sz w:val="25"/>
          <w:szCs w:val="25"/>
        </w:rPr>
      </w:pPr>
    </w:p>
    <w:p>
      <w:pPr>
        <w:spacing w:line="748" w:lineRule="exact"/>
        <w:ind w:left="144"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35pt;height:37.450pt;mso-position-horizontal-relative:char;mso-position-vertical-relative:line" coordorigin="0,0" coordsize="9587,749">
            <v:group style="position:absolute;left:14;top:495;width:2259;height:240" coordorigin="14,495" coordsize="2259,240">
              <v:shape style="position:absolute;left:14;top:495;width:2259;height:240" coordorigin="14,495" coordsize="2259,240" path="m14,735l2273,735,2273,495,14,495,14,735xe" filled="true" fillcolor="#d3d3d3" stroked="false">
                <v:path arrowok="t"/>
                <v:fill type="solid"/>
              </v:shape>
            </v:group>
            <v:group style="position:absolute;left:26;top:255;width:2;height:240" coordorigin="26,255" coordsize="2,240">
              <v:shape style="position:absolute;left:26;top:255;width:2;height:240" coordorigin="26,255" coordsize="0,240" path="m26,255l26,495e" filled="false" stroked="true" strokeweight="1.140pt" strokecolor="#d3d3d3">
                <v:path arrowok="t"/>
              </v:shape>
            </v:group>
            <v:group style="position:absolute;left:14;top:15;width:2259;height:240" coordorigin="14,15" coordsize="2259,240">
              <v:shape style="position:absolute;left:14;top:15;width:2259;height:240" coordorigin="14,15" coordsize="2259,240" path="m14,255l2273,255,2273,15,14,15,14,255xe" filled="true" fillcolor="#d3d3d3" stroked="false">
                <v:path arrowok="t"/>
                <v:fill type="solid"/>
              </v:shape>
            </v:group>
            <v:group style="position:absolute;left:2261;top:254;width:2;height:240" coordorigin="2261,254" coordsize="2,240">
              <v:shape style="position:absolute;left:2261;top:254;width:2;height:240" coordorigin="2261,254" coordsize="0,240" path="m2261,254l2261,494e" filled="false" stroked="true" strokeweight="1.140pt" strokecolor="#d3d3d3">
                <v:path arrowok="t"/>
              </v:shape>
            </v:group>
            <v:group style="position:absolute;left:37;top:254;width:2213;height:240" coordorigin="37,254" coordsize="2213,240">
              <v:shape style="position:absolute;left:37;top:254;width:2213;height:240" coordorigin="37,254" coordsize="2213,240" path="m37,494l2250,494,2250,254,37,254,37,494xe" filled="true" fillcolor="#d3d3d3" stroked="false">
                <v:path arrowok="t"/>
                <v:fill type="solid"/>
              </v:shape>
            </v:group>
            <v:group style="position:absolute;left:2294;top:14;width:2;height:720" coordorigin="2294,14" coordsize="2,720">
              <v:shape style="position:absolute;left:2294;top:14;width:2;height:720" coordorigin="2294,14" coordsize="0,720" path="m2294,14l2294,734e" filled="false" stroked="true" strokeweight="1.140pt" strokecolor="#c7edcc">
                <v:path arrowok="t"/>
              </v:shape>
            </v:group>
            <v:group style="position:absolute;left:9561;top:14;width:2;height:720" coordorigin="9561,14" coordsize="2,720">
              <v:shape style="position:absolute;left:9561;top:14;width:2;height:720" coordorigin="9561,14" coordsize="0,720" path="m9561,14l9561,734e" filled="false" stroked="true" strokeweight="1.140pt" strokecolor="#c7edcc">
                <v:path arrowok="t"/>
              </v:shape>
            </v:group>
            <v:group style="position:absolute;left:2305;top:14;width:7245;height:240" coordorigin="2305,14" coordsize="7245,240">
              <v:shape style="position:absolute;left:2305;top:14;width:7245;height:240" coordorigin="2305,14" coordsize="7245,240" path="m2305,254l9550,254,9550,14,2305,14,2305,254xe" filled="true" fillcolor="#c7edcc" stroked="false">
                <v:path arrowok="t"/>
                <v:fill type="solid"/>
              </v:shape>
            </v:group>
            <v:group style="position:absolute;left:2305;top:254;width:7245;height:240" coordorigin="2305,254" coordsize="7245,240">
              <v:shape style="position:absolute;left:2305;top:254;width:7245;height:240" coordorigin="2305,254" coordsize="7245,240" path="m2305,494l9550,494,9550,254,2305,254,2305,494xe" filled="true" fillcolor="#c7edcc" stroked="false">
                <v:path arrowok="t"/>
                <v:fill type="solid"/>
              </v:shape>
            </v:group>
            <v:group style="position:absolute;left:2305;top:494;width:7245;height:240" coordorigin="2305,494" coordsize="7245,240">
              <v:shape style="position:absolute;left:2305;top:494;width:7245;height:240" coordorigin="2305,494" coordsize="7245,240" path="m2305,734l9550,734,9550,494,2305,494,2305,734xe" filled="true" fillcolor="#c7edcc"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740" coordorigin="10,5" coordsize="2,740">
              <v:shape style="position:absolute;left:10;top:5;width:2;height:740" coordorigin="10,5" coordsize="0,740" path="m10,5l10,744e" filled="false" stroked="true" strokeweight=".48001pt" strokecolor="#000000">
                <v:path arrowok="t"/>
              </v:shape>
            </v:group>
            <v:group style="position:absolute;left:5;top:739;width:2268;height:2" coordorigin="5,739" coordsize="2268,2">
              <v:shape style="position:absolute;left:5;top:739;width:2268;height:2" coordorigin="5,739" coordsize="2268,0" path="m5,739l2273,739e" filled="false" stroked="true" strokeweight=".47998pt" strokecolor="#000000">
                <v:path arrowok="t"/>
              </v:shape>
            </v:group>
            <v:group style="position:absolute;left:2278;top:14;width:2;height:730" coordorigin="2278,14" coordsize="2,730">
              <v:shape style="position:absolute;left:2278;top:14;width:2;height:730" coordorigin="2278,14" coordsize="0,730" path="m2278,14l2278,744e" filled="false" stroked="true" strokeweight=".48001pt" strokecolor="#000000">
                <v:path arrowok="t"/>
              </v:shape>
            </v:group>
            <v:group style="position:absolute;left:2282;top:739;width:7290;height:2" coordorigin="2282,739" coordsize="7290,2">
              <v:shape style="position:absolute;left:2282;top:739;width:7290;height:2" coordorigin="2282,739" coordsize="7290,0" path="m2282,739l9572,739e" filled="false" stroked="true" strokeweight=".47998pt" strokecolor="#000000">
                <v:path arrowok="t"/>
              </v:shape>
            </v:group>
            <v:group style="position:absolute;left:9577;top:5;width:2;height:740" coordorigin="9577,5" coordsize="2,740">
              <v:shape style="position:absolute;left:9577;top:5;width:2;height:740" coordorigin="9577,5" coordsize="0,740" path="m9577,5l9577,744e" filled="false" stroked="true" strokeweight=".47998pt" strokecolor="#000000">
                <v:path arrowok="t"/>
              </v:shape>
              <v:shape style="position:absolute;left:10;top:10;width:2268;height:730" type="#_x0000_t202" filled="false" stroked="false">
                <v:textbox inset="0,0,0,0">
                  <w:txbxContent>
                    <w:p>
                      <w:pPr>
                        <w:spacing w:line="240" w:lineRule="auto" w:before="4"/>
                        <w:rPr>
                          <w:rFonts w:ascii="宋体" w:hAnsi="宋体" w:cs="宋体" w:eastAsia="宋体" w:hint="default"/>
                          <w:b/>
                          <w:bCs/>
                          <w:sz w:val="17"/>
                          <w:szCs w:val="17"/>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xbxContent>
                </v:textbox>
                <w10:wrap type="none"/>
              </v:shape>
              <v:shape style="position:absolute;left:2278;top:10;width:7300;height:730" type="#_x0000_t202" filled="false" stroked="false">
                <v:textbox inset="0,0,0,0">
                  <w:txbxContent>
                    <w:p>
                      <w:pPr>
                        <w:spacing w:line="240" w:lineRule="exact" w:before="4"/>
                        <w:ind w:left="27" w:right="71" w:firstLine="0"/>
                        <w:jc w:val="both"/>
                        <w:rPr>
                          <w:rFonts w:ascii="宋体" w:hAnsi="宋体" w:cs="宋体" w:eastAsia="宋体" w:hint="default"/>
                          <w:sz w:val="18"/>
                          <w:szCs w:val="18"/>
                        </w:rPr>
                      </w:pPr>
                      <w:r>
                        <w:rPr>
                          <w:rFonts w:ascii="宋体" w:hAnsi="宋体" w:cs="宋体" w:eastAsia="宋体" w:hint="default"/>
                          <w:sz w:val="18"/>
                          <w:szCs w:val="18"/>
                        </w:rPr>
                        <w:t>对于单项金额虽不重大但具备以下特征的应收款项，单独进行减值测试，有客观证据表明其 发生了减值的；与对方存在争议或涉及诉讼、仲裁的应收款项；已有明显迹象表明债务人很 可能无法履行还款义务的应收款项等。</w:t>
                      </w:r>
                    </w:p>
                  </w:txbxContent>
                </v:textbox>
                <w10:wrap type="none"/>
              </v:shape>
            </v:group>
          </v:group>
        </w:pict>
      </w:r>
      <w:r>
        <w:rPr>
          <w:rFonts w:ascii="宋体" w:hAnsi="宋体" w:cs="宋体" w:eastAsia="宋体" w:hint="default"/>
          <w:position w:val="-14"/>
          <w:sz w:val="20"/>
          <w:szCs w:val="20"/>
        </w:rPr>
      </w:r>
    </w:p>
    <w:p>
      <w:pPr>
        <w:spacing w:after="0" w:line="748" w:lineRule="exact"/>
        <w:rPr>
          <w:rFonts w:ascii="宋体" w:hAnsi="宋体" w:cs="宋体" w:eastAsia="宋体" w:hint="default"/>
          <w:sz w:val="20"/>
          <w:szCs w:val="20"/>
        </w:rPr>
        <w:sectPr>
          <w:pgSz w:w="11910" w:h="16840"/>
          <w:pgMar w:header="877" w:footer="982" w:top="1100" w:bottom="1180" w:left="980" w:right="940"/>
        </w:sectPr>
      </w:pPr>
    </w:p>
    <w:p>
      <w:pPr>
        <w:spacing w:line="240" w:lineRule="auto" w:before="2"/>
        <w:rPr>
          <w:rFonts w:ascii="宋体" w:hAnsi="宋体" w:cs="宋体" w:eastAsia="宋体" w:hint="default"/>
          <w:b/>
          <w:bCs/>
          <w:sz w:val="24"/>
          <w:szCs w:val="24"/>
        </w:rPr>
      </w:pPr>
    </w:p>
    <w:p>
      <w:pPr>
        <w:spacing w:line="750" w:lineRule="exact"/>
        <w:ind w:left="144"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35pt;height:37.5pt;mso-position-horizontal-relative:char;mso-position-vertical-relative:line" coordorigin="0,0" coordsize="9587,750">
            <v:group style="position:absolute;left:14;top:495;width:2259;height:240" coordorigin="14,495" coordsize="2259,240">
              <v:shape style="position:absolute;left:14;top:495;width:2259;height:240" coordorigin="14,495" coordsize="2259,240" path="m14,735l2273,735,2273,495,14,495,14,735xe" filled="true" fillcolor="#d3d3d3" stroked="false">
                <v:path arrowok="t"/>
                <v:fill type="solid"/>
              </v:shape>
            </v:group>
            <v:group style="position:absolute;left:26;top:255;width:2;height:240" coordorigin="26,255" coordsize="2,240">
              <v:shape style="position:absolute;left:26;top:255;width:2;height:240" coordorigin="26,255" coordsize="0,240" path="m26,255l26,495e" filled="false" stroked="true" strokeweight="1.140pt" strokecolor="#d3d3d3">
                <v:path arrowok="t"/>
              </v:shape>
            </v:group>
            <v:group style="position:absolute;left:14;top:15;width:2259;height:240" coordorigin="14,15" coordsize="2259,240">
              <v:shape style="position:absolute;left:14;top:15;width:2259;height:240" coordorigin="14,15" coordsize="2259,240" path="m14,255l2273,255,2273,15,14,15,14,255xe" filled="true" fillcolor="#d3d3d3" stroked="false">
                <v:path arrowok="t"/>
                <v:fill type="solid"/>
              </v:shape>
            </v:group>
            <v:group style="position:absolute;left:2261;top:254;width:2;height:240" coordorigin="2261,254" coordsize="2,240">
              <v:shape style="position:absolute;left:2261;top:254;width:2;height:240" coordorigin="2261,254" coordsize="0,240" path="m2261,254l2261,494e" filled="false" stroked="true" strokeweight="1.140pt" strokecolor="#d3d3d3">
                <v:path arrowok="t"/>
              </v:shape>
            </v:group>
            <v:group style="position:absolute;left:37;top:254;width:2213;height:240" coordorigin="37,254" coordsize="2213,240">
              <v:shape style="position:absolute;left:37;top:254;width:2213;height:240" coordorigin="37,254" coordsize="2213,240" path="m37,494l2250,494,2250,254,37,254,37,494xe" filled="true" fillcolor="#d3d3d3" stroked="false">
                <v:path arrowok="t"/>
                <v:fill type="solid"/>
              </v:shape>
            </v:group>
            <v:group style="position:absolute;left:2294;top:14;width:2;height:720" coordorigin="2294,14" coordsize="2,720">
              <v:shape style="position:absolute;left:2294;top:14;width:2;height:720" coordorigin="2294,14" coordsize="0,720" path="m2294,14l2294,734e" filled="false" stroked="true" strokeweight="1.140pt" strokecolor="#c7edcc">
                <v:path arrowok="t"/>
              </v:shape>
            </v:group>
            <v:group style="position:absolute;left:9561;top:14;width:2;height:720" coordorigin="9561,14" coordsize="2,720">
              <v:shape style="position:absolute;left:9561;top:14;width:2;height:720" coordorigin="9561,14" coordsize="0,720" path="m9561,14l9561,734e" filled="false" stroked="true" strokeweight="1.140pt" strokecolor="#c7edcc">
                <v:path arrowok="t"/>
              </v:shape>
            </v:group>
            <v:group style="position:absolute;left:2305;top:14;width:7245;height:240" coordorigin="2305,14" coordsize="7245,240">
              <v:shape style="position:absolute;left:2305;top:14;width:7245;height:240" coordorigin="2305,14" coordsize="7245,240" path="m2305,254l9550,254,9550,14,2305,14,2305,254xe" filled="true" fillcolor="#c7edcc" stroked="false">
                <v:path arrowok="t"/>
                <v:fill type="solid"/>
              </v:shape>
            </v:group>
            <v:group style="position:absolute;left:2305;top:254;width:7245;height:240" coordorigin="2305,254" coordsize="7245,240">
              <v:shape style="position:absolute;left:2305;top:254;width:7245;height:240" coordorigin="2305,254" coordsize="7245,240" path="m2305,494l9550,494,9550,254,2305,254,2305,494xe" filled="true" fillcolor="#c7edcc" stroked="false">
                <v:path arrowok="t"/>
                <v:fill type="solid"/>
              </v:shape>
            </v:group>
            <v:group style="position:absolute;left:2305;top:494;width:7245;height:240" coordorigin="2305,494" coordsize="7245,240">
              <v:shape style="position:absolute;left:2305;top:494;width:7245;height:240" coordorigin="2305,494" coordsize="7245,240" path="m2305,734l9550,734,9550,494,2305,494,2305,734xe" filled="true" fillcolor="#c7edcc"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741" coordorigin="10,5" coordsize="2,741">
              <v:shape style="position:absolute;left:10;top:5;width:2;height:741" coordorigin="10,5" coordsize="0,741" path="m10,5l10,745e" filled="false" stroked="true" strokeweight=".48001pt" strokecolor="#000000">
                <v:path arrowok="t"/>
              </v:shape>
            </v:group>
            <v:group style="position:absolute;left:5;top:740;width:2268;height:2" coordorigin="5,740" coordsize="2268,2">
              <v:shape style="position:absolute;left:5;top:740;width:2268;height:2" coordorigin="5,740" coordsize="2268,0" path="m5,740l2273,740e" filled="false" stroked="true" strokeweight=".47998pt" strokecolor="#000000">
                <v:path arrowok="t"/>
              </v:shape>
            </v:group>
            <v:group style="position:absolute;left:2278;top:14;width:2;height:731" coordorigin="2278,14" coordsize="2,731">
              <v:shape style="position:absolute;left:2278;top:14;width:2;height:731" coordorigin="2278,14" coordsize="0,731" path="m2278,14l2278,745e" filled="false" stroked="true" strokeweight=".48001pt" strokecolor="#000000">
                <v:path arrowok="t"/>
              </v:shape>
            </v:group>
            <v:group style="position:absolute;left:2282;top:740;width:7290;height:2" coordorigin="2282,740" coordsize="7290,2">
              <v:shape style="position:absolute;left:2282;top:740;width:7290;height:2" coordorigin="2282,740" coordsize="7290,0" path="m2282,740l9572,740e" filled="false" stroked="true" strokeweight=".47998pt" strokecolor="#000000">
                <v:path arrowok="t"/>
              </v:shape>
            </v:group>
            <v:group style="position:absolute;left:9577;top:5;width:2;height:741" coordorigin="9577,5" coordsize="2,741">
              <v:shape style="position:absolute;left:9577;top:5;width:2;height:741" coordorigin="9577,5" coordsize="0,741" path="m9577,5l9577,745e" filled="false" stroked="true" strokeweight=".47998pt" strokecolor="#000000">
                <v:path arrowok="t"/>
              </v:shape>
              <v:shape style="position:absolute;left:10;top:10;width:2268;height:731" type="#_x0000_t202" filled="false" stroked="false">
                <v:textbox inset="0,0,0,0">
                  <w:txbxContent>
                    <w:p>
                      <w:pPr>
                        <w:spacing w:line="240" w:lineRule="auto" w:before="4"/>
                        <w:rPr>
                          <w:rFonts w:ascii="宋体" w:hAnsi="宋体" w:cs="宋体" w:eastAsia="宋体" w:hint="default"/>
                          <w:b/>
                          <w:bCs/>
                          <w:sz w:val="17"/>
                          <w:szCs w:val="17"/>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坏账准备的计提方法</w:t>
                      </w:r>
                    </w:p>
                  </w:txbxContent>
                </v:textbox>
                <w10:wrap type="none"/>
              </v:shape>
              <v:shape style="position:absolute;left:2278;top:10;width:7300;height:731" type="#_x0000_t202" filled="false" stroked="false">
                <v:textbox inset="0,0,0,0">
                  <w:txbxContent>
                    <w:p>
                      <w:pPr>
                        <w:spacing w:line="240" w:lineRule="exact" w:before="4"/>
                        <w:ind w:left="27" w:right="71" w:firstLine="0"/>
                        <w:jc w:val="both"/>
                        <w:rPr>
                          <w:rFonts w:ascii="宋体" w:hAnsi="宋体" w:cs="宋体" w:eastAsia="宋体" w:hint="default"/>
                          <w:sz w:val="18"/>
                          <w:szCs w:val="18"/>
                        </w:rPr>
                      </w:pPr>
                      <w:r>
                        <w:rPr>
                          <w:rFonts w:ascii="宋体" w:hAnsi="宋体" w:cs="宋体" w:eastAsia="宋体" w:hint="default"/>
                          <w:sz w:val="18"/>
                          <w:szCs w:val="18"/>
                        </w:rPr>
                        <w:t>对于单项金额虽不重大但具备以下特征的应收款项，单独进行减值测试，有客观证据表明其 发生了减值的，根据其未来现金流量现值低于其账面价值的差额，确认减值损失，计提坏账 准备</w:t>
                      </w:r>
                    </w:p>
                  </w:txbxContent>
                </v:textbox>
                <w10:wrap type="none"/>
              </v:shape>
            </v:group>
          </v:group>
        </w:pict>
      </w:r>
      <w:r>
        <w:rPr>
          <w:rFonts w:ascii="宋体" w:hAnsi="宋体" w:cs="宋体" w:eastAsia="宋体" w:hint="default"/>
          <w:position w:val="-14"/>
          <w:sz w:val="20"/>
          <w:szCs w:val="20"/>
        </w:rPr>
      </w:r>
    </w:p>
    <w:p>
      <w:pPr>
        <w:spacing w:line="240" w:lineRule="auto" w:before="11"/>
        <w:rPr>
          <w:rFonts w:ascii="宋体" w:hAnsi="宋体" w:cs="宋体" w:eastAsia="宋体" w:hint="default"/>
          <w:b/>
          <w:bCs/>
          <w:sz w:val="18"/>
          <w:szCs w:val="18"/>
        </w:rPr>
      </w:pPr>
    </w:p>
    <w:p>
      <w:pPr>
        <w:pStyle w:val="Heading3"/>
        <w:spacing w:line="240" w:lineRule="auto" w:before="35"/>
        <w:ind w:right="125"/>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6751"/>
        <w:jc w:val="left"/>
      </w:pPr>
      <w:r>
        <w:rPr/>
        <w:t>公司是否需要遵守特殊行业的披露要求 否</w:t>
      </w:r>
    </w:p>
    <w:p>
      <w:pPr>
        <w:pStyle w:val="BodyText"/>
        <w:spacing w:line="300" w:lineRule="auto" w:before="26"/>
        <w:ind w:left="634" w:right="4650"/>
        <w:jc w:val="left"/>
      </w:pPr>
      <w:r>
        <w:rPr/>
        <w:t>（</w:t>
      </w:r>
      <w:r>
        <w:rPr>
          <w:rFonts w:ascii="Times New Roman" w:hAnsi="Times New Roman" w:cs="Times New Roman" w:eastAsia="Times New Roman" w:hint="default"/>
        </w:rPr>
        <w:t>1</w:t>
      </w:r>
      <w:r>
        <w:rPr/>
        <w:t>）存货的分类 存货主要包括原材料、库存商品、低值易耗品、发出商品。</w:t>
      </w:r>
    </w:p>
    <w:p>
      <w:pPr>
        <w:pStyle w:val="BodyText"/>
        <w:spacing w:line="300" w:lineRule="auto" w:before="31"/>
        <w:ind w:left="634" w:right="330"/>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w:t>
      </w:r>
    </w:p>
    <w:p>
      <w:pPr>
        <w:pStyle w:val="BodyText"/>
        <w:spacing w:line="300" w:lineRule="auto" w:before="31"/>
        <w:ind w:left="634" w:right="125"/>
        <w:jc w:val="left"/>
      </w:pPr>
      <w:r>
        <w:rPr/>
        <w:t>（</w:t>
      </w:r>
      <w:r>
        <w:rPr>
          <w:rFonts w:ascii="Times New Roman" w:hAnsi="Times New Roman" w:cs="Times New Roman" w:eastAsia="Times New Roman" w:hint="default"/>
        </w:rPr>
        <w:t>3</w:t>
      </w:r>
      <w:r>
        <w:rPr/>
        <w:t>）存货可变现净值的确认和跌价准备的计提方法 </w:t>
      </w:r>
      <w:r>
        <w:rPr>
          <w:spacing w:val="-1"/>
        </w:rPr>
        <w:t>可变现净值是指在日常活动中，存货的估计售价减去至完工时估计将要发生的成本、估计的销售费用以及相关税费后</w:t>
      </w:r>
    </w:p>
    <w:p>
      <w:pPr>
        <w:pStyle w:val="BodyText"/>
        <w:spacing w:line="316" w:lineRule="auto" w:before="31"/>
        <w:ind w:left="634" w:right="83" w:hanging="480"/>
        <w:jc w:val="left"/>
      </w:pPr>
      <w:r>
        <w:rPr>
          <w:spacing w:val="-4"/>
        </w:rPr>
        <w:t>的金额。在确定存货的可变现净值时，以取得的确凿证据为基础，同时考虑持有存货的目的以及资产负债表日后事项的影响。</w:t>
      </w:r>
      <w:r>
        <w:rPr>
          <w:spacing w:val="-44"/>
        </w:rPr>
        <w:t> </w:t>
      </w:r>
      <w:r>
        <w:rPr>
          <w:spacing w:val="-44"/>
        </w:rPr>
      </w:r>
      <w:r>
        <w:rPr/>
        <w:t>在资产负债表日，存货按照成本与可变现净值孰低计量。当其可变现净值低于成本时，提取存货跌价准备。存货跌价</w:t>
      </w:r>
    </w:p>
    <w:p>
      <w:pPr>
        <w:pStyle w:val="BodyText"/>
        <w:spacing w:line="316" w:lineRule="auto" w:before="19"/>
        <w:ind w:right="189"/>
        <w:jc w:val="both"/>
      </w:pPr>
      <w:r>
        <w:rPr>
          <w:spacing w:val="-2"/>
        </w:rPr>
        <w:t>准备通常按单个存货项目的成本高于其可变现净值的差额提取。对于数量繁多、单价较低的存货，按存货类别计提存货跌价</w:t>
      </w:r>
      <w:r>
        <w:rPr>
          <w:spacing w:val="-66"/>
        </w:rPr>
        <w:t> </w:t>
      </w:r>
      <w:r>
        <w:rPr>
          <w:spacing w:val="-66"/>
        </w:rPr>
      </w:r>
      <w:r>
        <w:rPr>
          <w:spacing w:val="-2"/>
        </w:rPr>
        <w:t>准备；对在同一地区生产和销售的产品系列相关、具有相同或类似最终用途或目的，且难以与其他项目分开计量的存货，可</w:t>
      </w:r>
      <w:r>
        <w:rPr>
          <w:spacing w:val="-66"/>
        </w:rPr>
        <w:t> </w:t>
      </w:r>
      <w:r>
        <w:rPr>
          <w:spacing w:val="-66"/>
        </w:rPr>
      </w:r>
      <w:r>
        <w:rPr/>
        <w:t>合并计提存货跌价准备。</w:t>
      </w:r>
    </w:p>
    <w:p>
      <w:pPr>
        <w:pStyle w:val="BodyText"/>
        <w:spacing w:line="316" w:lineRule="auto" w:before="19"/>
        <w:ind w:right="191" w:firstLine="480"/>
        <w:jc w:val="both"/>
      </w:pPr>
      <w:r>
        <w:rPr>
          <w:spacing w:val="-1"/>
        </w:rPr>
        <w:t>计提存货跌价准备后，如果以前减记存货价值的影响因素已经消失，导致存货的可变现净值高于其账面价值的，在原</w:t>
      </w:r>
      <w:r>
        <w:rPr/>
        <w:t> 已计提的存货跌价准备金额内予以转回，转回的金额计入当期损益。</w:t>
      </w:r>
    </w:p>
    <w:p>
      <w:pPr>
        <w:pStyle w:val="BodyText"/>
        <w:spacing w:line="240" w:lineRule="auto" w:before="19"/>
        <w:ind w:left="634" w:right="125"/>
        <w:jc w:val="left"/>
      </w:pPr>
      <w:r>
        <w:rPr/>
        <w:t>（</w:t>
      </w:r>
      <w:r>
        <w:rPr>
          <w:rFonts w:ascii="Times New Roman" w:hAnsi="Times New Roman" w:cs="Times New Roman" w:eastAsia="Times New Roman" w:hint="default"/>
        </w:rPr>
        <w:t>4</w:t>
      </w:r>
      <w:r>
        <w:rPr/>
        <w:t>）存货的盘存制度为永续盘存制。</w:t>
      </w:r>
    </w:p>
    <w:p>
      <w:pPr>
        <w:pStyle w:val="BodyText"/>
        <w:spacing w:line="300" w:lineRule="auto" w:before="63"/>
        <w:ind w:left="634" w:right="3210"/>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191" w:firstLine="480"/>
        <w:jc w:val="both"/>
      </w:pPr>
      <w:r>
        <w:rPr>
          <w:spacing w:val="-1"/>
        </w:rPr>
        <w:t>本部分所指的长期股权投资是指本公司对被投资单位具有控制、共同控制或重大影响的长期股权投资。本公司对被投</w:t>
      </w:r>
      <w:r>
        <w:rPr/>
        <w:t> </w:t>
      </w:r>
      <w:r>
        <w:rPr>
          <w:spacing w:val="-2"/>
        </w:rPr>
        <w:t>资单位不具有控制、共同控制或重大影响的长期股权投资，作为可供出售金融资产或以公允价值计量且其变动计入当期损益</w:t>
      </w:r>
      <w:r>
        <w:rPr>
          <w:spacing w:val="-64"/>
        </w:rPr>
        <w:t> </w:t>
      </w:r>
      <w:r>
        <w:rPr>
          <w:spacing w:val="-64"/>
        </w:rPr>
      </w:r>
      <w:r>
        <w:rPr/>
        <w:t>的金融资产核算，其会计政策详见附注四、</w:t>
      </w:r>
      <w:r>
        <w:rPr>
          <w:rFonts w:ascii="Times New Roman" w:hAnsi="Times New Roman" w:cs="Times New Roman" w:eastAsia="Times New Roman" w:hint="default"/>
        </w:rPr>
        <w:t>8“</w:t>
      </w:r>
      <w:r>
        <w:rPr/>
        <w:t>金融工具</w:t>
      </w:r>
      <w:r>
        <w:rPr>
          <w:rFonts w:ascii="Times New Roman" w:hAnsi="Times New Roman" w:cs="Times New Roman" w:eastAsia="Times New Roman" w:hint="default"/>
        </w:rPr>
        <w:t>”</w:t>
      </w:r>
      <w:r>
        <w:rPr/>
        <w:t>。</w:t>
      </w:r>
    </w:p>
    <w:p>
      <w:pPr>
        <w:pStyle w:val="BodyText"/>
        <w:spacing w:line="316" w:lineRule="auto"/>
        <w:ind w:left="153" w:right="191" w:firstLine="480"/>
        <w:jc w:val="both"/>
      </w:pPr>
      <w:r>
        <w:rPr>
          <w:spacing w:val="-1"/>
        </w:rPr>
        <w:t>共同控制，是指本公司按照相关约定对某项安排所共有的控制，并且该安排的相关活动必须经过分享控制权的参与方</w:t>
      </w:r>
      <w:r>
        <w:rPr/>
        <w:t> </w:t>
      </w:r>
      <w:r>
        <w:rPr>
          <w:spacing w:val="-2"/>
        </w:rPr>
        <w:t>一致同意后才能决策。重大影响，是指本公司对被投资单位的财务和经营政策有参与决策的权力，但并不能够控制或者与其</w:t>
      </w:r>
      <w:r>
        <w:rPr>
          <w:spacing w:val="-66"/>
        </w:rPr>
        <w:t> </w:t>
      </w:r>
      <w:r>
        <w:rPr>
          <w:spacing w:val="-66"/>
        </w:rPr>
      </w:r>
      <w:r>
        <w:rPr/>
        <w:t>他方一起共同控制这些政策的制定。</w:t>
      </w:r>
    </w:p>
    <w:p>
      <w:pPr>
        <w:pStyle w:val="BodyText"/>
        <w:spacing w:line="300" w:lineRule="auto" w:before="19"/>
        <w:ind w:left="634" w:right="125"/>
        <w:jc w:val="left"/>
      </w:pPr>
      <w:r>
        <w:rPr/>
        <w:t>（</w:t>
      </w:r>
      <w:r>
        <w:rPr>
          <w:rFonts w:ascii="Times New Roman" w:hAnsi="Times New Roman" w:cs="Times New Roman" w:eastAsia="Times New Roman" w:hint="default"/>
        </w:rPr>
        <w:t>1</w:t>
      </w:r>
      <w:r>
        <w:rPr/>
        <w:t>）投资成本的确定 </w:t>
      </w:r>
      <w:r>
        <w:rPr>
          <w:spacing w:val="-1"/>
        </w:rPr>
        <w:t>对于同一控制下的企业合并取得的长期股权投资，在合并日按照被合并方股东权益在最终控制方合并财务报表中的账</w:t>
      </w:r>
    </w:p>
    <w:p>
      <w:pPr>
        <w:pStyle w:val="BodyText"/>
        <w:spacing w:line="314" w:lineRule="auto" w:before="31"/>
        <w:ind w:left="153" w:right="189"/>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6"/>
        </w:rPr>
        <w:t> </w:t>
      </w:r>
      <w:r>
        <w:rPr>
          <w:spacing w:val="-66"/>
        </w:rPr>
      </w:r>
      <w:r>
        <w:rPr>
          <w:spacing w:val="-2"/>
        </w:rPr>
        <w:t>并日按照被合并方股东权益在最终控制方合并财务报表中的账面价值的份额作为长期股权投资的初始投资成本，按照发行股</w:t>
      </w:r>
      <w:r>
        <w:rPr>
          <w:spacing w:val="-64"/>
        </w:rPr>
        <w:t> </w:t>
      </w:r>
      <w:r>
        <w:rPr>
          <w:spacing w:val="-64"/>
        </w:rPr>
      </w:r>
      <w:r>
        <w:rPr>
          <w:spacing w:val="-2"/>
        </w:rPr>
        <w:t>份的面值总额作为股本，长期股权投资初始投资成本与所发行股份面值总额之间的差额，调整资本公积；资本公积不足冲减</w:t>
      </w:r>
      <w:r>
        <w:rPr>
          <w:spacing w:val="-66"/>
        </w:rPr>
        <w:t> </w:t>
      </w:r>
      <w:r>
        <w:rPr>
          <w:spacing w:val="-66"/>
        </w:rPr>
      </w:r>
      <w:r>
        <w:rPr>
          <w:spacing w:val="-2"/>
        </w:rPr>
        <w:t>的，调整留存收益。通过多次交易分步取得同一控制下被合并方的股权，最终形成同一控制下企业合并的，应分别是否属于</w:t>
      </w:r>
      <w:r>
        <w:rPr>
          <w:spacing w:val="-66"/>
        </w:rPr>
        <w:t> </w:t>
      </w:r>
      <w:r>
        <w:rPr>
          <w:spacing w:val="-66"/>
        </w:rPr>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3"/>
        </w:rPr>
        <w:t> </w:t>
      </w:r>
      <w:r>
        <w:rPr>
          <w:spacing w:val="-2"/>
        </w:rPr>
        <w:t>的，在合并日按照应享有被合并方股东权益在最终控制方合并财务报表中的账面价值的份额作为长期股权投资的初始投资成</w:t>
      </w:r>
      <w:r>
        <w:rPr>
          <w:spacing w:val="-64"/>
        </w:rPr>
        <w:t> </w:t>
      </w:r>
      <w:r>
        <w:rPr>
          <w:spacing w:val="-64"/>
        </w:rPr>
      </w:r>
      <w:r>
        <w:rPr>
          <w:spacing w:val="-2"/>
        </w:rPr>
        <w:t>本，长期股权投资初始投资成本与达到合并前的长期股权投资账面价值加上合并日进一步取得股份新支付对价的账面价值之</w:t>
      </w:r>
    </w:p>
    <w:p>
      <w:pPr>
        <w:spacing w:after="0" w:line="314" w:lineRule="auto"/>
        <w:jc w:val="both"/>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125"/>
        <w:jc w:val="left"/>
      </w:pPr>
      <w:r>
        <w:rPr>
          <w:spacing w:val="-2"/>
        </w:rPr>
        <w:t>和的差额，调整资本公积；资本公积不足冲减的，调整留存收益。合并日之前持有的股权投资因采用权益法核算或为可供出</w:t>
      </w:r>
      <w:r>
        <w:rPr>
          <w:spacing w:val="-66"/>
        </w:rPr>
        <w:t> </w:t>
      </w:r>
      <w:r>
        <w:rPr>
          <w:spacing w:val="-66"/>
        </w:rPr>
      </w:r>
      <w:r>
        <w:rPr/>
        <w:t>售金融资产而确认的其他综合收益，暂不进行会计处理。</w:t>
      </w:r>
    </w:p>
    <w:p>
      <w:pPr>
        <w:pStyle w:val="BodyText"/>
        <w:spacing w:line="312" w:lineRule="auto" w:before="19"/>
        <w:ind w:left="153" w:right="189" w:firstLine="480"/>
        <w:jc w:val="both"/>
      </w:pPr>
      <w:r>
        <w:rPr>
          <w:spacing w:val="-1"/>
        </w:rPr>
        <w:t>对于非同一控制下的企业合并取得的长期股权投资，在购买日按照合并成本作为长期股权投资的初始投资成本，合并</w:t>
      </w:r>
      <w:r>
        <w:rPr/>
        <w:t> </w:t>
      </w:r>
      <w:r>
        <w:rPr>
          <w:spacing w:val="-2"/>
        </w:rPr>
        <w:t>成本包括购买方付出的资产、发生或承担的负债、发行的权益性证券的公允价值之和。通过多次交易分步取得被购买方的股</w:t>
      </w:r>
      <w:r>
        <w:rPr>
          <w:spacing w:val="-66"/>
        </w:rPr>
        <w:t> </w:t>
      </w:r>
      <w:r>
        <w:rPr>
          <w:spacing w:val="-66"/>
        </w:rPr>
      </w:r>
      <w:r>
        <w:rPr>
          <w:spacing w:val="-1"/>
        </w:rPr>
        <w:t>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w:t>
      </w:r>
      <w:r>
        <w:rPr>
          <w:spacing w:val="-78"/>
        </w:rPr>
        <w:t> </w:t>
      </w:r>
      <w:r>
        <w:rPr>
          <w:spacing w:val="-78"/>
        </w:rPr>
      </w:r>
      <w:r>
        <w:rPr>
          <w:spacing w:val="-2"/>
        </w:rPr>
        <w:t>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的，按照原持有被购买方的股权投资账面价值加上新增投资成本</w:t>
      </w:r>
      <w:r>
        <w:rPr>
          <w:spacing w:val="-44"/>
        </w:rPr>
        <w:t> </w:t>
      </w:r>
      <w:r>
        <w:rPr>
          <w:spacing w:val="-44"/>
        </w:rPr>
      </w:r>
      <w:r>
        <w:rPr>
          <w:spacing w:val="-2"/>
        </w:rPr>
        <w:t>之和，作为改按成本法核算的长期股权投资的初始投资成本。原持有的股权采用权益法核算的，相关其他综合收益暂不进行</w:t>
      </w:r>
      <w:r>
        <w:rPr>
          <w:spacing w:val="-66"/>
        </w:rPr>
        <w:t> </w:t>
      </w:r>
      <w:r>
        <w:rPr>
          <w:spacing w:val="-66"/>
        </w:rPr>
      </w:r>
      <w:r>
        <w:rPr>
          <w:spacing w:val="-2"/>
        </w:rPr>
        <w:t>会计处理。原持有股权投资为可供出售金融资产的，其公允价值与账面价值之间的差额，以及原计入其他综合收益的累计公</w:t>
      </w:r>
      <w:r>
        <w:rPr>
          <w:spacing w:val="-66"/>
        </w:rPr>
        <w:t> </w:t>
      </w:r>
      <w:r>
        <w:rPr>
          <w:spacing w:val="-66"/>
        </w:rPr>
      </w:r>
      <w:r>
        <w:rPr/>
        <w:t>允价值变动转入当期损益。</w:t>
      </w:r>
    </w:p>
    <w:p>
      <w:pPr>
        <w:pStyle w:val="BodyText"/>
        <w:spacing w:line="316" w:lineRule="auto" w:before="22"/>
        <w:ind w:right="189" w:firstLine="480"/>
        <w:jc w:val="both"/>
      </w:pPr>
      <w:r>
        <w:rPr>
          <w:spacing w:val="-1"/>
        </w:rPr>
        <w:t>合并方或购买方为企业合并发生的审计、法律服务、评估咨询等中介费用以及其他相关管理费用，于发生时计入当期</w:t>
      </w:r>
      <w:r>
        <w:rPr/>
        <w:t> 损益。</w:t>
      </w:r>
    </w:p>
    <w:p>
      <w:pPr>
        <w:pStyle w:val="BodyText"/>
        <w:spacing w:line="314" w:lineRule="auto" w:before="19"/>
        <w:ind w:right="168" w:firstLine="480"/>
        <w:jc w:val="both"/>
      </w:pPr>
      <w:r>
        <w:rPr/>
        <w:t>除企业合并形成的长期股权投资外的其他股权投资，按成本进行初始计量，该成本视长期股权投资取得方式的不同， </w:t>
      </w:r>
      <w:r>
        <w:rPr>
          <w:spacing w:val="-2"/>
        </w:rPr>
        <w:t>分别按照本公司实际支付的现金购买价款、本公司发行的权益性证券的公允价值、投资合同或协议约定的价值、非货币性资</w:t>
      </w:r>
      <w:r>
        <w:rPr>
          <w:spacing w:val="-66"/>
        </w:rPr>
        <w:t> </w:t>
      </w:r>
      <w:r>
        <w:rPr>
          <w:spacing w:val="-66"/>
        </w:rPr>
      </w:r>
      <w:r>
        <w:rPr>
          <w:spacing w:val="-2"/>
        </w:rPr>
        <w:t>产交换交易中换出资产的公允价值或原账面价值、该项长期股权投资自身的公允价值等方式确定。与取得长期股权投资直接</w:t>
      </w:r>
      <w:r>
        <w:rPr>
          <w:spacing w:val="-64"/>
        </w:rPr>
        <w:t> </w:t>
      </w:r>
      <w:r>
        <w:rPr>
          <w:spacing w:val="-64"/>
        </w:rPr>
      </w:r>
      <w:r>
        <w:rPr>
          <w:spacing w:val="-2"/>
        </w:rPr>
        <w:t>相关的费用、税金及其他必要支出也计入投资成本。对于因追加投资能够对被投资单位实施重大影响或实施共同控制但不构</w:t>
      </w:r>
      <w:r>
        <w:rPr>
          <w:spacing w:val="-64"/>
        </w:rPr>
        <w:t> </w:t>
      </w:r>
      <w:r>
        <w:rPr>
          <w:spacing w:val="-64"/>
        </w:rPr>
      </w:r>
      <w:r>
        <w:rPr>
          <w:spacing w:val="-2"/>
        </w:rPr>
        <w:t>成控制的，长期股权投资成本为按照《企业会计准则第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w:t>
      </w:r>
      <w:r>
        <w:rPr>
          <w:spacing w:val="-64"/>
        </w:rPr>
        <w:t> </w:t>
      </w:r>
      <w:r>
        <w:rPr>
          <w:spacing w:val="-64"/>
        </w:rPr>
      </w:r>
      <w:r>
        <w:rPr/>
        <w:t>上新增投资成本之和。</w:t>
      </w:r>
    </w:p>
    <w:p>
      <w:pPr>
        <w:pStyle w:val="BodyText"/>
        <w:spacing w:line="300" w:lineRule="auto" w:before="20"/>
        <w:ind w:left="634" w:right="125"/>
        <w:jc w:val="left"/>
      </w:pPr>
      <w:r>
        <w:rPr/>
        <w:t>（</w:t>
      </w:r>
      <w:r>
        <w:rPr>
          <w:rFonts w:ascii="Times New Roman" w:hAnsi="Times New Roman" w:cs="Times New Roman" w:eastAsia="Times New Roman" w:hint="default"/>
        </w:rPr>
        <w:t>2</w:t>
      </w:r>
      <w:r>
        <w:rPr/>
        <w:t>）后续计量及损益确认方法 </w:t>
      </w:r>
      <w:r>
        <w:rPr>
          <w:spacing w:val="-1"/>
        </w:rPr>
        <w:t>对被投资单位具有共同控制（构成共同经营者除外）或重大影响的长期股权投资，采用权益法核算。此外，公司财务</w:t>
      </w:r>
    </w:p>
    <w:p>
      <w:pPr>
        <w:pStyle w:val="BodyText"/>
        <w:spacing w:line="240" w:lineRule="auto" w:before="31"/>
        <w:ind w:right="125"/>
        <w:jc w:val="left"/>
      </w:pPr>
      <w:r>
        <w:rPr/>
        <w:t>报表采用成本法核算能够对被投资单位实施控制的长期股权投资。</w:t>
      </w:r>
    </w:p>
    <w:p>
      <w:pPr>
        <w:pStyle w:val="BodyText"/>
        <w:spacing w:line="316" w:lineRule="auto" w:before="76"/>
        <w:ind w:left="634" w:right="125"/>
        <w:jc w:val="left"/>
      </w:pPr>
      <w:r>
        <w:rPr/>
        <w:t>①成本法核算的长期股权投资 </w:t>
      </w:r>
      <w:r>
        <w:rPr>
          <w:spacing w:val="-1"/>
        </w:rPr>
        <w:t>采用成本法核算时，长期股权投资按初始投资成本计价，追加或收回投资调整长期股权投资的成本。除取得投资时实</w:t>
      </w:r>
    </w:p>
    <w:p>
      <w:pPr>
        <w:pStyle w:val="BodyText"/>
        <w:spacing w:line="316" w:lineRule="auto" w:before="19"/>
        <w:ind w:right="125"/>
        <w:jc w:val="left"/>
      </w:pPr>
      <w:r>
        <w:rPr>
          <w:spacing w:val="-2"/>
        </w:rPr>
        <w:t>际支付的价款或者对价中包含的已宣告但尚未发放的现金股利或者利润外，当期投资收益按照享有被投资单位宣告发放的现</w:t>
      </w:r>
      <w:r>
        <w:rPr>
          <w:spacing w:val="-64"/>
        </w:rPr>
        <w:t> </w:t>
      </w:r>
      <w:r>
        <w:rPr>
          <w:spacing w:val="-64"/>
        </w:rPr>
      </w:r>
      <w:r>
        <w:rPr/>
        <w:t>金股利或利润确认。</w:t>
      </w:r>
    </w:p>
    <w:p>
      <w:pPr>
        <w:pStyle w:val="BodyText"/>
        <w:spacing w:line="316" w:lineRule="auto" w:before="19"/>
        <w:ind w:left="634" w:right="125"/>
        <w:jc w:val="left"/>
      </w:pPr>
      <w:r>
        <w:rPr/>
        <w:t>②权益法核算的长期股权投资 </w:t>
      </w:r>
      <w:r>
        <w:rPr>
          <w:spacing w:val="-1"/>
        </w:rPr>
        <w:t>采用权益法核算时，长期股权投资的初始投资成本大于投资时应享有被投资单位可辨认净资产公允价值份额的，不调</w:t>
      </w:r>
    </w:p>
    <w:p>
      <w:pPr>
        <w:pStyle w:val="BodyText"/>
        <w:spacing w:line="316" w:lineRule="auto" w:before="19"/>
        <w:ind w:right="125"/>
        <w:jc w:val="left"/>
      </w:pPr>
      <w:r>
        <w:rPr>
          <w:spacing w:val="-2"/>
        </w:rPr>
        <w:t>整长期股权投资的初始投资成本；初始投资成本小于投资时应享有被投资单位可辨认净资产公允价值份额的，其差额计入当</w:t>
      </w:r>
      <w:r>
        <w:rPr>
          <w:spacing w:val="-64"/>
        </w:rPr>
        <w:t> </w:t>
      </w:r>
      <w:r>
        <w:rPr>
          <w:spacing w:val="-64"/>
        </w:rPr>
      </w:r>
      <w:r>
        <w:rPr/>
        <w:t>期损益，同时调整长期股权投资的成本。</w:t>
      </w:r>
    </w:p>
    <w:p>
      <w:pPr>
        <w:pStyle w:val="BodyText"/>
        <w:spacing w:line="316" w:lineRule="auto" w:before="19"/>
        <w:ind w:right="90" w:firstLine="480"/>
        <w:jc w:val="left"/>
      </w:pPr>
      <w:r>
        <w:rPr/>
        <w:t>采用权益法核算时，按照应享有或应分担的被投资单位实现的净损益和其他综合收益的份额，分别确认投资收益和其 </w:t>
      </w:r>
      <w:r>
        <w:rPr>
          <w:spacing w:val="-2"/>
        </w:rPr>
        <w:t>他综合收益，同时调整长期股权投资的账面价值；按照被投资单位宣告分派的利润或现金股利计算应享有的部分，相应减少</w:t>
      </w:r>
      <w:r>
        <w:rPr>
          <w:spacing w:val="-66"/>
        </w:rPr>
        <w:t> </w:t>
      </w:r>
      <w:r>
        <w:rPr>
          <w:spacing w:val="-66"/>
        </w:rPr>
      </w:r>
      <w:r>
        <w:rPr>
          <w:spacing w:val="-2"/>
        </w:rPr>
        <w:t>长期股权投资的账面价值；对于被投资单位除净损益、其他综合收益和利润分配以外所有者权益的其他变动，调整长期股权</w:t>
      </w:r>
      <w:r>
        <w:rPr>
          <w:spacing w:val="-66"/>
        </w:rPr>
        <w:t> </w:t>
      </w:r>
      <w:r>
        <w:rPr>
          <w:spacing w:val="-66"/>
        </w:rPr>
      </w:r>
      <w:r>
        <w:rPr>
          <w:spacing w:val="-2"/>
        </w:rPr>
        <w:t>投资的账面价值并计入资本公积。在确认应享有被投资单位净损益的份额时，以取得投资时被投资单位各项可辨认资产等的</w:t>
      </w:r>
      <w:r>
        <w:rPr>
          <w:spacing w:val="-64"/>
        </w:rPr>
        <w:t> </w:t>
      </w:r>
      <w:r>
        <w:rPr>
          <w:spacing w:val="-64"/>
        </w:rPr>
      </w:r>
      <w:r>
        <w:rPr>
          <w:spacing w:val="-2"/>
        </w:rPr>
        <w:t>公允价值为基础，对被投资单位的净利润进行调整后确认。被投资单位采用的会计政策及会计期间与本公司不一致的，按照</w:t>
      </w:r>
      <w:r>
        <w:rPr>
          <w:spacing w:val="-66"/>
        </w:rPr>
        <w:t> </w:t>
      </w:r>
      <w:r>
        <w:rPr>
          <w:spacing w:val="-66"/>
        </w:rPr>
      </w:r>
      <w:r>
        <w:rPr>
          <w:spacing w:val="-2"/>
        </w:rPr>
        <w:t>本公司的会计政策及会计期间对被投资单位的财务报表进行调整，并据以确认投资收益和其他综合收益。对于本公司与联营</w:t>
      </w:r>
      <w:r>
        <w:rPr>
          <w:spacing w:val="-64"/>
        </w:rPr>
        <w:t> </w:t>
      </w:r>
      <w:r>
        <w:rPr>
          <w:spacing w:val="-64"/>
        </w:rPr>
      </w:r>
      <w:r>
        <w:rPr>
          <w:spacing w:val="-2"/>
        </w:rPr>
        <w:t>企业及合营企业之间发生的交易，投出或出售的资产不构成业务的，未实现内部交易损益按照享有的比例计算归属于本公司</w:t>
      </w:r>
      <w:r>
        <w:rPr>
          <w:spacing w:val="-64"/>
        </w:rPr>
        <w:t> </w:t>
      </w:r>
      <w:r>
        <w:rPr>
          <w:spacing w:val="-64"/>
        </w:rPr>
      </w:r>
      <w:r>
        <w:rPr>
          <w:spacing w:val="-2"/>
        </w:rPr>
        <w:t>的部分予以抵销，在此基础上确认投资损益。但本公司与被投资单位发生的未实现内部交易损失，属于所转让资产减值损失</w:t>
      </w:r>
      <w:r>
        <w:rPr>
          <w:spacing w:val="-66"/>
        </w:rPr>
        <w:t> </w:t>
      </w:r>
      <w:r>
        <w:rPr>
          <w:spacing w:val="-66"/>
        </w:rPr>
      </w:r>
      <w:r>
        <w:rPr/>
        <w:t>的，不予以抵销。本公司向合营企业或联营企业投出的资产构成业务的，投资方因此取得长期股权投资但未取得控制权的， </w:t>
      </w:r>
      <w:r>
        <w:rPr>
          <w:spacing w:val="-2"/>
        </w:rPr>
        <w:t>以投出业务的公允价值作为新增长期股权投资的初始投资成本，初始投资成本与投出业务的账面价值之差，全额计入当期损</w:t>
      </w:r>
      <w:r>
        <w:rPr>
          <w:spacing w:val="-64"/>
        </w:rPr>
        <w:t> </w:t>
      </w:r>
      <w:r>
        <w:rPr>
          <w:spacing w:val="-64"/>
        </w:rPr>
      </w:r>
      <w:r>
        <w:rPr>
          <w:spacing w:val="-2"/>
        </w:rPr>
        <w:t>益。本公司向合营企业或联营企业出售的资产构成业务的，取得的对价与业务的账面价值之差，全额计入当期损益。本公司</w:t>
      </w:r>
      <w:r>
        <w:rPr>
          <w:spacing w:val="-66"/>
        </w:rPr>
        <w:t> </w:t>
      </w:r>
      <w:r>
        <w:rPr>
          <w:spacing w:val="-66"/>
        </w:rPr>
      </w:r>
      <w:r>
        <w:rPr>
          <w:spacing w:val="-2"/>
        </w:rPr>
        <w:t>自联营企业及合营企业购入的资产构成业务的，按《企业会计准则第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w:t>
      </w:r>
      <w:r>
        <w:rPr>
          <w:spacing w:val="-64"/>
        </w:rPr>
        <w:t> </w:t>
      </w:r>
      <w:r>
        <w:rPr>
          <w:spacing w:val="-64"/>
        </w:rPr>
      </w:r>
      <w:r>
        <w:rPr/>
        <w:t>交易相关的利得或损失。</w:t>
      </w:r>
    </w:p>
    <w:p>
      <w:pPr>
        <w:pStyle w:val="BodyText"/>
        <w:spacing w:line="316" w:lineRule="auto" w:before="19"/>
        <w:ind w:right="189" w:firstLine="480"/>
        <w:jc w:val="both"/>
      </w:pPr>
      <w:r>
        <w:rPr>
          <w:spacing w:val="-1"/>
        </w:rPr>
        <w:t>在确认应分担被投资单位发生的净亏损时，以长期股权投资的账面价值和其他实质上构成对被投资单位净投资的长期</w:t>
      </w:r>
      <w:r>
        <w:rPr/>
        <w:t> </w:t>
      </w:r>
      <w:r>
        <w:rPr>
          <w:spacing w:val="-2"/>
        </w:rPr>
        <w:t>权益减记至零为限。此外，如本公司对被投资单位负有承担额外损失的义务，则按预计承担的义务确认预计负债，计入当期</w:t>
      </w:r>
      <w:r>
        <w:rPr>
          <w:spacing w:val="-66"/>
        </w:rPr>
        <w:t> </w:t>
      </w:r>
      <w:r>
        <w:rPr>
          <w:spacing w:val="-66"/>
        </w:rPr>
      </w:r>
      <w:r>
        <w:rPr/>
        <w:t>投资损失。被投资单位以后期间实现净利润的，本公司在收益分享额弥补未确认的亏损分担额后，恢复确认收益分享额。</w:t>
      </w:r>
    </w:p>
    <w:p>
      <w:pPr>
        <w:spacing w:after="0" w:line="316" w:lineRule="auto"/>
        <w:jc w:val="both"/>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190" w:firstLine="480"/>
        <w:jc w:val="both"/>
      </w:pPr>
      <w:r>
        <w:rPr>
          <w:spacing w:val="-1"/>
        </w:rPr>
        <w:t>对于本公司首次执行新会计准则之前已经持有的对联营企业和合营企业的长期股权投资，如存在与该投资相关的股权</w:t>
      </w:r>
      <w:r>
        <w:rPr/>
        <w:t> 投资借方差额，按原剩余期限直线摊销的金额计入当期损益。</w:t>
      </w:r>
    </w:p>
    <w:p>
      <w:pPr>
        <w:pStyle w:val="BodyText"/>
        <w:spacing w:line="316" w:lineRule="auto" w:before="19"/>
        <w:ind w:left="633" w:right="125"/>
        <w:jc w:val="left"/>
      </w:pPr>
      <w:r>
        <w:rPr/>
        <w:t>③收购少数股权 </w:t>
      </w:r>
      <w:r>
        <w:rPr>
          <w:spacing w:val="-1"/>
        </w:rPr>
        <w:t>在编制合并财务报表时，因购买少数股权新增的长期股权投资与按照新增持股比例计算应享有子公司自购买日（或合</w:t>
      </w:r>
    </w:p>
    <w:p>
      <w:pPr>
        <w:pStyle w:val="BodyText"/>
        <w:spacing w:line="240" w:lineRule="auto" w:before="19"/>
        <w:ind w:left="153" w:right="125"/>
        <w:jc w:val="left"/>
      </w:pPr>
      <w:r>
        <w:rPr/>
        <w:t>并日）开始持续计算的净资产份额之间的差额，调整资本公积，资本公积不足冲减的，调整留存收益。</w:t>
      </w:r>
    </w:p>
    <w:p>
      <w:pPr>
        <w:pStyle w:val="BodyText"/>
        <w:spacing w:line="316" w:lineRule="auto" w:before="76"/>
        <w:ind w:left="633" w:right="125"/>
        <w:jc w:val="left"/>
      </w:pPr>
      <w:r>
        <w:rPr/>
        <w:t>④处置长期股权投资 </w:t>
      </w:r>
      <w:r>
        <w:rPr>
          <w:spacing w:val="-1"/>
        </w:rPr>
        <w:t>在合并财务报表中，母公司在不丧失控制权的情况下部分处置对子公司的长期股权投资，处置价款与处置长期股权投</w:t>
      </w:r>
    </w:p>
    <w:p>
      <w:pPr>
        <w:pStyle w:val="BodyText"/>
        <w:spacing w:line="316" w:lineRule="auto" w:before="19"/>
        <w:ind w:left="153" w:right="125"/>
        <w:jc w:val="left"/>
      </w:pPr>
      <w:r>
        <w:rPr>
          <w:spacing w:val="-2"/>
        </w:rPr>
        <w:t>资相对应享有子公司净资产的差额计入股东权益；母公司部分处置对子公司的长期股权投资导致丧失对子公司控制权的，按</w:t>
      </w:r>
      <w:r>
        <w:rPr>
          <w:spacing w:val="-64"/>
        </w:rPr>
        <w:t> </w:t>
      </w:r>
      <w:r>
        <w:rPr>
          <w:spacing w:val="-64"/>
        </w:rPr>
      </w:r>
      <w:r>
        <w:rPr/>
        <w:t>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633" w:right="125"/>
        <w:jc w:val="left"/>
      </w:pPr>
      <w:r>
        <w:rPr/>
        <w:t>其他情形下的长期股权投资处置，对于处置的股权，其账面价值与实际取得价款的差额，计入当期损益。 </w:t>
      </w:r>
      <w:r>
        <w:rPr>
          <w:spacing w:val="-1"/>
        </w:rPr>
        <w:t>采用权益法核算的长期股权投资，处置后的剩余股权仍采用权益法核算的，在处置时将原计入股东权益的其他综合收</w:t>
      </w:r>
    </w:p>
    <w:p>
      <w:pPr>
        <w:pStyle w:val="BodyText"/>
        <w:spacing w:line="316" w:lineRule="auto" w:before="19"/>
        <w:ind w:left="153" w:right="125"/>
        <w:jc w:val="left"/>
      </w:pPr>
      <w:r>
        <w:rPr>
          <w:spacing w:val="-2"/>
        </w:rPr>
        <w:t>益部分按相应的比例采用与被投资单位直接处置相关资产或负债相同的基础进行会计处理。因被投资方除净损益、其他综合</w:t>
      </w:r>
      <w:r>
        <w:rPr>
          <w:spacing w:val="-64"/>
        </w:rPr>
        <w:t> </w:t>
      </w:r>
      <w:r>
        <w:rPr>
          <w:spacing w:val="-64"/>
        </w:rPr>
      </w:r>
      <w:r>
        <w:rPr/>
        <w:t>收益和利润分配以外的其他所有者权益变动而确认的所有者权益，按比例结转入当期损益。</w:t>
      </w:r>
    </w:p>
    <w:p>
      <w:pPr>
        <w:pStyle w:val="BodyText"/>
        <w:spacing w:line="316" w:lineRule="auto" w:before="19"/>
        <w:ind w:left="153" w:right="190" w:firstLine="480"/>
        <w:jc w:val="both"/>
      </w:pPr>
      <w:r>
        <w:rPr>
          <w:spacing w:val="-1"/>
        </w:rPr>
        <w:t>采用成本法核算的长期股权投资，处置后剩余股权仍采用成本法核算的，其在取得对被投资单位的控制之前因采用权</w:t>
      </w:r>
      <w:r>
        <w:rPr/>
        <w:t> </w:t>
      </w:r>
      <w:r>
        <w:rPr>
          <w:spacing w:val="-2"/>
        </w:rPr>
        <w:t>益法核算或金融工具确认和计量准则核算而确认的其他综合收益，采用与被投资单位直接处置相关资产或负债相同的基础进</w:t>
      </w:r>
      <w:r>
        <w:rPr>
          <w:spacing w:val="-64"/>
        </w:rPr>
        <w:t> </w:t>
      </w:r>
      <w:r>
        <w:rPr>
          <w:spacing w:val="-64"/>
        </w:rPr>
      </w:r>
      <w:r>
        <w:rPr>
          <w:spacing w:val="-2"/>
        </w:rPr>
        <w:t>行会计处理，并按比例结转当期损益；因采用权益法核算而确认的被投资单位净资产中除净损益、其他综合收益和利润分配</w:t>
      </w:r>
      <w:r>
        <w:rPr>
          <w:spacing w:val="-66"/>
        </w:rPr>
        <w:t> </w:t>
      </w:r>
      <w:r>
        <w:rPr>
          <w:spacing w:val="-66"/>
        </w:rPr>
      </w:r>
      <w:r>
        <w:rPr/>
        <w:t>以外的其他所有者权益变动按比例结转当期损益。</w:t>
      </w:r>
    </w:p>
    <w:p>
      <w:pPr>
        <w:pStyle w:val="BodyText"/>
        <w:spacing w:line="316" w:lineRule="auto" w:before="19"/>
        <w:ind w:left="153" w:right="190" w:firstLine="480"/>
        <w:jc w:val="both"/>
      </w:pPr>
      <w:r>
        <w:rPr>
          <w:spacing w:val="-1"/>
        </w:rPr>
        <w:t>本公司因处置部分股权投资丧失了对被投资单位的控制的，在编制个别财务报表时，处置后的剩余股权能够对被投资</w:t>
      </w:r>
      <w:r>
        <w:rPr/>
        <w:t> </w:t>
      </w:r>
      <w:r>
        <w:rPr>
          <w:spacing w:val="-2"/>
        </w:rPr>
        <w:t>单位实施共同控制或施加重大影响的，改按权益法核算，并对该剩余股权视同自取得时即采用权益法核算进行调整；处置后</w:t>
      </w:r>
      <w:r>
        <w:rPr>
          <w:spacing w:val="-66"/>
        </w:rPr>
        <w:t> </w:t>
      </w:r>
      <w:r>
        <w:rPr>
          <w:spacing w:val="-66"/>
        </w:rPr>
      </w:r>
      <w:r>
        <w:rPr>
          <w:spacing w:val="-2"/>
        </w:rPr>
        <w:t>的剩余股权不能对被投资单位实施共同控制或施加重大影响的，改按金融工具确认和计量准则的有关规定进行会计处理，其</w:t>
      </w:r>
      <w:r>
        <w:rPr>
          <w:spacing w:val="-64"/>
        </w:rPr>
        <w:t> </w:t>
      </w:r>
      <w:r>
        <w:rPr>
          <w:spacing w:val="-64"/>
        </w:rPr>
      </w:r>
      <w:r>
        <w:rPr>
          <w:spacing w:val="-2"/>
        </w:rPr>
        <w:t>在丧失控制之日的公允价值与账面价值之间的差额计入当期损益。对于本公司取得对被投资单位的控制之前，因采用权益法</w:t>
      </w:r>
      <w:r>
        <w:rPr>
          <w:spacing w:val="-64"/>
        </w:rPr>
        <w:t> </w:t>
      </w:r>
      <w:r>
        <w:rPr>
          <w:spacing w:val="-64"/>
        </w:rPr>
      </w:r>
      <w:r>
        <w:rPr>
          <w:spacing w:val="-2"/>
        </w:rPr>
        <w:t>核算或金融工具确认和计量准则核算而确认的其他综合收益，在丧失对被投资单位控制时采用与被投资单位直接处置相关资</w:t>
      </w:r>
      <w:r>
        <w:rPr>
          <w:spacing w:val="-64"/>
        </w:rPr>
        <w:t> </w:t>
      </w:r>
      <w:r>
        <w:rPr>
          <w:spacing w:val="-64"/>
        </w:rPr>
      </w:r>
      <w:r>
        <w:rPr>
          <w:spacing w:val="-2"/>
        </w:rPr>
        <w:t>产或负债相同的基础进行会计处理，因采用权益法核算而确认的被投资单位净资产中除净损益、其他综合收益和利润分配以</w:t>
      </w:r>
      <w:r>
        <w:rPr>
          <w:spacing w:val="-64"/>
        </w:rPr>
        <w:t> </w:t>
      </w:r>
      <w:r>
        <w:rPr>
          <w:spacing w:val="-64"/>
        </w:rPr>
      </w:r>
      <w:r>
        <w:rPr>
          <w:spacing w:val="-2"/>
        </w:rPr>
        <w:t>外的其他所有者权益变动在丧失对被投资单位控制时结转入当期损益。其中，处置后的剩余股权采用权益法核算的，其他综</w:t>
      </w:r>
      <w:r>
        <w:rPr>
          <w:spacing w:val="-66"/>
        </w:rPr>
        <w:t> </w:t>
      </w:r>
      <w:r>
        <w:rPr>
          <w:spacing w:val="-66"/>
        </w:rPr>
      </w:r>
      <w:r>
        <w:rPr>
          <w:spacing w:val="-2"/>
        </w:rPr>
        <w:t>合收益和其他所有者权益按比例结转；处置后的剩余股权改按金融工具确认和计量准则进行会计处理的，其他综合收益和其</w:t>
      </w:r>
      <w:r>
        <w:rPr>
          <w:spacing w:val="-64"/>
        </w:rPr>
        <w:t> </w:t>
      </w:r>
      <w:r>
        <w:rPr>
          <w:spacing w:val="-64"/>
        </w:rPr>
      </w:r>
      <w:r>
        <w:rPr/>
        <w:t>他所有者权益全部结转。</w:t>
      </w:r>
    </w:p>
    <w:p>
      <w:pPr>
        <w:pStyle w:val="BodyText"/>
        <w:spacing w:line="316" w:lineRule="auto" w:before="19"/>
        <w:ind w:left="153" w:right="91"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316" w:lineRule="auto" w:before="19"/>
        <w:ind w:left="153" w:right="190"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3"/>
        <w:spacing w:line="240" w:lineRule="auto"/>
        <w:ind w:right="125"/>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8011"/>
        <w:jc w:val="left"/>
      </w:pPr>
      <w:r>
        <w:rPr/>
        <w:t>投资性房地产计量模式 不适用</w:t>
      </w:r>
    </w:p>
    <w:p>
      <w:pPr>
        <w:spacing w:after="0" w:line="357" w:lineRule="auto"/>
        <w:jc w:val="left"/>
        <w:sectPr>
          <w:pgSz w:w="11910" w:h="16840"/>
          <w:pgMar w:header="877" w:footer="982" w:top="1100" w:bottom="1180" w:left="980" w:right="94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49" w:firstLine="360"/>
        <w:jc w:val="both"/>
      </w:pPr>
      <w:r>
        <w:rPr>
          <w:spacing w:val="-2"/>
        </w:rPr>
        <w:t>固定资产是指为生产商品、提供劳务、出租或经营管理而持有的，使用寿命超过一个会计年度的有形资产。固定资产仅</w:t>
      </w:r>
      <w:r>
        <w:rPr/>
        <w:t> </w:t>
      </w:r>
      <w:r>
        <w:rPr>
          <w:spacing w:val="-2"/>
        </w:rPr>
        <w:t>在与其有关的经济利益很可能流入本公司，且其成本能够可靠地计量时才予以确认。固定资产按成本并考虑预计弃置费用因</w:t>
      </w:r>
      <w:r>
        <w:rPr>
          <w:spacing w:val="-64"/>
        </w:rPr>
        <w:t> </w:t>
      </w:r>
      <w:r>
        <w:rPr>
          <w:spacing w:val="-64"/>
        </w:rPr>
      </w:r>
      <w:r>
        <w:rPr/>
        <w:t>素的影响进行初始计量。</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03"/>
        <w:gridCol w:w="1925"/>
        <w:gridCol w:w="1914"/>
        <w:gridCol w:w="1914"/>
        <w:gridCol w:w="1903"/>
      </w:tblGrid>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1.90%-9.50%</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6.33%-19.00%</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9.50%-23.75%</w:t>
            </w: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9.00%-31.67%</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51"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w:t>
      </w:r>
      <w:r>
        <w:rPr>
          <w:spacing w:val="-66"/>
        </w:rPr>
        <w:t> </w:t>
      </w:r>
      <w:r>
        <w:rPr>
          <w:spacing w:val="-66"/>
        </w:rPr>
      </w:r>
      <w:r>
        <w:rPr/>
        <w:t>命两者中较短的期间内计提折旧。</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6711"/>
        <w:jc w:val="left"/>
      </w:pPr>
      <w:r>
        <w:rPr/>
        <w:t>公司是否需要遵守特殊行业的披露要求 否</w:t>
      </w:r>
    </w:p>
    <w:p>
      <w:pPr>
        <w:pStyle w:val="BodyText"/>
        <w:spacing w:line="316" w:lineRule="auto" w:before="26"/>
        <w:ind w:left="153" w:right="151" w:firstLine="480"/>
        <w:jc w:val="both"/>
      </w:pPr>
      <w:r>
        <w:rPr>
          <w:spacing w:val="-1"/>
        </w:rPr>
        <w:t>在建工程成本按实际工程支出确定，包括在建期间发生的各项工程支出以及其他相关费用等。在建工程在达到预定可</w:t>
      </w:r>
      <w:r>
        <w:rPr/>
        <w:t> 使用状态后结转为固定资产。</w:t>
      </w:r>
    </w:p>
    <w:p>
      <w:pPr>
        <w:pStyle w:val="BodyText"/>
        <w:spacing w:line="240" w:lineRule="auto" w:before="19"/>
        <w:ind w:left="513" w:right="0"/>
        <w:jc w:val="left"/>
      </w:pPr>
      <w:r>
        <w:rPr/>
        <w:t>在建工程的减值测试方法和减值准备计提方法详见附注四、</w:t>
      </w:r>
      <w:r>
        <w:rPr>
          <w:rFonts w:ascii="Times New Roman" w:hAnsi="Times New Roman" w:cs="Times New Roman" w:eastAsia="Times New Roman" w:hint="default"/>
        </w:rPr>
        <w:t>17“</w:t>
      </w:r>
      <w:r>
        <w:rPr/>
        <w:t>长期资产减值</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51" w:firstLine="480"/>
        <w:jc w:val="both"/>
      </w:pPr>
      <w:r>
        <w:rPr>
          <w:spacing w:val="-1"/>
        </w:rPr>
        <w:t>借款费用包括借款利息、折价或溢价的摊销、辅助费用以及因外币借款而发生的汇兑差额等。可直接归属于符合资本</w:t>
      </w:r>
      <w:r>
        <w:rPr/>
        <w:t> </w:t>
      </w:r>
      <w:r>
        <w:rPr>
          <w:spacing w:val="-2"/>
        </w:rPr>
        <w:t>化条件的资产的购建或者生产的借款费用，在资产支出已经发生、借款费用已经发生、为使资产达到预定可使用或可销售状</w:t>
      </w:r>
      <w:r>
        <w:rPr>
          <w:spacing w:val="-66"/>
        </w:rPr>
        <w:t> </w:t>
      </w:r>
      <w:r>
        <w:rPr>
          <w:spacing w:val="-66"/>
        </w:rPr>
      </w:r>
      <w:r>
        <w:rPr>
          <w:spacing w:val="-2"/>
        </w:rPr>
        <w:t>态所必要的购建或生产活动已经开始时，开始资本化；构建或者生产的符合资本化条件的资产达到预定可使用状态或者可销</w:t>
      </w:r>
      <w:r>
        <w:rPr>
          <w:spacing w:val="-64"/>
        </w:rPr>
        <w:t> </w:t>
      </w:r>
      <w:r>
        <w:rPr>
          <w:spacing w:val="-64"/>
        </w:rPr>
      </w:r>
      <w:r>
        <w:rPr/>
        <w:t>售状态时，停止资本化。其余借款费用在发生当期确认为费用。</w:t>
      </w:r>
    </w:p>
    <w:p>
      <w:pPr>
        <w:pStyle w:val="BodyText"/>
        <w:spacing w:line="316" w:lineRule="auto" w:before="19"/>
        <w:ind w:left="153" w:right="151" w:firstLine="480"/>
        <w:jc w:val="both"/>
      </w:pPr>
      <w:r>
        <w:rPr>
          <w:spacing w:val="-1"/>
        </w:rPr>
        <w:t>专门借款当期实际发生的利息费用，减去尚未动用的借款资金存入银行取得的利息收入或进行暂时性投资取得的投资</w:t>
      </w:r>
      <w:r>
        <w:rPr/>
        <w:t> </w:t>
      </w:r>
      <w:r>
        <w:rPr>
          <w:spacing w:val="-2"/>
        </w:rPr>
        <w:t>收益后的金额予以资本化；一般借款根据累计资产支出超过专门借款部分的资产支出加权平均数乘以所占用一般借款的资本</w:t>
      </w:r>
      <w:r>
        <w:rPr>
          <w:spacing w:val="-64"/>
        </w:rPr>
        <w:t> </w:t>
      </w:r>
      <w:r>
        <w:rPr>
          <w:spacing w:val="-64"/>
        </w:rPr>
      </w:r>
      <w:r>
        <w:rPr/>
        <w:t>化率，确定资本化金额。资本化率根据一般借款的加权平均利率计算确定。</w:t>
      </w:r>
    </w:p>
    <w:p>
      <w:pPr>
        <w:pStyle w:val="BodyText"/>
        <w:spacing w:line="316" w:lineRule="auto" w:before="19"/>
        <w:ind w:left="633" w:right="0"/>
        <w:jc w:val="left"/>
      </w:pPr>
      <w:r>
        <w:rPr/>
        <w:t>资本化期间内，外币专门借款的汇兑差额全部予以资本化；外币一般借款的汇兑差额计入当期损益。 </w:t>
      </w:r>
      <w:r>
        <w:rPr>
          <w:spacing w:val="-1"/>
        </w:rPr>
        <w:t>符合资本化条件的资产指需要经过相当长时间的购建或者生产活动才能达到预定可使用或可销售状态的固定资产、投</w:t>
      </w:r>
    </w:p>
    <w:p>
      <w:pPr>
        <w:pStyle w:val="BodyText"/>
        <w:spacing w:line="240" w:lineRule="auto" w:before="19"/>
        <w:ind w:left="153" w:right="0"/>
        <w:jc w:val="left"/>
      </w:pPr>
      <w:r>
        <w:rPr/>
        <w:t>资性房地产和存货等资产。</w:t>
      </w:r>
    </w:p>
    <w:p>
      <w:pPr>
        <w:spacing w:after="0" w:line="240"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00" w:lineRule="auto" w:before="44"/>
        <w:ind w:right="125" w:firstLine="480"/>
        <w:jc w:val="left"/>
      </w:pPr>
      <w:r>
        <w:rPr/>
        <w:t>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w:t>
      </w:r>
      <w:r>
        <w:rPr>
          <w:spacing w:val="1"/>
        </w:rPr>
        <w:t> </w:t>
      </w:r>
      <w:r>
        <w:rPr/>
        <w:t>资本化，直至资产的购建或生产活动重新开始。</w:t>
      </w:r>
    </w:p>
    <w:p>
      <w:pPr>
        <w:spacing w:line="240" w:lineRule="auto" w:before="6"/>
        <w:rPr>
          <w:rFonts w:ascii="宋体" w:hAnsi="宋体" w:cs="宋体" w:eastAsia="宋体" w:hint="default"/>
          <w:sz w:val="23"/>
          <w:szCs w:val="23"/>
        </w:rPr>
      </w:pPr>
    </w:p>
    <w:p>
      <w:pPr>
        <w:pStyle w:val="Heading3"/>
        <w:spacing w:line="240" w:lineRule="auto"/>
        <w:ind w:right="125"/>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633" w:right="125"/>
        <w:jc w:val="left"/>
      </w:pPr>
      <w:r>
        <w:rPr/>
        <w:t>无形资产是指本公司拥有或者控制的没有实物形态的可辨认非货币性资产。 </w:t>
      </w:r>
      <w:r>
        <w:rPr>
          <w:spacing w:val="-1"/>
        </w:rPr>
        <w:t>无形资产按成本进行初始计量。与无形资产有关的支出，如果相关的经济利益很可能流入本公司且其成本能可靠地计</w:t>
      </w:r>
    </w:p>
    <w:p>
      <w:pPr>
        <w:pStyle w:val="BodyText"/>
        <w:spacing w:line="316" w:lineRule="auto" w:before="19"/>
        <w:ind w:left="633" w:right="125" w:hanging="480"/>
        <w:jc w:val="left"/>
      </w:pPr>
      <w:r>
        <w:rPr/>
        <w:t>量，则计入无形资产成本。除此以外的其他项目的支出，在发生时计入当期损益。 </w:t>
      </w:r>
      <w:r>
        <w:rPr>
          <w:spacing w:val="-1"/>
        </w:rPr>
        <w:t>取得的土地使用权通常作为无形资产核算。自行开发建造厂房等建筑物，相关的土地使用权支出和建筑物建造成本则</w:t>
      </w:r>
    </w:p>
    <w:p>
      <w:pPr>
        <w:pStyle w:val="BodyText"/>
        <w:spacing w:line="316" w:lineRule="auto" w:before="19"/>
        <w:ind w:left="153" w:right="125"/>
        <w:jc w:val="left"/>
      </w:pPr>
      <w:r>
        <w:rPr>
          <w:spacing w:val="-2"/>
        </w:rPr>
        <w:t>分别作为无形资产和固定资产核算。如为外购的房屋及建筑物，则将有关价款在土地使用权和建筑物之间进行分配，难以合</w:t>
      </w:r>
      <w:r>
        <w:rPr>
          <w:spacing w:val="-66"/>
        </w:rPr>
        <w:t> </w:t>
      </w:r>
      <w:r>
        <w:rPr>
          <w:spacing w:val="-66"/>
        </w:rPr>
      </w:r>
      <w:r>
        <w:rPr/>
        <w:t>理分配的，全部作为固定资产处理。</w:t>
      </w:r>
    </w:p>
    <w:p>
      <w:pPr>
        <w:pStyle w:val="BodyText"/>
        <w:spacing w:line="316" w:lineRule="auto" w:before="19"/>
        <w:ind w:left="153" w:right="125" w:firstLine="480"/>
        <w:jc w:val="left"/>
      </w:pPr>
      <w:r>
        <w:rPr>
          <w:spacing w:val="-1"/>
        </w:rPr>
        <w:t>使用寿命有限的无形资产自可供使用时起，对其原值减去预计净残值和已计提的减值准备累计金额在其预计使用寿命</w:t>
      </w:r>
      <w:r>
        <w:rPr/>
        <w:t> 内采用直线法分期平均</w:t>
      </w:r>
      <w:r>
        <w:rPr>
          <w:rFonts w:ascii="Times New Roman" w:hAnsi="Times New Roman" w:cs="Times New Roman" w:eastAsia="Times New Roman" w:hint="default"/>
        </w:rPr>
        <w:t>/</w:t>
      </w:r>
      <w:r>
        <w:rPr/>
        <w:t>产量法摊销。使用寿命不确定的无形资产不予摊销。</w:t>
      </w:r>
    </w:p>
    <w:p>
      <w:pPr>
        <w:pStyle w:val="BodyText"/>
        <w:spacing w:line="316" w:lineRule="auto"/>
        <w:ind w:right="125" w:firstLine="373"/>
        <w:jc w:val="left"/>
      </w:pPr>
      <w:r>
        <w:rPr/>
        <w:t>期末，对使用寿命有限的无形资产的使用寿命和摊销方法进行复核，如发生变更则作为会计估计变更处理。此外，还 </w:t>
      </w:r>
      <w:r>
        <w:rPr>
          <w:spacing w:val="-2"/>
        </w:rPr>
        <w:t>对使用寿命不确定的无形资产的使用寿命进行复核，如果有证据表明该无形资产为企业带来经济利益的期限是可预见的，则</w:t>
      </w:r>
      <w:r>
        <w:rPr>
          <w:spacing w:val="-64"/>
        </w:rPr>
        <w:t> </w:t>
      </w:r>
      <w:r>
        <w:rPr>
          <w:spacing w:val="-64"/>
        </w:rPr>
      </w:r>
      <w:r>
        <w:rPr/>
        <w:t>估计其使用寿命并按照使用寿命有限的无形资产的摊销政策进行摊销。</w:t>
      </w:r>
    </w:p>
    <w:p>
      <w:pPr>
        <w:spacing w:line="240" w:lineRule="auto" w:before="7"/>
        <w:rPr>
          <w:rFonts w:ascii="宋体" w:hAnsi="宋体" w:cs="宋体" w:eastAsia="宋体" w:hint="default"/>
          <w:sz w:val="22"/>
          <w:szCs w:val="22"/>
        </w:rPr>
      </w:pPr>
    </w:p>
    <w:p>
      <w:pPr>
        <w:pStyle w:val="Heading3"/>
        <w:spacing w:line="240" w:lineRule="auto"/>
        <w:ind w:right="125"/>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633" w:right="691"/>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634" w:right="125"/>
        <w:jc w:val="left"/>
      </w:pPr>
      <w:r>
        <w:rPr/>
        <w:t>①完成该无形资产以使其能够使用或出售在技术上具有可行性；</w:t>
      </w:r>
    </w:p>
    <w:p>
      <w:pPr>
        <w:pStyle w:val="BodyText"/>
        <w:spacing w:line="240" w:lineRule="auto" w:before="76"/>
        <w:ind w:left="634" w:right="125"/>
        <w:jc w:val="left"/>
      </w:pPr>
      <w:r>
        <w:rPr/>
        <w:t>②具有完成该无形资产并使用或出售的意图；</w:t>
      </w:r>
    </w:p>
    <w:p>
      <w:pPr>
        <w:pStyle w:val="BodyText"/>
        <w:spacing w:line="316" w:lineRule="auto" w:before="76"/>
        <w:ind w:left="153" w:right="125" w:firstLine="480"/>
        <w:jc w:val="left"/>
      </w:pPr>
      <w:r>
        <w:rPr>
          <w:spacing w:val="-1"/>
        </w:rPr>
        <w:t>③无形资产产生经济利益的方式，包括能够证明运用该无形资产生产的产品存在市场或无形资产自身存在市场，无形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19"/>
        <w:ind w:left="634" w:right="125"/>
        <w:jc w:val="left"/>
      </w:pPr>
      <w:r>
        <w:rPr/>
        <w:t>④有足够的技术、财务资源和其他资源支持，以完成该无形资产的开发，并有能力使用或出售该无形资产；</w:t>
      </w:r>
    </w:p>
    <w:p>
      <w:pPr>
        <w:pStyle w:val="BodyText"/>
        <w:spacing w:line="316" w:lineRule="auto" w:before="76"/>
        <w:ind w:left="634" w:right="2850"/>
        <w:jc w:val="left"/>
      </w:pPr>
      <w:r>
        <w:rPr/>
        <w:t>⑤归属于该无形资产开发阶段的支出能够可靠地计量。 无法区分研究阶段支出和开发阶段支出的，将发生的研发支出全部计入当期损益。</w:t>
      </w:r>
    </w:p>
    <w:p>
      <w:pPr>
        <w:pStyle w:val="BodyText"/>
        <w:spacing w:line="300" w:lineRule="auto" w:before="19"/>
        <w:ind w:left="634" w:right="3050"/>
        <w:jc w:val="left"/>
      </w:pPr>
      <w:r>
        <w:rPr/>
        <w:t>（</w:t>
      </w:r>
      <w:r>
        <w:rPr>
          <w:rFonts w:ascii="Times New Roman" w:hAnsi="Times New Roman" w:cs="Times New Roman" w:eastAsia="Times New Roman" w:hint="default"/>
        </w:rPr>
        <w:t>3</w:t>
      </w:r>
      <w:r>
        <w:rPr/>
        <w:t>）无形资产的减值测试方法及减值准备计提方法 无形资产的减值测试方法和减值准备计提方法详见附注四、</w:t>
      </w:r>
      <w:r>
        <w:rPr>
          <w:rFonts w:ascii="Times New Roman" w:hAnsi="Times New Roman" w:cs="Times New Roman" w:eastAsia="Times New Roman" w:hint="default"/>
        </w:rPr>
        <w:t>17“</w:t>
      </w:r>
      <w:r>
        <w:rPr/>
        <w:t>长期资产减值</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3"/>
        <w:spacing w:line="240" w:lineRule="auto"/>
        <w:ind w:right="125"/>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91" w:firstLine="480"/>
        <w:jc w:val="left"/>
      </w:pPr>
      <w:r>
        <w:rPr/>
        <w:t>对于固定资产、在建工程、使用寿命有限的无形资产、对子公司、合营企业、联营企业的长期股权投资等非流动非金 融资产，本公司于资产负债表日判断是否存在减值迹象。如存在减值迹象的，则估计其可收回金额，进行减值测试。商誉、 使用寿命不确定的无形资产和尚未达到可使用状态的无形资产，无论是否存在减值迹象，每年均进行减值测试。</w:t>
      </w:r>
    </w:p>
    <w:p>
      <w:pPr>
        <w:pStyle w:val="BodyText"/>
        <w:spacing w:line="316" w:lineRule="auto" w:before="19"/>
        <w:ind w:left="153" w:right="125" w:firstLine="480"/>
        <w:jc w:val="left"/>
      </w:pPr>
      <w:r>
        <w:rPr>
          <w:spacing w:val="-1"/>
        </w:rPr>
        <w:t>减值测试结果表明资产的可收回金额低于其账面价值的，按其差额计提减值准备并计入减值损失。可收回金额为资产</w:t>
      </w:r>
      <w:r>
        <w:rPr/>
        <w:t> </w:t>
      </w:r>
      <w:r>
        <w:rPr>
          <w:spacing w:val="-2"/>
        </w:rPr>
        <w:t>的公允价值减去处置费用后的净额与资产预计未来现金流量的现值两者之间的较高者。资产的公允价值根据公平交易中销售</w:t>
      </w:r>
    </w:p>
    <w:p>
      <w:pPr>
        <w:spacing w:after="0" w:line="316" w:lineRule="auto"/>
        <w:jc w:val="left"/>
        <w:sectPr>
          <w:footerReference w:type="default" r:id="rId40"/>
          <w:pgSz w:w="11910" w:h="16840"/>
          <w:pgMar w:footer="982" w:header="877" w:top="1100" w:bottom="1180" w:left="980" w:right="940"/>
          <w:pgNumType w:start="100"/>
        </w:sectPr>
      </w:pPr>
    </w:p>
    <w:p>
      <w:pPr>
        <w:spacing w:line="240" w:lineRule="auto" w:before="12"/>
        <w:rPr>
          <w:rFonts w:ascii="宋体" w:hAnsi="宋体" w:cs="宋体" w:eastAsia="宋体" w:hint="default"/>
          <w:sz w:val="21"/>
          <w:szCs w:val="21"/>
        </w:rPr>
      </w:pPr>
    </w:p>
    <w:p>
      <w:pPr>
        <w:pStyle w:val="BodyText"/>
        <w:spacing w:line="316" w:lineRule="auto" w:before="44"/>
        <w:ind w:left="153" w:right="151"/>
        <w:jc w:val="both"/>
      </w:pPr>
      <w:r>
        <w:rPr>
          <w:spacing w:val="-2"/>
        </w:rPr>
        <w:t>协议价格确定；不存在销售协议但存在资产活跃市场的，公允价值按照该资产的买方出价确定；不存在销售协议和资产活跃</w:t>
      </w:r>
      <w:r>
        <w:rPr>
          <w:spacing w:val="-66"/>
        </w:rPr>
        <w:t> </w:t>
      </w:r>
      <w:r>
        <w:rPr>
          <w:spacing w:val="-66"/>
        </w:rPr>
      </w:r>
      <w:r>
        <w:rPr>
          <w:spacing w:val="-2"/>
        </w:rPr>
        <w:t>市场的，则以可获取的最佳信息为基础估计资产的公允价值。处置费用包括与资产处置有关的法律费用、相关税费、搬运费</w:t>
      </w:r>
      <w:r>
        <w:rPr>
          <w:spacing w:val="-66"/>
        </w:rPr>
        <w:t> </w:t>
      </w:r>
      <w:r>
        <w:rPr>
          <w:spacing w:val="-66"/>
        </w:rPr>
      </w:r>
      <w:r>
        <w:rPr>
          <w:spacing w:val="-2"/>
        </w:rPr>
        <w:t>以及为使资产达到可销售状态所发生的直接费用。资产预计未来现金流量的现值，按照资产在持续使用过程中和最终处置时</w:t>
      </w:r>
      <w:r>
        <w:rPr>
          <w:spacing w:val="-64"/>
        </w:rPr>
        <w:t> </w:t>
      </w:r>
      <w:r>
        <w:rPr>
          <w:spacing w:val="-64"/>
        </w:rPr>
      </w:r>
      <w:r>
        <w:rPr>
          <w:spacing w:val="-2"/>
        </w:rPr>
        <w:t>所产生的预计未来现金流量，选择恰当的折现率对其进行折现后的金额加以确定。资产减值准备按单项资产为基础计算并确</w:t>
      </w:r>
      <w:r>
        <w:rPr>
          <w:spacing w:val="-64"/>
        </w:rPr>
        <w:t> </w:t>
      </w:r>
      <w:r>
        <w:rPr>
          <w:spacing w:val="-64"/>
        </w:rPr>
      </w:r>
      <w:r>
        <w:rPr>
          <w:spacing w:val="-2"/>
        </w:rPr>
        <w:t>认，如果难以对单项资产的可收回金额进行估计的，以该资产所属的资产组确定资产组的可收回金额。资产组是能够独立产</w:t>
      </w:r>
      <w:r>
        <w:rPr>
          <w:spacing w:val="-66"/>
        </w:rPr>
        <w:t> </w:t>
      </w:r>
      <w:r>
        <w:rPr>
          <w:spacing w:val="-66"/>
        </w:rPr>
      </w:r>
      <w:r>
        <w:rPr/>
        <w:t>生现金流入的最小资产组合。</w:t>
      </w:r>
    </w:p>
    <w:p>
      <w:pPr>
        <w:pStyle w:val="BodyText"/>
        <w:spacing w:line="316" w:lineRule="auto" w:before="19"/>
        <w:ind w:left="153" w:right="150" w:firstLine="480"/>
        <w:jc w:val="both"/>
      </w:pPr>
      <w:r>
        <w:rPr>
          <w:spacing w:val="-1"/>
        </w:rPr>
        <w:t>在财务报表中单独列示的商誉，在进行减值测试时，将商誉的账面价值分摊至预期从企业合并的协同效应中受益的资</w:t>
      </w:r>
      <w:r>
        <w:rPr/>
        <w:t> </w:t>
      </w:r>
      <w:r>
        <w:rPr>
          <w:spacing w:val="-2"/>
        </w:rPr>
        <w:t>产组或资产组组合。测试结果表明包含分摊的商誉的资产组或资产组组合的可收回金额低于其账面价值的，确认相应的减值</w:t>
      </w:r>
      <w:r>
        <w:rPr>
          <w:spacing w:val="-64"/>
        </w:rPr>
        <w:t> </w:t>
      </w:r>
      <w:r>
        <w:rPr>
          <w:spacing w:val="-64"/>
        </w:rPr>
      </w:r>
      <w:r>
        <w:rPr>
          <w:spacing w:val="-2"/>
        </w:rPr>
        <w:t>损失。减值损失金额先抵减分摊至该资产组或资产组组合的商誉的账面价值，再根据资产组或资产组组合中除商誉以外的其</w:t>
      </w:r>
      <w:r>
        <w:rPr>
          <w:spacing w:val="-64"/>
        </w:rPr>
        <w:t> </w:t>
      </w:r>
      <w:r>
        <w:rPr>
          <w:spacing w:val="-64"/>
        </w:rPr>
      </w:r>
      <w:r>
        <w:rPr/>
        <w:t>他各项资产的账面价值所占比重，按比例抵减其他各项资产的账面价值。</w:t>
      </w:r>
    </w:p>
    <w:p>
      <w:pPr>
        <w:pStyle w:val="BodyText"/>
        <w:spacing w:line="240" w:lineRule="auto" w:before="19"/>
        <w:ind w:left="633" w:right="0"/>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51" w:firstLine="480"/>
        <w:jc w:val="both"/>
      </w:pPr>
      <w:r>
        <w:rPr>
          <w:spacing w:val="-1"/>
        </w:rPr>
        <w:t>长期待摊费用为已经发生但应由报告期和以后各期负担的分摊期限在一年以上的各项费用。长期待摊费用在预计受益</w:t>
      </w:r>
      <w:r>
        <w:rPr/>
        <w:t> 期间按直线法摊销。</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48" w:firstLine="480"/>
        <w:jc w:val="both"/>
      </w:pPr>
      <w:r>
        <w:rPr>
          <w:spacing w:val="-1"/>
        </w:rPr>
        <w:t>短期薪酬主要包括工资、奖金、津贴和补贴、职工福利费、医疗保险费、生育保险费、工伤保险费、住房公积金、工</w:t>
      </w:r>
      <w:r>
        <w:rPr/>
        <w:t> </w:t>
      </w:r>
      <w:r>
        <w:rPr>
          <w:spacing w:val="-2"/>
        </w:rPr>
        <w:t>会经费和职工教育经费、非货币性福利等。本公司在职工为本公司提供服务的会计期间将实际发生的短期职工薪酬确认为负</w:t>
      </w:r>
      <w:r>
        <w:rPr>
          <w:spacing w:val="-64"/>
        </w:rPr>
        <w:t> </w:t>
      </w:r>
      <w:r>
        <w:rPr>
          <w:spacing w:val="-64"/>
        </w:rPr>
      </w:r>
      <w:r>
        <w:rPr/>
        <w:t>债，并计入当期损益或相关资产成本。其中非货币性福利按公允价值计量。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51" w:firstLine="480"/>
        <w:jc w:val="both"/>
      </w:pPr>
      <w:r>
        <w:rPr>
          <w:spacing w:val="-1"/>
        </w:rPr>
        <w:t>离职后福利主要包括设定提存计划。设定提存计划主要包括基本养老保险、失业保险以及年金等，相应的应缴存金额</w:t>
      </w:r>
      <w:r>
        <w:rPr/>
        <w:t> 于发生时计入相关资产成本或当期损益。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51" w:firstLine="480"/>
        <w:jc w:val="both"/>
      </w:pPr>
      <w:r>
        <w:rPr>
          <w:spacing w:val="-1"/>
        </w:rPr>
        <w:t>在职工劳动合同到期之前解除与职工的劳动关系，或为鼓励职工自愿接受裁减而提出给予补偿的建议，在本公司不能</w:t>
      </w:r>
      <w:r>
        <w:rPr/>
        <w:t> </w:t>
      </w:r>
      <w:r>
        <w:rPr>
          <w:spacing w:val="-2"/>
        </w:rPr>
        <w:t>单方面撤回因解除劳动关系计划或裁减建议所提供的辞退福利时，和本公司确认与涉及支付辞退福利的重组相关的成本两者</w:t>
      </w:r>
      <w:r>
        <w:rPr>
          <w:spacing w:val="-64"/>
        </w:rPr>
        <w:t> </w:t>
      </w:r>
      <w:r>
        <w:rPr>
          <w:spacing w:val="-64"/>
        </w:rPr>
      </w:r>
      <w:r>
        <w:rPr>
          <w:spacing w:val="-2"/>
        </w:rPr>
        <w:t>孰早日，确认辞退福利产生的职工薪酬负债，并计入当期损益。但辞退福利预期在年度报告期结束后十二个月不能完全支付</w:t>
      </w:r>
      <w:r>
        <w:rPr>
          <w:spacing w:val="-66"/>
        </w:rPr>
        <w:t> </w:t>
      </w:r>
      <w:r>
        <w:rPr>
          <w:spacing w:val="-66"/>
        </w:rPr>
      </w:r>
      <w:r>
        <w:rPr/>
        <w:t>的，按照其他长期职工薪酬处理。</w:t>
      </w:r>
    </w:p>
    <w:p>
      <w:pPr>
        <w:pStyle w:val="BodyText"/>
        <w:spacing w:line="316" w:lineRule="auto" w:before="19"/>
        <w:ind w:left="153" w:right="151" w:firstLine="480"/>
        <w:jc w:val="both"/>
      </w:pPr>
      <w:r>
        <w:rPr>
          <w:spacing w:val="-1"/>
        </w:rPr>
        <w:t>职工内部退休计划采用与上述辞退福利相同的原则处理。本公司将自职工停止提供服务日至正常退休日的期间拟支付</w:t>
      </w:r>
      <w:r>
        <w:rPr/>
        <w:t> 的内退人员工资和缴纳的社会保险费等，在符合预计负债确认条件时，计入当期损益（辞退福利）。</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90"/>
        <w:jc w:val="left"/>
      </w:pPr>
      <w:r>
        <w:rPr>
          <w:spacing w:val="-1"/>
        </w:rPr>
        <w:t>本公司向职工提供的其他长期职工福利，符合设定提存计划的，按照设定提存计划进行会计处理，除此之外按照设定受</w:t>
      </w:r>
      <w:r>
        <w:rPr/>
        <w:t> 益计划进行会计处理。</w:t>
      </w:r>
    </w:p>
    <w:p>
      <w:pPr>
        <w:spacing w:after="0" w:line="316"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25"/>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25" w:firstLine="480"/>
        <w:jc w:val="left"/>
      </w:pPr>
      <w:r>
        <w:rPr>
          <w:spacing w:val="-1"/>
        </w:rPr>
        <w:t>当与或有事项相关的义务同时符合以下条件，确认为预计负债：（</w:t>
      </w:r>
      <w:r>
        <w:rPr>
          <w:rFonts w:ascii="Times New Roman" w:hAnsi="Times New Roman" w:cs="Times New Roman" w:eastAsia="Times New Roman" w:hint="default"/>
          <w:spacing w:val="-1"/>
        </w:rPr>
        <w:t>1</w:t>
      </w:r>
      <w:r>
        <w:rPr>
          <w:spacing w:val="-1"/>
        </w:rPr>
        <w:t>）该义务是本公司承担的现时义务；（</w:t>
      </w:r>
      <w:r>
        <w:rPr>
          <w:rFonts w:ascii="Times New Roman" w:hAnsi="Times New Roman" w:cs="Times New Roman" w:eastAsia="Times New Roman" w:hint="default"/>
          <w:spacing w:val="-1"/>
        </w:rPr>
        <w:t>2</w:t>
      </w:r>
      <w:r>
        <w:rPr>
          <w:spacing w:val="-1"/>
        </w:rPr>
        <w:t>）履行该</w:t>
      </w:r>
      <w:r>
        <w:rPr/>
        <w:t> 义务很可能导致经济利益流出；（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right="125" w:firstLine="480"/>
        <w:jc w:val="left"/>
      </w:pPr>
      <w:r>
        <w:rPr>
          <w:spacing w:val="-1"/>
        </w:rPr>
        <w:t>在资产负债表日，考虑与或有事项有关的风险、不确定性和货币时间价值等因素，按照履行相关现时义务所需支出的</w:t>
      </w:r>
      <w:r>
        <w:rPr/>
        <w:t> 最佳估计数对预计负债进行计量。</w:t>
      </w:r>
    </w:p>
    <w:p>
      <w:pPr>
        <w:pStyle w:val="BodyText"/>
        <w:spacing w:line="316" w:lineRule="auto" w:before="19"/>
        <w:ind w:right="150" w:firstLine="480"/>
        <w:jc w:val="left"/>
      </w:pPr>
      <w:r>
        <w:rPr/>
        <w:t>如果清偿预计负债所需支出全部或部分预期由第三方补偿的，补偿金额在基本确定能够收到时，作为资产单独确认， 且确认的补偿金额不超过预计负债的账面价值。</w:t>
      </w:r>
    </w:p>
    <w:p>
      <w:pPr>
        <w:pStyle w:val="BodyText"/>
        <w:spacing w:line="300" w:lineRule="auto" w:before="19"/>
        <w:ind w:left="634" w:right="125"/>
        <w:jc w:val="left"/>
      </w:pPr>
      <w:r>
        <w:rPr/>
        <w:t>（</w:t>
      </w:r>
      <w:r>
        <w:rPr>
          <w:rFonts w:ascii="Times New Roman" w:hAnsi="Times New Roman" w:cs="Times New Roman" w:eastAsia="Times New Roman" w:hint="default"/>
        </w:rPr>
        <w:t>1</w:t>
      </w:r>
      <w:r>
        <w:rPr/>
        <w:t>）亏损合同 </w:t>
      </w:r>
      <w:r>
        <w:rPr>
          <w:spacing w:val="-1"/>
        </w:rPr>
        <w:t>亏损合同是履行合同义务不可避免会发生的成本超过预期经济利益的合同。待执行合同变成亏损合同，且该亏损合同</w:t>
      </w:r>
    </w:p>
    <w:p>
      <w:pPr>
        <w:pStyle w:val="BodyText"/>
        <w:spacing w:line="316" w:lineRule="auto" w:before="31"/>
        <w:ind w:right="125"/>
        <w:jc w:val="left"/>
      </w:pPr>
      <w:r>
        <w:rPr>
          <w:spacing w:val="-2"/>
        </w:rPr>
        <w:t>产生的义务满足上述预计负债的确认条件的，将合同预计损失超过合同标的资产已确认的减值损失（如有）的部分，确认为</w:t>
      </w:r>
      <w:r>
        <w:rPr>
          <w:spacing w:val="-66"/>
        </w:rPr>
        <w:t> </w:t>
      </w:r>
      <w:r>
        <w:rPr>
          <w:spacing w:val="-66"/>
        </w:rPr>
      </w:r>
      <w:r>
        <w:rPr/>
        <w:t>预计负债。</w:t>
      </w:r>
    </w:p>
    <w:p>
      <w:pPr>
        <w:pStyle w:val="BodyText"/>
        <w:spacing w:line="300" w:lineRule="auto" w:before="19"/>
        <w:ind w:left="634" w:right="125"/>
        <w:jc w:val="left"/>
      </w:pPr>
      <w:r>
        <w:rPr/>
        <w:t>（</w:t>
      </w:r>
      <w:r>
        <w:rPr>
          <w:rFonts w:ascii="Times New Roman" w:hAnsi="Times New Roman" w:cs="Times New Roman" w:eastAsia="Times New Roman" w:hint="default"/>
        </w:rPr>
        <w:t>2</w:t>
      </w:r>
      <w:r>
        <w:rPr/>
        <w:t>）重组义务 </w:t>
      </w:r>
      <w:r>
        <w:rPr>
          <w:spacing w:val="-1"/>
        </w:rPr>
        <w:t>对于有详细、正式并且已经对外公告的重组计划，在满足前述预计负债的确认条件的情况下，按照与重组有关的直接</w:t>
      </w:r>
    </w:p>
    <w:p>
      <w:pPr>
        <w:pStyle w:val="BodyText"/>
        <w:spacing w:line="316" w:lineRule="auto" w:before="31"/>
        <w:ind w:right="90"/>
        <w:jc w:val="left"/>
      </w:pPr>
      <w:r>
        <w:rPr/>
        <w:t>支出确定预计负债金额。对于出售部分业务的重组义务，只有在本公司承诺出售部分业务（即签订了约束性出售协议时）， 才确认与重组相关的义务。</w:t>
      </w:r>
    </w:p>
    <w:p>
      <w:pPr>
        <w:spacing w:line="240" w:lineRule="auto" w:before="7"/>
        <w:rPr>
          <w:rFonts w:ascii="宋体" w:hAnsi="宋体" w:cs="宋体" w:eastAsia="宋体" w:hint="default"/>
          <w:sz w:val="22"/>
          <w:szCs w:val="22"/>
        </w:rPr>
      </w:pPr>
    </w:p>
    <w:p>
      <w:pPr>
        <w:pStyle w:val="Heading3"/>
        <w:spacing w:line="240" w:lineRule="auto"/>
        <w:ind w:right="125"/>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6751"/>
        <w:jc w:val="left"/>
      </w:pPr>
      <w:r>
        <w:rPr/>
        <w:t>公司是否需要遵守特殊行业的披露要求 否</w:t>
      </w:r>
    </w:p>
    <w:p>
      <w:pPr>
        <w:pStyle w:val="BodyText"/>
        <w:spacing w:line="300" w:lineRule="auto" w:before="25"/>
        <w:ind w:left="634" w:right="125"/>
        <w:jc w:val="left"/>
      </w:pPr>
      <w:r>
        <w:rPr/>
        <w:t>（</w:t>
      </w:r>
      <w:r>
        <w:rPr>
          <w:rFonts w:ascii="Times New Roman" w:hAnsi="Times New Roman" w:cs="Times New Roman" w:eastAsia="Times New Roman" w:hint="default"/>
        </w:rPr>
        <w:t>1</w:t>
      </w:r>
      <w:r>
        <w:rPr/>
        <w:t>）商品销售收入 </w:t>
      </w:r>
      <w:r>
        <w:rPr>
          <w:spacing w:val="-1"/>
        </w:rPr>
        <w:t>在已将商品所有权上的主要风险和报酬转移给买方，既没有保留通常与所有权相联系的继续管理权，也没有对已售商</w:t>
      </w:r>
    </w:p>
    <w:p>
      <w:pPr>
        <w:pStyle w:val="BodyText"/>
        <w:spacing w:line="316" w:lineRule="auto" w:before="31"/>
        <w:ind w:left="153" w:right="125"/>
        <w:jc w:val="left"/>
      </w:pPr>
      <w:r>
        <w:rPr>
          <w:spacing w:val="-2"/>
        </w:rPr>
        <w:t>品实施有效控制，收入的金额能够可靠地计量，相关的经济利益很可能流入企业，相关的已发生或将发生的成本能够可靠地</w:t>
      </w:r>
      <w:r>
        <w:rPr>
          <w:spacing w:val="-66"/>
        </w:rPr>
        <w:t> </w:t>
      </w:r>
      <w:r>
        <w:rPr>
          <w:spacing w:val="-66"/>
        </w:rPr>
      </w:r>
      <w:r>
        <w:rPr/>
        <w:t>计量时，确认商品销售收入的实现。</w:t>
      </w:r>
    </w:p>
    <w:p>
      <w:pPr>
        <w:pStyle w:val="BodyText"/>
        <w:spacing w:line="300" w:lineRule="auto" w:before="19"/>
        <w:ind w:left="634" w:right="125"/>
        <w:jc w:val="left"/>
      </w:pPr>
      <w:r>
        <w:rPr/>
        <w:t>（</w:t>
      </w:r>
      <w:r>
        <w:rPr>
          <w:rFonts w:ascii="Times New Roman" w:hAnsi="Times New Roman" w:cs="Times New Roman" w:eastAsia="Times New Roman" w:hint="default"/>
        </w:rPr>
        <w:t>2</w:t>
      </w:r>
      <w:r>
        <w:rPr/>
        <w:t>）提供劳务收入 </w:t>
      </w:r>
      <w:r>
        <w:rPr>
          <w:spacing w:val="-1"/>
        </w:rPr>
        <w:t>在提供劳务交易的结果能够可靠估计的情况下，于资产负债表日按照完工百分比法确认提供的劳务收入。劳务交易的</w:t>
      </w:r>
    </w:p>
    <w:p>
      <w:pPr>
        <w:pStyle w:val="BodyText"/>
        <w:spacing w:line="316" w:lineRule="auto" w:before="31"/>
        <w:ind w:left="634" w:right="83" w:hanging="480"/>
        <w:jc w:val="left"/>
      </w:pPr>
      <w:r>
        <w:rPr/>
        <w:t>完工进度按已经发生的劳务成本占估计总成本的比例确定。 </w:t>
      </w:r>
      <w:r>
        <w:rPr>
          <w:spacing w:val="-3"/>
        </w:rPr>
        <w:t>提供劳务交易的结果能够可靠估计是指同时满足：①收入的金额能够可靠地计量；②相关的经济利益很可能流入企业；</w:t>
      </w:r>
    </w:p>
    <w:p>
      <w:pPr>
        <w:pStyle w:val="BodyText"/>
        <w:spacing w:line="316" w:lineRule="auto" w:before="19"/>
        <w:ind w:left="634" w:right="150" w:hanging="480"/>
        <w:jc w:val="left"/>
      </w:pPr>
      <w:r>
        <w:rPr/>
        <w:t>③交易的完工程度能够可靠地确定；④交易中已发生和将发生的成本能够可靠地计量。 如果提供劳务交易的结果不能够可靠估计，则按已经发生并预计能够得到补偿的劳务成本金额确认提供的劳务收入，</w:t>
      </w:r>
    </w:p>
    <w:p>
      <w:pPr>
        <w:pStyle w:val="BodyText"/>
        <w:spacing w:line="316" w:lineRule="auto" w:before="19"/>
        <w:ind w:left="634" w:right="125" w:hanging="480"/>
        <w:jc w:val="left"/>
      </w:pPr>
      <w:r>
        <w:rPr/>
        <w:t>并将已发生的劳务成本作为当期费用。已经发生的劳务成本如预计不能得到补偿的，则不确认收入。 </w:t>
      </w:r>
      <w:r>
        <w:rPr>
          <w:spacing w:val="-1"/>
        </w:rPr>
        <w:t>本公司与其他企业签订的合同或协议包括销售商品和提供劳务时，如销售商品部分和提供劳务部分能够区分并单独计</w:t>
      </w:r>
    </w:p>
    <w:p>
      <w:pPr>
        <w:pStyle w:val="BodyText"/>
        <w:spacing w:line="316" w:lineRule="auto" w:before="19"/>
        <w:ind w:right="125"/>
        <w:jc w:val="left"/>
      </w:pPr>
      <w:r>
        <w:rPr>
          <w:spacing w:val="-2"/>
        </w:rPr>
        <w:t>量的，将销售商品部分和提供劳务部分分别处理；如销售商品部分和提供劳务部分不能够区分，或虽能区分但不能够单独计</w:t>
      </w:r>
      <w:r>
        <w:rPr>
          <w:spacing w:val="-66"/>
        </w:rPr>
        <w:t> </w:t>
      </w:r>
      <w:r>
        <w:rPr>
          <w:spacing w:val="-66"/>
        </w:rPr>
      </w:r>
      <w:r>
        <w:rPr/>
        <w:t>量的，将该合同全部作为销售商品处理。</w:t>
      </w:r>
    </w:p>
    <w:p>
      <w:pPr>
        <w:pStyle w:val="BodyText"/>
        <w:spacing w:line="300" w:lineRule="auto" w:before="19"/>
        <w:ind w:left="634" w:right="5550"/>
        <w:jc w:val="left"/>
      </w:pPr>
      <w:r>
        <w:rPr/>
        <w:t>（</w:t>
      </w:r>
      <w:r>
        <w:rPr>
          <w:rFonts w:ascii="Times New Roman" w:hAnsi="Times New Roman" w:cs="Times New Roman" w:eastAsia="Times New Roman" w:hint="default"/>
        </w:rPr>
        <w:t>3</w:t>
      </w:r>
      <w:r>
        <w:rPr/>
        <w:t>）使用费收入 根据有关合同或协议，按权责发生制确认收入。</w:t>
      </w:r>
    </w:p>
    <w:p>
      <w:pPr>
        <w:pStyle w:val="BodyText"/>
        <w:spacing w:line="300" w:lineRule="auto" w:before="31"/>
        <w:ind w:left="634" w:right="4830"/>
        <w:jc w:val="left"/>
      </w:pPr>
      <w:r>
        <w:rPr/>
        <w:t>（</w:t>
      </w:r>
      <w:r>
        <w:rPr>
          <w:rFonts w:ascii="Times New Roman" w:hAnsi="Times New Roman" w:cs="Times New Roman" w:eastAsia="Times New Roman" w:hint="default"/>
        </w:rPr>
        <w:t>4</w:t>
      </w:r>
      <w:r>
        <w:rPr/>
        <w:t>）利息收入 按照他人使用本公司货币资金的时间和实际利率计算确定</w:t>
      </w:r>
    </w:p>
    <w:p>
      <w:pPr>
        <w:pStyle w:val="BodyText"/>
        <w:spacing w:line="240" w:lineRule="auto" w:before="31"/>
        <w:ind w:left="634" w:right="125"/>
        <w:jc w:val="left"/>
      </w:pPr>
      <w:r>
        <w:rPr/>
        <w:t>（</w:t>
      </w:r>
      <w:r>
        <w:rPr>
          <w:rFonts w:ascii="Times New Roman" w:hAnsi="Times New Roman" w:cs="Times New Roman" w:eastAsia="Times New Roman" w:hint="default"/>
        </w:rPr>
        <w:t>5</w:t>
      </w:r>
      <w:r>
        <w:rPr/>
        <w:t>）收入确认的具体方法</w:t>
      </w:r>
    </w:p>
    <w:p>
      <w:pPr>
        <w:spacing w:after="0" w:line="24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633" w:right="125"/>
        <w:jc w:val="left"/>
      </w:pPr>
      <w:r>
        <w:rPr/>
        <w:t>据本公司的业务情况，对广告及策划、报刊发行、印刷具体收入原则：</w:t>
      </w:r>
    </w:p>
    <w:p>
      <w:pPr>
        <w:pStyle w:val="BodyText"/>
        <w:spacing w:line="300" w:lineRule="auto" w:before="76"/>
        <w:ind w:left="633" w:right="125"/>
        <w:jc w:val="left"/>
      </w:pPr>
      <w:r>
        <w:rPr>
          <w:rFonts w:ascii="Times New Roman" w:hAnsi="Times New Roman" w:cs="Times New Roman" w:eastAsia="Times New Roman" w:hint="default"/>
        </w:rPr>
        <w:t>1</w:t>
      </w:r>
      <w:r>
        <w:rPr/>
        <w:t>）广告及策划收入 </w:t>
      </w:r>
      <w:r>
        <w:rPr>
          <w:spacing w:val="-1"/>
        </w:rPr>
        <w:t>广告及策划收入在同时满足下列条件时予以确认：①广告或商业行为开始出现于公众面前；②收入的金额能够可靠地</w:t>
      </w:r>
    </w:p>
    <w:p>
      <w:pPr>
        <w:pStyle w:val="BodyText"/>
        <w:spacing w:line="240" w:lineRule="auto" w:before="31"/>
        <w:ind w:left="153" w:right="125"/>
        <w:jc w:val="left"/>
      </w:pPr>
      <w:r>
        <w:rPr/>
        <w:t>计量；③相关的经济利益很可能流入；④相关的已发生或将发生的成本能够可靠地计量。</w:t>
      </w:r>
    </w:p>
    <w:p>
      <w:pPr>
        <w:pStyle w:val="BodyText"/>
        <w:spacing w:line="300" w:lineRule="auto" w:before="76"/>
        <w:ind w:left="633" w:right="125"/>
        <w:jc w:val="left"/>
      </w:pPr>
      <w:r>
        <w:rPr>
          <w:rFonts w:ascii="Times New Roman" w:hAnsi="Times New Roman" w:cs="Times New Roman" w:eastAsia="Times New Roman" w:hint="default"/>
        </w:rPr>
        <w:t>2</w:t>
      </w:r>
      <w:r>
        <w:rPr/>
        <w:t>）报刊发行收入 </w:t>
      </w:r>
      <w:r>
        <w:rPr>
          <w:spacing w:val="-1"/>
        </w:rPr>
        <w:t>报刊发行收入在同时满足下列条件时予以确认：①报刊已实际投递；②收入的金额能够可靠地计量；③相关的经济利</w:t>
      </w:r>
    </w:p>
    <w:p>
      <w:pPr>
        <w:pStyle w:val="BodyText"/>
        <w:spacing w:line="240" w:lineRule="auto" w:before="31"/>
        <w:ind w:left="153" w:right="125"/>
        <w:jc w:val="left"/>
      </w:pPr>
      <w:r>
        <w:rPr/>
        <w:t>益很可能流入；④相关的已发生或将发生的成本能够可靠地计量。</w:t>
      </w:r>
    </w:p>
    <w:p>
      <w:pPr>
        <w:pStyle w:val="BodyText"/>
        <w:spacing w:line="300" w:lineRule="auto" w:before="76"/>
        <w:ind w:left="633" w:right="125"/>
        <w:jc w:val="left"/>
      </w:pPr>
      <w:r>
        <w:rPr>
          <w:rFonts w:ascii="Times New Roman" w:hAnsi="Times New Roman" w:cs="Times New Roman" w:eastAsia="Times New Roman" w:hint="default"/>
        </w:rPr>
        <w:t>3</w:t>
      </w:r>
      <w:r>
        <w:rPr/>
        <w:t>）印刷收入 </w:t>
      </w:r>
      <w:r>
        <w:rPr>
          <w:spacing w:val="-1"/>
        </w:rPr>
        <w:t>印刷收入在同时满足下列条件时予以确认：①产品完工交付订货单位；②收入的金额能够可靠地计量；③相关的经济</w:t>
      </w:r>
    </w:p>
    <w:p>
      <w:pPr>
        <w:pStyle w:val="BodyText"/>
        <w:spacing w:line="240" w:lineRule="auto" w:before="31"/>
        <w:ind w:left="153" w:right="125"/>
        <w:jc w:val="left"/>
      </w:pPr>
      <w:r>
        <w:rPr/>
        <w:t>利益很可能流入；④相关的已发生或将发生的成本能够可靠地计量。</w:t>
      </w:r>
    </w:p>
    <w:p>
      <w:pPr>
        <w:pStyle w:val="BodyText"/>
        <w:spacing w:line="300" w:lineRule="auto" w:before="76"/>
        <w:ind w:left="633" w:right="125"/>
        <w:jc w:val="left"/>
      </w:pPr>
      <w:r>
        <w:rPr>
          <w:rFonts w:ascii="Times New Roman" w:hAnsi="Times New Roman" w:cs="Times New Roman" w:eastAsia="Times New Roman" w:hint="default"/>
        </w:rPr>
        <w:t>4</w:t>
      </w:r>
      <w:r>
        <w:rPr/>
        <w:t>）信息服务收入 </w:t>
      </w:r>
      <w:r>
        <w:rPr>
          <w:spacing w:val="-1"/>
        </w:rPr>
        <w:t>信息服务收入在同时满足下列条件时予以确认：①信息服务已经提供；②收入的金额能够可靠地计量；③相关的经济</w:t>
      </w:r>
    </w:p>
    <w:p>
      <w:pPr>
        <w:pStyle w:val="BodyText"/>
        <w:spacing w:line="240" w:lineRule="auto" w:before="31"/>
        <w:ind w:left="153" w:right="125"/>
        <w:jc w:val="left"/>
      </w:pPr>
      <w:r>
        <w:rPr/>
        <w:t>利益很可能流入；④相关的已发生或将发生的成本能够可靠地计量。</w:t>
      </w:r>
    </w:p>
    <w:p>
      <w:pPr>
        <w:pStyle w:val="BodyText"/>
        <w:spacing w:line="300" w:lineRule="auto" w:before="76"/>
        <w:ind w:left="354" w:right="125" w:firstLine="279"/>
        <w:jc w:val="left"/>
      </w:pPr>
      <w:r>
        <w:rPr>
          <w:rFonts w:ascii="Times New Roman" w:hAnsi="Times New Roman" w:cs="Times New Roman" w:eastAsia="Times New Roman" w:hint="default"/>
        </w:rPr>
        <w:t>5</w:t>
      </w:r>
      <w:r>
        <w:rPr/>
        <w:t>）教育培训收入 教育培训收入在同时满足下列条件时予以确认：①公司已根据约定提供教育服务或教育培训；②收入的金额能够可靠地</w:t>
      </w:r>
    </w:p>
    <w:p>
      <w:pPr>
        <w:pStyle w:val="BodyText"/>
        <w:spacing w:line="240" w:lineRule="auto" w:before="31"/>
        <w:ind w:right="125"/>
        <w:jc w:val="left"/>
      </w:pPr>
      <w:r>
        <w:rPr/>
        <w:t>计量；③相关的经济利益很可能流入；④相关的已发生或将发生的成本能够可靠地计量。</w:t>
      </w:r>
    </w:p>
    <w:p>
      <w:pPr>
        <w:spacing w:line="240" w:lineRule="auto" w:before="12"/>
        <w:rPr>
          <w:rFonts w:ascii="宋体" w:hAnsi="宋体" w:cs="宋体" w:eastAsia="宋体" w:hint="default"/>
          <w:sz w:val="26"/>
          <w:szCs w:val="26"/>
        </w:rPr>
      </w:pPr>
    </w:p>
    <w:p>
      <w:pPr>
        <w:pStyle w:val="Heading3"/>
        <w:spacing w:line="240" w:lineRule="auto"/>
        <w:ind w:right="125"/>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191" w:firstLine="480"/>
        <w:jc w:val="both"/>
      </w:pPr>
      <w:r>
        <w:rPr>
          <w:spacing w:val="-1"/>
        </w:rPr>
        <w:t>本公司将所取得的用于购建或以其他方式形成长期资产的政府补助界定为与资产相关的政府补助；其余政府补助界定</w:t>
      </w:r>
      <w:r>
        <w:rPr/>
        <w:t> </w:t>
      </w:r>
      <w:r>
        <w:rPr>
          <w:spacing w:val="-2"/>
        </w:rPr>
        <w:t>为与收益相关的政府补助。若政府文件未明确规定补助对象，则采用以下方式将补助款划分为与收益相关的政府补助和与资</w:t>
      </w:r>
      <w:r>
        <w:rPr>
          <w:spacing w:val="-64"/>
        </w:rPr>
        <w:t> </w:t>
      </w:r>
      <w:r>
        <w:rPr>
          <w:spacing w:val="-64"/>
        </w:rPr>
      </w:r>
      <w:r>
        <w:rPr/>
        <w:t>产相关的政府补助：（</w:t>
      </w:r>
      <w:r>
        <w:rPr>
          <w:rFonts w:ascii="Times New Roman" w:hAnsi="Times New Roman" w:cs="Times New Roman" w:eastAsia="Times New Roman" w:hint="default"/>
        </w:rPr>
        <w:t>1</w:t>
      </w:r>
      <w:r>
        <w:rPr/>
        <w:t>）政府文件明确了补助所针对的特定项目的，根据该特定项目的预算中将形成资产的支出金额和计 入费用的支出金额的相对比例进行划分，对该划分比例需在每个资产负债表日进行复核，必要时进行变更；（</w:t>
      </w:r>
      <w:r>
        <w:rPr>
          <w:rFonts w:ascii="Times New Roman" w:hAnsi="Times New Roman" w:cs="Times New Roman" w:eastAsia="Times New Roman" w:hint="default"/>
        </w:rPr>
        <w:t>2</w:t>
      </w:r>
      <w:r>
        <w:rPr/>
        <w:t>）政府文件 中对用途仅作一般性表述，没有指明特定项目的，作为与收益相关的政府补助。</w:t>
      </w:r>
    </w:p>
    <w:p>
      <w:pPr>
        <w:pStyle w:val="BodyText"/>
        <w:spacing w:line="240" w:lineRule="auto" w:before="24"/>
        <w:ind w:left="633" w:right="125"/>
        <w:jc w:val="left"/>
      </w:pPr>
      <w:r>
        <w:rPr/>
        <w:t>与资产相关的政府补助，确认为递延收益，并在相关资产的使用寿命内平均分配计入当期损益。</w:t>
      </w:r>
    </w:p>
    <w:p>
      <w:pPr>
        <w:spacing w:line="240" w:lineRule="auto" w:before="12"/>
        <w:rPr>
          <w:rFonts w:ascii="宋体" w:hAnsi="宋体" w:cs="宋体" w:eastAsia="宋体" w:hint="default"/>
          <w:sz w:val="26"/>
          <w:szCs w:val="26"/>
        </w:rPr>
      </w:pPr>
    </w:p>
    <w:p>
      <w:pPr>
        <w:pStyle w:val="Heading3"/>
        <w:spacing w:line="240" w:lineRule="auto"/>
        <w:ind w:right="125"/>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25" w:firstLine="290"/>
        <w:jc w:val="left"/>
      </w:pPr>
      <w:r>
        <w:rPr>
          <w:spacing w:val="-1"/>
        </w:rPr>
        <w:t>与收益相关的政府补助，用于补偿以后期间的相关费用和损失的，确认为递延收益，并在确认相关费用的期间计入当期</w:t>
      </w:r>
      <w:r>
        <w:rPr/>
        <w:t> 损益；用于补偿已经发生的相关费用和损失的，直接计入当期损益。</w:t>
      </w:r>
    </w:p>
    <w:p>
      <w:pPr>
        <w:pStyle w:val="BodyText"/>
        <w:spacing w:line="316" w:lineRule="auto" w:before="19"/>
        <w:ind w:left="153" w:right="191" w:firstLine="480"/>
        <w:jc w:val="both"/>
      </w:pPr>
      <w:r>
        <w:rPr>
          <w:spacing w:val="-1"/>
        </w:rPr>
        <w:t>同时包含与资产相关部分和与收益相关部分的政府补助，区分不同部分分别进行会计处理；难以区分的，将其整体归</w:t>
      </w:r>
      <w:r>
        <w:rPr/>
        <w:t> 类为与收益相关的政府补助。</w:t>
      </w:r>
    </w:p>
    <w:p>
      <w:pPr>
        <w:pStyle w:val="BodyText"/>
        <w:spacing w:line="316" w:lineRule="auto" w:before="19"/>
        <w:ind w:right="191" w:firstLine="480"/>
        <w:jc w:val="both"/>
      </w:pPr>
      <w:r>
        <w:rPr>
          <w:spacing w:val="-1"/>
        </w:rPr>
        <w:t>与本公司日常活动相关的政府补助，按照经济业务的实质，计入其他收益；与日常活动无关的政府补助，计入营业外</w:t>
      </w:r>
      <w:r>
        <w:rPr/>
        <w:t> 收支。</w:t>
      </w:r>
    </w:p>
    <w:p>
      <w:pPr>
        <w:pStyle w:val="BodyText"/>
        <w:spacing w:line="316" w:lineRule="auto" w:before="19"/>
        <w:ind w:right="191" w:firstLine="480"/>
        <w:jc w:val="both"/>
      </w:pPr>
      <w:r>
        <w:rPr>
          <w:spacing w:val="-1"/>
        </w:rPr>
        <w:t>已确认的政府补助需要退回时，存在相关递延收益余额的，冲减相关递延收益账面余额，超出部分计入当期损益；属</w:t>
      </w:r>
      <w:r>
        <w:rPr/>
        <w:t> 于其他情况的，直接计入当期损益。</w:t>
      </w:r>
    </w:p>
    <w:p>
      <w:pPr>
        <w:spacing w:line="240" w:lineRule="auto" w:before="7"/>
        <w:rPr>
          <w:rFonts w:ascii="宋体" w:hAnsi="宋体" w:cs="宋体" w:eastAsia="宋体" w:hint="default"/>
          <w:sz w:val="22"/>
          <w:szCs w:val="22"/>
        </w:rPr>
      </w:pPr>
    </w:p>
    <w:p>
      <w:pPr>
        <w:pStyle w:val="Heading3"/>
        <w:spacing w:line="240" w:lineRule="auto"/>
        <w:ind w:right="125"/>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3" w:right="83"/>
        <w:jc w:val="left"/>
      </w:pPr>
      <w:r>
        <w:rPr/>
        <w:t>（</w:t>
      </w:r>
      <w:r>
        <w:rPr>
          <w:rFonts w:ascii="Times New Roman" w:hAnsi="Times New Roman" w:cs="Times New Roman" w:eastAsia="Times New Roman" w:hint="default"/>
        </w:rPr>
        <w:t>1</w:t>
      </w:r>
      <w:r>
        <w:rPr/>
        <w:t>）当期所得税 </w:t>
      </w:r>
      <w:r>
        <w:rPr>
          <w:spacing w:val="-3"/>
        </w:rPr>
        <w:t>资产负债表日，对于当期和以前期间形成的当期所得税负债（或资产），以按照税法规定计算的预期应交纳（或返还）</w:t>
      </w:r>
    </w:p>
    <w:p>
      <w:pPr>
        <w:pStyle w:val="BodyText"/>
        <w:spacing w:line="316" w:lineRule="auto" w:before="31"/>
        <w:ind w:left="153" w:right="125"/>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spacing w:after="0" w:line="316"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00" w:lineRule="auto" w:before="44"/>
        <w:ind w:left="633" w:right="0"/>
        <w:jc w:val="left"/>
      </w:pPr>
      <w:r>
        <w:rPr/>
        <w:t>（</w:t>
      </w:r>
      <w:r>
        <w:rPr>
          <w:rFonts w:ascii="Times New Roman" w:hAnsi="Times New Roman" w:cs="Times New Roman" w:eastAsia="Times New Roman" w:hint="default"/>
        </w:rPr>
        <w:t>2</w:t>
      </w:r>
      <w:r>
        <w:rPr/>
        <w:t>）递延所得税资产及递延所得税负债 </w:t>
      </w:r>
      <w:r>
        <w:rPr>
          <w:spacing w:val="-1"/>
        </w:rPr>
        <w:t>某些资产、负债项目的账面价值与其计税基础之间的差额，以及未作为资产和负债确认但按照税法规定可以确定其计</w:t>
      </w:r>
    </w:p>
    <w:p>
      <w:pPr>
        <w:pStyle w:val="BodyText"/>
        <w:spacing w:line="316" w:lineRule="auto" w:before="31"/>
        <w:ind w:left="153" w:right="150"/>
        <w:jc w:val="both"/>
      </w:pPr>
      <w:r>
        <w:rPr>
          <w:spacing w:val="-2"/>
        </w:rPr>
        <w:t>税基础的项目的账面价值与计税基础之间的差额产生的暂时性差异，采用资产负债表债务法确认递延所得税资产及递延所得</w:t>
      </w:r>
      <w:r>
        <w:rPr>
          <w:spacing w:val="-64"/>
        </w:rPr>
        <w:t> </w:t>
      </w:r>
      <w:r>
        <w:rPr>
          <w:spacing w:val="-64"/>
        </w:rPr>
      </w:r>
      <w:r>
        <w:rPr/>
        <w:t>税负债。</w:t>
      </w:r>
    </w:p>
    <w:p>
      <w:pPr>
        <w:pStyle w:val="BodyText"/>
        <w:spacing w:line="316" w:lineRule="auto" w:before="19"/>
        <w:ind w:left="153" w:right="151" w:firstLine="480"/>
        <w:jc w:val="both"/>
      </w:pPr>
      <w:r>
        <w:rPr>
          <w:spacing w:val="-1"/>
        </w:rPr>
        <w:t>与商誉的初始确认有关，以及与既不是企业合并、发生时也不影响会计利润和应纳税所得额（或可抵扣亏损）的交易</w:t>
      </w:r>
      <w:r>
        <w:rPr/>
        <w:t> </w:t>
      </w:r>
      <w:r>
        <w:rPr>
          <w:spacing w:val="-2"/>
        </w:rPr>
        <w:t>中产生的资产或负债的初始确认有关的应纳税暂时性差异，不予确认有关的递延所得税负债。此外，对与子公司、联营企业</w:t>
      </w:r>
      <w:r>
        <w:rPr>
          <w:spacing w:val="-66"/>
        </w:rPr>
        <w:t> </w:t>
      </w:r>
      <w:r>
        <w:rPr>
          <w:spacing w:val="-66"/>
        </w:rPr>
      </w:r>
      <w:r>
        <w:rPr>
          <w:spacing w:val="-2"/>
        </w:rPr>
        <w:t>及合营企业投资相关的应纳税暂时性差异，如果本公司能够控制暂时性差异转回的时间，而且该暂时性差异在可预见的未来</w:t>
      </w:r>
      <w:r>
        <w:rPr>
          <w:spacing w:val="-64"/>
        </w:rPr>
        <w:t> </w:t>
      </w:r>
      <w:r>
        <w:rPr>
          <w:spacing w:val="-64"/>
        </w:rPr>
      </w:r>
      <w:r>
        <w:rPr>
          <w:spacing w:val="-2"/>
        </w:rPr>
        <w:t>很可能不会转回，也不予确认有关的递延所得税负债。除上述例外情况，本公司确认其他所有应纳税暂时性差异产生的递延</w:t>
      </w:r>
      <w:r>
        <w:rPr>
          <w:spacing w:val="-66"/>
        </w:rPr>
        <w:t> </w:t>
      </w:r>
      <w:r>
        <w:rPr>
          <w:spacing w:val="-66"/>
        </w:rPr>
      </w:r>
      <w:r>
        <w:rPr/>
        <w:t>所得税负债。</w:t>
      </w:r>
    </w:p>
    <w:p>
      <w:pPr>
        <w:pStyle w:val="BodyText"/>
        <w:spacing w:line="316" w:lineRule="auto" w:before="19"/>
        <w:ind w:left="153" w:right="151" w:firstLine="480"/>
        <w:jc w:val="both"/>
      </w:pPr>
      <w:r>
        <w:rPr>
          <w:spacing w:val="-1"/>
        </w:rPr>
        <w:t>与既不是企业合并、发生时也不影响会计利润和应纳税所得额（或可抵扣亏损）的交易中产生的资产或负债的初始确</w:t>
      </w:r>
      <w:r>
        <w:rPr/>
        <w:t> </w:t>
      </w:r>
      <w:r>
        <w:rPr>
          <w:spacing w:val="-2"/>
        </w:rPr>
        <w:t>认有关的可抵扣暂时性差异，不予确认有关的递延所得税资产。此外，对与子公司、联营企业及合营企业投资相关的可抵扣</w:t>
      </w:r>
      <w:r>
        <w:rPr>
          <w:spacing w:val="-66"/>
        </w:rPr>
        <w:t> </w:t>
      </w:r>
      <w:r>
        <w:rPr>
          <w:spacing w:val="-66"/>
        </w:rPr>
      </w:r>
      <w:r>
        <w:rPr>
          <w:spacing w:val="-2"/>
        </w:rPr>
        <w:t>暂时性差异，如果暂时性差异在可预见的未来不是很可能转回，或者未来不是很可能获得用来抵扣可抵扣暂时性差异的应纳</w:t>
      </w:r>
      <w:r>
        <w:rPr>
          <w:spacing w:val="-64"/>
        </w:rPr>
        <w:t> </w:t>
      </w:r>
      <w:r>
        <w:rPr>
          <w:spacing w:val="-64"/>
        </w:rPr>
      </w:r>
      <w:r>
        <w:rPr>
          <w:spacing w:val="-2"/>
        </w:rPr>
        <w:t>税所得额，不予确认有关的递延所得税资产。除上述例外情况，本公司以很可能取得用来抵扣可抵扣暂时性差异的应纳税所</w:t>
      </w:r>
      <w:r>
        <w:rPr>
          <w:spacing w:val="-66"/>
        </w:rPr>
        <w:t> </w:t>
      </w:r>
      <w:r>
        <w:rPr>
          <w:spacing w:val="-66"/>
        </w:rPr>
      </w:r>
      <w:r>
        <w:rPr/>
        <w:t>得额为限，确认其他可抵扣暂时性差异产生的递延所得税资产。</w:t>
      </w:r>
    </w:p>
    <w:p>
      <w:pPr>
        <w:pStyle w:val="BodyText"/>
        <w:spacing w:line="316" w:lineRule="auto" w:before="19"/>
        <w:ind w:left="153" w:right="150" w:firstLine="480"/>
        <w:jc w:val="both"/>
      </w:pPr>
      <w:r>
        <w:rPr>
          <w:spacing w:val="-1"/>
        </w:rPr>
        <w:t>对于能够结转以后年度的可抵扣亏损和税款抵减，以很可能获得用来抵扣可抵扣亏损和税款抵减的未来应纳税所得额</w:t>
      </w:r>
      <w:r>
        <w:rPr/>
        <w:t> 为限，确认相应的递延所得税资产。</w:t>
      </w:r>
    </w:p>
    <w:p>
      <w:pPr>
        <w:pStyle w:val="BodyText"/>
        <w:spacing w:line="316" w:lineRule="auto" w:before="19"/>
        <w:ind w:left="153" w:right="150" w:firstLine="480"/>
        <w:jc w:val="both"/>
      </w:pPr>
      <w:r>
        <w:rPr>
          <w:spacing w:val="-1"/>
        </w:rPr>
        <w:t>资产负债表日，对于递延所得税资产和递延所得税负债，根据税法规定，按照预期收回相关资产或清偿相关负债期间</w:t>
      </w:r>
      <w:r>
        <w:rPr/>
        <w:t> 的适用税率计量。</w:t>
      </w:r>
    </w:p>
    <w:p>
      <w:pPr>
        <w:pStyle w:val="BodyText"/>
        <w:spacing w:line="316" w:lineRule="auto" w:before="19"/>
        <w:ind w:left="153" w:right="150" w:firstLine="480"/>
        <w:jc w:val="both"/>
      </w:pPr>
      <w:r>
        <w:rPr>
          <w:spacing w:val="-1"/>
        </w:rPr>
        <w:t>于资产负债表日，对递延所得税资产的账面价值进行复核，如果未来很可能无法获得足够的应纳税所得额用以抵扣递</w:t>
      </w:r>
      <w:r>
        <w:rPr/>
        <w:t> 延所得税资产的利益，则减记递延所得税资产的账面价值。在很可能获得足够的应纳税所得额时，减记的金额予以转回。</w:t>
      </w:r>
    </w:p>
    <w:p>
      <w:pPr>
        <w:pStyle w:val="BodyText"/>
        <w:spacing w:line="300" w:lineRule="auto" w:before="19"/>
        <w:ind w:left="633" w:right="5871"/>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left="153" w:right="248" w:firstLine="480"/>
        <w:jc w:val="both"/>
      </w:pPr>
      <w:r>
        <w:rPr/>
        <w:t>除确认为其他综合收益或直接计入股东权益的交易和事项相关的当期所得税和递延所得税计入其他综合收益或股东 权益，以及企业合并产生的递延所得税调整商誉的账面价值外，其余当期所得税和递延所得税费用或收益计入当期损益。</w:t>
      </w:r>
    </w:p>
    <w:p>
      <w:pPr>
        <w:pStyle w:val="BodyText"/>
        <w:spacing w:line="300" w:lineRule="auto" w:before="19"/>
        <w:ind w:left="633" w:right="0"/>
        <w:jc w:val="left"/>
      </w:pPr>
      <w:r>
        <w:rPr/>
        <w:t>（</w:t>
      </w:r>
      <w:r>
        <w:rPr>
          <w:rFonts w:ascii="Times New Roman" w:hAnsi="Times New Roman" w:cs="Times New Roman" w:eastAsia="Times New Roman" w:hint="default"/>
        </w:rPr>
        <w:t>4</w:t>
      </w:r>
      <w:r>
        <w:rPr/>
        <w:t>）所得税的抵销 </w:t>
      </w:r>
      <w:r>
        <w:rPr>
          <w:spacing w:val="-1"/>
        </w:rPr>
        <w:t>当拥有以净额结算的法定权利，且意图以净额结算或取得资产、清偿负债同时进行时，本公司当期所得税资产及当期</w:t>
      </w:r>
    </w:p>
    <w:p>
      <w:pPr>
        <w:pStyle w:val="BodyText"/>
        <w:spacing w:line="316" w:lineRule="auto" w:before="31"/>
        <w:ind w:left="633" w:right="0" w:hanging="480"/>
        <w:jc w:val="left"/>
      </w:pPr>
      <w:r>
        <w:rPr/>
        <w:t>所得税负债以抵销后的净额列报。 </w:t>
      </w:r>
      <w:r>
        <w:rPr>
          <w:spacing w:val="-1"/>
        </w:rPr>
        <w:t>当拥有以净额结算当期所得税资产及当期所得税负债的法定权利，且递延所得税资产及递延所得税负债是与同一税收</w:t>
      </w:r>
    </w:p>
    <w:p>
      <w:pPr>
        <w:pStyle w:val="BodyText"/>
        <w:spacing w:line="316" w:lineRule="auto" w:before="19"/>
        <w:ind w:left="153" w:right="150"/>
        <w:jc w:val="both"/>
      </w:pPr>
      <w:r>
        <w:rPr>
          <w:spacing w:val="-2"/>
        </w:rPr>
        <w:t>征管部门对同一纳税主体征收的所得税相关或者是对不同的纳税主体相关，但在未来每一具有重要性的递延所得税资产及负</w:t>
      </w:r>
      <w:r>
        <w:rPr>
          <w:spacing w:val="-64"/>
        </w:rPr>
        <w:t> </w:t>
      </w:r>
      <w:r>
        <w:rPr>
          <w:spacing w:val="-64"/>
        </w:rPr>
      </w:r>
      <w:r>
        <w:rPr>
          <w:spacing w:val="-2"/>
        </w:rPr>
        <w:t>债转回的期间内，涉及的纳税主体意图以净额结算当期所得税资产和负债或是同时取得资产、清偿负债时，本公司递延所得</w:t>
      </w:r>
      <w:r>
        <w:rPr>
          <w:spacing w:val="-66"/>
        </w:rPr>
        <w:t> </w:t>
      </w:r>
      <w:r>
        <w:rPr>
          <w:spacing w:val="-66"/>
        </w:rPr>
      </w:r>
      <w:r>
        <w:rPr/>
        <w:t>税资产及递延所得税负债以抵销后的净额列报。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51" w:firstLine="480"/>
        <w:jc w:val="both"/>
      </w:pPr>
      <w:r>
        <w:rPr>
          <w:spacing w:val="-1"/>
        </w:rPr>
        <w:t>融资租赁为实质上转移了与资产所有权有关的全部风险和报酬的租赁，其所有权最终可能转移，也可能不转移。融资</w:t>
      </w:r>
      <w:r>
        <w:rPr/>
        <w:t> 租赁以外的其他租赁为经营租赁。</w:t>
      </w:r>
    </w:p>
    <w:p>
      <w:pPr>
        <w:pStyle w:val="BodyText"/>
        <w:spacing w:line="300" w:lineRule="auto" w:before="19"/>
        <w:ind w:left="634" w:right="0"/>
        <w:jc w:val="left"/>
      </w:pPr>
      <w:r>
        <w:rPr/>
        <w:t>（</w:t>
      </w:r>
      <w:r>
        <w:rPr>
          <w:rFonts w:ascii="Times New Roman" w:hAnsi="Times New Roman" w:cs="Times New Roman" w:eastAsia="Times New Roman" w:hint="default"/>
        </w:rPr>
        <w:t>1</w:t>
      </w:r>
      <w:r>
        <w:rPr/>
        <w:t>）本公司作为承租人记录经营租赁业务 </w:t>
      </w:r>
      <w:r>
        <w:rPr>
          <w:spacing w:val="-1"/>
        </w:rPr>
        <w:t>经营租赁的租金支出在租赁期内的各个期间按直线法计入相关资产成本或当期损益。初始直接费用计入当期损益。或</w:t>
      </w:r>
    </w:p>
    <w:p>
      <w:pPr>
        <w:pStyle w:val="BodyText"/>
        <w:spacing w:line="240" w:lineRule="auto" w:before="31"/>
        <w:ind w:left="153" w:right="0"/>
        <w:jc w:val="both"/>
      </w:pPr>
      <w:r>
        <w:rPr/>
        <w:t>有租金于实际发生时计入当期损益。</w:t>
      </w:r>
    </w:p>
    <w:p>
      <w:pPr>
        <w:pStyle w:val="BodyText"/>
        <w:spacing w:line="300" w:lineRule="auto" w:before="76"/>
        <w:ind w:left="634" w:right="0"/>
        <w:jc w:val="left"/>
      </w:pPr>
      <w:r>
        <w:rPr/>
        <w:t>（</w:t>
      </w:r>
      <w:r>
        <w:rPr>
          <w:rFonts w:ascii="Times New Roman" w:hAnsi="Times New Roman" w:cs="Times New Roman" w:eastAsia="Times New Roman" w:hint="default"/>
        </w:rPr>
        <w:t>2</w:t>
      </w:r>
      <w:r>
        <w:rPr/>
        <w:t>）本公司作为出租人记录经营租赁业务 </w:t>
      </w:r>
      <w:r>
        <w:rPr>
          <w:spacing w:val="-1"/>
        </w:rPr>
        <w:t>经营租赁的租金收入在租赁期内的各个期间按直线法确认为当期损益。对金额较大的初始直接费用于发生时予以资本</w:t>
      </w:r>
    </w:p>
    <w:p>
      <w:pPr>
        <w:pStyle w:val="BodyText"/>
        <w:spacing w:line="240" w:lineRule="auto" w:before="31"/>
        <w:ind w:left="153" w:right="0"/>
        <w:jc w:val="both"/>
      </w:pPr>
      <w:r>
        <w:rPr/>
        <w:t>化，在整个租赁期间内按照与确认租金收入相同的基础分期计入当期损益；其他金额较小的初始直接费用于发生时计入当期</w:t>
      </w:r>
    </w:p>
    <w:p>
      <w:pPr>
        <w:spacing w:after="0" w:line="240" w:lineRule="auto"/>
        <w:jc w:val="both"/>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240" w:lineRule="auto" w:before="44"/>
        <w:ind w:left="153" w:right="125"/>
        <w:jc w:val="left"/>
      </w:pPr>
      <w:r>
        <w:rPr/>
        <w:t>损益。或有租金于实际发生时计入当期损益。</w:t>
      </w:r>
    </w:p>
    <w:p>
      <w:pPr>
        <w:spacing w:line="240" w:lineRule="auto" w:before="12"/>
        <w:rPr>
          <w:rFonts w:ascii="宋体" w:hAnsi="宋体" w:cs="宋体" w:eastAsia="宋体" w:hint="default"/>
          <w:sz w:val="26"/>
          <w:szCs w:val="26"/>
        </w:rPr>
      </w:pPr>
    </w:p>
    <w:p>
      <w:pPr>
        <w:pStyle w:val="Heading3"/>
        <w:spacing w:line="240" w:lineRule="auto"/>
        <w:ind w:right="125"/>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34" w:right="125"/>
        <w:jc w:val="left"/>
      </w:pPr>
      <w:r>
        <w:rPr/>
        <w:t>会计政策变更说明：</w:t>
      </w:r>
    </w:p>
    <w:p>
      <w:pPr>
        <w:pStyle w:val="BodyText"/>
        <w:spacing w:line="240" w:lineRule="auto" w:before="76"/>
        <w:ind w:left="633" w:right="125"/>
        <w:jc w:val="left"/>
        <w:rPr>
          <w:rFonts w:ascii="Times New Roman" w:hAnsi="Times New Roman" w:cs="Times New Roman" w:eastAsia="Times New Roman" w:hint="default"/>
        </w:rPr>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10 </w:t>
      </w:r>
      <w:r>
        <w:rPr/>
        <w:t>日，财政部公布了修订后的《企业会计准则第 </w:t>
      </w:r>
      <w:r>
        <w:rPr>
          <w:rFonts w:ascii="Times New Roman" w:hAnsi="Times New Roman" w:cs="Times New Roman" w:eastAsia="Times New Roman" w:hint="default"/>
        </w:rPr>
        <w:t>16 </w:t>
      </w:r>
      <w:r>
        <w:rPr/>
        <w:t>号</w:t>
      </w:r>
      <w:r>
        <w:rPr>
          <w:rFonts w:ascii="Times New Roman" w:hAnsi="Times New Roman" w:cs="Times New Roman" w:eastAsia="Times New Roman" w:hint="default"/>
        </w:rPr>
        <w:t>——</w:t>
      </w:r>
      <w:r>
        <w:rPr/>
        <w:t>政府补助》，该修订后的准则自 </w:t>
      </w:r>
      <w:r>
        <w:rPr>
          <w:rFonts w:ascii="Times New Roman" w:hAnsi="Times New Roman" w:cs="Times New Roman" w:eastAsia="Times New Roman" w:hint="default"/>
        </w:rPr>
        <w:t>2017 </w:t>
      </w:r>
      <w:r>
        <w:rPr/>
        <w:t>年</w:t>
      </w:r>
      <w:r>
        <w:rPr>
          <w:spacing w:val="20"/>
        </w:rPr>
        <w:t> </w:t>
      </w:r>
      <w:r>
        <w:rPr>
          <w:rFonts w:ascii="Times New Roman" w:hAnsi="Times New Roman" w:cs="Times New Roman" w:eastAsia="Times New Roman" w:hint="default"/>
        </w:rPr>
        <w:t>6</w:t>
      </w:r>
    </w:p>
    <w:p>
      <w:pPr>
        <w:pStyle w:val="BodyText"/>
        <w:spacing w:line="300" w:lineRule="auto" w:before="63"/>
        <w:ind w:right="238"/>
        <w:jc w:val="left"/>
      </w:pPr>
      <w:r>
        <w:rPr/>
        <w:t>月 </w:t>
      </w:r>
      <w:r>
        <w:rPr>
          <w:rFonts w:ascii="Times New Roman" w:hAnsi="Times New Roman" w:cs="Times New Roman" w:eastAsia="Times New Roman" w:hint="default"/>
        </w:rPr>
        <w:t>12</w:t>
      </w:r>
      <w:r>
        <w:rPr/>
        <w:t>日起施行，对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 </w:t>
      </w:r>
      <w:r>
        <w:rPr/>
        <w:t>日存在的政府补助采用未来适用法处理，对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日至该准则施行日之间新 增的政府补助根据该修订后的准则进行调整。</w:t>
      </w:r>
    </w:p>
    <w:p>
      <w:pPr>
        <w:pStyle w:val="BodyText"/>
        <w:spacing w:line="240" w:lineRule="auto" w:before="31"/>
        <w:ind w:left="634" w:right="125"/>
        <w:jc w:val="left"/>
        <w:rPr>
          <w:rFonts w:ascii="Times New Roman" w:hAnsi="Times New Roman" w:cs="Times New Roman" w:eastAsia="Times New Roman" w:hint="default"/>
        </w:rPr>
      </w:pPr>
      <w:r>
        <w:rPr/>
        <w:t>本公司自</w:t>
      </w:r>
      <w:r>
        <w:rPr>
          <w:spacing w:val="-17"/>
        </w:rPr>
        <w:t> </w:t>
      </w:r>
      <w:r>
        <w:rPr>
          <w:rFonts w:ascii="Times New Roman" w:hAnsi="Times New Roman" w:cs="Times New Roman" w:eastAsia="Times New Roman" w:hint="default"/>
        </w:rPr>
        <w:t>2017 </w:t>
      </w:r>
      <w:r>
        <w:rPr>
          <w:rFonts w:ascii="Times New Roman" w:hAnsi="Times New Roman" w:cs="Times New Roman" w:eastAsia="Times New Roman" w:hint="default"/>
          <w:spacing w:val="-20"/>
        </w:rPr>
        <w:t> </w:t>
      </w:r>
      <w:r>
        <w:rPr/>
        <w:t>年</w:t>
      </w:r>
      <w:r>
        <w:rPr>
          <w:spacing w:val="-17"/>
        </w:rPr>
        <w:t> </w:t>
      </w:r>
      <w:r>
        <w:rPr>
          <w:rFonts w:ascii="Times New Roman" w:hAnsi="Times New Roman" w:cs="Times New Roman" w:eastAsia="Times New Roman" w:hint="default"/>
        </w:rPr>
        <w:t>6 </w:t>
      </w:r>
      <w:r>
        <w:rPr>
          <w:rFonts w:ascii="Times New Roman" w:hAnsi="Times New Roman" w:cs="Times New Roman" w:eastAsia="Times New Roman" w:hint="default"/>
          <w:spacing w:val="-18"/>
        </w:rPr>
        <w:t> </w:t>
      </w:r>
      <w:r>
        <w:rPr/>
        <w:t>月</w:t>
      </w:r>
      <w:r>
        <w:rPr>
          <w:spacing w:val="-18"/>
        </w:rPr>
        <w:t> </w:t>
      </w:r>
      <w:r>
        <w:rPr>
          <w:rFonts w:ascii="Times New Roman" w:hAnsi="Times New Roman" w:cs="Times New Roman" w:eastAsia="Times New Roman" w:hint="default"/>
        </w:rPr>
        <w:t>12 </w:t>
      </w:r>
      <w:r>
        <w:rPr>
          <w:rFonts w:ascii="Times New Roman" w:hAnsi="Times New Roman" w:cs="Times New Roman" w:eastAsia="Times New Roman" w:hint="default"/>
          <w:spacing w:val="-18"/>
        </w:rPr>
        <w:t> </w:t>
      </w:r>
      <w:r>
        <w:rPr>
          <w:spacing w:val="-2"/>
        </w:rPr>
        <w:t>日</w:t>
      </w:r>
      <w:r>
        <w:rPr/>
        <w:t>开始采用该修订后的准则</w:t>
      </w:r>
      <w:r>
        <w:rPr>
          <w:spacing w:val="-83"/>
        </w:rPr>
        <w:t>。</w:t>
      </w:r>
      <w:r>
        <w:rPr/>
        <w:t>根据该准则及有关规定</w:t>
      </w:r>
      <w:r>
        <w:rPr>
          <w:spacing w:val="-83"/>
        </w:rPr>
        <w:t>，</w:t>
      </w:r>
      <w:r>
        <w:rPr/>
        <w:t>本公司在利润表中新增了</w:t>
      </w:r>
      <w:r>
        <w:rPr>
          <w:rFonts w:ascii="Times New Roman" w:hAnsi="Times New Roman" w:cs="Times New Roman" w:eastAsia="Times New Roman" w:hint="default"/>
          <w:spacing w:val="-1"/>
        </w:rPr>
        <w:t>“</w:t>
      </w:r>
      <w:r>
        <w:rPr/>
        <w:t>其他收</w:t>
      </w:r>
      <w:r>
        <w:rPr>
          <w:spacing w:val="1"/>
        </w:rPr>
        <w:t>益</w:t>
      </w:r>
      <w:r>
        <w:rPr>
          <w:rFonts w:ascii="Times New Roman" w:hAnsi="Times New Roman" w:cs="Times New Roman" w:eastAsia="Times New Roman" w:hint="default"/>
        </w:rPr>
        <w:t>”</w:t>
      </w:r>
    </w:p>
    <w:p>
      <w:pPr>
        <w:pStyle w:val="BodyText"/>
        <w:spacing w:line="240" w:lineRule="auto" w:before="63"/>
        <w:ind w:right="125"/>
        <w:jc w:val="left"/>
      </w:pPr>
      <w:r>
        <w:rPr/>
        <w:t>项目，并对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日至该准则施行日之间新增的政府补助进行了调整，从</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调整至</w:t>
      </w:r>
      <w:r>
        <w:rPr>
          <w:rFonts w:ascii="Times New Roman" w:hAnsi="Times New Roman" w:cs="Times New Roman" w:eastAsia="Times New Roman" w:hint="default"/>
        </w:rPr>
        <w:t>“</w:t>
      </w:r>
      <w:r>
        <w:rPr/>
        <w:t>其他收</w:t>
      </w:r>
    </w:p>
    <w:p>
      <w:pPr>
        <w:pStyle w:val="BodyText"/>
        <w:spacing w:line="240" w:lineRule="auto" w:before="63"/>
        <w:ind w:right="125"/>
        <w:jc w:val="left"/>
      </w:pPr>
      <w:r>
        <w:rPr/>
        <w:t>益</w:t>
      </w:r>
      <w:r>
        <w:rPr>
          <w:rFonts w:ascii="Times New Roman" w:hAnsi="Times New Roman" w:cs="Times New Roman" w:eastAsia="Times New Roman" w:hint="default"/>
        </w:rPr>
        <w:t>”9,265,910.72</w:t>
      </w:r>
      <w:r>
        <w:rPr/>
        <w:t>元。对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年度财务报表不进行追溯调整。</w:t>
      </w:r>
    </w:p>
    <w:p>
      <w:pPr>
        <w:pStyle w:val="BodyText"/>
        <w:spacing w:line="240" w:lineRule="auto" w:before="63"/>
        <w:ind w:left="634" w:right="125"/>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28 </w:t>
      </w:r>
      <w:r>
        <w:rPr>
          <w:spacing w:val="-3"/>
        </w:rPr>
        <w:t>日，财政部发布了《企业会计准则第 </w:t>
      </w:r>
      <w:r>
        <w:rPr>
          <w:rFonts w:ascii="Times New Roman" w:hAnsi="Times New Roman" w:cs="Times New Roman" w:eastAsia="Times New Roman" w:hint="default"/>
        </w:rPr>
        <w:t>42</w:t>
      </w:r>
      <w:r>
        <w:rPr>
          <w:rFonts w:ascii="Times New Roman" w:hAnsi="Times New Roman" w:cs="Times New Roman" w:eastAsia="Times New Roman" w:hint="default"/>
          <w:spacing w:val="23"/>
        </w:rPr>
        <w:t> </w:t>
      </w:r>
      <w:r>
        <w:rPr/>
        <w:t>号</w:t>
      </w:r>
      <w:r>
        <w:rPr>
          <w:rFonts w:ascii="Times New Roman" w:hAnsi="Times New Roman" w:cs="Times New Roman" w:eastAsia="Times New Roman" w:hint="default"/>
        </w:rPr>
        <w:t>——</w:t>
      </w:r>
      <w:r>
        <w:rPr/>
        <w:t>持有待售的非流动资产、处置组和终止经营》，该准</w:t>
      </w:r>
    </w:p>
    <w:p>
      <w:pPr>
        <w:pStyle w:val="BodyText"/>
        <w:spacing w:line="240" w:lineRule="auto" w:before="63"/>
        <w:ind w:right="0"/>
        <w:jc w:val="left"/>
      </w:pPr>
      <w:r>
        <w:rPr/>
        <w:t>则自</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6"/>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35"/>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日起施行。本公司根据该准则及财政部《关于修订印发一般企业财务报表格式的通知》（财会〔</w:t>
      </w:r>
      <w:r>
        <w:rPr>
          <w:rFonts w:ascii="Times New Roman" w:hAnsi="Times New Roman" w:cs="Times New Roman" w:eastAsia="Times New Roman" w:hint="default"/>
        </w:rPr>
        <w:t>2017</w:t>
      </w:r>
      <w:r>
        <w:rPr/>
        <w:t>〕</w:t>
      </w:r>
    </w:p>
    <w:p>
      <w:pPr>
        <w:pStyle w:val="BodyText"/>
        <w:spacing w:line="300" w:lineRule="auto" w:before="63"/>
        <w:ind w:right="235"/>
        <w:jc w:val="both"/>
      </w:pPr>
      <w:r>
        <w:rPr>
          <w:rFonts w:ascii="Times New Roman" w:hAnsi="Times New Roman" w:cs="Times New Roman" w:eastAsia="Times New Roman" w:hint="default"/>
        </w:rPr>
        <w:t>30</w:t>
      </w:r>
      <w:r>
        <w:rPr>
          <w:rFonts w:ascii="Times New Roman" w:hAnsi="Times New Roman" w:cs="Times New Roman" w:eastAsia="Times New Roman" w:hint="default"/>
          <w:spacing w:val="26"/>
        </w:rPr>
        <w:t> </w:t>
      </w:r>
      <w:r>
        <w:rPr/>
        <w:t>号）的规定，在利润表中新增了</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项目，并对净利润按经营持续性进行分类列报。本公司按照《企业会计 准则第</w:t>
      </w:r>
      <w:r>
        <w:rPr>
          <w:rFonts w:ascii="Times New Roman" w:hAnsi="Times New Roman" w:cs="Times New Roman" w:eastAsia="Times New Roman" w:hint="default"/>
        </w:rPr>
        <w:t>30</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财务报表列报》等的相关规定，对可比期间的比较数据进行调整。调整</w:t>
      </w:r>
      <w:r>
        <w:rPr>
          <w:rFonts w:ascii="Times New Roman" w:hAnsi="Times New Roman" w:cs="Times New Roman" w:eastAsia="Times New Roman" w:hint="default"/>
        </w:rPr>
        <w:t>2016</w:t>
      </w:r>
      <w:r>
        <w:rPr/>
        <w:t>年度资产处置收益</w:t>
      </w:r>
      <w:r>
        <w:rPr>
          <w:rFonts w:ascii="Times New Roman" w:hAnsi="Times New Roman" w:cs="Times New Roman" w:eastAsia="Times New Roman" w:hint="default"/>
        </w:rPr>
        <w:t>-307,168.94 </w:t>
      </w:r>
      <w:r>
        <w:rPr/>
        <w:t>元，调减营业外收入</w:t>
      </w:r>
      <w:r>
        <w:rPr>
          <w:rFonts w:ascii="Times New Roman" w:hAnsi="Times New Roman" w:cs="Times New Roman" w:eastAsia="Times New Roman" w:hint="default"/>
        </w:rPr>
        <w:t>16,224.42</w:t>
      </w:r>
      <w:r>
        <w:rPr/>
        <w:t>元，调减营业外支出</w:t>
      </w:r>
      <w:r>
        <w:rPr>
          <w:rFonts w:ascii="Times New Roman" w:hAnsi="Times New Roman" w:cs="Times New Roman" w:eastAsia="Times New Roman" w:hint="default"/>
        </w:rPr>
        <w:t>323,393.36</w:t>
      </w:r>
      <w:r>
        <w:rPr/>
        <w:t>元。</w:t>
      </w:r>
    </w:p>
    <w:p>
      <w:pPr>
        <w:spacing w:line="240" w:lineRule="auto" w:before="1"/>
        <w:rPr>
          <w:rFonts w:ascii="宋体" w:hAnsi="宋体" w:cs="宋体" w:eastAsia="宋体" w:hint="default"/>
          <w:sz w:val="22"/>
          <w:szCs w:val="22"/>
        </w:rPr>
      </w:pPr>
    </w:p>
    <w:p>
      <w:pPr>
        <w:pStyle w:val="Heading3"/>
        <w:spacing w:line="240" w:lineRule="auto"/>
        <w:ind w:right="125"/>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25"/>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spacing w:line="487" w:lineRule="auto" w:before="0"/>
        <w:ind w:left="154" w:right="80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78"/>
        <w:gridCol w:w="3899"/>
        <w:gridCol w:w="247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8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78" w:type="dxa"/>
            <w:tcBorders>
              <w:top w:val="single" w:sz="4" w:space="0" w:color="000000"/>
              <w:left w:val="single" w:sz="4" w:space="0" w:color="000000"/>
              <w:bottom w:val="nil" w:sz="6" w:space="0" w:color="auto"/>
              <w:right w:val="single" w:sz="13" w:space="0" w:color="C7EDCC"/>
            </w:tcBorders>
            <w:shd w:val="clear" w:color="auto" w:fill="D3D3D3"/>
          </w:tcPr>
          <w:p>
            <w:pPr/>
          </w:p>
        </w:tc>
        <w:tc>
          <w:tcPr>
            <w:tcW w:w="3899" w:type="dxa"/>
            <w:vMerge w:val="restart"/>
            <w:tcBorders>
              <w:top w:val="single" w:sz="4" w:space="0" w:color="000000"/>
              <w:left w:val="single" w:sz="9" w:space="0" w:color="D3D3D3"/>
              <w:right w:val="single" w:sz="4" w:space="0" w:color="000000"/>
            </w:tcBorders>
            <w:shd w:val="clear" w:color="auto" w:fill="C7EDCC"/>
          </w:tcPr>
          <w:p>
            <w:pPr>
              <w:pStyle w:val="TableParagraph"/>
              <w:spacing w:line="307"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的税率计 算销项税，并按扣除当期允许抵扣的进项税额后 </w:t>
            </w:r>
            <w:r>
              <w:rPr>
                <w:rFonts w:ascii="宋体" w:hAnsi="宋体" w:cs="宋体" w:eastAsia="宋体" w:hint="default"/>
                <w:spacing w:val="-3"/>
                <w:sz w:val="18"/>
                <w:szCs w:val="18"/>
              </w:rPr>
              <w:t>的差额计缴增值税。小规模纳税人按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的征收率 计缴增值税。</w:t>
            </w:r>
          </w:p>
        </w:tc>
        <w:tc>
          <w:tcPr>
            <w:tcW w:w="247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2" w:hRule="exact"/>
        </w:trPr>
        <w:tc>
          <w:tcPr>
            <w:tcW w:w="3178" w:type="dxa"/>
            <w:tcBorders>
              <w:top w:val="nil" w:sz="6" w:space="0" w:color="auto"/>
              <w:left w:val="single" w:sz="4" w:space="0" w:color="000000"/>
              <w:bottom w:val="nil" w:sz="6" w:space="0" w:color="auto"/>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899" w:type="dxa"/>
            <w:vMerge/>
            <w:tcBorders>
              <w:left w:val="single" w:sz="9" w:space="0" w:color="D3D3D3"/>
              <w:right w:val="single" w:sz="4" w:space="0" w:color="000000"/>
            </w:tcBorders>
            <w:shd w:val="clear" w:color="auto" w:fill="C7EDCC"/>
          </w:tcPr>
          <w:p>
            <w:pPr/>
          </w:p>
        </w:tc>
        <w:tc>
          <w:tcPr>
            <w:tcW w:w="247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473" w:hRule="exact"/>
        </w:trPr>
        <w:tc>
          <w:tcPr>
            <w:tcW w:w="3178" w:type="dxa"/>
            <w:tcBorders>
              <w:top w:val="nil" w:sz="6" w:space="0" w:color="auto"/>
              <w:left w:val="single" w:sz="4" w:space="0" w:color="000000"/>
              <w:bottom w:val="single" w:sz="4" w:space="0" w:color="000000"/>
              <w:right w:val="single" w:sz="13" w:space="0" w:color="C7EDCC"/>
            </w:tcBorders>
            <w:shd w:val="clear" w:color="auto" w:fill="D3D3D3"/>
          </w:tcPr>
          <w:p>
            <w:pPr/>
          </w:p>
        </w:tc>
        <w:tc>
          <w:tcPr>
            <w:tcW w:w="3899" w:type="dxa"/>
            <w:vMerge/>
            <w:tcBorders>
              <w:left w:val="single" w:sz="9" w:space="0" w:color="D3D3D3"/>
              <w:bottom w:val="single" w:sz="4" w:space="0" w:color="000000"/>
              <w:right w:val="single" w:sz="4" w:space="0" w:color="000000"/>
            </w:tcBorders>
            <w:shd w:val="clear" w:color="auto" w:fill="C7EDCC"/>
          </w:tcPr>
          <w:p>
            <w:pPr/>
          </w:p>
        </w:tc>
        <w:tc>
          <w:tcPr>
            <w:tcW w:w="2470"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402" w:hRule="exact"/>
        </w:trPr>
        <w:tc>
          <w:tcPr>
            <w:tcW w:w="3178"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899"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按应缴纳的流转税计缴</w:t>
            </w:r>
          </w:p>
        </w:tc>
        <w:tc>
          <w:tcPr>
            <w:tcW w:w="24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78"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899"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详见下表</w:t>
            </w:r>
          </w:p>
        </w:tc>
        <w:tc>
          <w:tcPr>
            <w:tcW w:w="247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8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按应缴纳的流转税计缴</w:t>
            </w:r>
          </w:p>
        </w:tc>
        <w:tc>
          <w:tcPr>
            <w:tcW w:w="24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4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899"/>
        <w:gridCol w:w="248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8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按应缴纳的流转税的计缴</w:t>
            </w:r>
          </w:p>
        </w:tc>
        <w:tc>
          <w:tcPr>
            <w:tcW w:w="24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浙江华媒控股股份有限公司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杭州华媒企业管理有限公司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杭州云瞰科技有限公司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杭州日报华知投资有限公司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杭州中韩德蔓特科技有限公司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上海盛元第高数码图文影像有限公司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杭州余杭晨报文化创意有限公司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杭州华泰一媒文化传媒有限公司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杭州都快投资管理有限公司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北京星干线文化传播有限公司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北京星干线艺术教育科技有限公司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贵州星干线新思维文化传播有限公司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艾特嘉信息技术（北京）有限公司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北京教培英才人力资源管理有限责任公司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北京青友联教育科技有限公司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励耘行知教育科技（北京）有限公司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中教未来（北京）文化传播有限公司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北京加美环球教育咨询有限公司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广州正索教育咨询有限公司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云科未来科技（北京）有限公司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京师教培教育科技（北京）有限公司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北京产学研教育科技有限公司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智云未来教育科技（北京）有限公司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苏州中育教育科技有限公司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北京未名环球教育科技有限公司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北京红舞星文化传播有限公司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南京博彦教育科技有限公司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合肥中教正远教育科技有限公司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中教知本教育科技（北京）有限公司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贵州中教未来教育科技有限公司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宁波华杭投资有限公司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杭州好声音风尚传媒有限公司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广州励耘教育科技有限公司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昆明市五华区云师未来培训中心</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杭州都健网络科技有限公司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杭州快房传媒有限公司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杭州大快文化创意有限公司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杭州休闲文化传媒有限公司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杭州风景名胜传媒有限公司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杭州房产传媒有限公司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杭州日报品牌策划有限公司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杭州富阳日报传媒有限公司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杭州富阳网络传媒有限公司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杭州萧山日报传媒有限公司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杭州萧滨每日送发行有限公司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杭州萧山网络传媒有限公司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杭州朗盛传媒有限公司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杭州日报报业集团每日送电子商务有限公司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杭州日报报业集团盛元印务有限公司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杭州盛景科技有限公司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杭州盛友广告设计有限公司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杭州都市周报传媒有限公司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杭州萧山萧报教育咨询有限公司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、①</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杭州都市快报教育文化创意有限公司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杭州悦报传媒有限公司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云南求知教育信息咨询有限公司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北京文教英才科贸有限公司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中网世纪教育科技（北京）有限公司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贵州雅致思语教育科技有限公司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杭州今日大江东传媒有限公司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浙江智骊文化传媒有限公司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、③</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深圳广和互联信息有限公司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、④</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北京翻译研修学院</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、⑤</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霍尔果斯中教未来教育咨询有限公司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霍尔果斯东昂信息科技有限公司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、⑦</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中教未来国际教育科技（北京）有限公司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、⑧</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智明远扬教育科技（北京）有限公司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、⑨</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北京领域兄弟教育咨询有限公司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计缴。见五、</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、⑩</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25"/>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25"/>
        <w:jc w:val="left"/>
      </w:pPr>
      <w:r>
        <w:rPr/>
        <w:t>（</w:t>
      </w:r>
      <w:r>
        <w:rPr>
          <w:rFonts w:ascii="Times New Roman" w:hAnsi="Times New Roman" w:cs="Times New Roman" w:eastAsia="Times New Roman" w:hint="default"/>
        </w:rPr>
        <w:t>1</w:t>
      </w:r>
      <w:r>
        <w:rPr/>
        <w:t>）所得税优惠</w:t>
      </w:r>
    </w:p>
    <w:p>
      <w:pPr>
        <w:pStyle w:val="BodyText"/>
        <w:spacing w:line="300" w:lineRule="auto" w:before="63"/>
        <w:ind w:left="153" w:right="189" w:firstLine="480"/>
        <w:jc w:val="both"/>
      </w:pPr>
      <w:r>
        <w:rPr>
          <w:spacing w:val="-1"/>
        </w:rPr>
        <w:t>①根据</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w:t>
      </w:r>
      <w:r>
        <w:rPr>
          <w:spacing w:val="-1"/>
        </w:rPr>
        <w:t>日国务院办公厅出台的《关于印发文化体制改革中经营性文化事业单位转制为企业和进一步支持文</w:t>
      </w:r>
      <w:r>
        <w:rPr/>
        <w:t> </w:t>
      </w:r>
      <w:r>
        <w:rPr>
          <w:spacing w:val="-1"/>
        </w:rPr>
        <w:t>化企业发展两个规定的通知》（国办发</w:t>
      </w:r>
      <w:r>
        <w:rPr>
          <w:rFonts w:ascii="Times New Roman" w:hAnsi="Times New Roman" w:cs="Times New Roman" w:eastAsia="Times New Roman" w:hint="default"/>
          <w:spacing w:val="-1"/>
        </w:rPr>
        <w:t>[2014]15</w:t>
      </w:r>
      <w:r>
        <w:rPr>
          <w:spacing w:val="-1"/>
        </w:rPr>
        <w:t>号），根据《关于继续实施文化体制改革中经营性文化事业单位转制为企业</w:t>
      </w:r>
      <w:r>
        <w:rPr>
          <w:spacing w:val="-56"/>
        </w:rPr>
        <w:t> </w:t>
      </w:r>
      <w:r>
        <w:rPr>
          <w:spacing w:val="-56"/>
        </w:rPr>
      </w:r>
      <w:r>
        <w:rPr>
          <w:spacing w:val="-1"/>
        </w:rPr>
        <w:t>若干税收政策的通知》财税</w:t>
      </w:r>
      <w:r>
        <w:rPr>
          <w:rFonts w:ascii="Times New Roman" w:hAnsi="Times New Roman" w:cs="Times New Roman" w:eastAsia="Times New Roman" w:hint="default"/>
          <w:spacing w:val="-1"/>
        </w:rPr>
        <w:t>[2014]84</w:t>
      </w:r>
      <w:r>
        <w:rPr>
          <w:spacing w:val="-1"/>
        </w:rPr>
        <w:t>号，根据杭州市财政局、杭州市国家税务局、杭州市地方税务局、中共杭州市宣传部发</w:t>
      </w:r>
      <w:r>
        <w:rPr>
          <w:spacing w:val="-57"/>
        </w:rPr>
        <w:t> </w:t>
      </w:r>
      <w:r>
        <w:rPr>
          <w:spacing w:val="-57"/>
        </w:rPr>
      </w:r>
      <w:r>
        <w:rPr>
          <w:spacing w:val="-1"/>
        </w:rPr>
        <w:t>布的《关于明确杭州日报传媒有限公司等</w:t>
      </w:r>
      <w:r>
        <w:rPr>
          <w:rFonts w:ascii="Times New Roman" w:hAnsi="Times New Roman" w:cs="Times New Roman" w:eastAsia="Times New Roman" w:hint="default"/>
          <w:spacing w:val="-1"/>
        </w:rPr>
        <w:t>20</w:t>
      </w:r>
      <w:r>
        <w:rPr>
          <w:spacing w:val="-1"/>
        </w:rPr>
        <w:t>家企业可继续享受文化体制改革税收优惠政策的通知》市宣通</w:t>
      </w:r>
      <w:r>
        <w:rPr>
          <w:rFonts w:ascii="Times New Roman" w:hAnsi="Times New Roman" w:cs="Times New Roman" w:eastAsia="Times New Roman" w:hint="default"/>
          <w:spacing w:val="-1"/>
        </w:rPr>
        <w:t>[2014]59</w:t>
      </w:r>
      <w:r>
        <w:rPr>
          <w:spacing w:val="-1"/>
        </w:rPr>
        <w:t>号和市宣</w:t>
      </w:r>
      <w:r>
        <w:rPr>
          <w:spacing w:val="-54"/>
        </w:rPr>
        <w:t> </w:t>
      </w:r>
      <w:r>
        <w:rPr>
          <w:spacing w:val="-1"/>
        </w:rPr>
        <w:t>通</w:t>
      </w:r>
      <w:r>
        <w:rPr>
          <w:rFonts w:ascii="Times New Roman" w:hAnsi="Times New Roman" w:cs="Times New Roman" w:eastAsia="Times New Roman" w:hint="default"/>
          <w:spacing w:val="-1"/>
        </w:rPr>
        <w:t>[2014]85</w:t>
      </w:r>
      <w:r>
        <w:rPr>
          <w:spacing w:val="-1"/>
        </w:rPr>
        <w:t>号文：经营性文化事业单位转制为企业后，免征企业所得税；上述政策适用于开展文化体制改革的地区和转制企</w:t>
      </w:r>
      <w:r>
        <w:rPr>
          <w:spacing w:val="-57"/>
        </w:rPr>
        <w:t> </w:t>
      </w:r>
      <w:r>
        <w:rPr>
          <w:spacing w:val="-57"/>
        </w:rPr>
      </w:r>
      <w:r>
        <w:rPr/>
        <w:t>业；执行期限为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spacing w:line="316" w:lineRule="auto" w:before="13"/>
        <w:ind w:right="83" w:firstLine="480"/>
        <w:jc w:val="left"/>
      </w:pPr>
      <w:r>
        <w:rPr/>
        <w:t>子公司杭州日报传媒有限公司、浙江都市快报控股有限公司、杭州每日传媒有限公司、杭州网络传媒有限公司、杭州 </w:t>
      </w:r>
      <w:r>
        <w:rPr>
          <w:spacing w:val="-2"/>
        </w:rPr>
        <w:t>萧山日报传媒有限公司、杭州富阳日报传媒有限公司、杭州余杭晨报传媒有限公司、杭州日报报业集团每日送电子商务有限</w:t>
      </w:r>
      <w:r>
        <w:rPr>
          <w:spacing w:val="-66"/>
        </w:rPr>
        <w:t> </w:t>
      </w:r>
      <w:r>
        <w:rPr>
          <w:spacing w:val="-66"/>
        </w:rPr>
      </w:r>
      <w:r>
        <w:rPr>
          <w:spacing w:val="-2"/>
        </w:rPr>
        <w:t>公司、杭州日报报业集团盛元印务有限公司、杭州都市周报传媒有限公司、杭州休闲文化传媒有限公司、杭州风景名胜传媒</w:t>
      </w:r>
      <w:r>
        <w:rPr>
          <w:spacing w:val="-66"/>
        </w:rPr>
        <w:t> </w:t>
      </w:r>
      <w:r>
        <w:rPr>
          <w:spacing w:val="-66"/>
        </w:rPr>
      </w:r>
      <w:r>
        <w:rPr>
          <w:spacing w:val="-4"/>
        </w:rPr>
        <w:t>有限公司、杭州房产传媒有限公司、浙江风盛传媒股份有限公司、杭州萧山网络传媒有限公司、杭州富阳网络传媒有限公司、</w:t>
      </w:r>
      <w:r>
        <w:rPr>
          <w:spacing w:val="-46"/>
        </w:rPr>
        <w:t> </w:t>
      </w:r>
      <w:r>
        <w:rPr>
          <w:spacing w:val="-46"/>
        </w:rPr>
      </w:r>
      <w:r>
        <w:rPr>
          <w:spacing w:val="-2"/>
        </w:rPr>
        <w:t>杭州萧滨每日送发行有限公司、杭州朗盛传媒有限公司、杭州萧山萧报教育咨询有限公司、杭州快房传媒有限公司、杭州大</w:t>
      </w:r>
      <w:r>
        <w:rPr>
          <w:spacing w:val="-66"/>
        </w:rPr>
        <w:t> </w:t>
      </w:r>
      <w:r>
        <w:rPr>
          <w:spacing w:val="-66"/>
        </w:rPr>
      </w:r>
      <w:r>
        <w:rPr>
          <w:spacing w:val="-2"/>
        </w:rPr>
        <w:t>快文化创意有限公司、杭州都健网络科技有限公司、杭州日报品牌策划有限公司、杭州盛景科技有限公司、杭州盛友广告设</w:t>
      </w:r>
      <w:r>
        <w:rPr>
          <w:spacing w:val="-66"/>
        </w:rPr>
        <w:t> </w:t>
      </w:r>
      <w:r>
        <w:rPr>
          <w:spacing w:val="-66"/>
        </w:rPr>
      </w:r>
      <w:r>
        <w:rPr/>
        <w:t>计有限公司均享受上述优惠政策。</w:t>
      </w:r>
    </w:p>
    <w:p>
      <w:pPr>
        <w:pStyle w:val="BodyText"/>
        <w:spacing w:line="307" w:lineRule="auto" w:before="19"/>
        <w:ind w:right="189" w:firstLine="480"/>
        <w:jc w:val="both"/>
      </w:pPr>
      <w:r>
        <w:rPr>
          <w:spacing w:val="-1"/>
        </w:rPr>
        <w:t>②根据《财政部国家税务总局关于扩大小型微利企业所得税优惠政策范围的通知》财税（</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43</w:t>
      </w:r>
      <w:r>
        <w:rPr>
          <w:spacing w:val="-1"/>
        </w:rPr>
        <w:t>号，自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rFonts w:ascii="Times New Roman" w:hAnsi="Times New Roman" w:cs="Times New Roman" w:eastAsia="Times New Roman" w:hint="default"/>
        </w:rPr>
        <w:t> </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日，将小型微利企业的年应纳税所得额上限由</w:t>
      </w:r>
      <w:r>
        <w:rPr>
          <w:rFonts w:ascii="Times New Roman" w:hAnsi="Times New Roman" w:cs="Times New Roman" w:eastAsia="Times New Roman" w:hint="default"/>
          <w:spacing w:val="-2"/>
        </w:rPr>
        <w:t>30</w:t>
      </w:r>
      <w:r>
        <w:rPr>
          <w:spacing w:val="-2"/>
        </w:rPr>
        <w:t>万元提高至</w:t>
      </w:r>
      <w:r>
        <w:rPr>
          <w:rFonts w:ascii="Times New Roman" w:hAnsi="Times New Roman" w:cs="Times New Roman" w:eastAsia="Times New Roman" w:hint="default"/>
          <w:spacing w:val="-2"/>
        </w:rPr>
        <w:t>50</w:t>
      </w:r>
      <w:r>
        <w:rPr>
          <w:spacing w:val="-2"/>
        </w:rPr>
        <w:t>万元，对年应纳税所得额低于</w:t>
      </w:r>
      <w:r>
        <w:rPr>
          <w:rFonts w:ascii="Times New Roman" w:hAnsi="Times New Roman" w:cs="Times New Roman" w:eastAsia="Times New Roman" w:hint="default"/>
          <w:spacing w:val="-2"/>
        </w:rPr>
        <w:t>50</w:t>
      </w:r>
      <w:r>
        <w:rPr>
          <w:spacing w:val="-2"/>
        </w:rPr>
        <w:t>万元（含</w:t>
      </w:r>
      <w:r>
        <w:rPr>
          <w:rFonts w:ascii="Times New Roman" w:hAnsi="Times New Roman" w:cs="Times New Roman" w:eastAsia="Times New Roman" w:hint="default"/>
          <w:spacing w:val="-2"/>
        </w:rPr>
        <w:t>50</w:t>
      </w:r>
      <w:r>
        <w:rPr>
          <w:rFonts w:ascii="Times New Roman" w:hAnsi="Times New Roman" w:cs="Times New Roman" w:eastAsia="Times New Roman" w:hint="default"/>
          <w:spacing w:val="-5"/>
        </w:rPr>
        <w:t> </w:t>
      </w:r>
      <w:r>
        <w:rPr>
          <w:spacing w:val="-1"/>
        </w:rPr>
        <w:t>万元）的小型微利企业，其所得减按</w:t>
      </w:r>
      <w:r>
        <w:rPr>
          <w:rFonts w:ascii="Times New Roman" w:hAnsi="Times New Roman" w:cs="Times New Roman" w:eastAsia="Times New Roman" w:hint="default"/>
          <w:spacing w:val="-1"/>
        </w:rPr>
        <w:t>50%</w:t>
      </w:r>
      <w:r>
        <w:rPr>
          <w:spacing w:val="-1"/>
        </w:rPr>
        <w:t>计入应纳税所得额，按</w:t>
      </w:r>
      <w:r>
        <w:rPr>
          <w:rFonts w:ascii="Times New Roman" w:hAnsi="Times New Roman" w:cs="Times New Roman" w:eastAsia="Times New Roman" w:hint="default"/>
          <w:spacing w:val="-1"/>
        </w:rPr>
        <w:t>20%</w:t>
      </w:r>
      <w:r>
        <w:rPr>
          <w:spacing w:val="-1"/>
        </w:rPr>
        <w:t>的税率缴纳企业所得税。子公司杭州都市快报教育文化</w:t>
      </w:r>
      <w:r>
        <w:rPr>
          <w:spacing w:val="-57"/>
        </w:rPr>
        <w:t> </w:t>
      </w:r>
      <w:r>
        <w:rPr>
          <w:spacing w:val="-57"/>
        </w:rPr>
      </w:r>
      <w:r>
        <w:rPr>
          <w:spacing w:val="-2"/>
        </w:rPr>
        <w:t>创意有限公司、杭州悦报传媒有限公司、杭州今日大江东传媒有限公司、浙江智骊文化传媒有限公司、北京文教英才科贸有</w:t>
      </w:r>
      <w:r>
        <w:rPr>
          <w:spacing w:val="-66"/>
        </w:rPr>
        <w:t> </w:t>
      </w:r>
      <w:r>
        <w:rPr>
          <w:spacing w:val="-66"/>
        </w:rPr>
      </w:r>
      <w:r>
        <w:rPr>
          <w:spacing w:val="-2"/>
        </w:rPr>
        <w:t>限公司、云南求知教育信息咨询有限公司、中网世纪教育科技（北京）有限公司、贵州雅致思语教育科技有限公司均享受上</w:t>
      </w:r>
      <w:r>
        <w:rPr>
          <w:spacing w:val="-66"/>
        </w:rPr>
        <w:t> </w:t>
      </w:r>
      <w:r>
        <w:rPr>
          <w:spacing w:val="-66"/>
        </w:rPr>
      </w:r>
      <w:r>
        <w:rPr/>
        <w:t>述优惠政策。</w:t>
      </w:r>
    </w:p>
    <w:p>
      <w:pPr>
        <w:pStyle w:val="BodyText"/>
        <w:spacing w:line="240" w:lineRule="auto" w:before="26"/>
        <w:ind w:left="634" w:right="125"/>
        <w:jc w:val="left"/>
      </w:pPr>
      <w:r>
        <w:rPr/>
        <w:t>③根据上海市科学技术委员会、上海市财政局、上海市国家税务局、上海市地方税务局于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日联合颁发的</w:t>
      </w:r>
    </w:p>
    <w:p>
      <w:pPr>
        <w:spacing w:after="0" w:line="24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91"/>
        <w:jc w:val="left"/>
      </w:pPr>
      <w:r>
        <w:rPr/>
        <w:t>《高新技术企业证书》，快点文化传播（上海）有限公司）被认定为高新技术企业，根据《中华人民共和国企业所得税法》 规定，</w:t>
      </w:r>
      <w:r>
        <w:rPr>
          <w:spacing w:val="-19"/>
        </w:rPr>
        <w:t> </w:t>
      </w:r>
      <w:r>
        <w:rPr>
          <w:rFonts w:ascii="Times New Roman" w:hAnsi="Times New Roman" w:cs="Times New Roman" w:eastAsia="Times New Roman" w:hint="default"/>
        </w:rPr>
        <w:t>2017-2019</w:t>
      </w:r>
      <w:r>
        <w:rPr/>
        <w:t>年度企业所得税享受高新技术企业税收优惠政策，减按</w:t>
      </w:r>
      <w:r>
        <w:rPr>
          <w:rFonts w:ascii="Times New Roman" w:hAnsi="Times New Roman" w:cs="Times New Roman" w:eastAsia="Times New Roman" w:hint="default"/>
        </w:rPr>
        <w:t>15%</w:t>
      </w:r>
      <w:r>
        <w:rPr/>
        <w:t>的税率计缴。</w:t>
      </w:r>
    </w:p>
    <w:p>
      <w:pPr>
        <w:pStyle w:val="BodyText"/>
        <w:spacing w:line="300" w:lineRule="auto"/>
        <w:ind w:left="153" w:right="190" w:firstLine="480"/>
        <w:jc w:val="both"/>
      </w:pPr>
      <w:r>
        <w:rPr>
          <w:spacing w:val="-1"/>
        </w:rPr>
        <w:t>④根据</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5</w:t>
      </w:r>
      <w:r>
        <w:rPr>
          <w:spacing w:val="-1"/>
        </w:rPr>
        <w:t>日中华人民共和国财政部和国家税务总局出台的《关于广东横琴新区福建平潭综合实验区深圳前海</w:t>
      </w:r>
      <w:r>
        <w:rPr/>
        <w:t> </w:t>
      </w:r>
      <w:r>
        <w:rPr>
          <w:spacing w:val="-1"/>
        </w:rPr>
        <w:t>深港现代服务业合作区企业所得税优惠政策及优惠目录的通知》（财税</w:t>
      </w:r>
      <w:r>
        <w:rPr>
          <w:rFonts w:ascii="Times New Roman" w:hAnsi="Times New Roman" w:cs="Times New Roman" w:eastAsia="Times New Roman" w:hint="default"/>
          <w:spacing w:val="-1"/>
        </w:rPr>
        <w:t>[2014]26</w:t>
      </w:r>
      <w:r>
        <w:rPr>
          <w:spacing w:val="-1"/>
        </w:rPr>
        <w:t>号文）：对设在横琴新区、平潭综合实验区</w:t>
      </w:r>
      <w:r>
        <w:rPr>
          <w:spacing w:val="-56"/>
        </w:rPr>
        <w:t> </w:t>
      </w:r>
      <w:r>
        <w:rPr>
          <w:spacing w:val="-56"/>
        </w:rPr>
      </w:r>
      <w:r>
        <w:rPr>
          <w:spacing w:val="-1"/>
        </w:rPr>
        <w:t>和前海深港现代服务业合作区的鼓励类产业企业减按</w:t>
      </w:r>
      <w:r>
        <w:rPr>
          <w:rFonts w:ascii="Times New Roman" w:hAnsi="Times New Roman" w:cs="Times New Roman" w:eastAsia="Times New Roman" w:hint="default"/>
          <w:spacing w:val="-1"/>
        </w:rPr>
        <w:t>15%</w:t>
      </w:r>
      <w:r>
        <w:rPr>
          <w:spacing w:val="-1"/>
        </w:rPr>
        <w:t>的税率征收企业所得税。执行期限为</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35"/>
        </w:rPr>
        <w:t> </w:t>
      </w:r>
      <w:r>
        <w:rPr>
          <w:spacing w:val="-1"/>
        </w:rPr>
        <w:t>日。深圳广和互联信息有限公司属于文化创意产业，且主营业务收入占企业收入总额的</w:t>
      </w:r>
      <w:r>
        <w:rPr>
          <w:rFonts w:ascii="Times New Roman" w:hAnsi="Times New Roman" w:cs="Times New Roman" w:eastAsia="Times New Roman" w:hint="default"/>
          <w:spacing w:val="-1"/>
        </w:rPr>
        <w:t>70%</w:t>
      </w:r>
      <w:r>
        <w:rPr>
          <w:spacing w:val="-1"/>
        </w:rPr>
        <w:t>以上，符合鼓励类产业企业的要</w:t>
      </w:r>
      <w:r>
        <w:rPr>
          <w:spacing w:val="-87"/>
        </w:rPr>
        <w:t> </w:t>
      </w:r>
      <w:r>
        <w:rPr>
          <w:spacing w:val="-87"/>
        </w:rPr>
      </w:r>
      <w:r>
        <w:rPr/>
        <w:t>求，享受上述优惠政策。</w:t>
      </w:r>
    </w:p>
    <w:p>
      <w:pPr>
        <w:pStyle w:val="BodyText"/>
        <w:spacing w:line="300" w:lineRule="auto" w:before="31"/>
        <w:ind w:left="153" w:right="191" w:firstLine="480"/>
        <w:jc w:val="both"/>
      </w:pPr>
      <w:r>
        <w:rPr/>
        <w:t>⑤根据国家税务总局关于校办企业征免所得税问题的批复</w:t>
      </w:r>
      <w:r>
        <w:rPr>
          <w:rFonts w:ascii="Times New Roman" w:hAnsi="Times New Roman" w:cs="Times New Roman" w:eastAsia="Times New Roman" w:hint="default"/>
        </w:rPr>
        <w:t>——</w:t>
      </w:r>
      <w:r>
        <w:rPr/>
        <w:t>国税函（</w:t>
      </w:r>
      <w:r>
        <w:rPr>
          <w:rFonts w:ascii="Times New Roman" w:hAnsi="Times New Roman" w:cs="Times New Roman" w:eastAsia="Times New Roman" w:hint="default"/>
        </w:rPr>
        <w:t>1996</w:t>
      </w:r>
      <w:r>
        <w:rPr/>
        <w:t>）</w:t>
      </w:r>
      <w:r>
        <w:rPr>
          <w:rFonts w:ascii="Times New Roman" w:hAnsi="Times New Roman" w:cs="Times New Roman" w:eastAsia="Times New Roman" w:hint="default"/>
        </w:rPr>
        <w:t>138</w:t>
      </w:r>
      <w:r>
        <w:rPr/>
        <w:t>号，北京翻译研修学院属于非营利 性高等教育机构，免征企业所得税。</w:t>
      </w:r>
    </w:p>
    <w:p>
      <w:pPr>
        <w:pStyle w:val="BodyText"/>
        <w:spacing w:line="300" w:lineRule="auto" w:before="31"/>
        <w:ind w:left="153" w:right="168" w:firstLine="480"/>
        <w:jc w:val="both"/>
      </w:pPr>
      <w:r>
        <w:rPr/>
        <w:t>⑥根据《财政部国家税务总局关于新疆喀什霍尔果斯两个特殊经济开发区企业所得税优惠政策的通知》财税（</w:t>
      </w:r>
      <w:r>
        <w:rPr>
          <w:rFonts w:ascii="Times New Roman" w:hAnsi="Times New Roman" w:cs="Times New Roman" w:eastAsia="Times New Roman" w:hint="default"/>
        </w:rPr>
        <w:t>2011</w:t>
      </w:r>
      <w:r>
        <w:rPr/>
        <w:t>） </w:t>
      </w:r>
      <w:r>
        <w:rPr>
          <w:rFonts w:ascii="Times New Roman" w:hAnsi="Times New Roman" w:cs="Times New Roman" w:eastAsia="Times New Roman" w:hint="default"/>
          <w:spacing w:val="-3"/>
        </w:rPr>
        <w:t>112</w:t>
      </w:r>
      <w:r>
        <w:rPr>
          <w:spacing w:val="-3"/>
        </w:rPr>
        <w:t>号第一条，新疆喀什、霍尔果斯特殊经济开发区新办企业定期免征企业所得税，享受税收优惠期间自</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2020</w:t>
      </w:r>
      <w:r>
        <w:rPr>
          <w:rFonts w:ascii="Times New Roman" w:hAnsi="Times New Roman" w:cs="Times New Roman" w:eastAsia="Times New Roman" w:hint="default"/>
          <w:spacing w:val="-36"/>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日。霍尔果斯中教未来教育咨询有限公司享受上述优惠政策。</w:t>
      </w:r>
    </w:p>
    <w:p>
      <w:pPr>
        <w:pStyle w:val="BodyText"/>
        <w:spacing w:line="316" w:lineRule="auto" w:before="13"/>
        <w:ind w:left="153" w:right="190" w:firstLine="480"/>
        <w:jc w:val="both"/>
      </w:pPr>
      <w:r>
        <w:rPr>
          <w:spacing w:val="-1"/>
        </w:rPr>
        <w:t>⑦根据《新疆困难地区重点鼓励发展产业企业所得税优惠目录》，符合政策扶持的新注册企业，自取得第一笔生产经</w:t>
      </w:r>
      <w:r>
        <w:rPr/>
        <w:t> </w:t>
      </w:r>
      <w:r>
        <w:rPr>
          <w:spacing w:val="-2"/>
        </w:rPr>
        <w:t>营收入起，可享受企业所得税五免五减半的优惠政策（前五年免征企业所得税，后五年采取先征后返的方式，返还地方财政</w:t>
      </w:r>
      <w:r>
        <w:rPr>
          <w:spacing w:val="-66"/>
        </w:rPr>
        <w:t> </w:t>
      </w:r>
      <w:r>
        <w:rPr>
          <w:spacing w:val="-66"/>
        </w:rPr>
      </w:r>
      <w:r>
        <w:rPr/>
        <w:t>留存部分给企业）。霍尔果斯东昂信息科技有限公司享受上述优惠政策。</w:t>
      </w:r>
    </w:p>
    <w:p>
      <w:pPr>
        <w:pStyle w:val="BodyText"/>
        <w:spacing w:line="309" w:lineRule="auto" w:before="19"/>
        <w:ind w:left="153" w:right="101" w:firstLine="480"/>
        <w:jc w:val="both"/>
      </w:pPr>
      <w:r>
        <w:rPr/>
        <w:t>⑧中教未来国际教育科技（北京）有限公司被认定为高新技术企业，取得北京市科学技术委员会、北京市财政局、北 </w:t>
      </w:r>
      <w:r>
        <w:rPr>
          <w:spacing w:val="-4"/>
        </w:rPr>
        <w:t>京市国家税务局、北京市地方税务局于</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w:t>
      </w:r>
      <w:r>
        <w:rPr>
          <w:spacing w:val="-4"/>
        </w:rPr>
        <w:t>日联合颁发的编号为</w:t>
      </w:r>
      <w:r>
        <w:rPr>
          <w:rFonts w:ascii="Times New Roman" w:hAnsi="Times New Roman" w:cs="Times New Roman" w:eastAsia="Times New Roman" w:hint="default"/>
          <w:spacing w:val="-4"/>
        </w:rPr>
        <w:t>GR201611000592</w:t>
      </w:r>
      <w:r>
        <w:rPr>
          <w:spacing w:val="-4"/>
        </w:rPr>
        <w:t>的《高新技术企业证书》，根据《中</w:t>
      </w:r>
      <w:r>
        <w:rPr>
          <w:spacing w:val="-85"/>
        </w:rPr>
        <w:t> </w:t>
      </w:r>
      <w:r>
        <w:rPr>
          <w:spacing w:val="-85"/>
        </w:rPr>
      </w:r>
      <w:r>
        <w:rPr>
          <w:spacing w:val="-3"/>
        </w:rPr>
        <w:t>华人民共和国企业所得税法》规定，本公司企业所得税享受高新技术企业税收优惠政策，减按</w:t>
      </w:r>
      <w:r>
        <w:rPr>
          <w:rFonts w:ascii="Times New Roman" w:hAnsi="Times New Roman" w:cs="Times New Roman" w:eastAsia="Times New Roman" w:hint="default"/>
          <w:spacing w:val="-3"/>
        </w:rPr>
        <w:t>15%</w:t>
      </w:r>
      <w:r>
        <w:rPr>
          <w:spacing w:val="-3"/>
        </w:rPr>
        <w:t>的税率计缴，有效期三年。</w:t>
      </w:r>
    </w:p>
    <w:p>
      <w:pPr>
        <w:pStyle w:val="BodyText"/>
        <w:spacing w:line="309" w:lineRule="auto" w:before="5"/>
        <w:ind w:left="153" w:right="101" w:firstLine="480"/>
        <w:jc w:val="both"/>
      </w:pPr>
      <w:r>
        <w:rPr/>
        <w:t>⑨智明远扬教育科技（北京）有限公司被认定为高新技术企业，取得北京市科学技术委员会、北京市财政局、北京市 国家税务局、北京市地方税务局于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日联合颁发的编号为</w:t>
      </w:r>
      <w:r>
        <w:rPr>
          <w:rFonts w:ascii="Times New Roman" w:hAnsi="Times New Roman" w:cs="Times New Roman" w:eastAsia="Times New Roman" w:hint="default"/>
        </w:rPr>
        <w:t>GR201611002107</w:t>
      </w:r>
      <w:r>
        <w:rPr/>
        <w:t>的《高新技术企业证书》，根据《中</w:t>
      </w:r>
      <w:r>
        <w:rPr>
          <w:spacing w:val="-80"/>
        </w:rPr>
        <w:t> </w:t>
      </w:r>
      <w:r>
        <w:rPr>
          <w:spacing w:val="-80"/>
        </w:rPr>
      </w:r>
      <w:r>
        <w:rPr>
          <w:spacing w:val="-3"/>
        </w:rPr>
        <w:t>华人民共和国企业所得税法》规定，本公司企业所得税享受高新技术企业税收优惠政策，减按</w:t>
      </w:r>
      <w:r>
        <w:rPr>
          <w:rFonts w:ascii="Times New Roman" w:hAnsi="Times New Roman" w:cs="Times New Roman" w:eastAsia="Times New Roman" w:hint="default"/>
          <w:spacing w:val="-3"/>
        </w:rPr>
        <w:t>15%</w:t>
      </w:r>
      <w:r>
        <w:rPr>
          <w:spacing w:val="-3"/>
        </w:rPr>
        <w:t>的税率计缴，有效期三年。</w:t>
      </w:r>
    </w:p>
    <w:p>
      <w:pPr>
        <w:pStyle w:val="BodyText"/>
        <w:spacing w:line="309" w:lineRule="auto" w:before="5"/>
        <w:ind w:left="153" w:right="186" w:firstLine="480"/>
        <w:jc w:val="both"/>
      </w:pPr>
      <w:r>
        <w:rPr>
          <w:spacing w:val="-1"/>
        </w:rPr>
        <w:t>⑩北京领域兄弟教育咨询有限公司被认定为高新技术企业，取得北京市科学技术委员会、北京市财政局、北京市国家</w:t>
      </w:r>
      <w:r>
        <w:rPr/>
        <w:t> 税务局、北京市地方税务局于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日联合颁发的编号为</w:t>
      </w:r>
      <w:r>
        <w:rPr>
          <w:rFonts w:ascii="Times New Roman" w:hAnsi="Times New Roman" w:cs="Times New Roman" w:eastAsia="Times New Roman" w:hint="default"/>
        </w:rPr>
        <w:t>GR201611003544</w:t>
      </w:r>
      <w:r>
        <w:rPr/>
        <w:t>的《高新技术企业证书》，根据《中华人</w:t>
      </w:r>
      <w:r>
        <w:rPr>
          <w:spacing w:val="-79"/>
        </w:rPr>
        <w:t> </w:t>
      </w:r>
      <w:r>
        <w:rPr>
          <w:spacing w:val="-79"/>
        </w:rPr>
      </w:r>
      <w:r>
        <w:rPr/>
        <w:t>民共和国企业所得税法》规定，本公司企业所得税享受高新技术企业税收优惠政策，减按</w:t>
      </w:r>
      <w:r>
        <w:rPr>
          <w:rFonts w:ascii="Times New Roman" w:hAnsi="Times New Roman" w:cs="Times New Roman" w:eastAsia="Times New Roman" w:hint="default"/>
        </w:rPr>
        <w:t>15%</w:t>
      </w:r>
      <w:r>
        <w:rPr/>
        <w:t>的税率计缴，有效期三年。</w:t>
      </w:r>
    </w:p>
    <w:p>
      <w:pPr>
        <w:pStyle w:val="BodyText"/>
        <w:spacing w:line="240" w:lineRule="auto" w:before="5"/>
        <w:ind w:left="634" w:right="125"/>
        <w:jc w:val="left"/>
      </w:pPr>
      <w:r>
        <w:rPr/>
        <w:t>（</w:t>
      </w:r>
      <w:r>
        <w:rPr>
          <w:rFonts w:ascii="Times New Roman" w:hAnsi="Times New Roman" w:cs="Times New Roman" w:eastAsia="Times New Roman" w:hint="default"/>
        </w:rPr>
        <w:t>2</w:t>
      </w:r>
      <w:r>
        <w:rPr/>
        <w:t>）增值税优惠</w:t>
      </w:r>
    </w:p>
    <w:p>
      <w:pPr>
        <w:pStyle w:val="BodyText"/>
        <w:spacing w:line="316" w:lineRule="auto" w:before="63"/>
        <w:ind w:right="191" w:firstLine="480"/>
        <w:jc w:val="both"/>
      </w:pPr>
      <w:r>
        <w:rPr>
          <w:spacing w:val="-1"/>
        </w:rPr>
        <w:t>①按照财政部、国家税务总局财税[2016]68号文件要求：一般纳税人提供非学历教育服务，可以选择适用简易计税方</w:t>
      </w:r>
      <w:r>
        <w:rPr/>
        <w:t> </w:t>
      </w:r>
      <w:r>
        <w:rPr>
          <w:spacing w:val="-2"/>
        </w:rPr>
        <w:t>法按照3%征收率计算应纳税额。中教未来国际教育科技（北京）有限公司、北京星干线文化传播有限公司、北京星干线艺术</w:t>
      </w:r>
      <w:r>
        <w:rPr>
          <w:spacing w:val="-64"/>
        </w:rPr>
        <w:t> </w:t>
      </w:r>
      <w:r>
        <w:rPr>
          <w:spacing w:val="-64"/>
        </w:rPr>
      </w:r>
      <w:r>
        <w:rPr>
          <w:spacing w:val="-2"/>
        </w:rPr>
        <w:t>教育科技有限公司、贵州星干线新思维文化传播有限公司、励耘行知教育科技（北京）有限公司、云科未来科技（北京）有</w:t>
      </w:r>
      <w:r>
        <w:rPr>
          <w:spacing w:val="-65"/>
        </w:rPr>
        <w:t> </w:t>
      </w:r>
      <w:r>
        <w:rPr>
          <w:spacing w:val="-65"/>
        </w:rPr>
      </w:r>
      <w:r>
        <w:rPr>
          <w:spacing w:val="-2"/>
        </w:rPr>
        <w:t>限公司、中教未来（北京）文化传播有限公司、霍尔果斯中教未来教育咨询有限公司、智明远扬教育科技（北京）有限公司</w:t>
      </w:r>
      <w:r>
        <w:rPr>
          <w:spacing w:val="-65"/>
        </w:rPr>
        <w:t> </w:t>
      </w:r>
      <w:r>
        <w:rPr>
          <w:spacing w:val="-65"/>
        </w:rPr>
      </w:r>
      <w:r>
        <w:rPr/>
        <w:t>享受上述优惠政策。</w:t>
      </w:r>
    </w:p>
    <w:p>
      <w:pPr>
        <w:pStyle w:val="BodyText"/>
        <w:spacing w:line="316" w:lineRule="auto" w:before="19"/>
        <w:ind w:right="188" w:firstLine="480"/>
        <w:jc w:val="both"/>
      </w:pPr>
      <w:r>
        <w:rPr/>
        <w:t>②根据财政部、国家税务总局《关于延续宣传文化增值税和营业税优惠政策的通知》（财税〔2013〕87</w:t>
      </w:r>
      <w:r>
        <w:rPr>
          <w:spacing w:val="46"/>
        </w:rPr>
        <w:t> </w:t>
      </w:r>
      <w:r>
        <w:rPr/>
        <w:t>号）规定，</w:t>
      </w:r>
      <w:r>
        <w:rPr>
          <w:spacing w:val="1"/>
        </w:rPr>
        <w:t> </w:t>
      </w:r>
      <w:r>
        <w:rPr/>
        <w:t>自2013年1月1日起至2017年12月31日，免征图书批发、零售环节增值税。北京文教英才科贸有限公司已于2016年7月19日在</w:t>
      </w:r>
      <w:r>
        <w:rPr>
          <w:spacing w:val="-84"/>
        </w:rPr>
        <w:t> </w:t>
      </w:r>
      <w:r>
        <w:rPr>
          <w:spacing w:val="-84"/>
        </w:rPr>
      </w:r>
      <w:r>
        <w:rPr/>
        <w:t>北京市昌平区国家税务局办理了备案登记手续。</w:t>
      </w:r>
    </w:p>
    <w:p>
      <w:pPr>
        <w:pStyle w:val="BodyText"/>
        <w:spacing w:line="316" w:lineRule="auto" w:before="19"/>
        <w:ind w:right="189" w:firstLine="480"/>
        <w:jc w:val="both"/>
      </w:pPr>
      <w:r>
        <w:rPr>
          <w:spacing w:val="-1"/>
        </w:rPr>
        <w:t>③按照《财政部、国家税务总局关于全面推开营业税改征增值税试点的通知》（财税〔2016〕36号）的有关规定，劳</w:t>
      </w:r>
      <w:r>
        <w:rPr/>
        <w:t> </w:t>
      </w:r>
      <w:r>
        <w:rPr>
          <w:spacing w:val="-2"/>
        </w:rPr>
        <w:t>务派遣服务可以以取得的全部价款和价外费用，扣除代用工单位支付给劳务派遣员工的工资、福利和为其办理社会保险及住</w:t>
      </w:r>
      <w:r>
        <w:rPr>
          <w:spacing w:val="-64"/>
        </w:rPr>
        <w:t> </w:t>
      </w:r>
      <w:r>
        <w:rPr>
          <w:spacing w:val="-64"/>
        </w:rPr>
      </w:r>
      <w:r>
        <w:rPr>
          <w:spacing w:val="-2"/>
        </w:rPr>
        <w:t>房公积金后的余额为销售额，按照简易计税方法依5%的征收率缴纳增值税。北京教培英才人力资源管理有限责任公司享受上</w:t>
      </w:r>
      <w:r>
        <w:rPr>
          <w:spacing w:val="-62"/>
        </w:rPr>
        <w:t> </w:t>
      </w:r>
      <w:r>
        <w:rPr>
          <w:spacing w:val="-62"/>
        </w:rPr>
      </w:r>
      <w:r>
        <w:rPr/>
        <w:t>述优惠政策。</w:t>
      </w:r>
    </w:p>
    <w:p>
      <w:pPr>
        <w:pStyle w:val="BodyText"/>
        <w:spacing w:line="300" w:lineRule="auto" w:before="19"/>
        <w:ind w:right="188" w:firstLine="480"/>
        <w:jc w:val="both"/>
      </w:pPr>
      <w:r>
        <w:rPr/>
        <w:t>④根据《财政部、国家税务总局关于全面推开营业税改征增值税试点的通知》（财税</w:t>
      </w:r>
      <w:r>
        <w:rPr>
          <w:rFonts w:ascii="Times New Roman" w:hAnsi="Times New Roman" w:cs="Times New Roman" w:eastAsia="Times New Roman" w:hint="default"/>
        </w:rPr>
        <w:t>[2016]36</w:t>
      </w:r>
      <w:r>
        <w:rPr/>
        <w:t>号）相关规定，从事学</w:t>
      </w:r>
      <w:r>
        <w:rPr>
          <w:spacing w:val="1"/>
        </w:rPr>
        <w:t> </w:t>
      </w:r>
      <w:r>
        <w:rPr>
          <w:spacing w:val="-2"/>
        </w:rPr>
        <w:t>历教育的学校提供的教育服务收入免增增值税。北京翻译研修学院已于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日在北京市昌平区国家税务局办理了备案</w:t>
      </w:r>
      <w:r>
        <w:rPr>
          <w:spacing w:val="-58"/>
        </w:rPr>
        <w:t> </w:t>
      </w:r>
      <w:r>
        <w:rPr/>
        <w:t>登记手续。</w:t>
      </w:r>
    </w:p>
    <w:p>
      <w:pPr>
        <w:spacing w:after="0" w:line="300" w:lineRule="auto"/>
        <w:jc w:val="both"/>
        <w:sectPr>
          <w:pgSz w:w="11910" w:h="16840"/>
          <w:pgMar w:header="877" w:footer="982" w:top="1100" w:bottom="1180" w:left="980" w:right="940"/>
        </w:sectPr>
      </w:pPr>
    </w:p>
    <w:p>
      <w:pPr>
        <w:spacing w:line="240" w:lineRule="auto" w:before="10"/>
        <w:rPr>
          <w:rFonts w:ascii="宋体" w:hAnsi="宋体" w:cs="宋体" w:eastAsia="宋体" w:hint="default"/>
          <w:sz w:val="20"/>
          <w:szCs w:val="20"/>
        </w:rPr>
      </w:pPr>
    </w:p>
    <w:p>
      <w:pPr>
        <w:spacing w:line="487" w:lineRule="auto" w:before="35"/>
        <w:ind w:left="154" w:right="68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902,439.69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1,213,332.57</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808,298,836.27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773,087,141.65</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22,351,614.67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10,906,902.47</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831,552,890.63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785,207,376.69</w:t>
            </w:r>
          </w:p>
        </w:tc>
      </w:tr>
    </w:tbl>
    <w:p>
      <w:pPr>
        <w:pStyle w:val="BodyText"/>
        <w:spacing w:line="240" w:lineRule="auto" w:before="51"/>
        <w:ind w:right="0"/>
        <w:jc w:val="left"/>
      </w:pPr>
      <w:r>
        <w:rPr/>
        <w:t>其他说明</w:t>
      </w:r>
    </w:p>
    <w:p>
      <w:pPr>
        <w:pStyle w:val="BodyText"/>
        <w:spacing w:line="300" w:lineRule="auto" w:before="116"/>
        <w:ind w:left="153" w:right="0" w:firstLine="480"/>
        <w:jc w:val="left"/>
      </w:pPr>
      <w:r>
        <w:rPr/>
        <w:t>注：银行存款年末余额中</w:t>
      </w:r>
      <w:r>
        <w:rPr>
          <w:rFonts w:ascii="Times New Roman" w:hAnsi="Times New Roman" w:cs="Times New Roman" w:eastAsia="Times New Roman" w:hint="default"/>
        </w:rPr>
        <w:t>60,000,000.00</w:t>
      </w:r>
      <w:r>
        <w:rPr/>
        <w:t>元系本公司向银行购买的不能提前终止的结构性存款，</w:t>
      </w:r>
      <w:r>
        <w:rPr>
          <w:rFonts w:ascii="Times New Roman" w:hAnsi="Times New Roman" w:cs="Times New Roman" w:eastAsia="Times New Roman" w:hint="default"/>
        </w:rPr>
        <w:t>20,000,000.00</w:t>
      </w:r>
      <w:r>
        <w:rPr/>
        <w:t>元系本公 司不能随时支取的定期存款；其他货币资金年末余额中</w:t>
      </w:r>
      <w:r>
        <w:rPr>
          <w:rFonts w:ascii="Times New Roman" w:hAnsi="Times New Roman" w:cs="Times New Roman" w:eastAsia="Times New Roman" w:hint="default"/>
        </w:rPr>
        <w:t>20,197,201.80</w:t>
      </w:r>
      <w:r>
        <w:rPr/>
        <w:t>元系银行承兑汇票保证金存款。</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1,744,298.06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2,250,775.00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43"/>
              <w:jc w:val="right"/>
              <w:rPr>
                <w:rFonts w:ascii="宋体" w:hAnsi="宋体" w:cs="宋体" w:eastAsia="宋体" w:hint="default"/>
                <w:sz w:val="18"/>
                <w:szCs w:val="18"/>
              </w:rPr>
            </w:pPr>
            <w:r>
              <w:rPr>
                <w:rFonts w:ascii="宋体" w:hAnsi="宋体" w:cs="宋体" w:eastAsia="宋体" w:hint="default"/>
                <w:sz w:val="18"/>
                <w:szCs w:val="18"/>
              </w:rPr>
              <w:t>权益工具投资</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1,651,435.04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2,250,775.00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43"/>
              <w:jc w:val="right"/>
              <w:rPr>
                <w:rFonts w:ascii="宋体" w:hAnsi="宋体" w:cs="宋体" w:eastAsia="宋体" w:hint="default"/>
                <w:sz w:val="18"/>
                <w:szCs w:val="18"/>
              </w:rPr>
            </w:pPr>
            <w:r>
              <w:rPr>
                <w:rFonts w:ascii="宋体" w:hAnsi="宋体" w:cs="宋体" w:eastAsia="宋体" w:hint="default"/>
                <w:sz w:val="18"/>
                <w:szCs w:val="18"/>
              </w:rPr>
              <w:t>衍生金融资产</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92,863.02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1,744,298.06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2,250,775.00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2,276,748.41</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2,276,748.41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8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32,728,686.05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35,428,686.05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974"/>
        <w:gridCol w:w="1067"/>
        <w:gridCol w:w="630"/>
        <w:gridCol w:w="977"/>
        <w:gridCol w:w="630"/>
        <w:gridCol w:w="1056"/>
        <w:gridCol w:w="1056"/>
        <w:gridCol w:w="630"/>
        <w:gridCol w:w="976"/>
        <w:gridCol w:w="630"/>
        <w:gridCol w:w="1056"/>
      </w:tblGrid>
      <w:tr>
        <w:trPr>
          <w:trHeight w:val="402" w:hRule="exact"/>
        </w:trPr>
        <w:tc>
          <w:tcPr>
            <w:tcW w:w="974" w:type="dxa"/>
            <w:vMerge w:val="restart"/>
            <w:tcBorders>
              <w:top w:val="single" w:sz="4" w:space="0" w:color="000000"/>
              <w:left w:val="single" w:sz="4" w:space="0" w:color="000000"/>
              <w:right w:val="single" w:sz="4" w:space="0" w:color="000000"/>
            </w:tcBorders>
            <w:shd w:val="clear" w:color="auto" w:fill="D3D3D3"/>
          </w:tcPr>
          <w:p>
            <w:pPr/>
          </w:p>
        </w:tc>
        <w:tc>
          <w:tcPr>
            <w:tcW w:w="436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4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974" w:type="dxa"/>
            <w:vMerge/>
            <w:tcBorders>
              <w:left w:val="single" w:sz="4" w:space="0" w:color="000000"/>
              <w:bottom w:val="nil" w:sz="6" w:space="0" w:color="auto"/>
              <w:right w:val="single" w:sz="4" w:space="0" w:color="000000"/>
            </w:tcBorders>
            <w:shd w:val="clear" w:color="auto" w:fill="D3D3D3"/>
          </w:tcPr>
          <w:p>
            <w:pPr/>
          </w:p>
        </w:tc>
        <w:tc>
          <w:tcPr>
            <w:tcW w:w="169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3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56" w:type="dxa"/>
            <w:vMerge w:val="restart"/>
            <w:tcBorders>
              <w:top w:val="single" w:sz="4" w:space="0" w:color="000000"/>
              <w:left w:val="single" w:sz="4" w:space="0" w:color="000000"/>
              <w:right w:val="single" w:sz="4" w:space="0" w:color="000000"/>
            </w:tcBorders>
            <w:shd w:val="clear" w:color="auto" w:fill="D3D3D3"/>
          </w:tcPr>
          <w:p>
            <w:pPr/>
          </w:p>
        </w:tc>
        <w:tc>
          <w:tcPr>
            <w:tcW w:w="168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7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56"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97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01"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697" w:type="dxa"/>
            <w:gridSpan w:val="2"/>
            <w:vMerge/>
            <w:tcBorders>
              <w:left w:val="single" w:sz="4" w:space="0" w:color="000000"/>
              <w:bottom w:val="single" w:sz="4" w:space="0" w:color="000000"/>
              <w:right w:val="single" w:sz="4" w:space="0" w:color="000000"/>
            </w:tcBorders>
            <w:shd w:val="clear" w:color="auto" w:fill="D3D3D3"/>
          </w:tcPr>
          <w:p>
            <w:pPr/>
          </w:p>
        </w:tc>
        <w:tc>
          <w:tcPr>
            <w:tcW w:w="1607" w:type="dxa"/>
            <w:gridSpan w:val="2"/>
            <w:vMerge/>
            <w:tcBorders>
              <w:left w:val="single" w:sz="4" w:space="0" w:color="000000"/>
              <w:bottom w:val="single" w:sz="4" w:space="0" w:color="000000"/>
              <w:right w:val="single" w:sz="4" w:space="0" w:color="000000"/>
            </w:tcBorders>
            <w:shd w:val="clear" w:color="auto" w:fill="D3D3D3"/>
          </w:tcPr>
          <w:p>
            <w:pPr/>
          </w:p>
        </w:tc>
        <w:tc>
          <w:tcPr>
            <w:tcW w:w="1056" w:type="dxa"/>
            <w:vMerge/>
            <w:tcBorders>
              <w:left w:val="single" w:sz="4" w:space="0" w:color="000000"/>
              <w:bottom w:val="nil" w:sz="6" w:space="0" w:color="auto"/>
              <w:right w:val="single" w:sz="4" w:space="0" w:color="000000"/>
            </w:tcBorders>
            <w:shd w:val="clear" w:color="auto" w:fill="D3D3D3"/>
          </w:tcPr>
          <w:p>
            <w:pPr/>
          </w:p>
        </w:tc>
        <w:tc>
          <w:tcPr>
            <w:tcW w:w="1686" w:type="dxa"/>
            <w:gridSpan w:val="2"/>
            <w:vMerge/>
            <w:tcBorders>
              <w:left w:val="single" w:sz="4" w:space="0" w:color="000000"/>
              <w:bottom w:val="single" w:sz="4" w:space="0" w:color="000000"/>
              <w:right w:val="single" w:sz="4" w:space="0" w:color="000000"/>
            </w:tcBorders>
            <w:shd w:val="clear" w:color="auto" w:fill="D3D3D3"/>
          </w:tcPr>
          <w:p>
            <w:pPr/>
          </w:p>
        </w:tc>
        <w:tc>
          <w:tcPr>
            <w:tcW w:w="1606" w:type="dxa"/>
            <w:gridSpan w:val="2"/>
            <w:vMerge/>
            <w:tcBorders>
              <w:left w:val="single" w:sz="4" w:space="0" w:color="000000"/>
              <w:bottom w:val="single" w:sz="4" w:space="0" w:color="000000"/>
              <w:right w:val="single" w:sz="4" w:space="0" w:color="000000"/>
            </w:tcBorders>
            <w:shd w:val="clear" w:color="auto" w:fill="D3D3D3"/>
          </w:tcPr>
          <w:p>
            <w:pPr/>
          </w:p>
        </w:tc>
        <w:tc>
          <w:tcPr>
            <w:tcW w:w="1056"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974" w:type="dxa"/>
            <w:vMerge/>
            <w:tcBorders>
              <w:left w:val="single" w:sz="4" w:space="0" w:color="000000"/>
              <w:bottom w:val="nil" w:sz="6" w:space="0" w:color="auto"/>
              <w:right w:val="single" w:sz="4" w:space="0" w:color="000000"/>
            </w:tcBorders>
            <w:shd w:val="clear" w:color="auto" w:fill="D3D3D3"/>
          </w:tcPr>
          <w:p>
            <w:pPr/>
          </w:p>
        </w:tc>
        <w:tc>
          <w:tcPr>
            <w:tcW w:w="1067" w:type="dxa"/>
            <w:tcBorders>
              <w:top w:val="single" w:sz="4" w:space="0" w:color="000000"/>
              <w:left w:val="single" w:sz="4" w:space="0" w:color="000000"/>
              <w:bottom w:val="nil" w:sz="6" w:space="0" w:color="auto"/>
              <w:right w:val="single" w:sz="4" w:space="0" w:color="000000"/>
            </w:tcBorders>
            <w:shd w:val="clear" w:color="auto" w:fill="D3D3D3"/>
          </w:tcPr>
          <w:p>
            <w:pPr/>
          </w:p>
        </w:tc>
        <w:tc>
          <w:tcPr>
            <w:tcW w:w="630" w:type="dxa"/>
            <w:tcBorders>
              <w:top w:val="single" w:sz="4" w:space="0" w:color="000000"/>
              <w:left w:val="single" w:sz="4" w:space="0" w:color="000000"/>
              <w:bottom w:val="nil" w:sz="6" w:space="0" w:color="auto"/>
              <w:right w:val="single" w:sz="4" w:space="0" w:color="000000"/>
            </w:tcBorders>
            <w:shd w:val="clear" w:color="auto" w:fill="D3D3D3"/>
          </w:tcPr>
          <w:p>
            <w:pPr/>
          </w:p>
        </w:tc>
        <w:tc>
          <w:tcPr>
            <w:tcW w:w="977" w:type="dxa"/>
            <w:tcBorders>
              <w:top w:val="single" w:sz="4" w:space="0" w:color="000000"/>
              <w:left w:val="single" w:sz="4" w:space="0" w:color="000000"/>
              <w:bottom w:val="nil" w:sz="6" w:space="0" w:color="auto"/>
              <w:right w:val="single" w:sz="4" w:space="0" w:color="000000"/>
            </w:tcBorders>
            <w:shd w:val="clear" w:color="auto" w:fill="D3D3D3"/>
          </w:tcPr>
          <w:p>
            <w:pPr/>
          </w:p>
        </w:tc>
        <w:tc>
          <w:tcPr>
            <w:tcW w:w="63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19" w:right="38"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16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30" w:type="dxa"/>
            <w:tcBorders>
              <w:top w:val="single" w:sz="4" w:space="0" w:color="000000"/>
              <w:left w:val="single" w:sz="4" w:space="0" w:color="000000"/>
              <w:bottom w:val="nil" w:sz="6" w:space="0" w:color="auto"/>
              <w:right w:val="single" w:sz="4" w:space="0" w:color="000000"/>
            </w:tcBorders>
            <w:shd w:val="clear" w:color="auto" w:fill="D3D3D3"/>
          </w:tcPr>
          <w:p>
            <w:pPr/>
          </w:p>
        </w:tc>
        <w:tc>
          <w:tcPr>
            <w:tcW w:w="976" w:type="dxa"/>
            <w:tcBorders>
              <w:top w:val="single" w:sz="4" w:space="0" w:color="000000"/>
              <w:left w:val="single" w:sz="4" w:space="0" w:color="000000"/>
              <w:bottom w:val="nil" w:sz="6" w:space="0" w:color="auto"/>
              <w:right w:val="single" w:sz="4" w:space="0" w:color="000000"/>
            </w:tcBorders>
            <w:shd w:val="clear" w:color="auto" w:fill="D3D3D3"/>
          </w:tcPr>
          <w:p>
            <w:pPr/>
          </w:p>
        </w:tc>
        <w:tc>
          <w:tcPr>
            <w:tcW w:w="63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19" w:right="38"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16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974" w:type="dxa"/>
            <w:vMerge w:val="restart"/>
            <w:tcBorders>
              <w:top w:val="nil" w:sz="6" w:space="0" w:color="auto"/>
              <w:left w:val="single" w:sz="4" w:space="0" w:color="000000"/>
              <w:right w:val="single" w:sz="4" w:space="0" w:color="000000"/>
            </w:tcBorders>
            <w:shd w:val="clear" w:color="auto" w:fill="D3D3D3"/>
          </w:tcPr>
          <w:p>
            <w:pPr/>
          </w:p>
        </w:tc>
        <w:tc>
          <w:tcPr>
            <w:tcW w:w="10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7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30" w:type="dxa"/>
            <w:vMerge/>
            <w:tcBorders>
              <w:left w:val="single" w:sz="4" w:space="0" w:color="000000"/>
              <w:right w:val="single" w:sz="4" w:space="0" w:color="000000"/>
            </w:tcBorders>
            <w:shd w:val="clear" w:color="auto" w:fill="D3D3D3"/>
          </w:tcPr>
          <w:p>
            <w:pPr/>
          </w:p>
        </w:tc>
        <w:tc>
          <w:tcPr>
            <w:tcW w:w="1056" w:type="dxa"/>
            <w:vMerge/>
            <w:tcBorders>
              <w:left w:val="single" w:sz="4" w:space="0" w:color="000000"/>
              <w:bottom w:val="nil" w:sz="6" w:space="0" w:color="auto"/>
              <w:right w:val="single" w:sz="4" w:space="0" w:color="000000"/>
            </w:tcBorders>
            <w:shd w:val="clear" w:color="auto" w:fill="D3D3D3"/>
          </w:tcPr>
          <w:p>
            <w:pPr/>
          </w:p>
        </w:tc>
        <w:tc>
          <w:tcPr>
            <w:tcW w:w="10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2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7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30" w:type="dxa"/>
            <w:vMerge/>
            <w:tcBorders>
              <w:left w:val="single" w:sz="4" w:space="0" w:color="000000"/>
              <w:right w:val="single" w:sz="4" w:space="0" w:color="000000"/>
            </w:tcBorders>
            <w:shd w:val="clear" w:color="auto" w:fill="D3D3D3"/>
          </w:tcPr>
          <w:p>
            <w:pPr/>
          </w:p>
        </w:tc>
        <w:tc>
          <w:tcPr>
            <w:tcW w:w="1056"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974" w:type="dxa"/>
            <w:vMerge/>
            <w:tcBorders>
              <w:left w:val="single" w:sz="4" w:space="0" w:color="000000"/>
              <w:right w:val="single" w:sz="4" w:space="0" w:color="000000"/>
            </w:tcBorders>
            <w:shd w:val="clear" w:color="auto" w:fill="D3D3D3"/>
          </w:tcPr>
          <w:p>
            <w:pPr/>
          </w:p>
        </w:tc>
        <w:tc>
          <w:tcPr>
            <w:tcW w:w="1067" w:type="dxa"/>
            <w:vMerge/>
            <w:tcBorders>
              <w:left w:val="single" w:sz="4" w:space="0" w:color="000000"/>
              <w:bottom w:val="nil" w:sz="6" w:space="0" w:color="auto"/>
              <w:right w:val="single" w:sz="4" w:space="0" w:color="000000"/>
            </w:tcBorders>
            <w:shd w:val="clear" w:color="auto" w:fill="D3D3D3"/>
          </w:tcPr>
          <w:p>
            <w:pPr/>
          </w:p>
        </w:tc>
        <w:tc>
          <w:tcPr>
            <w:tcW w:w="630" w:type="dxa"/>
            <w:vMerge/>
            <w:tcBorders>
              <w:left w:val="single" w:sz="4" w:space="0" w:color="000000"/>
              <w:bottom w:val="nil" w:sz="6" w:space="0" w:color="auto"/>
              <w:right w:val="single" w:sz="4" w:space="0" w:color="000000"/>
            </w:tcBorders>
            <w:shd w:val="clear" w:color="auto" w:fill="D3D3D3"/>
          </w:tcPr>
          <w:p>
            <w:pPr/>
          </w:p>
        </w:tc>
        <w:tc>
          <w:tcPr>
            <w:tcW w:w="977" w:type="dxa"/>
            <w:vMerge/>
            <w:tcBorders>
              <w:left w:val="single" w:sz="4" w:space="0" w:color="000000"/>
              <w:bottom w:val="nil" w:sz="6" w:space="0" w:color="auto"/>
              <w:right w:val="single" w:sz="4" w:space="0" w:color="000000"/>
            </w:tcBorders>
            <w:shd w:val="clear" w:color="auto" w:fill="D3D3D3"/>
          </w:tcPr>
          <w:p>
            <w:pPr/>
          </w:p>
        </w:tc>
        <w:tc>
          <w:tcPr>
            <w:tcW w:w="630" w:type="dxa"/>
            <w:vMerge/>
            <w:tcBorders>
              <w:left w:val="single" w:sz="4" w:space="0" w:color="000000"/>
              <w:right w:val="single" w:sz="4" w:space="0" w:color="000000"/>
            </w:tcBorders>
            <w:shd w:val="clear" w:color="auto" w:fill="D3D3D3"/>
          </w:tcPr>
          <w:p>
            <w:pPr/>
          </w:p>
        </w:tc>
        <w:tc>
          <w:tcPr>
            <w:tcW w:w="1056" w:type="dxa"/>
            <w:vMerge w:val="restart"/>
            <w:tcBorders>
              <w:top w:val="nil" w:sz="6" w:space="0" w:color="auto"/>
              <w:left w:val="single" w:sz="4" w:space="0" w:color="000000"/>
              <w:right w:val="single" w:sz="4" w:space="0" w:color="000000"/>
            </w:tcBorders>
            <w:shd w:val="clear" w:color="auto" w:fill="D3D3D3"/>
          </w:tcPr>
          <w:p>
            <w:pPr/>
          </w:p>
        </w:tc>
        <w:tc>
          <w:tcPr>
            <w:tcW w:w="1056" w:type="dxa"/>
            <w:vMerge/>
            <w:tcBorders>
              <w:left w:val="single" w:sz="4" w:space="0" w:color="000000"/>
              <w:bottom w:val="nil" w:sz="6" w:space="0" w:color="auto"/>
              <w:right w:val="single" w:sz="4" w:space="0" w:color="000000"/>
            </w:tcBorders>
            <w:shd w:val="clear" w:color="auto" w:fill="D3D3D3"/>
          </w:tcPr>
          <w:p>
            <w:pPr/>
          </w:p>
        </w:tc>
        <w:tc>
          <w:tcPr>
            <w:tcW w:w="630" w:type="dxa"/>
            <w:vMerge/>
            <w:tcBorders>
              <w:left w:val="single" w:sz="4" w:space="0" w:color="000000"/>
              <w:bottom w:val="nil" w:sz="6" w:space="0" w:color="auto"/>
              <w:right w:val="single" w:sz="4" w:space="0" w:color="000000"/>
            </w:tcBorders>
            <w:shd w:val="clear" w:color="auto" w:fill="D3D3D3"/>
          </w:tcPr>
          <w:p>
            <w:pPr/>
          </w:p>
        </w:tc>
        <w:tc>
          <w:tcPr>
            <w:tcW w:w="976" w:type="dxa"/>
            <w:vMerge/>
            <w:tcBorders>
              <w:left w:val="single" w:sz="4" w:space="0" w:color="000000"/>
              <w:bottom w:val="nil" w:sz="6" w:space="0" w:color="auto"/>
              <w:right w:val="single" w:sz="4" w:space="0" w:color="000000"/>
            </w:tcBorders>
            <w:shd w:val="clear" w:color="auto" w:fill="D3D3D3"/>
          </w:tcPr>
          <w:p>
            <w:pPr/>
          </w:p>
        </w:tc>
        <w:tc>
          <w:tcPr>
            <w:tcW w:w="630" w:type="dxa"/>
            <w:vMerge/>
            <w:tcBorders>
              <w:left w:val="single" w:sz="4" w:space="0" w:color="000000"/>
              <w:right w:val="single" w:sz="4" w:space="0" w:color="000000"/>
            </w:tcBorders>
            <w:shd w:val="clear" w:color="auto" w:fill="D3D3D3"/>
          </w:tcPr>
          <w:p>
            <w:pPr/>
          </w:p>
        </w:tc>
        <w:tc>
          <w:tcPr>
            <w:tcW w:w="1056"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974"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nil" w:sz="6" w:space="0" w:color="auto"/>
              <w:left w:val="single" w:sz="4" w:space="0" w:color="000000"/>
              <w:bottom w:val="single" w:sz="4" w:space="0" w:color="000000"/>
              <w:right w:val="single" w:sz="4" w:space="0" w:color="000000"/>
            </w:tcBorders>
            <w:shd w:val="clear" w:color="auto" w:fill="D3D3D3"/>
          </w:tcPr>
          <w:p>
            <w:pPr/>
          </w:p>
        </w:tc>
        <w:tc>
          <w:tcPr>
            <w:tcW w:w="630" w:type="dxa"/>
            <w:tcBorders>
              <w:top w:val="nil" w:sz="6" w:space="0" w:color="auto"/>
              <w:left w:val="single" w:sz="4" w:space="0" w:color="000000"/>
              <w:bottom w:val="single" w:sz="4" w:space="0" w:color="000000"/>
              <w:right w:val="single" w:sz="4" w:space="0" w:color="000000"/>
            </w:tcBorders>
            <w:shd w:val="clear" w:color="auto" w:fill="D3D3D3"/>
          </w:tcPr>
          <w:p>
            <w:pPr/>
          </w:p>
        </w:tc>
        <w:tc>
          <w:tcPr>
            <w:tcW w:w="977" w:type="dxa"/>
            <w:tcBorders>
              <w:top w:val="nil" w:sz="6" w:space="0" w:color="auto"/>
              <w:left w:val="single" w:sz="4" w:space="0" w:color="000000"/>
              <w:bottom w:val="single" w:sz="4" w:space="0" w:color="000000"/>
              <w:right w:val="single" w:sz="4" w:space="0" w:color="000000"/>
            </w:tcBorders>
            <w:shd w:val="clear" w:color="auto" w:fill="D3D3D3"/>
          </w:tcPr>
          <w:p>
            <w:pPr/>
          </w:p>
        </w:tc>
        <w:tc>
          <w:tcPr>
            <w:tcW w:w="630" w:type="dxa"/>
            <w:vMerge/>
            <w:tcBorders>
              <w:left w:val="single" w:sz="4" w:space="0" w:color="000000"/>
              <w:bottom w:val="single" w:sz="4" w:space="0" w:color="000000"/>
              <w:right w:val="single" w:sz="4" w:space="0" w:color="000000"/>
            </w:tcBorders>
            <w:shd w:val="clear" w:color="auto" w:fill="D3D3D3"/>
          </w:tcPr>
          <w:p>
            <w:pPr/>
          </w:p>
        </w:tc>
        <w:tc>
          <w:tcPr>
            <w:tcW w:w="1056" w:type="dxa"/>
            <w:vMerge/>
            <w:tcBorders>
              <w:left w:val="single" w:sz="4" w:space="0" w:color="000000"/>
              <w:bottom w:val="single" w:sz="4" w:space="0" w:color="000000"/>
              <w:right w:val="single" w:sz="4" w:space="0" w:color="000000"/>
            </w:tcBorders>
            <w:shd w:val="clear" w:color="auto" w:fill="D3D3D3"/>
          </w:tcPr>
          <w:p>
            <w:pPr/>
          </w:p>
        </w:tc>
        <w:tc>
          <w:tcPr>
            <w:tcW w:w="1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30" w:type="dxa"/>
            <w:tcBorders>
              <w:top w:val="nil" w:sz="6" w:space="0" w:color="auto"/>
              <w:left w:val="single" w:sz="4" w:space="0" w:color="000000"/>
              <w:bottom w:val="single" w:sz="4" w:space="0" w:color="000000"/>
              <w:right w:val="single" w:sz="4" w:space="0" w:color="000000"/>
            </w:tcBorders>
            <w:shd w:val="clear" w:color="auto" w:fill="D3D3D3"/>
          </w:tcPr>
          <w:p>
            <w:pPr/>
          </w:p>
        </w:tc>
        <w:tc>
          <w:tcPr>
            <w:tcW w:w="976" w:type="dxa"/>
            <w:tcBorders>
              <w:top w:val="nil" w:sz="6" w:space="0" w:color="auto"/>
              <w:left w:val="single" w:sz="4" w:space="0" w:color="000000"/>
              <w:bottom w:val="single" w:sz="4" w:space="0" w:color="000000"/>
              <w:right w:val="single" w:sz="4" w:space="0" w:color="000000"/>
            </w:tcBorders>
            <w:shd w:val="clear" w:color="auto" w:fill="D3D3D3"/>
          </w:tcPr>
          <w:p>
            <w:pPr/>
          </w:p>
        </w:tc>
        <w:tc>
          <w:tcPr>
            <w:tcW w:w="630" w:type="dxa"/>
            <w:vMerge/>
            <w:tcBorders>
              <w:left w:val="single" w:sz="4" w:space="0" w:color="000000"/>
              <w:bottom w:val="single" w:sz="4" w:space="0" w:color="000000"/>
              <w:right w:val="single" w:sz="4" w:space="0" w:color="000000"/>
            </w:tcBorders>
            <w:shd w:val="clear" w:color="auto" w:fill="D3D3D3"/>
          </w:tcPr>
          <w:p>
            <w:pPr/>
          </w:p>
        </w:tc>
        <w:tc>
          <w:tcPr>
            <w:tcW w:w="1056" w:type="dxa"/>
            <w:vMerge/>
            <w:tcBorders>
              <w:left w:val="single" w:sz="4" w:space="0" w:color="000000"/>
              <w:bottom w:val="single" w:sz="4" w:space="0" w:color="000000"/>
              <w:right w:val="single" w:sz="4" w:space="0" w:color="000000"/>
            </w:tcBorders>
            <w:shd w:val="clear" w:color="auto" w:fill="D3D3D3"/>
          </w:tcPr>
          <w:p>
            <w:pPr/>
          </w:p>
        </w:tc>
      </w:tr>
      <w:tr>
        <w:trPr>
          <w:trHeight w:val="1338" w:hRule="exact"/>
        </w:trPr>
        <w:tc>
          <w:tcPr>
            <w:tcW w:w="9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1"/>
              <w:jc w:val="both"/>
              <w:rPr>
                <w:rFonts w:ascii="宋体" w:hAnsi="宋体" w:cs="宋体" w:eastAsia="宋体" w:hint="default"/>
                <w:sz w:val="18"/>
                <w:szCs w:val="18"/>
              </w:rPr>
            </w:pPr>
            <w:r>
              <w:rPr>
                <w:rFonts w:ascii="宋体" w:hAnsi="宋体" w:cs="宋体" w:eastAsia="宋体" w:hint="default"/>
                <w:sz w:val="18"/>
                <w:szCs w:val="18"/>
              </w:rPr>
              <w:t>单项金额重 大并单独计 提坏账准备 的应收账款</w:t>
            </w:r>
          </w:p>
        </w:tc>
        <w:tc>
          <w:tcPr>
            <w:tcW w:w="10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14,452,624.39</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3.40%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 w:right="0"/>
              <w:jc w:val="center"/>
              <w:rPr>
                <w:rFonts w:ascii="Times New Roman" w:hAnsi="Times New Roman" w:cs="Times New Roman" w:eastAsia="Times New Roman" w:hint="default"/>
                <w:sz w:val="16"/>
                <w:szCs w:val="16"/>
              </w:rPr>
            </w:pPr>
            <w:r>
              <w:rPr>
                <w:rFonts w:ascii="Times New Roman"/>
                <w:sz w:val="16"/>
              </w:rPr>
              <w:t>14,452,624.39</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100.00%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13,168,660.66</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2.29%</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 w:right="0"/>
              <w:jc w:val="center"/>
              <w:rPr>
                <w:rFonts w:ascii="Times New Roman" w:hAnsi="Times New Roman" w:cs="Times New Roman" w:eastAsia="Times New Roman" w:hint="default"/>
                <w:sz w:val="16"/>
                <w:szCs w:val="16"/>
              </w:rPr>
            </w:pPr>
            <w:r>
              <w:rPr>
                <w:rFonts w:ascii="Times New Roman"/>
                <w:sz w:val="16"/>
              </w:rPr>
              <w:t>13,168,660.66</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0.00</w:t>
            </w:r>
          </w:p>
        </w:tc>
      </w:tr>
      <w:tr>
        <w:trPr>
          <w:trHeight w:val="1338" w:hRule="exact"/>
        </w:trPr>
        <w:tc>
          <w:tcPr>
            <w:tcW w:w="9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1"/>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的应收账款</w:t>
            </w:r>
          </w:p>
        </w:tc>
        <w:tc>
          <w:tcPr>
            <w:tcW w:w="10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405,594,913.57</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95.30%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 w:right="0"/>
              <w:jc w:val="center"/>
              <w:rPr>
                <w:rFonts w:ascii="Times New Roman" w:hAnsi="Times New Roman" w:cs="Times New Roman" w:eastAsia="Times New Roman" w:hint="default"/>
                <w:sz w:val="16"/>
                <w:szCs w:val="16"/>
              </w:rPr>
            </w:pPr>
            <w:r>
              <w:rPr>
                <w:rFonts w:ascii="Times New Roman"/>
                <w:sz w:val="16"/>
              </w:rPr>
              <w:t>42,222,903.73</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80" w:right="0"/>
              <w:jc w:val="center"/>
              <w:rPr>
                <w:rFonts w:ascii="Times New Roman" w:hAnsi="Times New Roman" w:cs="Times New Roman" w:eastAsia="Times New Roman" w:hint="default"/>
                <w:sz w:val="16"/>
                <w:szCs w:val="16"/>
              </w:rPr>
            </w:pPr>
            <w:r>
              <w:rPr>
                <w:rFonts w:ascii="Times New Roman"/>
                <w:sz w:val="16"/>
              </w:rPr>
              <w:t>10.41%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363,372,009.84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560,039,215.05</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97.47%</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 w:right="0"/>
              <w:jc w:val="center"/>
              <w:rPr>
                <w:rFonts w:ascii="Times New Roman" w:hAnsi="Times New Roman" w:cs="Times New Roman" w:eastAsia="Times New Roman" w:hint="default"/>
                <w:sz w:val="16"/>
                <w:szCs w:val="16"/>
              </w:rPr>
            </w:pPr>
            <w:r>
              <w:rPr>
                <w:rFonts w:ascii="Times New Roman"/>
                <w:sz w:val="16"/>
              </w:rPr>
              <w:t>36,950,078.10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6.60%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523,089,136.95</w:t>
            </w:r>
          </w:p>
        </w:tc>
      </w:tr>
      <w:tr>
        <w:trPr>
          <w:trHeight w:val="1650" w:hRule="exact"/>
        </w:trPr>
        <w:tc>
          <w:tcPr>
            <w:tcW w:w="9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1"/>
              <w:jc w:val="both"/>
              <w:rPr>
                <w:rFonts w:ascii="宋体" w:hAnsi="宋体" w:cs="宋体" w:eastAsia="宋体" w:hint="default"/>
                <w:sz w:val="18"/>
                <w:szCs w:val="18"/>
              </w:rPr>
            </w:pPr>
            <w:r>
              <w:rPr>
                <w:rFonts w:ascii="宋体" w:hAnsi="宋体" w:cs="宋体" w:eastAsia="宋体" w:hint="default"/>
                <w:sz w:val="18"/>
                <w:szCs w:val="18"/>
              </w:rPr>
              <w:t>单项金额不 重大但单独 计提坏账准 备的应收账 款</w:t>
            </w:r>
          </w:p>
        </w:tc>
        <w:tc>
          <w:tcPr>
            <w:tcW w:w="10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5,517,071.39</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1.30%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82" w:right="0"/>
              <w:jc w:val="center"/>
              <w:rPr>
                <w:rFonts w:ascii="Times New Roman" w:hAnsi="Times New Roman" w:cs="Times New Roman" w:eastAsia="Times New Roman" w:hint="default"/>
                <w:sz w:val="16"/>
                <w:szCs w:val="16"/>
              </w:rPr>
            </w:pPr>
            <w:r>
              <w:rPr>
                <w:rFonts w:ascii="Times New Roman"/>
                <w:sz w:val="16"/>
              </w:rPr>
              <w:t>5,517,071.39</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100.00%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1,372,563.70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0.24%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81" w:right="0"/>
              <w:jc w:val="center"/>
              <w:rPr>
                <w:rFonts w:ascii="Times New Roman" w:hAnsi="Times New Roman" w:cs="Times New Roman" w:eastAsia="Times New Roman" w:hint="default"/>
                <w:sz w:val="16"/>
                <w:szCs w:val="16"/>
              </w:rPr>
            </w:pPr>
            <w:r>
              <w:rPr>
                <w:rFonts w:ascii="Times New Roman"/>
                <w:sz w:val="16"/>
              </w:rPr>
              <w:t>1,372,563.70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0.00</w:t>
            </w:r>
          </w:p>
        </w:tc>
      </w:tr>
      <w:tr>
        <w:trPr>
          <w:trHeight w:val="403" w:hRule="exact"/>
        </w:trPr>
        <w:tc>
          <w:tcPr>
            <w:tcW w:w="9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6"/>
                <w:szCs w:val="16"/>
              </w:rPr>
            </w:pPr>
            <w:r>
              <w:rPr>
                <w:rFonts w:ascii="Times New Roman"/>
                <w:spacing w:val="-1"/>
                <w:sz w:val="16"/>
              </w:rPr>
              <w:t>425,564,609.35</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16"/>
                <w:szCs w:val="16"/>
              </w:rPr>
            </w:pPr>
            <w:r>
              <w:rPr>
                <w:rFonts w:ascii="Times New Roman"/>
                <w:spacing w:val="-1"/>
                <w:sz w:val="16"/>
              </w:rPr>
              <w:t>100.00%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Times New Roman" w:hAnsi="Times New Roman" w:cs="Times New Roman" w:eastAsia="Times New Roman" w:hint="default"/>
                <w:sz w:val="16"/>
                <w:szCs w:val="16"/>
              </w:rPr>
            </w:pPr>
            <w:r>
              <w:rPr>
                <w:rFonts w:ascii="Times New Roman"/>
                <w:sz w:val="16"/>
              </w:rPr>
              <w:t>62,192,599.51</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0" w:right="0"/>
              <w:jc w:val="center"/>
              <w:rPr>
                <w:rFonts w:ascii="Times New Roman" w:hAnsi="Times New Roman" w:cs="Times New Roman" w:eastAsia="Times New Roman" w:hint="default"/>
                <w:sz w:val="16"/>
                <w:szCs w:val="16"/>
              </w:rPr>
            </w:pPr>
            <w:r>
              <w:rPr>
                <w:rFonts w:ascii="Times New Roman"/>
                <w:sz w:val="16"/>
              </w:rPr>
              <w:t>14.61%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6"/>
                <w:szCs w:val="16"/>
              </w:rPr>
            </w:pPr>
            <w:r>
              <w:rPr>
                <w:rFonts w:ascii="Times New Roman"/>
                <w:spacing w:val="-1"/>
                <w:sz w:val="16"/>
              </w:rPr>
              <w:t>363,372,009.84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6"/>
                <w:szCs w:val="16"/>
              </w:rPr>
            </w:pPr>
            <w:r>
              <w:rPr>
                <w:rFonts w:ascii="Times New Roman"/>
                <w:spacing w:val="-1"/>
                <w:sz w:val="16"/>
              </w:rPr>
              <w:t>574,580,439.41</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6"/>
                <w:szCs w:val="16"/>
              </w:rPr>
            </w:pPr>
            <w:r>
              <w:rPr>
                <w:rFonts w:ascii="Times New Roman"/>
                <w:spacing w:val="-1"/>
                <w:sz w:val="16"/>
              </w:rPr>
              <w:t>100.00%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16"/>
                <w:szCs w:val="16"/>
              </w:rPr>
            </w:pPr>
            <w:r>
              <w:rPr>
                <w:rFonts w:ascii="Times New Roman"/>
                <w:sz w:val="16"/>
              </w:rPr>
              <w:t>51,491,302.46</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6"/>
                <w:szCs w:val="16"/>
              </w:rPr>
            </w:pPr>
            <w:r>
              <w:rPr>
                <w:rFonts w:ascii="Times New Roman"/>
                <w:spacing w:val="-1"/>
                <w:sz w:val="16"/>
              </w:rPr>
              <w:t>8.96%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6"/>
                <w:szCs w:val="16"/>
              </w:rPr>
            </w:pPr>
            <w:r>
              <w:rPr>
                <w:rFonts w:ascii="Times New Roman"/>
                <w:spacing w:val="-1"/>
                <w:sz w:val="16"/>
              </w:rPr>
              <w:t>523,089,136.95</w:t>
            </w:r>
          </w:p>
        </w:tc>
      </w:tr>
    </w:tbl>
    <w:p>
      <w:pPr>
        <w:spacing w:after="0" w:line="240" w:lineRule="auto"/>
        <w:jc w:val="right"/>
        <w:rPr>
          <w:rFonts w:ascii="Times New Roman" w:hAnsi="Times New Roman" w:cs="Times New Roman" w:eastAsia="Times New Roman" w:hint="default"/>
          <w:sz w:val="16"/>
          <w:szCs w:val="16"/>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2" w:top="1100" w:bottom="1180" w:left="980" w:right="980"/>
        </w:sectPr>
      </w:pPr>
    </w:p>
    <w:p>
      <w:pPr>
        <w:pStyle w:val="BodyText"/>
        <w:spacing w:line="240" w:lineRule="auto" w:before="44"/>
        <w:ind w:left="153" w:right="-19"/>
        <w:jc w:val="left"/>
      </w:pPr>
      <w:r>
        <w:rPr/>
        <w:t>期末单项金额重大并单项计提坏账准备的应收账款：</w:t>
      </w:r>
    </w:p>
    <w:p>
      <w:pPr>
        <w:pStyle w:val="BodyText"/>
        <w:spacing w:line="240" w:lineRule="auto" w:before="116"/>
        <w:ind w:left="15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4" w:space="4534"/>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10"/>
        <w:gridCol w:w="1418"/>
        <w:gridCol w:w="1914"/>
        <w:gridCol w:w="1914"/>
        <w:gridCol w:w="1903"/>
      </w:tblGrid>
      <w:tr>
        <w:trPr>
          <w:trHeight w:val="402" w:hRule="exact"/>
        </w:trPr>
        <w:tc>
          <w:tcPr>
            <w:tcW w:w="24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89"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14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10" w:type="dxa"/>
            <w:vMerge/>
            <w:tcBorders>
              <w:left w:val="single" w:sz="4" w:space="0" w:color="000000"/>
              <w:bottom w:val="single" w:sz="4" w:space="0" w:color="000000"/>
              <w:right w:val="single" w:sz="4" w:space="0" w:color="000000"/>
            </w:tcBorders>
            <w:shd w:val="clear" w:color="auto" w:fill="D3D3D3"/>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昆山永丰余广告印务有限公司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10,839,490.06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10,839,490.06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上海永丰余印务有限公司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983,890.80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983,890.80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上海富行文化传播有限公司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1,345,279.80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1,345,279.80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上海逸领电子商务有限公司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1,283,963.73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1,283,963.73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14,452,624.39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14,452,624.39</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51"/>
        <w:ind w:right="-20"/>
        <w:jc w:val="left"/>
      </w:pPr>
      <w:r>
        <w:rPr/>
        <w:t>组合中，按账龄分析法计提坏账准备的应收账款：</w:t>
      </w:r>
    </w:p>
    <w:p>
      <w:pPr>
        <w:pStyle w:val="BodyText"/>
        <w:spacing w:line="240" w:lineRule="auto" w:before="117"/>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115" w:space="471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78"/>
        <w:gridCol w:w="2407"/>
        <w:gridCol w:w="2392"/>
        <w:gridCol w:w="2392"/>
      </w:tblGrid>
      <w:tr>
        <w:trPr>
          <w:trHeight w:val="402" w:hRule="exact"/>
        </w:trPr>
        <w:tc>
          <w:tcPr>
            <w:tcW w:w="23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78" w:type="dxa"/>
            <w:vMerge/>
            <w:tcBorders>
              <w:left w:val="single" w:sz="4" w:space="0" w:color="000000"/>
              <w:bottom w:val="single" w:sz="4" w:space="0" w:color="000000"/>
              <w:right w:val="single" w:sz="4" w:space="0" w:color="000000"/>
            </w:tcBorders>
            <w:shd w:val="clear" w:color="auto" w:fill="D3D3D3"/>
          </w:tcPr>
          <w:p>
            <w:pPr/>
          </w:p>
        </w:tc>
        <w:tc>
          <w:tcPr>
            <w:tcW w:w="24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r>
              <w:rPr>
                <w:rFonts w:ascii="Times New Roman" w:hAnsi="Times New Roman" w:cs="Times New Roman" w:eastAsia="Times New Roman" w:hint="default"/>
                <w:sz w:val="18"/>
                <w:szCs w:val="18"/>
              </w:rPr>
              <w:t>]</w:t>
            </w:r>
          </w:p>
        </w:tc>
        <w:tc>
          <w:tcPr>
            <w:tcW w:w="2407"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254,784,711.64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p>
        </w:tc>
        <w:tc>
          <w:tcPr>
            <w:tcW w:w="2407"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29,763,341.08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1,488,167.07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284,548,052.72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1,488,167.07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39,778,078.42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3,977,807.86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18,592,760.23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3,718,552.05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14,910,410.48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7,455,205.25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13,573,668.59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10,858,934.87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14,724,236.63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14,724,236.63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386,127,207.07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42,222,903.73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10.93%</w:t>
            </w:r>
          </w:p>
        </w:tc>
      </w:tr>
    </w:tbl>
    <w:p>
      <w:pPr>
        <w:pStyle w:val="BodyText"/>
        <w:spacing w:line="357" w:lineRule="auto" w:before="51"/>
        <w:ind w:left="634" w:right="0" w:hanging="480"/>
        <w:jc w:val="left"/>
      </w:pPr>
      <w:r>
        <w:rPr/>
        <w:t>确定该组合依据的说明： </w:t>
      </w:r>
      <w:r>
        <w:rPr>
          <w:spacing w:val="-1"/>
        </w:rPr>
        <w:t>注：已单独计提减值准备的应收账款除外，公司根据以前年度与之相同或相类似的、按账龄段划分的具有类似信用风</w:t>
      </w:r>
    </w:p>
    <w:p>
      <w:pPr>
        <w:pStyle w:val="BodyText"/>
        <w:spacing w:line="224" w:lineRule="exact"/>
        <w:ind w:right="0"/>
        <w:jc w:val="left"/>
      </w:pPr>
      <w:r>
        <w:rPr/>
        <w:t>险特征的应收账款组合的实际损失率为基础，结合现时情况分析法确定坏账准备计提的比例。</w:t>
      </w:r>
    </w:p>
    <w:p>
      <w:pPr>
        <w:pStyle w:val="BodyText"/>
        <w:spacing w:line="240" w:lineRule="auto" w:before="117"/>
        <w:ind w:left="153" w:right="0"/>
        <w:jc w:val="left"/>
      </w:pPr>
      <w:r>
        <w:rPr/>
        <w:t>组合中，采用余额百分比法计提坏账准备的应收账款：</w:t>
      </w:r>
    </w:p>
    <w:p>
      <w:pPr>
        <w:pStyle w:val="BodyText"/>
        <w:spacing w:line="340" w:lineRule="auto" w:before="116"/>
        <w:ind w:right="52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组合中，采用其他方法计提坏账准备的应收账款：不适用</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3388"/>
        <w:jc w:val="left"/>
      </w:pPr>
      <w:r>
        <w:rPr/>
        <w:t>本期计提坏账准备金额</w:t>
      </w:r>
      <w:r>
        <w:rPr>
          <w:spacing w:val="-47"/>
        </w:rPr>
        <w:t> </w:t>
      </w:r>
      <w:r>
        <w:rPr>
          <w:rFonts w:ascii="Times New Roman" w:hAnsi="Times New Roman" w:cs="Times New Roman" w:eastAsia="Times New Roman" w:hint="default"/>
        </w:rPr>
        <w:t>15,223,051.01</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其中本期坏账准备收回或转回金额重要的：不适用</w:t>
      </w:r>
    </w:p>
    <w:p>
      <w:pPr>
        <w:spacing w:after="0" w:line="338" w:lineRule="auto"/>
        <w:jc w:val="left"/>
        <w:sectPr>
          <w:type w:val="continuous"/>
          <w:pgSz w:w="11910" w:h="16840"/>
          <w:pgMar w:top="106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480"/>
        <w:jc w:val="left"/>
      </w:pPr>
      <w:r>
        <w:rPr/>
        <w:t>本公司本年按欠款方归集的年末余额前五名应收账款汇总金额为</w:t>
      </w:r>
      <w:r>
        <w:rPr>
          <w:rFonts w:ascii="Times New Roman" w:hAnsi="Times New Roman" w:cs="Times New Roman" w:eastAsia="Times New Roman" w:hint="default"/>
        </w:rPr>
        <w:t>96,817,685.63</w:t>
      </w:r>
      <w:r>
        <w:rPr/>
        <w:t>元，占应收账款年末余额合计数的比例 为</w:t>
      </w:r>
      <w:r>
        <w:rPr>
          <w:rFonts w:ascii="Times New Roman" w:hAnsi="Times New Roman" w:cs="Times New Roman" w:eastAsia="Times New Roman" w:hint="default"/>
        </w:rPr>
        <w:t>22.75%</w:t>
      </w:r>
      <w:r>
        <w:rPr/>
        <w:t>，相应计提的坏账准备年末余额汇总金额为</w:t>
      </w:r>
      <w:r>
        <w:rPr>
          <w:rFonts w:ascii="Times New Roman" w:hAnsi="Times New Roman" w:cs="Times New Roman" w:eastAsia="Times New Roman" w:hint="default"/>
        </w:rPr>
        <w:t>13,655,119.20</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7" w:hRule="exact"/>
        </w:trPr>
        <w:tc>
          <w:tcPr>
            <w:tcW w:w="1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5" w:hRule="exact"/>
        </w:trPr>
        <w:tc>
          <w:tcPr>
            <w:tcW w:w="18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3D3D3"/>
          </w:tcPr>
          <w:p>
            <w:pPr/>
          </w:p>
        </w:tc>
        <w:tc>
          <w:tcPr>
            <w:tcW w:w="3829" w:type="dxa"/>
            <w:gridSpan w:val="2"/>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1889" w:type="dxa"/>
            <w:vMerge/>
            <w:tcBorders>
              <w:left w:val="single" w:sz="4" w:space="0" w:color="000000"/>
              <w:bottom w:val="nil" w:sz="6" w:space="0" w:color="auto"/>
              <w:right w:val="single" w:sz="4" w:space="0" w:color="000000"/>
            </w:tcBorders>
            <w:shd w:val="clear" w:color="auto" w:fill="D3D3D3"/>
          </w:tcPr>
          <w:p>
            <w:pPr/>
          </w:p>
        </w:tc>
        <w:tc>
          <w:tcPr>
            <w:tcW w:w="19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7" w:hRule="exact"/>
        </w:trPr>
        <w:tc>
          <w:tcPr>
            <w:tcW w:w="1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7"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36,647,136.24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13,737,675.24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138,754.73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4,232,599.52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4,000,498.00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64,629.50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84,629.50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9"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40,871,018.47</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18,054,904.26</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48"/>
        <w:jc w:val="right"/>
      </w:pPr>
      <w:r>
        <w:rPr/>
        <w:t>本公司按预付对象归集的年末余额前五名预付账款汇总金额为</w:t>
      </w:r>
      <w:r>
        <w:rPr>
          <w:rFonts w:ascii="Times New Roman" w:hAnsi="Times New Roman" w:cs="Times New Roman" w:eastAsia="Times New Roman" w:hint="default"/>
        </w:rPr>
        <w:t>27,567,812.38</w:t>
      </w:r>
      <w:r>
        <w:rPr/>
        <w:t>元，占预付账款年末余额合计数的比例为</w:t>
      </w:r>
    </w:p>
    <w:p>
      <w:pPr>
        <w:pStyle w:val="BodyText"/>
        <w:spacing w:line="240" w:lineRule="auto" w:before="63"/>
        <w:ind w:left="153" w:right="0"/>
        <w:jc w:val="left"/>
      </w:pPr>
      <w:r>
        <w:rPr>
          <w:rFonts w:ascii="Times New Roman" w:hAnsi="Times New Roman" w:cs="Times New Roman" w:eastAsia="Times New Roman" w:hint="default"/>
        </w:rPr>
        <w:t>67.45%</w:t>
      </w:r>
      <w:r>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3162"/>
        <w:gridCol w:w="3202"/>
        <w:gridCol w:w="3188"/>
      </w:tblGrid>
      <w:tr>
        <w:trPr>
          <w:trHeight w:val="402" w:hRule="exact"/>
        </w:trPr>
        <w:tc>
          <w:tcPr>
            <w:tcW w:w="3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74,055.56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74,055.56</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02"/>
        <w:gridCol w:w="1067"/>
        <w:gridCol w:w="630"/>
        <w:gridCol w:w="896"/>
        <w:gridCol w:w="672"/>
        <w:gridCol w:w="1051"/>
        <w:gridCol w:w="976"/>
        <w:gridCol w:w="630"/>
        <w:gridCol w:w="896"/>
        <w:gridCol w:w="558"/>
        <w:gridCol w:w="976"/>
      </w:tblGrid>
      <w:tr>
        <w:trPr>
          <w:trHeight w:val="402" w:hRule="exact"/>
        </w:trPr>
        <w:tc>
          <w:tcPr>
            <w:tcW w:w="1302" w:type="dxa"/>
            <w:vMerge w:val="restart"/>
            <w:tcBorders>
              <w:top w:val="single" w:sz="4" w:space="0" w:color="000000"/>
              <w:left w:val="single" w:sz="4" w:space="0" w:color="000000"/>
              <w:right w:val="single" w:sz="4" w:space="0" w:color="000000"/>
            </w:tcBorders>
            <w:shd w:val="clear" w:color="auto" w:fill="D3D3D3"/>
          </w:tcPr>
          <w:p>
            <w:pPr/>
          </w:p>
        </w:tc>
        <w:tc>
          <w:tcPr>
            <w:tcW w:w="431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3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302" w:type="dxa"/>
            <w:vMerge/>
            <w:tcBorders>
              <w:left w:val="single" w:sz="4" w:space="0" w:color="000000"/>
              <w:bottom w:val="nil" w:sz="6" w:space="0" w:color="auto"/>
              <w:right w:val="single" w:sz="4" w:space="0" w:color="000000"/>
            </w:tcBorders>
            <w:shd w:val="clear" w:color="auto" w:fill="D3D3D3"/>
          </w:tcPr>
          <w:p>
            <w:pPr/>
          </w:p>
        </w:tc>
        <w:tc>
          <w:tcPr>
            <w:tcW w:w="169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51" w:type="dxa"/>
            <w:vMerge w:val="restart"/>
            <w:tcBorders>
              <w:top w:val="single" w:sz="4" w:space="0" w:color="000000"/>
              <w:left w:val="single" w:sz="4" w:space="0" w:color="000000"/>
              <w:right w:val="single" w:sz="4" w:space="0" w:color="000000"/>
            </w:tcBorders>
            <w:shd w:val="clear" w:color="auto" w:fill="D3D3D3"/>
          </w:tcPr>
          <w:p>
            <w:pPr/>
          </w:p>
        </w:tc>
        <w:tc>
          <w:tcPr>
            <w:tcW w:w="160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3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76"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130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697" w:type="dxa"/>
            <w:gridSpan w:val="2"/>
            <w:vMerge/>
            <w:tcBorders>
              <w:left w:val="single" w:sz="4" w:space="0" w:color="000000"/>
              <w:bottom w:val="single" w:sz="4" w:space="0" w:color="000000"/>
              <w:right w:val="single" w:sz="4" w:space="0" w:color="000000"/>
            </w:tcBorders>
            <w:shd w:val="clear" w:color="auto" w:fill="D3D3D3"/>
          </w:tcPr>
          <w:p>
            <w:pPr/>
          </w:p>
        </w:tc>
        <w:tc>
          <w:tcPr>
            <w:tcW w:w="1568" w:type="dxa"/>
            <w:gridSpan w:val="2"/>
            <w:vMerge/>
            <w:tcBorders>
              <w:left w:val="single" w:sz="4" w:space="0" w:color="000000"/>
              <w:bottom w:val="single" w:sz="4" w:space="0" w:color="000000"/>
              <w:right w:val="single" w:sz="4" w:space="0" w:color="000000"/>
            </w:tcBorders>
            <w:shd w:val="clear" w:color="auto" w:fill="D3D3D3"/>
          </w:tcPr>
          <w:p>
            <w:pPr/>
          </w:p>
        </w:tc>
        <w:tc>
          <w:tcPr>
            <w:tcW w:w="1051" w:type="dxa"/>
            <w:vMerge/>
            <w:tcBorders>
              <w:left w:val="single" w:sz="4" w:space="0" w:color="000000"/>
              <w:bottom w:val="nil" w:sz="6" w:space="0" w:color="auto"/>
              <w:right w:val="single" w:sz="4" w:space="0" w:color="000000"/>
            </w:tcBorders>
            <w:shd w:val="clear" w:color="auto" w:fill="D3D3D3"/>
          </w:tcPr>
          <w:p>
            <w:pPr/>
          </w:p>
        </w:tc>
        <w:tc>
          <w:tcPr>
            <w:tcW w:w="1606" w:type="dxa"/>
            <w:gridSpan w:val="2"/>
            <w:vMerge/>
            <w:tcBorders>
              <w:left w:val="single" w:sz="4" w:space="0" w:color="000000"/>
              <w:bottom w:val="single" w:sz="4" w:space="0" w:color="000000"/>
              <w:right w:val="single" w:sz="4" w:space="0" w:color="000000"/>
            </w:tcBorders>
            <w:shd w:val="clear" w:color="auto" w:fill="D3D3D3"/>
          </w:tcPr>
          <w:p>
            <w:pPr/>
          </w:p>
        </w:tc>
        <w:tc>
          <w:tcPr>
            <w:tcW w:w="1454" w:type="dxa"/>
            <w:gridSpan w:val="2"/>
            <w:vMerge/>
            <w:tcBorders>
              <w:left w:val="single" w:sz="4" w:space="0" w:color="000000"/>
              <w:bottom w:val="single" w:sz="4" w:space="0" w:color="000000"/>
              <w:right w:val="single" w:sz="4" w:space="0" w:color="000000"/>
            </w:tcBorders>
            <w:shd w:val="clear" w:color="auto" w:fill="D3D3D3"/>
          </w:tcPr>
          <w:p>
            <w:pPr/>
          </w:p>
        </w:tc>
        <w:tc>
          <w:tcPr>
            <w:tcW w:w="976"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302" w:type="dxa"/>
            <w:vMerge/>
            <w:tcBorders>
              <w:left w:val="single" w:sz="4" w:space="0" w:color="000000"/>
              <w:bottom w:val="nil" w:sz="6" w:space="0" w:color="auto"/>
              <w:right w:val="single" w:sz="4" w:space="0" w:color="000000"/>
            </w:tcBorders>
            <w:shd w:val="clear" w:color="auto" w:fill="D3D3D3"/>
          </w:tcPr>
          <w:p>
            <w:pPr/>
          </w:p>
        </w:tc>
        <w:tc>
          <w:tcPr>
            <w:tcW w:w="1067" w:type="dxa"/>
            <w:tcBorders>
              <w:top w:val="single" w:sz="4" w:space="0" w:color="000000"/>
              <w:left w:val="single" w:sz="4" w:space="0" w:color="000000"/>
              <w:bottom w:val="nil" w:sz="6" w:space="0" w:color="auto"/>
              <w:right w:val="single" w:sz="4" w:space="0" w:color="000000"/>
            </w:tcBorders>
            <w:shd w:val="clear" w:color="auto" w:fill="D3D3D3"/>
          </w:tcPr>
          <w:p>
            <w:pPr/>
          </w:p>
        </w:tc>
        <w:tc>
          <w:tcPr>
            <w:tcW w:w="630" w:type="dxa"/>
            <w:tcBorders>
              <w:top w:val="single" w:sz="4" w:space="0" w:color="000000"/>
              <w:left w:val="single" w:sz="4" w:space="0" w:color="000000"/>
              <w:bottom w:val="nil" w:sz="6" w:space="0" w:color="auto"/>
              <w:right w:val="single" w:sz="4" w:space="0" w:color="000000"/>
            </w:tcBorders>
            <w:shd w:val="clear" w:color="auto" w:fill="D3D3D3"/>
          </w:tcPr>
          <w:p>
            <w:pPr/>
          </w:p>
        </w:tc>
        <w:tc>
          <w:tcPr>
            <w:tcW w:w="896" w:type="dxa"/>
            <w:tcBorders>
              <w:top w:val="single" w:sz="4" w:space="0" w:color="000000"/>
              <w:left w:val="single" w:sz="4" w:space="0" w:color="000000"/>
              <w:bottom w:val="nil" w:sz="6" w:space="0" w:color="auto"/>
              <w:right w:val="single" w:sz="4" w:space="0" w:color="000000"/>
            </w:tcBorders>
            <w:shd w:val="clear" w:color="auto" w:fill="D3D3D3"/>
          </w:tcPr>
          <w:p>
            <w:pPr/>
          </w:p>
        </w:tc>
        <w:tc>
          <w:tcPr>
            <w:tcW w:w="67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40" w:right="6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5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15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76" w:type="dxa"/>
            <w:tcBorders>
              <w:top w:val="single" w:sz="4" w:space="0" w:color="000000"/>
              <w:left w:val="single" w:sz="4" w:space="0" w:color="000000"/>
              <w:bottom w:val="nil" w:sz="6" w:space="0" w:color="auto"/>
              <w:right w:val="single" w:sz="4" w:space="0" w:color="000000"/>
            </w:tcBorders>
            <w:shd w:val="clear" w:color="auto" w:fill="D3D3D3"/>
          </w:tcPr>
          <w:p>
            <w:pPr/>
          </w:p>
        </w:tc>
        <w:tc>
          <w:tcPr>
            <w:tcW w:w="630" w:type="dxa"/>
            <w:tcBorders>
              <w:top w:val="single" w:sz="4" w:space="0" w:color="000000"/>
              <w:left w:val="single" w:sz="4" w:space="0" w:color="000000"/>
              <w:bottom w:val="nil" w:sz="6" w:space="0" w:color="auto"/>
              <w:right w:val="single" w:sz="4" w:space="0" w:color="000000"/>
            </w:tcBorders>
            <w:shd w:val="clear" w:color="auto" w:fill="D3D3D3"/>
          </w:tcPr>
          <w:p>
            <w:pPr/>
          </w:p>
        </w:tc>
        <w:tc>
          <w:tcPr>
            <w:tcW w:w="896" w:type="dxa"/>
            <w:tcBorders>
              <w:top w:val="single" w:sz="4" w:space="0" w:color="000000"/>
              <w:left w:val="single" w:sz="4" w:space="0" w:color="000000"/>
              <w:bottom w:val="nil" w:sz="6" w:space="0" w:color="auto"/>
              <w:right w:val="single" w:sz="4" w:space="0" w:color="000000"/>
            </w:tcBorders>
            <w:shd w:val="clear" w:color="auto" w:fill="D3D3D3"/>
          </w:tcPr>
          <w:p>
            <w:pPr/>
          </w:p>
        </w:tc>
        <w:tc>
          <w:tcPr>
            <w:tcW w:w="55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93" w:right="92"/>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7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302" w:type="dxa"/>
            <w:vMerge w:val="restart"/>
            <w:tcBorders>
              <w:top w:val="nil" w:sz="6" w:space="0" w:color="auto"/>
              <w:left w:val="single" w:sz="4" w:space="0" w:color="000000"/>
              <w:right w:val="single" w:sz="4" w:space="0" w:color="000000"/>
            </w:tcBorders>
            <w:shd w:val="clear" w:color="auto" w:fill="D3D3D3"/>
          </w:tcPr>
          <w:p>
            <w:pPr/>
          </w:p>
        </w:tc>
        <w:tc>
          <w:tcPr>
            <w:tcW w:w="10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72" w:type="dxa"/>
            <w:vMerge/>
            <w:tcBorders>
              <w:left w:val="single" w:sz="4" w:space="0" w:color="000000"/>
              <w:right w:val="single" w:sz="4" w:space="0" w:color="000000"/>
            </w:tcBorders>
            <w:shd w:val="clear" w:color="auto" w:fill="D3D3D3"/>
          </w:tcPr>
          <w:p>
            <w:pPr/>
          </w:p>
        </w:tc>
        <w:tc>
          <w:tcPr>
            <w:tcW w:w="1051" w:type="dxa"/>
            <w:vMerge/>
            <w:tcBorders>
              <w:left w:val="single" w:sz="4" w:space="0" w:color="000000"/>
              <w:bottom w:val="nil" w:sz="6" w:space="0" w:color="auto"/>
              <w:right w:val="single" w:sz="4" w:space="0" w:color="000000"/>
            </w:tcBorders>
            <w:shd w:val="clear" w:color="auto" w:fill="D3D3D3"/>
          </w:tcPr>
          <w:p>
            <w:pPr/>
          </w:p>
        </w:tc>
        <w:tc>
          <w:tcPr>
            <w:tcW w:w="97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58" w:type="dxa"/>
            <w:vMerge/>
            <w:tcBorders>
              <w:left w:val="single" w:sz="4" w:space="0" w:color="000000"/>
              <w:right w:val="single" w:sz="4" w:space="0" w:color="000000"/>
            </w:tcBorders>
            <w:shd w:val="clear" w:color="auto" w:fill="D3D3D3"/>
          </w:tcPr>
          <w:p>
            <w:pPr/>
          </w:p>
        </w:tc>
        <w:tc>
          <w:tcPr>
            <w:tcW w:w="976"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1302" w:type="dxa"/>
            <w:vMerge/>
            <w:tcBorders>
              <w:left w:val="single" w:sz="4" w:space="0" w:color="000000"/>
              <w:right w:val="single" w:sz="4" w:space="0" w:color="000000"/>
            </w:tcBorders>
            <w:shd w:val="clear" w:color="auto" w:fill="D3D3D3"/>
          </w:tcPr>
          <w:p>
            <w:pPr/>
          </w:p>
        </w:tc>
        <w:tc>
          <w:tcPr>
            <w:tcW w:w="1067" w:type="dxa"/>
            <w:vMerge/>
            <w:tcBorders>
              <w:left w:val="single" w:sz="4" w:space="0" w:color="000000"/>
              <w:bottom w:val="nil" w:sz="6" w:space="0" w:color="auto"/>
              <w:right w:val="single" w:sz="4" w:space="0" w:color="000000"/>
            </w:tcBorders>
            <w:shd w:val="clear" w:color="auto" w:fill="D3D3D3"/>
          </w:tcPr>
          <w:p>
            <w:pPr/>
          </w:p>
        </w:tc>
        <w:tc>
          <w:tcPr>
            <w:tcW w:w="630" w:type="dxa"/>
            <w:vMerge/>
            <w:tcBorders>
              <w:left w:val="single" w:sz="4" w:space="0" w:color="000000"/>
              <w:bottom w:val="nil" w:sz="6" w:space="0" w:color="auto"/>
              <w:right w:val="single" w:sz="4" w:space="0" w:color="000000"/>
            </w:tcBorders>
            <w:shd w:val="clear" w:color="auto" w:fill="D3D3D3"/>
          </w:tcPr>
          <w:p>
            <w:pPr/>
          </w:p>
        </w:tc>
        <w:tc>
          <w:tcPr>
            <w:tcW w:w="896" w:type="dxa"/>
            <w:vMerge/>
            <w:tcBorders>
              <w:left w:val="single" w:sz="4" w:space="0" w:color="000000"/>
              <w:bottom w:val="nil" w:sz="6" w:space="0" w:color="auto"/>
              <w:right w:val="single" w:sz="4" w:space="0" w:color="000000"/>
            </w:tcBorders>
            <w:shd w:val="clear" w:color="auto" w:fill="D3D3D3"/>
          </w:tcPr>
          <w:p>
            <w:pPr/>
          </w:p>
        </w:tc>
        <w:tc>
          <w:tcPr>
            <w:tcW w:w="672" w:type="dxa"/>
            <w:vMerge/>
            <w:tcBorders>
              <w:left w:val="single" w:sz="4" w:space="0" w:color="000000"/>
              <w:right w:val="single" w:sz="4" w:space="0" w:color="000000"/>
            </w:tcBorders>
            <w:shd w:val="clear" w:color="auto" w:fill="D3D3D3"/>
          </w:tcPr>
          <w:p>
            <w:pPr/>
          </w:p>
        </w:tc>
        <w:tc>
          <w:tcPr>
            <w:tcW w:w="1051" w:type="dxa"/>
            <w:vMerge w:val="restart"/>
            <w:tcBorders>
              <w:top w:val="nil" w:sz="6" w:space="0" w:color="auto"/>
              <w:left w:val="single" w:sz="4" w:space="0" w:color="000000"/>
              <w:right w:val="single" w:sz="4" w:space="0" w:color="000000"/>
            </w:tcBorders>
            <w:shd w:val="clear" w:color="auto" w:fill="D3D3D3"/>
          </w:tcPr>
          <w:p>
            <w:pPr/>
          </w:p>
        </w:tc>
        <w:tc>
          <w:tcPr>
            <w:tcW w:w="976" w:type="dxa"/>
            <w:vMerge/>
            <w:tcBorders>
              <w:left w:val="single" w:sz="4" w:space="0" w:color="000000"/>
              <w:bottom w:val="nil" w:sz="6" w:space="0" w:color="auto"/>
              <w:right w:val="single" w:sz="4" w:space="0" w:color="000000"/>
            </w:tcBorders>
            <w:shd w:val="clear" w:color="auto" w:fill="D3D3D3"/>
          </w:tcPr>
          <w:p>
            <w:pPr/>
          </w:p>
        </w:tc>
        <w:tc>
          <w:tcPr>
            <w:tcW w:w="630" w:type="dxa"/>
            <w:vMerge/>
            <w:tcBorders>
              <w:left w:val="single" w:sz="4" w:space="0" w:color="000000"/>
              <w:bottom w:val="nil" w:sz="6" w:space="0" w:color="auto"/>
              <w:right w:val="single" w:sz="4" w:space="0" w:color="000000"/>
            </w:tcBorders>
            <w:shd w:val="clear" w:color="auto" w:fill="D3D3D3"/>
          </w:tcPr>
          <w:p>
            <w:pPr/>
          </w:p>
        </w:tc>
        <w:tc>
          <w:tcPr>
            <w:tcW w:w="896" w:type="dxa"/>
            <w:vMerge/>
            <w:tcBorders>
              <w:left w:val="single" w:sz="4" w:space="0" w:color="000000"/>
              <w:bottom w:val="nil" w:sz="6" w:space="0" w:color="auto"/>
              <w:right w:val="single" w:sz="4" w:space="0" w:color="000000"/>
            </w:tcBorders>
            <w:shd w:val="clear" w:color="auto" w:fill="D3D3D3"/>
          </w:tcPr>
          <w:p>
            <w:pPr/>
          </w:p>
        </w:tc>
        <w:tc>
          <w:tcPr>
            <w:tcW w:w="558" w:type="dxa"/>
            <w:vMerge/>
            <w:tcBorders>
              <w:left w:val="single" w:sz="4" w:space="0" w:color="000000"/>
              <w:right w:val="single" w:sz="4" w:space="0" w:color="000000"/>
            </w:tcBorders>
            <w:shd w:val="clear" w:color="auto" w:fill="D3D3D3"/>
          </w:tcPr>
          <w:p>
            <w:pPr/>
          </w:p>
        </w:tc>
        <w:tc>
          <w:tcPr>
            <w:tcW w:w="976"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302"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nil" w:sz="6" w:space="0" w:color="auto"/>
              <w:left w:val="single" w:sz="4" w:space="0" w:color="000000"/>
              <w:bottom w:val="single" w:sz="4" w:space="0" w:color="000000"/>
              <w:right w:val="single" w:sz="4" w:space="0" w:color="000000"/>
            </w:tcBorders>
            <w:shd w:val="clear" w:color="auto" w:fill="D3D3D3"/>
          </w:tcPr>
          <w:p>
            <w:pPr/>
          </w:p>
        </w:tc>
        <w:tc>
          <w:tcPr>
            <w:tcW w:w="630" w:type="dxa"/>
            <w:tcBorders>
              <w:top w:val="nil" w:sz="6" w:space="0" w:color="auto"/>
              <w:left w:val="single" w:sz="4" w:space="0" w:color="000000"/>
              <w:bottom w:val="single" w:sz="4" w:space="0" w:color="000000"/>
              <w:right w:val="single" w:sz="4" w:space="0" w:color="000000"/>
            </w:tcBorders>
            <w:shd w:val="clear" w:color="auto" w:fill="D3D3D3"/>
          </w:tcPr>
          <w:p>
            <w:pPr/>
          </w:p>
        </w:tc>
        <w:tc>
          <w:tcPr>
            <w:tcW w:w="896" w:type="dxa"/>
            <w:tcBorders>
              <w:top w:val="nil" w:sz="6" w:space="0" w:color="auto"/>
              <w:left w:val="single" w:sz="4" w:space="0" w:color="000000"/>
              <w:bottom w:val="single" w:sz="4" w:space="0" w:color="000000"/>
              <w:right w:val="single" w:sz="4" w:space="0" w:color="000000"/>
            </w:tcBorders>
            <w:shd w:val="clear" w:color="auto" w:fill="D3D3D3"/>
          </w:tcPr>
          <w:p>
            <w:pPr/>
          </w:p>
        </w:tc>
        <w:tc>
          <w:tcPr>
            <w:tcW w:w="672" w:type="dxa"/>
            <w:vMerge/>
            <w:tcBorders>
              <w:left w:val="single" w:sz="4" w:space="0" w:color="000000"/>
              <w:bottom w:val="single" w:sz="4" w:space="0" w:color="000000"/>
              <w:right w:val="single" w:sz="4" w:space="0" w:color="000000"/>
            </w:tcBorders>
            <w:shd w:val="clear" w:color="auto" w:fill="D3D3D3"/>
          </w:tcPr>
          <w:p>
            <w:pPr/>
          </w:p>
        </w:tc>
        <w:tc>
          <w:tcPr>
            <w:tcW w:w="1051" w:type="dxa"/>
            <w:vMerge/>
            <w:tcBorders>
              <w:left w:val="single" w:sz="4" w:space="0" w:color="000000"/>
              <w:bottom w:val="single" w:sz="4" w:space="0" w:color="000000"/>
              <w:right w:val="single" w:sz="4" w:space="0" w:color="000000"/>
            </w:tcBorders>
            <w:shd w:val="clear" w:color="auto" w:fill="D3D3D3"/>
          </w:tcPr>
          <w:p>
            <w:pPr/>
          </w:p>
        </w:tc>
        <w:tc>
          <w:tcPr>
            <w:tcW w:w="976" w:type="dxa"/>
            <w:tcBorders>
              <w:top w:val="nil" w:sz="6" w:space="0" w:color="auto"/>
              <w:left w:val="single" w:sz="4" w:space="0" w:color="000000"/>
              <w:bottom w:val="single" w:sz="4" w:space="0" w:color="000000"/>
              <w:right w:val="single" w:sz="4" w:space="0" w:color="000000"/>
            </w:tcBorders>
            <w:shd w:val="clear" w:color="auto" w:fill="D3D3D3"/>
          </w:tcPr>
          <w:p>
            <w:pPr/>
          </w:p>
        </w:tc>
        <w:tc>
          <w:tcPr>
            <w:tcW w:w="630" w:type="dxa"/>
            <w:tcBorders>
              <w:top w:val="nil" w:sz="6" w:space="0" w:color="auto"/>
              <w:left w:val="single" w:sz="4" w:space="0" w:color="000000"/>
              <w:bottom w:val="single" w:sz="4" w:space="0" w:color="000000"/>
              <w:right w:val="single" w:sz="4" w:space="0" w:color="000000"/>
            </w:tcBorders>
            <w:shd w:val="clear" w:color="auto" w:fill="D3D3D3"/>
          </w:tcPr>
          <w:p>
            <w:pPr/>
          </w:p>
        </w:tc>
        <w:tc>
          <w:tcPr>
            <w:tcW w:w="896" w:type="dxa"/>
            <w:tcBorders>
              <w:top w:val="nil" w:sz="6" w:space="0" w:color="auto"/>
              <w:left w:val="single" w:sz="4" w:space="0" w:color="000000"/>
              <w:bottom w:val="single" w:sz="4" w:space="0" w:color="000000"/>
              <w:right w:val="single" w:sz="4" w:space="0" w:color="000000"/>
            </w:tcBorders>
            <w:shd w:val="clear" w:color="auto" w:fill="D3D3D3"/>
          </w:tcPr>
          <w:p>
            <w:pPr/>
          </w:p>
        </w:tc>
        <w:tc>
          <w:tcPr>
            <w:tcW w:w="558" w:type="dxa"/>
            <w:vMerge/>
            <w:tcBorders>
              <w:left w:val="single" w:sz="4" w:space="0" w:color="000000"/>
              <w:bottom w:val="single" w:sz="4" w:space="0" w:color="000000"/>
              <w:right w:val="single" w:sz="4" w:space="0" w:color="000000"/>
            </w:tcBorders>
            <w:shd w:val="clear" w:color="auto" w:fill="D3D3D3"/>
          </w:tcPr>
          <w:p>
            <w:pPr/>
          </w:p>
        </w:tc>
        <w:tc>
          <w:tcPr>
            <w:tcW w:w="976"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0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208,038,304.83</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1,779,993.41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0.86%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206,258,311.42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6"/>
                <w:szCs w:val="16"/>
              </w:rPr>
            </w:pPr>
            <w:r>
              <w:rPr>
                <w:rFonts w:ascii="Times New Roman"/>
                <w:sz w:val="16"/>
              </w:rPr>
              <w:t>66,759,435.52</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6"/>
                <w:szCs w:val="16"/>
              </w:rPr>
            </w:pPr>
            <w:r>
              <w:rPr>
                <w:rFonts w:ascii="Times New Roman"/>
                <w:sz w:val="16"/>
              </w:rPr>
              <w:t>100.00%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6"/>
                <w:szCs w:val="16"/>
              </w:rPr>
            </w:pPr>
            <w:r>
              <w:rPr>
                <w:rFonts w:ascii="Times New Roman"/>
                <w:sz w:val="16"/>
              </w:rPr>
              <w:t>1,638,943.01</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9" w:right="0"/>
              <w:jc w:val="center"/>
              <w:rPr>
                <w:rFonts w:ascii="Times New Roman" w:hAnsi="Times New Roman" w:cs="Times New Roman" w:eastAsia="Times New Roman" w:hint="default"/>
                <w:sz w:val="16"/>
                <w:szCs w:val="16"/>
              </w:rPr>
            </w:pPr>
            <w:r>
              <w:rPr>
                <w:rFonts w:ascii="Times New Roman"/>
                <w:sz w:val="16"/>
              </w:rPr>
              <w:t>2.45%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6"/>
                <w:szCs w:val="16"/>
              </w:rPr>
            </w:pPr>
            <w:r>
              <w:rPr>
                <w:rFonts w:ascii="Times New Roman"/>
                <w:sz w:val="16"/>
              </w:rPr>
              <w:t>65,120,492.51</w:t>
            </w:r>
          </w:p>
        </w:tc>
      </w:tr>
      <w:tr>
        <w:trPr>
          <w:trHeight w:val="1338" w:hRule="exact"/>
        </w:trPr>
        <w:tc>
          <w:tcPr>
            <w:tcW w:w="1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0"/>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准备的其他应收 款</w:t>
            </w:r>
          </w:p>
        </w:tc>
        <w:tc>
          <w:tcPr>
            <w:tcW w:w="10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6,468.00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6,468.00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1"/>
                <w:sz w:val="16"/>
              </w:rPr>
              <w:t>208,044,772.83</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100.00%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1,786,461.41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0.86%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1"/>
                <w:sz w:val="16"/>
              </w:rPr>
              <w:t>206,258,311.42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Times New Roman" w:hAnsi="Times New Roman" w:cs="Times New Roman" w:eastAsia="Times New Roman" w:hint="default"/>
                <w:sz w:val="16"/>
                <w:szCs w:val="16"/>
              </w:rPr>
            </w:pPr>
            <w:r>
              <w:rPr>
                <w:rFonts w:ascii="Times New Roman"/>
                <w:sz w:val="16"/>
              </w:rPr>
              <w:t>66,759,435.52</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Times New Roman" w:hAnsi="Times New Roman" w:cs="Times New Roman" w:eastAsia="Times New Roman" w:hint="default"/>
                <w:sz w:val="16"/>
                <w:szCs w:val="16"/>
              </w:rPr>
            </w:pPr>
            <w:r>
              <w:rPr>
                <w:rFonts w:ascii="Times New Roman"/>
                <w:sz w:val="16"/>
              </w:rPr>
              <w:t>100.00%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Times New Roman" w:hAnsi="Times New Roman" w:cs="Times New Roman" w:eastAsia="Times New Roman" w:hint="default"/>
                <w:sz w:val="16"/>
                <w:szCs w:val="16"/>
              </w:rPr>
            </w:pPr>
            <w:r>
              <w:rPr>
                <w:rFonts w:ascii="Times New Roman"/>
                <w:sz w:val="16"/>
              </w:rPr>
              <w:t>1,638,943.01</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9" w:right="0"/>
              <w:jc w:val="center"/>
              <w:rPr>
                <w:rFonts w:ascii="Times New Roman" w:hAnsi="Times New Roman" w:cs="Times New Roman" w:eastAsia="Times New Roman" w:hint="default"/>
                <w:sz w:val="16"/>
                <w:szCs w:val="16"/>
              </w:rPr>
            </w:pPr>
            <w:r>
              <w:rPr>
                <w:rFonts w:ascii="Times New Roman"/>
                <w:sz w:val="16"/>
              </w:rPr>
              <w:t>2.45%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Times New Roman" w:hAnsi="Times New Roman" w:cs="Times New Roman" w:eastAsia="Times New Roman" w:hint="default"/>
                <w:sz w:val="16"/>
                <w:szCs w:val="16"/>
              </w:rPr>
            </w:pPr>
            <w:r>
              <w:rPr>
                <w:rFonts w:ascii="Times New Roman"/>
                <w:sz w:val="16"/>
              </w:rPr>
              <w:t>65,120,492.51</w:t>
            </w:r>
          </w:p>
        </w:tc>
      </w:tr>
    </w:tbl>
    <w:p>
      <w:pPr>
        <w:spacing w:after="0" w:line="240" w:lineRule="auto"/>
        <w:jc w:val="center"/>
        <w:rPr>
          <w:rFonts w:ascii="Times New Roman" w:hAnsi="Times New Roman" w:cs="Times New Roman" w:eastAsia="Times New Roman" w:hint="default"/>
          <w:sz w:val="16"/>
          <w:szCs w:val="16"/>
        </w:rPr>
        <w:sectPr>
          <w:pgSz w:w="11910" w:h="16840"/>
          <w:pgMar w:header="877" w:footer="982" w:top="1100" w:bottom="1180" w:left="980" w:right="98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r>
              <w:rPr>
                <w:rFonts w:ascii="Times New Roman" w:hAnsi="Times New Roman" w:cs="Times New Roman" w:eastAsia="Times New Roman"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71,429,538.18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9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2,367,450.50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118,372.53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73,796,988.68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118,372.53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2,982,445.27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298,244.53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1,271,858.67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254,371.74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839,407.21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419,703.61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140,720.00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112,576.00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576,725.00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576,725.00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79,608,144.83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1,779,993.41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w:t>
            </w:r>
          </w:p>
        </w:tc>
      </w:tr>
    </w:tbl>
    <w:p>
      <w:pPr>
        <w:pStyle w:val="BodyText"/>
        <w:spacing w:line="360" w:lineRule="auto" w:before="51"/>
        <w:ind w:left="153" w:right="5271"/>
        <w:jc w:val="left"/>
      </w:pPr>
      <w:r>
        <w:rPr/>
        <w:t>确定该组合依据的说明： 组合中，采用余额百分比法计提坏账准备的其他应收款：</w:t>
      </w:r>
    </w:p>
    <w:p>
      <w:pPr>
        <w:pStyle w:val="BodyText"/>
        <w:spacing w:line="340" w:lineRule="auto" w:before="26"/>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3609"/>
        <w:jc w:val="left"/>
      </w:pPr>
      <w:r>
        <w:rPr/>
        <w:t>本期计提坏账准备金额</w:t>
      </w:r>
      <w:r>
        <w:rPr>
          <w:spacing w:val="-46"/>
        </w:rPr>
        <w:t> </w:t>
      </w:r>
      <w:r>
        <w:rPr>
          <w:rFonts w:ascii="Times New Roman" w:hAnsi="Times New Roman" w:cs="Times New Roman" w:eastAsia="Times New Roman" w:hint="default"/>
        </w:rPr>
        <w:t>645,446.31</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其中本期坏账准备转回或收回金额重要的：不适用</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11,357,094.20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413,162.64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76,523,271.33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61,708,254.50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1,504,634.96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2,932,587.39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117,075,000.00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1,584,772.34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1,705,430.99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208,044,772.83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66,759,435.52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2"/>
        <w:gridCol w:w="1237"/>
        <w:gridCol w:w="1417"/>
        <w:gridCol w:w="2066"/>
        <w:gridCol w:w="1963"/>
        <w:gridCol w:w="1100"/>
      </w:tblGrid>
      <w:tr>
        <w:trPr>
          <w:trHeight w:val="714" w:hRule="exact"/>
        </w:trPr>
        <w:tc>
          <w:tcPr>
            <w:tcW w:w="1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占其他应收款期末余额 合计数的比例</w:t>
            </w:r>
          </w:p>
        </w:tc>
        <w:tc>
          <w:tcPr>
            <w:tcW w:w="1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4" w:right="95"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402" w:hRule="exact"/>
        </w:trPr>
        <w:tc>
          <w:tcPr>
            <w:tcW w:w="18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24"/>
              <w:jc w:val="center"/>
              <w:rPr>
                <w:rFonts w:ascii="宋体" w:hAnsi="宋体" w:cs="宋体" w:eastAsia="宋体" w:hint="default"/>
                <w:sz w:val="18"/>
                <w:szCs w:val="18"/>
              </w:rPr>
            </w:pPr>
            <w:r>
              <w:rPr>
                <w:rFonts w:ascii="宋体" w:hAnsi="宋体" w:cs="宋体" w:eastAsia="宋体" w:hint="default"/>
                <w:sz w:val="18"/>
                <w:szCs w:val="18"/>
              </w:rPr>
              <w:t>浙江华朗实业有限公司</w:t>
            </w:r>
          </w:p>
        </w:tc>
        <w:tc>
          <w:tcPr>
            <w:tcW w:w="12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9" w:right="0"/>
              <w:jc w:val="left"/>
              <w:rPr>
                <w:rFonts w:ascii="Times New Roman" w:hAnsi="Times New Roman" w:cs="Times New Roman" w:eastAsia="Times New Roman" w:hint="default"/>
                <w:sz w:val="18"/>
                <w:szCs w:val="18"/>
              </w:rPr>
            </w:pPr>
            <w:r>
              <w:rPr>
                <w:rFonts w:ascii="Times New Roman"/>
                <w:sz w:val="18"/>
              </w:rPr>
              <w:t>65,100,000.00</w:t>
            </w:r>
          </w:p>
        </w:tc>
        <w:tc>
          <w:tcPr>
            <w:tcW w:w="20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31.29%</w:t>
            </w: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杭州杭港地铁有限公司</w:t>
            </w:r>
          </w:p>
        </w:tc>
        <w:tc>
          <w:tcPr>
            <w:tcW w:w="12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45,374,000.00</w:t>
            </w:r>
          </w:p>
        </w:tc>
        <w:tc>
          <w:tcPr>
            <w:tcW w:w="20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5,370,000.00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3" w:right="0"/>
              <w:jc w:val="left"/>
              <w:rPr>
                <w:rFonts w:ascii="Times New Roman" w:hAnsi="Times New Roman" w:cs="Times New Roman" w:eastAsia="Times New Roman" w:hint="default"/>
                <w:sz w:val="18"/>
                <w:szCs w:val="18"/>
              </w:rPr>
            </w:pPr>
            <w:r>
              <w:rPr>
                <w:rFonts w:ascii="Times New Roman"/>
                <w:sz w:val="18"/>
              </w:rPr>
              <w:t>400.00</w:t>
            </w:r>
          </w:p>
        </w:tc>
      </w:tr>
      <w:tr>
        <w:trPr>
          <w:trHeight w:val="714" w:hRule="exact"/>
        </w:trPr>
        <w:tc>
          <w:tcPr>
            <w:tcW w:w="18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舟山泽创投资合伙企业</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34,650,000.00</w:t>
            </w:r>
          </w:p>
        </w:tc>
        <w:tc>
          <w:tcPr>
            <w:tcW w:w="20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16.65%</w:t>
            </w: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上海泽创科技合伙企业</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17,325,000.00</w:t>
            </w:r>
          </w:p>
        </w:tc>
        <w:tc>
          <w:tcPr>
            <w:tcW w:w="20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w:t>
            </w:r>
          </w:p>
        </w:tc>
        <w:tc>
          <w:tcPr>
            <w:tcW w:w="11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82"/>
        <w:gridCol w:w="1237"/>
        <w:gridCol w:w="1417"/>
        <w:gridCol w:w="2066"/>
        <w:gridCol w:w="1963"/>
        <w:gridCol w:w="1100"/>
      </w:tblGrid>
      <w:tr>
        <w:trPr>
          <w:trHeight w:val="714" w:hRule="exact"/>
        </w:trPr>
        <w:tc>
          <w:tcPr>
            <w:tcW w:w="18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杭州华媒科创园区管理 有限公司</w:t>
            </w:r>
          </w:p>
        </w:tc>
        <w:tc>
          <w:tcPr>
            <w:tcW w:w="12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20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w:t>
            </w: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172,449,000.00</w:t>
            </w:r>
          </w:p>
        </w:tc>
        <w:tc>
          <w:tcPr>
            <w:tcW w:w="2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3" w:right="0"/>
              <w:jc w:val="left"/>
              <w:rPr>
                <w:rFonts w:ascii="Times New Roman" w:hAnsi="Times New Roman" w:cs="Times New Roman" w:eastAsia="Times New Roman" w:hint="default"/>
                <w:sz w:val="18"/>
                <w:szCs w:val="18"/>
              </w:rPr>
            </w:pPr>
            <w:r>
              <w:rPr>
                <w:rFonts w:ascii="Times New Roman"/>
                <w:sz w:val="18"/>
              </w:rPr>
              <w:t>400.00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6531"/>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7"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5" w:hRule="exact"/>
        </w:trPr>
        <w:tc>
          <w:tcPr>
            <w:tcW w:w="13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3D3D3"/>
          </w:tcPr>
          <w:p>
            <w:pPr/>
          </w:p>
        </w:tc>
        <w:tc>
          <w:tcPr>
            <w:tcW w:w="4102"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26,897,602.77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26,897,602.77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29,639,937.43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29,639,937.43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4,537,277.47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4,537,277.47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3,542,540.88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3,542,540.88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14,478.91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14,478.91</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31,434,880.24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31,434,880.24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33,196,957.22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33,196,957.22</w:t>
            </w:r>
          </w:p>
        </w:tc>
      </w:tr>
    </w:tbl>
    <w:p>
      <w:pPr>
        <w:pStyle w:val="BodyText"/>
        <w:spacing w:line="338" w:lineRule="auto" w:before="51"/>
        <w:ind w:right="1492"/>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11</w:t>
      </w:r>
      <w:r>
        <w:rPr/>
        <w:t>、持有待售的资产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b/>
          <w:bCs/>
          <w:sz w:val="20"/>
          <w:szCs w:val="20"/>
        </w:rPr>
      </w:pPr>
    </w:p>
    <w:p>
      <w:pPr>
        <w:pStyle w:val="Heading3"/>
        <w:spacing w:line="240" w:lineRule="auto" w:before="35"/>
        <w:ind w:left="494"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490"/>
        <w:jc w:val="right"/>
      </w:pPr>
      <w:r>
        <w:rPr/>
        <w:t>单位： 元</w:t>
      </w:r>
    </w:p>
    <w:p>
      <w:pPr>
        <w:spacing w:line="240" w:lineRule="auto" w:before="0"/>
        <w:rPr>
          <w:rFonts w:ascii="宋体" w:hAnsi="宋体" w:cs="宋体" w:eastAsia="宋体" w:hint="default"/>
          <w:sz w:val="8"/>
          <w:szCs w:val="8"/>
        </w:rPr>
      </w:pPr>
    </w:p>
    <w:tbl>
      <w:tblPr>
        <w:tblW w:w="0" w:type="auto"/>
        <w:jc w:val="left"/>
        <w:tblInd w:w="48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88,062,586.75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41,660,000.00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待摊费用（房租、广告租赁费等）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25,131,987.79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19,209,912.12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预交所得税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2,191,840.20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3,657,439.12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1,792,242.98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5,564,771.96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1,052,883.54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118,231,541.26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70,092,123.20</w:t>
            </w:r>
          </w:p>
        </w:tc>
      </w:tr>
    </w:tbl>
    <w:p>
      <w:pPr>
        <w:spacing w:line="240" w:lineRule="auto" w:before="2"/>
        <w:rPr>
          <w:rFonts w:ascii="宋体" w:hAnsi="宋体" w:cs="宋体" w:eastAsia="宋体" w:hint="default"/>
          <w:sz w:val="19"/>
          <w:szCs w:val="19"/>
        </w:rPr>
      </w:pPr>
    </w:p>
    <w:p>
      <w:pPr>
        <w:pStyle w:val="Heading3"/>
        <w:spacing w:line="240" w:lineRule="auto" w:before="35"/>
        <w:ind w:left="494"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494"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490"/>
        <w:jc w:val="right"/>
      </w:pPr>
      <w:r>
        <w:rPr/>
        <w:t>单位： 元</w:t>
      </w:r>
    </w:p>
    <w:p>
      <w:pPr>
        <w:spacing w:line="240" w:lineRule="auto" w:before="13"/>
        <w:rPr>
          <w:rFonts w:ascii="宋体" w:hAnsi="宋体" w:cs="宋体" w:eastAsia="宋体" w:hint="default"/>
          <w:sz w:val="7"/>
          <w:szCs w:val="7"/>
        </w:rPr>
      </w:pPr>
    </w:p>
    <w:tbl>
      <w:tblPr>
        <w:tblW w:w="0" w:type="auto"/>
        <w:jc w:val="left"/>
        <w:tblInd w:w="500" w:type="dxa"/>
        <w:tblLayout w:type="fixed"/>
        <w:tblCellMar>
          <w:top w:w="0" w:type="dxa"/>
          <w:left w:w="0" w:type="dxa"/>
          <w:bottom w:w="0" w:type="dxa"/>
          <w:right w:w="0" w:type="dxa"/>
        </w:tblCellMar>
        <w:tblLook w:val="01E0"/>
      </w:tblPr>
      <w:tblGrid>
        <w:gridCol w:w="1988"/>
        <w:gridCol w:w="1196"/>
        <w:gridCol w:w="1195"/>
        <w:gridCol w:w="1196"/>
        <w:gridCol w:w="1249"/>
        <w:gridCol w:w="1367"/>
        <w:gridCol w:w="1355"/>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3D3D3"/>
          </w:tcPr>
          <w:p>
            <w:pPr/>
          </w:p>
        </w:tc>
        <w:tc>
          <w:tcPr>
            <w:tcW w:w="3587"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3D3D3"/>
          </w:tcPr>
          <w:p>
            <w:pPr/>
          </w:p>
        </w:tc>
        <w:tc>
          <w:tcPr>
            <w:tcW w:w="3971"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88"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24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116,891,392.10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1,033,988.34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115,857,403.76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8,217,000.00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909,000.00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7,308,000.00</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116,891,392.10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1,033,988.34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115,857,403.76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8,217,000.00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909,000.00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7,308,000.00</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116,891,392.10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1,033,988.34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115,857,403.76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8,217,000.00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909,000.00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7,308,000.00</w:t>
            </w:r>
          </w:p>
        </w:tc>
      </w:tr>
    </w:tbl>
    <w:p>
      <w:pPr>
        <w:spacing w:line="240" w:lineRule="auto" w:before="2"/>
        <w:rPr>
          <w:rFonts w:ascii="宋体" w:hAnsi="宋体" w:cs="宋体" w:eastAsia="宋体" w:hint="default"/>
          <w:sz w:val="19"/>
          <w:szCs w:val="19"/>
        </w:rPr>
      </w:pPr>
    </w:p>
    <w:p>
      <w:pPr>
        <w:pStyle w:val="Heading3"/>
        <w:spacing w:line="240" w:lineRule="auto" w:before="35"/>
        <w:ind w:left="494"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494"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490"/>
        <w:jc w:val="right"/>
      </w:pPr>
      <w:r>
        <w:rPr/>
        <w:t>单位： 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12"/>
        <w:gridCol w:w="1013"/>
        <w:gridCol w:w="1181"/>
        <w:gridCol w:w="463"/>
        <w:gridCol w:w="1276"/>
        <w:gridCol w:w="992"/>
        <w:gridCol w:w="994"/>
        <w:gridCol w:w="425"/>
        <w:gridCol w:w="1134"/>
        <w:gridCol w:w="1112"/>
        <w:gridCol w:w="497"/>
      </w:tblGrid>
      <w:tr>
        <w:trPr>
          <w:trHeight w:val="250" w:hRule="exact"/>
        </w:trPr>
        <w:tc>
          <w:tcPr>
            <w:tcW w:w="13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93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54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112"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107"/>
              <w:ind w:left="100" w:right="101"/>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4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6"/>
              <w:ind w:left="63" w:right="61"/>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491" w:hRule="exact"/>
        </w:trPr>
        <w:tc>
          <w:tcPr>
            <w:tcW w:w="1312" w:type="dxa"/>
            <w:vMerge/>
            <w:tcBorders>
              <w:left w:val="single" w:sz="4" w:space="0" w:color="000000"/>
              <w:bottom w:val="single" w:sz="4" w:space="0" w:color="000000"/>
              <w:right w:val="single" w:sz="4" w:space="0" w:color="000000"/>
            </w:tcBorders>
            <w:shd w:val="clear" w:color="auto" w:fill="D3D3D3"/>
          </w:tcPr>
          <w:p>
            <w:pPr/>
          </w:p>
        </w:tc>
        <w:tc>
          <w:tcPr>
            <w:tcW w:w="10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3"/>
              <w:ind w:left="327"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3"/>
              <w:ind w:left="22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45" w:right="47"/>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3"/>
              <w:ind w:left="452"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3"/>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3"/>
              <w:ind w:left="1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26" w:right="2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1112" w:type="dxa"/>
            <w:vMerge/>
            <w:tcBorders>
              <w:left w:val="single" w:sz="4" w:space="0" w:color="000000"/>
              <w:bottom w:val="single" w:sz="4" w:space="0" w:color="000000"/>
              <w:right w:val="single" w:sz="4" w:space="0" w:color="000000"/>
            </w:tcBorders>
            <w:shd w:val="clear" w:color="auto" w:fill="D3D3D3"/>
          </w:tcPr>
          <w:p>
            <w:pPr/>
          </w:p>
        </w:tc>
        <w:tc>
          <w:tcPr>
            <w:tcW w:w="497" w:type="dxa"/>
            <w:vMerge/>
            <w:tcBorders>
              <w:left w:val="single" w:sz="4" w:space="0" w:color="000000"/>
              <w:bottom w:val="single" w:sz="4" w:space="0" w:color="000000"/>
              <w:right w:val="single" w:sz="4" w:space="0" w:color="000000"/>
            </w:tcBorders>
            <w:shd w:val="clear" w:color="auto" w:fill="D3D3D3"/>
          </w:tcPr>
          <w:p>
            <w:pPr/>
          </w:p>
        </w:tc>
      </w:tr>
      <w:tr>
        <w:trPr>
          <w:trHeight w:val="490" w:hRule="exact"/>
        </w:trPr>
        <w:tc>
          <w:tcPr>
            <w:tcW w:w="13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3" w:right="17"/>
              <w:jc w:val="left"/>
              <w:rPr>
                <w:rFonts w:ascii="宋体" w:hAnsi="宋体" w:cs="宋体" w:eastAsia="宋体" w:hint="default"/>
                <w:sz w:val="18"/>
                <w:szCs w:val="18"/>
              </w:rPr>
            </w:pPr>
            <w:r>
              <w:rPr>
                <w:rFonts w:ascii="宋体" w:hAnsi="宋体" w:cs="宋体" w:eastAsia="宋体" w:hint="default"/>
                <w:sz w:val="18"/>
                <w:szCs w:val="18"/>
              </w:rPr>
              <w:t>杭州宝芝林科技 有限公司</w:t>
            </w:r>
          </w:p>
        </w:tc>
        <w:tc>
          <w:tcPr>
            <w:tcW w:w="101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909,000.00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33" w:right="0"/>
              <w:jc w:val="left"/>
              <w:rPr>
                <w:rFonts w:ascii="Times New Roman" w:hAnsi="Times New Roman" w:cs="Times New Roman" w:eastAsia="Times New Roman" w:hint="default"/>
                <w:sz w:val="18"/>
                <w:szCs w:val="18"/>
              </w:rPr>
            </w:pPr>
            <w:r>
              <w:rPr>
                <w:rFonts w:ascii="Times New Roman"/>
                <w:sz w:val="18"/>
              </w:rPr>
              <w:t>909,000.00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28" w:right="0"/>
              <w:jc w:val="center"/>
              <w:rPr>
                <w:rFonts w:ascii="Times New Roman" w:hAnsi="Times New Roman" w:cs="Times New Roman" w:eastAsia="Times New Roman" w:hint="default"/>
                <w:sz w:val="18"/>
                <w:szCs w:val="18"/>
              </w:rPr>
            </w:pPr>
            <w:r>
              <w:rPr>
                <w:rFonts w:ascii="Times New Roman"/>
                <w:sz w:val="18"/>
              </w:rPr>
              <w:t>909,000.00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90" w:right="0"/>
              <w:jc w:val="left"/>
              <w:rPr>
                <w:rFonts w:ascii="Times New Roman" w:hAnsi="Times New Roman" w:cs="Times New Roman" w:eastAsia="Times New Roman" w:hint="default"/>
                <w:sz w:val="18"/>
                <w:szCs w:val="18"/>
              </w:rPr>
            </w:pPr>
            <w:r>
              <w:rPr>
                <w:rFonts w:ascii="Times New Roman"/>
                <w:sz w:val="18"/>
              </w:rPr>
              <w:t>909,000.00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5.00%</w:t>
            </w:r>
          </w:p>
        </w:tc>
        <w:tc>
          <w:tcPr>
            <w:tcW w:w="497" w:type="dxa"/>
            <w:tcBorders>
              <w:top w:val="single" w:sz="6" w:space="0" w:color="000000"/>
              <w:left w:val="single" w:sz="4" w:space="0" w:color="000000"/>
              <w:bottom w:val="single" w:sz="4" w:space="0" w:color="000000"/>
              <w:right w:val="single" w:sz="4" w:space="0" w:color="000000"/>
            </w:tcBorders>
          </w:tcPr>
          <w:p>
            <w:pPr/>
          </w:p>
        </w:tc>
      </w:tr>
      <w:tr>
        <w:trPr>
          <w:trHeight w:val="490" w:hRule="exact"/>
        </w:trPr>
        <w:tc>
          <w:tcPr>
            <w:tcW w:w="13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3" w:right="17"/>
              <w:jc w:val="left"/>
              <w:rPr>
                <w:rFonts w:ascii="宋体" w:hAnsi="宋体" w:cs="宋体" w:eastAsia="宋体" w:hint="default"/>
                <w:sz w:val="18"/>
                <w:szCs w:val="18"/>
              </w:rPr>
            </w:pPr>
            <w:r>
              <w:rPr>
                <w:rFonts w:ascii="宋体" w:hAnsi="宋体" w:cs="宋体" w:eastAsia="宋体" w:hint="default"/>
                <w:sz w:val="18"/>
                <w:szCs w:val="18"/>
              </w:rPr>
              <w:t>杭州观盛文化传 播有限公司</w:t>
            </w:r>
          </w:p>
        </w:tc>
        <w:tc>
          <w:tcPr>
            <w:tcW w:w="1013" w:type="dxa"/>
            <w:tcBorders>
              <w:top w:val="single" w:sz="4" w:space="0" w:color="000000"/>
              <w:left w:val="single" w:sz="13" w:space="0" w:color="C7EDCC"/>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38" w:right="0"/>
              <w:jc w:val="left"/>
              <w:rPr>
                <w:rFonts w:ascii="Times New Roman" w:hAnsi="Times New Roman" w:cs="Times New Roman" w:eastAsia="Times New Roman" w:hint="default"/>
                <w:sz w:val="18"/>
                <w:szCs w:val="18"/>
              </w:rPr>
            </w:pPr>
            <w:r>
              <w:rPr>
                <w:rFonts w:ascii="Times New Roman"/>
                <w:sz w:val="18"/>
              </w:rPr>
              <w:t>568,749.80</w:t>
            </w: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33" w:right="0"/>
              <w:jc w:val="left"/>
              <w:rPr>
                <w:rFonts w:ascii="Times New Roman" w:hAnsi="Times New Roman" w:cs="Times New Roman" w:eastAsia="Times New Roman" w:hint="default"/>
                <w:sz w:val="18"/>
                <w:szCs w:val="18"/>
              </w:rPr>
            </w:pPr>
            <w:r>
              <w:rPr>
                <w:rFonts w:ascii="Times New Roman"/>
                <w:sz w:val="18"/>
              </w:rPr>
              <w:t>568,749.80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19.77%</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13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3" w:right="17"/>
              <w:jc w:val="left"/>
              <w:rPr>
                <w:rFonts w:ascii="宋体" w:hAnsi="宋体" w:cs="宋体" w:eastAsia="宋体" w:hint="default"/>
                <w:sz w:val="18"/>
                <w:szCs w:val="18"/>
              </w:rPr>
            </w:pPr>
            <w:r>
              <w:rPr>
                <w:rFonts w:ascii="宋体" w:hAnsi="宋体" w:cs="宋体" w:eastAsia="宋体" w:hint="default"/>
                <w:sz w:val="18"/>
                <w:szCs w:val="18"/>
              </w:rPr>
              <w:t>杭州比目鱼投资 管理合伙企业</w:t>
            </w:r>
          </w:p>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1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100,000.00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3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3" w:right="17"/>
              <w:jc w:val="both"/>
              <w:rPr>
                <w:rFonts w:ascii="宋体" w:hAnsi="宋体" w:cs="宋体" w:eastAsia="宋体" w:hint="default"/>
                <w:sz w:val="18"/>
                <w:szCs w:val="18"/>
              </w:rPr>
            </w:pPr>
            <w:r>
              <w:rPr>
                <w:rFonts w:ascii="宋体" w:hAnsi="宋体" w:cs="宋体" w:eastAsia="宋体" w:hint="default"/>
                <w:sz w:val="18"/>
                <w:szCs w:val="18"/>
              </w:rPr>
              <w:t>杭州曦隐投资管 理合伙企业（有 限合伙）</w:t>
            </w:r>
          </w:p>
        </w:tc>
        <w:tc>
          <w:tcPr>
            <w:tcW w:w="101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100,000.00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13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3" w:right="17"/>
              <w:jc w:val="both"/>
              <w:rPr>
                <w:rFonts w:ascii="宋体" w:hAnsi="宋体" w:cs="宋体" w:eastAsia="宋体" w:hint="default"/>
                <w:sz w:val="18"/>
                <w:szCs w:val="18"/>
              </w:rPr>
            </w:pPr>
            <w:r>
              <w:rPr>
                <w:rFonts w:ascii="宋体" w:hAnsi="宋体" w:cs="宋体" w:eastAsia="宋体" w:hint="default"/>
                <w:sz w:val="18"/>
                <w:szCs w:val="18"/>
              </w:rPr>
              <w:t>杭州蕴隐投资管 理合伙企业（有 限合伙）</w:t>
            </w:r>
          </w:p>
        </w:tc>
        <w:tc>
          <w:tcPr>
            <w:tcW w:w="101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200,000.00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w:t>
            </w:r>
          </w:p>
        </w:tc>
        <w:tc>
          <w:tcPr>
            <w:tcW w:w="4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640" w:right="64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1324"/>
        <w:gridCol w:w="1001"/>
        <w:gridCol w:w="1181"/>
        <w:gridCol w:w="463"/>
        <w:gridCol w:w="1276"/>
        <w:gridCol w:w="992"/>
        <w:gridCol w:w="994"/>
        <w:gridCol w:w="425"/>
        <w:gridCol w:w="1134"/>
        <w:gridCol w:w="1112"/>
        <w:gridCol w:w="497"/>
      </w:tblGrid>
      <w:tr>
        <w:trPr>
          <w:trHeight w:val="709"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92"/>
              <w:ind w:left="23" w:right="29"/>
              <w:jc w:val="left"/>
              <w:rPr>
                <w:rFonts w:ascii="宋体" w:hAnsi="宋体" w:cs="宋体" w:eastAsia="宋体" w:hint="default"/>
                <w:sz w:val="18"/>
                <w:szCs w:val="18"/>
              </w:rPr>
            </w:pPr>
            <w:r>
              <w:rPr>
                <w:rFonts w:ascii="宋体" w:hAnsi="宋体" w:cs="宋体" w:eastAsia="宋体" w:hint="default"/>
                <w:sz w:val="18"/>
                <w:szCs w:val="18"/>
              </w:rPr>
              <w:t>杭州艺素影像文 化有限公司</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3"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杭州太仆农业科 技有限公司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3" w:right="29"/>
              <w:jc w:val="left"/>
              <w:rPr>
                <w:rFonts w:ascii="宋体" w:hAnsi="宋体" w:cs="宋体" w:eastAsia="宋体" w:hint="default"/>
                <w:sz w:val="18"/>
                <w:szCs w:val="18"/>
              </w:rPr>
            </w:pPr>
            <w:r>
              <w:rPr>
                <w:rFonts w:ascii="宋体" w:hAnsi="宋体" w:cs="宋体" w:eastAsia="宋体" w:hint="default"/>
                <w:sz w:val="18"/>
                <w:szCs w:val="18"/>
              </w:rPr>
              <w:t>杭州壁咚科技有 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153,000.00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153,000.00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29,684.13</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29,684.13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15.00%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3" w:right="29"/>
              <w:jc w:val="left"/>
              <w:rPr>
                <w:rFonts w:ascii="宋体" w:hAnsi="宋体" w:cs="宋体" w:eastAsia="宋体" w:hint="default"/>
                <w:sz w:val="18"/>
                <w:szCs w:val="18"/>
              </w:rPr>
            </w:pPr>
            <w:r>
              <w:rPr>
                <w:rFonts w:ascii="宋体" w:hAnsi="宋体" w:cs="宋体" w:eastAsia="宋体" w:hint="default"/>
                <w:sz w:val="18"/>
                <w:szCs w:val="18"/>
              </w:rPr>
              <w:t>杭州西边有湖文 化传播有限公司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95,304.21</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95,304.21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3" w:right="29"/>
              <w:jc w:val="left"/>
              <w:rPr>
                <w:rFonts w:ascii="宋体" w:hAnsi="宋体" w:cs="宋体" w:eastAsia="宋体" w:hint="default"/>
                <w:sz w:val="18"/>
                <w:szCs w:val="18"/>
              </w:rPr>
            </w:pPr>
            <w:r>
              <w:rPr>
                <w:rFonts w:ascii="宋体" w:hAnsi="宋体" w:cs="宋体" w:eastAsia="宋体" w:hint="default"/>
                <w:sz w:val="18"/>
                <w:szCs w:val="18"/>
              </w:rPr>
              <w:t>福州风瑞海时传 媒有限公司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15,000.00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15,000.00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3.00%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3" w:right="29"/>
              <w:jc w:val="left"/>
              <w:rPr>
                <w:rFonts w:ascii="宋体" w:hAnsi="宋体" w:cs="宋体" w:eastAsia="宋体" w:hint="default"/>
                <w:sz w:val="18"/>
                <w:szCs w:val="18"/>
              </w:rPr>
            </w:pPr>
            <w:r>
              <w:rPr>
                <w:rFonts w:ascii="宋体" w:hAnsi="宋体" w:cs="宋体" w:eastAsia="宋体" w:hint="default"/>
                <w:sz w:val="18"/>
                <w:szCs w:val="18"/>
              </w:rPr>
              <w:t>杭州小嘀科技有 限公司</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450,000.00</w:t>
            </w: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450,000.00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15.00%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3" w:right="29"/>
              <w:jc w:val="left"/>
              <w:rPr>
                <w:rFonts w:ascii="宋体" w:hAnsi="宋体" w:cs="宋体" w:eastAsia="宋体" w:hint="default"/>
                <w:sz w:val="18"/>
                <w:szCs w:val="18"/>
              </w:rPr>
            </w:pPr>
            <w:r>
              <w:rPr>
                <w:rFonts w:ascii="宋体" w:hAnsi="宋体" w:cs="宋体" w:eastAsia="宋体" w:hint="default"/>
                <w:sz w:val="18"/>
                <w:szCs w:val="18"/>
              </w:rPr>
              <w:t>杭州来嗨科技有 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240,000.00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240,000.00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3" w:right="29"/>
              <w:jc w:val="left"/>
              <w:rPr>
                <w:rFonts w:ascii="宋体" w:hAnsi="宋体" w:cs="宋体" w:eastAsia="宋体" w:hint="default"/>
                <w:sz w:val="18"/>
                <w:szCs w:val="18"/>
              </w:rPr>
            </w:pPr>
            <w:r>
              <w:rPr>
                <w:rFonts w:ascii="宋体" w:hAnsi="宋体" w:cs="宋体" w:eastAsia="宋体" w:hint="default"/>
                <w:sz w:val="18"/>
                <w:szCs w:val="18"/>
              </w:rPr>
              <w:t>杭州太仆汽车科 技有限公司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150,000.00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4.32%</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陆尚轮改汽配</w:t>
            </w:r>
          </w:p>
          <w:p>
            <w:pPr>
              <w:pStyle w:val="TableParagraph"/>
              <w:spacing w:line="244" w:lineRule="auto" w:before="4"/>
              <w:ind w:left="23" w:right="29"/>
              <w:jc w:val="left"/>
              <w:rPr>
                <w:rFonts w:ascii="宋体" w:hAnsi="宋体" w:cs="宋体" w:eastAsia="宋体" w:hint="default"/>
                <w:sz w:val="18"/>
                <w:szCs w:val="18"/>
              </w:rPr>
            </w:pPr>
            <w:r>
              <w:rPr>
                <w:rFonts w:ascii="宋体" w:hAnsi="宋体" w:cs="宋体" w:eastAsia="宋体" w:hint="default"/>
                <w:sz w:val="18"/>
                <w:szCs w:val="18"/>
              </w:rPr>
              <w:t>（杭州）有限公 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350,000.00</w:t>
            </w: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3" w:right="29"/>
              <w:jc w:val="both"/>
              <w:rPr>
                <w:rFonts w:ascii="宋体" w:hAnsi="宋体" w:cs="宋体" w:eastAsia="宋体" w:hint="default"/>
                <w:sz w:val="18"/>
                <w:szCs w:val="18"/>
              </w:rPr>
            </w:pPr>
            <w:r>
              <w:rPr>
                <w:rFonts w:ascii="宋体" w:hAnsi="宋体" w:cs="宋体" w:eastAsia="宋体" w:hint="default"/>
                <w:sz w:val="18"/>
                <w:szCs w:val="18"/>
              </w:rPr>
              <w:t>杭州微呗通互联 网金融服务有限 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3" w:right="29"/>
              <w:jc w:val="left"/>
              <w:rPr>
                <w:rFonts w:ascii="宋体" w:hAnsi="宋体" w:cs="宋体" w:eastAsia="宋体" w:hint="default"/>
                <w:sz w:val="18"/>
                <w:szCs w:val="18"/>
              </w:rPr>
            </w:pPr>
            <w:r>
              <w:rPr>
                <w:rFonts w:ascii="宋体" w:hAnsi="宋体" w:cs="宋体" w:eastAsia="宋体" w:hint="default"/>
                <w:sz w:val="18"/>
                <w:szCs w:val="18"/>
              </w:rPr>
              <w:t>杭州轻舟科技有 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140,000.00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160,000.00</w:t>
            </w: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300,000.00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5.00%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3" w:right="29"/>
              <w:jc w:val="left"/>
              <w:rPr>
                <w:rFonts w:ascii="宋体" w:hAnsi="宋体" w:cs="宋体" w:eastAsia="宋体" w:hint="default"/>
                <w:sz w:val="18"/>
                <w:szCs w:val="18"/>
              </w:rPr>
            </w:pPr>
            <w:r>
              <w:rPr>
                <w:rFonts w:ascii="宋体" w:hAnsi="宋体" w:cs="宋体" w:eastAsia="宋体" w:hint="default"/>
                <w:sz w:val="18"/>
                <w:szCs w:val="18"/>
              </w:rPr>
              <w:t>浙江颐优科技有 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160,000.00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140,000.00</w:t>
            </w: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300,000.00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3.00%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3" w:right="29"/>
              <w:jc w:val="left"/>
              <w:rPr>
                <w:rFonts w:ascii="宋体" w:hAnsi="宋体" w:cs="宋体" w:eastAsia="宋体" w:hint="default"/>
                <w:sz w:val="18"/>
                <w:szCs w:val="18"/>
              </w:rPr>
            </w:pPr>
            <w:r>
              <w:rPr>
                <w:rFonts w:ascii="宋体" w:hAnsi="宋体" w:cs="宋体" w:eastAsia="宋体" w:hint="default"/>
                <w:sz w:val="18"/>
                <w:szCs w:val="18"/>
              </w:rPr>
              <w:t>杭州寰创网络技 术有限公司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150,000.00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100,000.00</w:t>
            </w: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3" w:right="29"/>
              <w:jc w:val="left"/>
              <w:rPr>
                <w:rFonts w:ascii="宋体" w:hAnsi="宋体" w:cs="宋体" w:eastAsia="宋体" w:hint="default"/>
                <w:sz w:val="18"/>
                <w:szCs w:val="18"/>
              </w:rPr>
            </w:pPr>
            <w:r>
              <w:rPr>
                <w:rFonts w:ascii="宋体" w:hAnsi="宋体" w:cs="宋体" w:eastAsia="宋体" w:hint="default"/>
                <w:sz w:val="18"/>
                <w:szCs w:val="18"/>
              </w:rPr>
              <w:t>杭州三亿米网络 科技有限公司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150,000.00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3.00%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3" w:right="29"/>
              <w:jc w:val="left"/>
              <w:rPr>
                <w:rFonts w:ascii="宋体" w:hAnsi="宋体" w:cs="宋体" w:eastAsia="宋体" w:hint="default"/>
                <w:sz w:val="18"/>
                <w:szCs w:val="18"/>
              </w:rPr>
            </w:pPr>
            <w:r>
              <w:rPr>
                <w:rFonts w:ascii="宋体" w:hAnsi="宋体" w:cs="宋体" w:eastAsia="宋体" w:hint="default"/>
                <w:sz w:val="18"/>
                <w:szCs w:val="18"/>
              </w:rPr>
              <w:t>杭州众加新能源 科技有限公司</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5.00%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3" w:right="29"/>
              <w:jc w:val="left"/>
              <w:rPr>
                <w:rFonts w:ascii="宋体" w:hAnsi="宋体" w:cs="宋体" w:eastAsia="宋体" w:hint="default"/>
                <w:sz w:val="18"/>
                <w:szCs w:val="18"/>
              </w:rPr>
            </w:pPr>
            <w:r>
              <w:rPr>
                <w:rFonts w:ascii="宋体" w:hAnsi="宋体" w:cs="宋体" w:eastAsia="宋体" w:hint="default"/>
                <w:sz w:val="18"/>
                <w:szCs w:val="18"/>
              </w:rPr>
              <w:t>浙江浙蕨科技有 限公司</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500,000.00</w:t>
            </w: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3" w:right="29"/>
              <w:jc w:val="left"/>
              <w:rPr>
                <w:rFonts w:ascii="宋体" w:hAnsi="宋体" w:cs="宋体" w:eastAsia="宋体" w:hint="default"/>
                <w:sz w:val="18"/>
                <w:szCs w:val="18"/>
              </w:rPr>
            </w:pPr>
            <w:r>
              <w:rPr>
                <w:rFonts w:ascii="宋体" w:hAnsi="宋体" w:cs="宋体" w:eastAsia="宋体" w:hint="default"/>
                <w:sz w:val="18"/>
                <w:szCs w:val="18"/>
              </w:rPr>
              <w:t>杭州吉莱文化传 媒有限公司</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25,000.00</w:t>
            </w: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25,000.00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5.00%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3" w:right="29"/>
              <w:jc w:val="left"/>
              <w:rPr>
                <w:rFonts w:ascii="宋体" w:hAnsi="宋体" w:cs="宋体" w:eastAsia="宋体" w:hint="default"/>
                <w:sz w:val="18"/>
                <w:szCs w:val="18"/>
              </w:rPr>
            </w:pPr>
            <w:r>
              <w:rPr>
                <w:rFonts w:ascii="宋体" w:hAnsi="宋体" w:cs="宋体" w:eastAsia="宋体" w:hint="default"/>
                <w:sz w:val="18"/>
                <w:szCs w:val="18"/>
              </w:rPr>
              <w:t>杭州智巡科技有 限公司</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30,000.00</w:t>
            </w: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30,000.00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3.00%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3" w:right="29"/>
              <w:jc w:val="left"/>
              <w:rPr>
                <w:rFonts w:ascii="宋体" w:hAnsi="宋体" w:cs="宋体" w:eastAsia="宋体" w:hint="default"/>
                <w:sz w:val="18"/>
                <w:szCs w:val="18"/>
              </w:rPr>
            </w:pPr>
            <w:r>
              <w:rPr>
                <w:rFonts w:ascii="宋体" w:hAnsi="宋体" w:cs="宋体" w:eastAsia="宋体" w:hint="default"/>
                <w:sz w:val="18"/>
                <w:szCs w:val="18"/>
              </w:rPr>
              <w:t>杭州舒码汇科技 有限公司</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25,000.00</w:t>
            </w: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3" w:right="29"/>
              <w:jc w:val="left"/>
              <w:rPr>
                <w:rFonts w:ascii="宋体" w:hAnsi="宋体" w:cs="宋体" w:eastAsia="宋体" w:hint="default"/>
                <w:sz w:val="18"/>
                <w:szCs w:val="18"/>
              </w:rPr>
            </w:pPr>
            <w:r>
              <w:rPr>
                <w:rFonts w:ascii="宋体" w:hAnsi="宋体" w:cs="宋体" w:eastAsia="宋体" w:hint="default"/>
                <w:sz w:val="18"/>
                <w:szCs w:val="18"/>
              </w:rPr>
              <w:t>杭州天音在线娱 乐科技有限公司</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100,000.00</w:t>
            </w: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10.00%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3" w:right="29"/>
              <w:jc w:val="left"/>
              <w:rPr>
                <w:rFonts w:ascii="宋体" w:hAnsi="宋体" w:cs="宋体" w:eastAsia="宋体" w:hint="default"/>
                <w:sz w:val="18"/>
                <w:szCs w:val="18"/>
              </w:rPr>
            </w:pPr>
            <w:r>
              <w:rPr>
                <w:rFonts w:ascii="宋体" w:hAnsi="宋体" w:cs="宋体" w:eastAsia="宋体" w:hint="default"/>
                <w:sz w:val="18"/>
                <w:szCs w:val="18"/>
              </w:rPr>
              <w:t>杭州滋洛科技有 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200,000.00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200,000.00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19.00%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3" w:right="29"/>
              <w:jc w:val="left"/>
              <w:rPr>
                <w:rFonts w:ascii="宋体" w:hAnsi="宋体" w:cs="宋体" w:eastAsia="宋体" w:hint="default"/>
                <w:sz w:val="18"/>
                <w:szCs w:val="18"/>
              </w:rPr>
            </w:pPr>
            <w:r>
              <w:rPr>
                <w:rFonts w:ascii="宋体" w:hAnsi="宋体" w:cs="宋体" w:eastAsia="宋体" w:hint="default"/>
                <w:sz w:val="18"/>
                <w:szCs w:val="18"/>
              </w:rPr>
              <w:t>杭州万事利丝绸 文化有限公司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0.51%</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3" w:right="29"/>
              <w:jc w:val="left"/>
              <w:rPr>
                <w:rFonts w:ascii="宋体" w:hAnsi="宋体" w:cs="宋体" w:eastAsia="宋体" w:hint="default"/>
                <w:sz w:val="18"/>
                <w:szCs w:val="18"/>
              </w:rPr>
            </w:pPr>
            <w:r>
              <w:rPr>
                <w:rFonts w:ascii="宋体" w:hAnsi="宋体" w:cs="宋体" w:eastAsia="宋体" w:hint="default"/>
                <w:sz w:val="18"/>
                <w:szCs w:val="18"/>
              </w:rPr>
              <w:t>杭州雍享网络科 技有限公司</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3.02%</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3" w:right="29"/>
              <w:jc w:val="left"/>
              <w:rPr>
                <w:rFonts w:ascii="宋体" w:hAnsi="宋体" w:cs="宋体" w:eastAsia="宋体" w:hint="default"/>
                <w:sz w:val="18"/>
                <w:szCs w:val="18"/>
              </w:rPr>
            </w:pPr>
            <w:r>
              <w:rPr>
                <w:rFonts w:ascii="宋体" w:hAnsi="宋体" w:cs="宋体" w:eastAsia="宋体" w:hint="default"/>
                <w:sz w:val="18"/>
                <w:szCs w:val="18"/>
              </w:rPr>
              <w:t>上海合印科技股 份有限公司</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99,625,642.30</w:t>
            </w: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99,625,642.30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16.68%</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8,217,000.00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108,674,392.10</w:t>
            </w:r>
          </w:p>
        </w:tc>
        <w:tc>
          <w:tcPr>
            <w:tcW w:w="4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116,891,392.10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0" w:right="0"/>
              <w:jc w:val="left"/>
              <w:rPr>
                <w:rFonts w:ascii="Times New Roman" w:hAnsi="Times New Roman" w:cs="Times New Roman" w:eastAsia="Times New Roman" w:hint="default"/>
                <w:sz w:val="18"/>
                <w:szCs w:val="18"/>
              </w:rPr>
            </w:pPr>
            <w:r>
              <w:rPr>
                <w:rFonts w:ascii="Times New Roman"/>
                <w:sz w:val="18"/>
              </w:rPr>
              <w:t>909,000.00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124,988.34</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1,033,988.34</w:t>
            </w:r>
          </w:p>
        </w:tc>
        <w:tc>
          <w:tcPr>
            <w:tcW w:w="11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Times New Roman" w:hAnsi="Times New Roman" w:cs="Times New Roman" w:eastAsia="Times New Roman" w:hint="default"/>
                <w:sz w:val="18"/>
                <w:szCs w:val="18"/>
              </w:rPr>
            </w:pPr>
            <w:r>
              <w:rPr>
                <w:rFonts w:ascii="Times New Roman"/>
                <w:sz w:val="18"/>
              </w:rPr>
              <w:t>--</w:t>
            </w:r>
          </w:p>
        </w:tc>
        <w:tc>
          <w:tcPr>
            <w:tcW w:w="497" w:type="dxa"/>
            <w:tcBorders>
              <w:top w:val="single" w:sz="4" w:space="0" w:color="000000"/>
              <w:left w:val="single" w:sz="13" w:space="0" w:color="D3D3D3"/>
              <w:bottom w:val="single" w:sz="4" w:space="0" w:color="000000"/>
              <w:right w:val="single" w:sz="4" w:space="0" w:color="000000"/>
            </w:tcBorders>
          </w:tcPr>
          <w:p>
            <w:pPr/>
          </w:p>
        </w:tc>
      </w:tr>
    </w:tbl>
    <w:p>
      <w:pPr>
        <w:spacing w:after="0"/>
        <w:sectPr>
          <w:pgSz w:w="11910" w:h="16840"/>
          <w:pgMar w:header="877" w:footer="982" w:top="1100" w:bottom="1180" w:left="640" w:right="64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1"/>
        <w:gridCol w:w="1925"/>
        <w:gridCol w:w="1914"/>
        <w:gridCol w:w="1914"/>
        <w:gridCol w:w="1914"/>
      </w:tblGrid>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3D3D3"/>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909,000.00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909,000.00</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124,988.34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124,988.34</w:t>
            </w:r>
          </w:p>
        </w:tc>
      </w:tr>
      <w:tr>
        <w:trPr>
          <w:trHeight w:val="403"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1,033,988.34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1,033,988.34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07"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357" w:lineRule="auto" w:before="51"/>
        <w:ind w:right="2705"/>
        <w:jc w:val="left"/>
      </w:pPr>
      <w:r>
        <w:rPr/>
        <w:t>其他说明 注：</w:t>
      </w:r>
      <w:r>
        <w:rPr>
          <w:rFonts w:ascii="Times New Roman" w:hAnsi="Times New Roman" w:cs="Times New Roman" w:eastAsia="Times New Roman" w:hint="default"/>
        </w:rPr>
        <w:t>1</w:t>
      </w:r>
      <w:r>
        <w:rPr/>
        <w:t>、杭州太仆农业科技有限公司账面价值为</w:t>
      </w:r>
      <w:r>
        <w:rPr>
          <w:rFonts w:ascii="Times New Roman" w:hAnsi="Times New Roman" w:cs="Times New Roman" w:eastAsia="Times New Roman" w:hint="default"/>
        </w:rPr>
        <w:t>0.00</w:t>
      </w:r>
      <w:r>
        <w:rPr/>
        <w:t>元系企业工商信息已登记，尚未出资。</w:t>
      </w:r>
    </w:p>
    <w:p>
      <w:pPr>
        <w:pStyle w:val="BodyText"/>
        <w:spacing w:line="214" w:lineRule="exact"/>
        <w:ind w:left="153" w:right="0"/>
        <w:jc w:val="both"/>
      </w:pPr>
      <w:r>
        <w:rPr>
          <w:rFonts w:ascii="Times New Roman" w:hAnsi="Times New Roman" w:cs="Times New Roman" w:eastAsia="Times New Roman" w:hint="default"/>
          <w:spacing w:val="-3"/>
        </w:rPr>
        <w:t>2</w:t>
      </w:r>
      <w:r>
        <w:rPr>
          <w:spacing w:val="-3"/>
        </w:rPr>
        <w:t>、本公司的子公司杭州日报报业集团盛元印务有限公司（以下简称</w:t>
      </w:r>
      <w:r>
        <w:rPr>
          <w:rFonts w:ascii="Times New Roman" w:hAnsi="Times New Roman" w:cs="Times New Roman" w:eastAsia="Times New Roman" w:hint="default"/>
          <w:spacing w:val="-3"/>
        </w:rPr>
        <w:t>“</w:t>
      </w:r>
      <w:r>
        <w:rPr>
          <w:spacing w:val="-3"/>
        </w:rPr>
        <w:t>盛元印务</w:t>
      </w:r>
      <w:r>
        <w:rPr>
          <w:rFonts w:ascii="Times New Roman" w:hAnsi="Times New Roman" w:cs="Times New Roman" w:eastAsia="Times New Roman" w:hint="default"/>
          <w:spacing w:val="-3"/>
        </w:rPr>
        <w:t>”</w:t>
      </w:r>
      <w:r>
        <w:rPr>
          <w:spacing w:val="-3"/>
        </w:rPr>
        <w:t>）对联营企业上海合印科技股份有限公司（以</w:t>
      </w:r>
    </w:p>
    <w:p>
      <w:pPr>
        <w:pStyle w:val="BodyText"/>
        <w:spacing w:line="307" w:lineRule="auto" w:before="63"/>
        <w:ind w:left="153" w:right="148"/>
        <w:jc w:val="both"/>
      </w:pPr>
      <w:r>
        <w:rPr>
          <w:spacing w:val="-2"/>
        </w:rPr>
        <w:t>下简称</w:t>
      </w:r>
      <w:r>
        <w:rPr>
          <w:rFonts w:ascii="Times New Roman" w:hAnsi="Times New Roman" w:cs="Times New Roman" w:eastAsia="Times New Roman" w:hint="default"/>
          <w:spacing w:val="-2"/>
        </w:rPr>
        <w:t>“</w:t>
      </w:r>
      <w:r>
        <w:rPr>
          <w:spacing w:val="-2"/>
        </w:rPr>
        <w:t>合印科技</w:t>
      </w:r>
      <w:r>
        <w:rPr>
          <w:rFonts w:ascii="Times New Roman" w:hAnsi="Times New Roman" w:cs="Times New Roman" w:eastAsia="Times New Roman" w:hint="default"/>
          <w:spacing w:val="-2"/>
        </w:rPr>
        <w:t>”</w:t>
      </w:r>
      <w:r>
        <w:rPr>
          <w:spacing w:val="-2"/>
        </w:rPr>
        <w:t>）股票的持有意图发生变化，不再参与上海合印的日常经营管理，盛元印务委派的上海合印董事黄磊退出</w:t>
      </w:r>
      <w:r>
        <w:rPr>
          <w:spacing w:val="-45"/>
        </w:rPr>
        <w:t> </w:t>
      </w:r>
      <w:r>
        <w:rPr>
          <w:spacing w:val="-45"/>
        </w:rPr>
      </w:r>
      <w:r>
        <w:rPr>
          <w:spacing w:val="-2"/>
        </w:rPr>
        <w:t>董事席位，且日后不打算委派董事，盛元印务不再对合印科技施加重大影响。对合印科技的权益投资由长期股权投资转换为</w:t>
      </w:r>
      <w:r>
        <w:rPr>
          <w:spacing w:val="-66"/>
        </w:rPr>
        <w:t> </w:t>
      </w:r>
      <w:r>
        <w:rPr>
          <w:spacing w:val="-66"/>
        </w:rPr>
      </w:r>
      <w:r>
        <w:rPr/>
        <w:t>可供出售金融资产核算，合印科技</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日的评估报告以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日为基准日，公司整体评估价值为</w:t>
      </w:r>
      <w:r>
        <w:rPr>
          <w:rFonts w:ascii="Times New Roman" w:hAnsi="Times New Roman" w:cs="Times New Roman" w:eastAsia="Times New Roman" w:hint="default"/>
        </w:rPr>
        <w:t>54,995.00</w:t>
      </w:r>
      <w:r>
        <w:rPr/>
        <w:t>万</w:t>
      </w:r>
      <w:r>
        <w:rPr>
          <w:spacing w:val="-84"/>
        </w:rPr>
        <w:t> </w:t>
      </w:r>
      <w:r>
        <w:rPr>
          <w:spacing w:val="14"/>
        </w:rPr>
        <w:t>元。盛元印务公司以此为基数，按持股比例</w:t>
      </w:r>
      <w:r>
        <w:rPr>
          <w:spacing w:val="-69"/>
        </w:rPr>
        <w:t> </w:t>
      </w:r>
      <w:r>
        <w:rPr>
          <w:rFonts w:ascii="Times New Roman" w:hAnsi="Times New Roman" w:cs="Times New Roman" w:eastAsia="Times New Roman" w:hint="default"/>
        </w:rPr>
        <w:t>18.1154%</w:t>
      </w:r>
      <w:r>
        <w:rPr>
          <w:rFonts w:ascii="Times New Roman" w:hAnsi="Times New Roman" w:cs="Times New Roman" w:eastAsia="Times New Roman" w:hint="default"/>
          <w:spacing w:val="-25"/>
        </w:rPr>
        <w:t> </w:t>
      </w:r>
      <w:r>
        <w:rPr>
          <w:spacing w:val="14"/>
        </w:rPr>
        <w:t>计算转换日的公允价值为</w:t>
      </w:r>
      <w:r>
        <w:rPr>
          <w:spacing w:val="-69"/>
        </w:rPr>
        <w:t> </w:t>
      </w:r>
      <w:r>
        <w:rPr>
          <w:rFonts w:ascii="Times New Roman" w:hAnsi="Times New Roman" w:cs="Times New Roman" w:eastAsia="Times New Roman" w:hint="default"/>
          <w:spacing w:val="6"/>
        </w:rPr>
        <w:t>99,625,642.30</w:t>
      </w:r>
      <w:r>
        <w:rPr>
          <w:spacing w:val="6"/>
        </w:rPr>
        <w:t>元，与转换日账面价值</w:t>
      </w:r>
      <w:r>
        <w:rPr>
          <w:spacing w:val="-76"/>
        </w:rPr>
        <w:t> </w:t>
      </w:r>
      <w:r>
        <w:rPr>
          <w:spacing w:val="-76"/>
        </w:rPr>
      </w:r>
      <w:r>
        <w:rPr>
          <w:rFonts w:ascii="Times New Roman" w:hAnsi="Times New Roman" w:cs="Times New Roman" w:eastAsia="Times New Roman" w:hint="default"/>
        </w:rPr>
        <w:t>55,414,707.21</w:t>
      </w:r>
      <w:r>
        <w:rPr/>
        <w:t>元的差额计入投资收益</w:t>
      </w:r>
      <w:r>
        <w:rPr>
          <w:rFonts w:ascii="Times New Roman" w:hAnsi="Times New Roman" w:cs="Times New Roman" w:eastAsia="Times New Roman" w:hint="default"/>
        </w:rPr>
        <w:t>44,210,935.09</w:t>
      </w:r>
      <w:r>
        <w:rPr/>
        <w:t>元。同时原采用权益法核算因被投资单位除净损益、其他综合收益和利润 </w:t>
      </w:r>
      <w:r>
        <w:rPr>
          <w:spacing w:val="5"/>
        </w:rPr>
        <w:t>分配以外的其他所有者权益变动而确认的所有者权益，在终止采用权益法核算时全部转入当期损益，相应计入投资收益</w:t>
      </w:r>
      <w:r>
        <w:rPr/>
        <w:t> </w:t>
      </w:r>
      <w:r>
        <w:rPr>
          <w:rFonts w:ascii="Times New Roman" w:hAnsi="Times New Roman" w:cs="Times New Roman" w:eastAsia="Times New Roman" w:hint="default"/>
        </w:rPr>
        <w:t>3,975,979.23</w:t>
      </w:r>
      <w:r>
        <w:rPr/>
        <w:t>元。</w:t>
      </w:r>
    </w:p>
    <w:p>
      <w:pPr>
        <w:spacing w:line="240" w:lineRule="auto" w:before="8"/>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after="0" w:line="240" w:lineRule="auto"/>
        <w:jc w:val="both"/>
        <w:sectPr>
          <w:pgSz w:w="11910" w:h="16840"/>
          <w:pgMar w:header="877" w:footer="982" w:top="1100" w:bottom="1180" w:left="980" w:right="98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877" w:footer="982" w:top="1100" w:bottom="1180" w:left="980" w:right="98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39"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39"/>
        <w:jc w:val="right"/>
      </w:pPr>
      <w:r>
        <w:rPr/>
        <w:pict>
          <v:group style="position:absolute;margin-left:479.031006pt;margin-top:32.211735pt;width:71.05pt;height:36pt;mso-position-horizontal-relative:page;mso-position-vertical-relative:paragraph;z-index:-1168240" coordorigin="9581,644" coordsize="1421,720">
            <v:shape style="position:absolute;left:9581;top:644;width:1421;height:720" coordorigin="9581,644" coordsize="1421,720" path="m11001,764l11001,644,9581,644,9817,764,11001,764xe" filled="true" fillcolor="#d3d3d3" stroked="false">
              <v:path arrowok="t"/>
              <v:fill type="solid"/>
            </v:shape>
            <v:shape style="position:absolute;left:9581;top:644;width:1421;height:720" coordorigin="9581,644" coordsize="1421,720" path="m10765,1244l9817,764,9603,764,9603,1244,10765,1244xe" filled="true" fillcolor="#d3d3d3" stroked="false">
              <v:path arrowok="t"/>
              <v:fill type="solid"/>
            </v:shape>
            <v:shape style="position:absolute;left:9581;top:644;width:1421;height:720" coordorigin="9581,644" coordsize="1421,720" path="m11001,1364l11001,1244,10765,1244,11001,1364xe" filled="true" fillcolor="#d3d3d3" stroked="false">
              <v:path arrowok="t"/>
              <v:fill type="solid"/>
            </v:shape>
            <v:shape style="position:absolute;left:9581;top:644;width:1421;height:720" coordorigin="9581,644" coordsize="1421,720" path="m11001,1244l11001,764,10979,764,10979,1244,11001,1244xe" filled="true" fillcolor="#d3d3d3" stroked="false">
              <v:path arrowok="t"/>
              <v:fill type="solid"/>
            </v:shape>
            <w10:wrap type="none"/>
          </v:group>
        </w:pict>
      </w:r>
      <w:r>
        <w:rPr/>
        <w:t>单位： 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451"/>
        <w:gridCol w:w="1181"/>
        <w:gridCol w:w="1181"/>
        <w:gridCol w:w="1181"/>
        <w:gridCol w:w="1432"/>
        <w:gridCol w:w="1178"/>
        <w:gridCol w:w="560"/>
        <w:gridCol w:w="1432"/>
        <w:gridCol w:w="964"/>
        <w:gridCol w:w="1181"/>
        <w:gridCol w:w="1181"/>
        <w:gridCol w:w="1093"/>
      </w:tblGrid>
      <w:tr>
        <w:trPr>
          <w:trHeight w:val="250" w:hRule="exact"/>
        </w:trPr>
        <w:tc>
          <w:tcPr>
            <w:tcW w:w="14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10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4" w:lineRule="auto"/>
              <w:ind w:left="271" w:right="90"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730" w:hRule="exact"/>
        </w:trPr>
        <w:tc>
          <w:tcPr>
            <w:tcW w:w="1451"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4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1"/>
              <w:ind w:left="351" w:right="78" w:hanging="270"/>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1"/>
              <w:ind w:left="404" w:right="42" w:hanging="360"/>
              <w:jc w:val="left"/>
              <w:rPr>
                <w:rFonts w:ascii="宋体" w:hAnsi="宋体" w:cs="宋体" w:eastAsia="宋体" w:hint="default"/>
                <w:sz w:val="18"/>
                <w:szCs w:val="18"/>
              </w:rPr>
            </w:pPr>
            <w:r>
              <w:rPr>
                <w:rFonts w:ascii="宋体" w:hAnsi="宋体" w:cs="宋体" w:eastAsia="宋体" w:hint="default"/>
                <w:sz w:val="18"/>
                <w:szCs w:val="18"/>
              </w:rPr>
              <w:t>其他综合收益 调整</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95" w:right="92"/>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14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1"/>
              <w:ind w:left="350" w:right="79" w:hanging="270"/>
              <w:jc w:val="left"/>
              <w:rPr>
                <w:rFonts w:ascii="宋体" w:hAnsi="宋体" w:cs="宋体" w:eastAsia="宋体" w:hint="default"/>
                <w:sz w:val="18"/>
                <w:szCs w:val="18"/>
              </w:rPr>
            </w:pPr>
            <w:r>
              <w:rPr>
                <w:rFonts w:ascii="宋体" w:hAnsi="宋体" w:cs="宋体" w:eastAsia="宋体" w:hint="default"/>
                <w:sz w:val="18"/>
                <w:szCs w:val="18"/>
              </w:rPr>
              <w:t>宣告发放现金股 利或利润</w:t>
            </w:r>
          </w:p>
        </w:tc>
        <w:tc>
          <w:tcPr>
            <w:tcW w:w="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1"/>
              <w:ind w:left="386" w:right="25" w:hanging="360"/>
              <w:jc w:val="left"/>
              <w:rPr>
                <w:rFonts w:ascii="宋体" w:hAnsi="宋体" w:cs="宋体" w:eastAsia="宋体" w:hint="default"/>
                <w:sz w:val="18"/>
                <w:szCs w:val="18"/>
              </w:rPr>
            </w:pPr>
            <w:r>
              <w:rPr>
                <w:rFonts w:ascii="宋体" w:hAnsi="宋体" w:cs="宋体" w:eastAsia="宋体" w:hint="default"/>
                <w:sz w:val="18"/>
                <w:szCs w:val="18"/>
              </w:rPr>
              <w:t>计提减值准 备</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3D3D3"/>
          </w:tcPr>
          <w:p>
            <w:pPr/>
          </w:p>
        </w:tc>
        <w:tc>
          <w:tcPr>
            <w:tcW w:w="1093" w:type="dxa"/>
            <w:vMerge/>
            <w:tcBorders>
              <w:left w:val="single" w:sz="4" w:space="0" w:color="000000"/>
              <w:bottom w:val="single" w:sz="4" w:space="0" w:color="000000"/>
              <w:right w:val="single" w:sz="4" w:space="0" w:color="000000"/>
            </w:tcBorders>
            <w:shd w:val="clear" w:color="auto" w:fill="D3D3D3"/>
          </w:tcPr>
          <w:p>
            <w:pPr/>
          </w:p>
        </w:tc>
      </w:tr>
      <w:tr>
        <w:trPr>
          <w:trHeight w:val="245" w:hRule="exact"/>
        </w:trPr>
        <w:tc>
          <w:tcPr>
            <w:tcW w:w="14014"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96" w:hRule="exact"/>
        </w:trPr>
        <w:tc>
          <w:tcPr>
            <w:tcW w:w="14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6"/>
              <w:ind w:left="22" w:right="156"/>
              <w:jc w:val="left"/>
              <w:rPr>
                <w:rFonts w:ascii="宋体" w:hAnsi="宋体" w:cs="宋体" w:eastAsia="宋体" w:hint="default"/>
                <w:sz w:val="18"/>
                <w:szCs w:val="18"/>
              </w:rPr>
            </w:pPr>
            <w:r>
              <w:rPr>
                <w:rFonts w:ascii="宋体" w:hAnsi="宋体" w:cs="宋体" w:eastAsia="宋体" w:hint="default"/>
                <w:sz w:val="18"/>
                <w:szCs w:val="18"/>
              </w:rPr>
              <w:t>德清今日传媒有 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2,364,261.95</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z w:val="18"/>
              </w:rPr>
              <w:t>188,983.83</w:t>
            </w:r>
          </w:p>
        </w:tc>
        <w:tc>
          <w:tcPr>
            <w:tcW w:w="117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2,553,245.78</w:t>
            </w: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56"/>
              <w:jc w:val="left"/>
              <w:rPr>
                <w:rFonts w:ascii="宋体" w:hAnsi="宋体" w:cs="宋体" w:eastAsia="宋体" w:hint="default"/>
                <w:sz w:val="18"/>
                <w:szCs w:val="18"/>
              </w:rPr>
            </w:pPr>
            <w:r>
              <w:rPr>
                <w:rFonts w:ascii="宋体" w:hAnsi="宋体" w:cs="宋体" w:eastAsia="宋体" w:hint="default"/>
                <w:sz w:val="18"/>
                <w:szCs w:val="18"/>
              </w:rPr>
              <w:t>杭州激创投资管 理有限公司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2,482,203.75</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-47,559.81</w:t>
            </w:r>
          </w:p>
        </w:tc>
        <w:tc>
          <w:tcPr>
            <w:tcW w:w="117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2,434,643.94</w:t>
            </w: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4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56"/>
              <w:jc w:val="both"/>
              <w:rPr>
                <w:rFonts w:ascii="宋体" w:hAnsi="宋体" w:cs="宋体" w:eastAsia="宋体" w:hint="default"/>
                <w:sz w:val="18"/>
                <w:szCs w:val="18"/>
              </w:rPr>
            </w:pPr>
            <w:r>
              <w:rPr>
                <w:rFonts w:ascii="宋体" w:hAnsi="宋体" w:cs="宋体" w:eastAsia="宋体" w:hint="default"/>
                <w:sz w:val="18"/>
                <w:szCs w:val="18"/>
              </w:rPr>
              <w:t>浙江华媒金晟文 化产业投资管理 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2,067,910.50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1,449,878.02</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-618,032.48</w:t>
            </w:r>
          </w:p>
        </w:tc>
        <w:tc>
          <w:tcPr>
            <w:tcW w:w="117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4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6,914,376.20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3" w:right="0"/>
              <w:jc w:val="left"/>
              <w:rPr>
                <w:rFonts w:ascii="Times New Roman" w:hAnsi="Times New Roman" w:cs="Times New Roman" w:eastAsia="Times New Roman" w:hint="default"/>
                <w:sz w:val="18"/>
                <w:szCs w:val="18"/>
              </w:rPr>
            </w:pPr>
            <w:r>
              <w:rPr>
                <w:rFonts w:ascii="Times New Roman"/>
                <w:sz w:val="18"/>
              </w:rPr>
              <w:t>1,449,878.02</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-476,608.46</w:t>
            </w:r>
          </w:p>
        </w:tc>
        <w:tc>
          <w:tcPr>
            <w:tcW w:w="117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4,987,889.72</w:t>
            </w: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4014"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3" w:lineRule="exact"/>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94" w:hRule="exact"/>
        </w:trPr>
        <w:tc>
          <w:tcPr>
            <w:tcW w:w="14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5"/>
              <w:ind w:left="22" w:right="156"/>
              <w:jc w:val="left"/>
              <w:rPr>
                <w:rFonts w:ascii="宋体" w:hAnsi="宋体" w:cs="宋体" w:eastAsia="宋体" w:hint="default"/>
                <w:sz w:val="18"/>
                <w:szCs w:val="18"/>
              </w:rPr>
            </w:pPr>
            <w:r>
              <w:rPr>
                <w:rFonts w:ascii="宋体" w:hAnsi="宋体" w:cs="宋体" w:eastAsia="宋体" w:hint="default"/>
                <w:sz w:val="18"/>
                <w:szCs w:val="18"/>
              </w:rPr>
              <w:t>杭州文化产权交 易所有限公司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21,119,516.02</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1,107,879.85</w:t>
            </w:r>
          </w:p>
        </w:tc>
        <w:tc>
          <w:tcPr>
            <w:tcW w:w="117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22,227,395.87</w:t>
            </w: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14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2" w:right="156"/>
              <w:jc w:val="both"/>
              <w:rPr>
                <w:rFonts w:ascii="宋体" w:hAnsi="宋体" w:cs="宋体" w:eastAsia="宋体" w:hint="default"/>
                <w:sz w:val="18"/>
                <w:szCs w:val="18"/>
              </w:rPr>
            </w:pPr>
            <w:r>
              <w:rPr>
                <w:rFonts w:ascii="宋体" w:hAnsi="宋体" w:cs="宋体" w:eastAsia="宋体" w:hint="default"/>
                <w:sz w:val="18"/>
                <w:szCs w:val="18"/>
              </w:rPr>
              <w:t>杭州都快交通久 一点吧传媒有限 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40,165,344.54</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10,250,126.81</w:t>
            </w:r>
          </w:p>
        </w:tc>
        <w:tc>
          <w:tcPr>
            <w:tcW w:w="117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8,190,000.00</w:t>
            </w:r>
          </w:p>
        </w:tc>
        <w:tc>
          <w:tcPr>
            <w:tcW w:w="9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42,225,471.35</w:t>
            </w: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4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56"/>
              <w:jc w:val="both"/>
              <w:rPr>
                <w:rFonts w:ascii="宋体" w:hAnsi="宋体" w:cs="宋体" w:eastAsia="宋体" w:hint="default"/>
                <w:sz w:val="18"/>
                <w:szCs w:val="18"/>
              </w:rPr>
            </w:pPr>
            <w:r>
              <w:rPr>
                <w:rFonts w:ascii="宋体" w:hAnsi="宋体" w:cs="宋体" w:eastAsia="宋体" w:hint="default"/>
                <w:sz w:val="18"/>
                <w:szCs w:val="18"/>
              </w:rPr>
              <w:t>江苏时代盛元数 字图文影像有限 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1,390,442.87</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-275,875.87</w:t>
            </w:r>
          </w:p>
        </w:tc>
        <w:tc>
          <w:tcPr>
            <w:tcW w:w="117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484,373.39</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1,114,567.00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484,373.39</w:t>
            </w:r>
          </w:p>
        </w:tc>
      </w:tr>
      <w:tr>
        <w:trPr>
          <w:trHeight w:val="490" w:hRule="exact"/>
        </w:trPr>
        <w:tc>
          <w:tcPr>
            <w:tcW w:w="14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56"/>
              <w:jc w:val="left"/>
              <w:rPr>
                <w:rFonts w:ascii="宋体" w:hAnsi="宋体" w:cs="宋体" w:eastAsia="宋体" w:hint="default"/>
                <w:sz w:val="18"/>
                <w:szCs w:val="18"/>
              </w:rPr>
            </w:pPr>
            <w:r>
              <w:rPr>
                <w:rFonts w:ascii="宋体" w:hAnsi="宋体" w:cs="宋体" w:eastAsia="宋体" w:hint="default"/>
                <w:sz w:val="18"/>
                <w:szCs w:val="18"/>
              </w:rPr>
              <w:t>北京中环盛元数 字图文有限公司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2,217,793.41</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-519,773.72</w:t>
            </w:r>
          </w:p>
        </w:tc>
        <w:tc>
          <w:tcPr>
            <w:tcW w:w="117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1,698,019.69</w:t>
            </w: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1451" w:type="dxa"/>
            <w:tcBorders>
              <w:top w:val="single" w:sz="4" w:space="0" w:color="000000"/>
              <w:left w:val="single" w:sz="4" w:space="0" w:color="000000"/>
              <w:bottom w:val="single" w:sz="4" w:space="0" w:color="000000"/>
              <w:right w:val="single" w:sz="13" w:space="0" w:color="FFFFFF"/>
            </w:tcBorders>
            <w:shd w:val="clear" w:color="auto" w:fill="C7EDCC"/>
          </w:tcPr>
          <w:p>
            <w:pPr>
              <w:pStyle w:val="TableParagraph"/>
              <w:spacing w:line="240" w:lineRule="exact" w:before="1"/>
              <w:ind w:left="22" w:right="-33"/>
              <w:jc w:val="left"/>
              <w:rPr>
                <w:rFonts w:ascii="宋体" w:hAnsi="宋体" w:cs="宋体" w:eastAsia="宋体" w:hint="default"/>
                <w:sz w:val="18"/>
                <w:szCs w:val="18"/>
              </w:rPr>
            </w:pPr>
            <w:r>
              <w:rPr>
                <w:rFonts w:ascii="宋体" w:hAnsi="宋体" w:cs="宋体" w:eastAsia="宋体" w:hint="default"/>
                <w:sz w:val="18"/>
                <w:szCs w:val="18"/>
              </w:rPr>
              <w:t>拓普金榜（北京） 休闲文化传媒有 限公司</w:t>
            </w:r>
          </w:p>
        </w:tc>
        <w:tc>
          <w:tcPr>
            <w:tcW w:w="118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130,798.06</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130,798.06</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130,798.06</w:t>
            </w:r>
          </w:p>
        </w:tc>
      </w:tr>
      <w:tr>
        <w:trPr>
          <w:trHeight w:val="490" w:hRule="exact"/>
        </w:trPr>
        <w:tc>
          <w:tcPr>
            <w:tcW w:w="14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56"/>
              <w:jc w:val="left"/>
              <w:rPr>
                <w:rFonts w:ascii="宋体" w:hAnsi="宋体" w:cs="宋体" w:eastAsia="宋体" w:hint="default"/>
                <w:sz w:val="18"/>
                <w:szCs w:val="18"/>
              </w:rPr>
            </w:pPr>
            <w:r>
              <w:rPr>
                <w:rFonts w:ascii="宋体" w:hAnsi="宋体" w:cs="宋体" w:eastAsia="宋体" w:hint="default"/>
                <w:sz w:val="18"/>
                <w:szCs w:val="18"/>
              </w:rPr>
              <w:t>十九楼网络股份 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39,323,101.20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1,142,267.83</w:t>
            </w:r>
          </w:p>
        </w:tc>
        <w:tc>
          <w:tcPr>
            <w:tcW w:w="117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4,190,000.00</w:t>
            </w:r>
          </w:p>
        </w:tc>
        <w:tc>
          <w:tcPr>
            <w:tcW w:w="9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36,275,869.03</w:t>
            </w: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56"/>
              <w:jc w:val="left"/>
              <w:rPr>
                <w:rFonts w:ascii="宋体" w:hAnsi="宋体" w:cs="宋体" w:eastAsia="宋体" w:hint="default"/>
                <w:sz w:val="18"/>
                <w:szCs w:val="18"/>
              </w:rPr>
            </w:pPr>
            <w:r>
              <w:rPr>
                <w:rFonts w:ascii="宋体" w:hAnsi="宋体" w:cs="宋体" w:eastAsia="宋体" w:hint="default"/>
                <w:sz w:val="18"/>
                <w:szCs w:val="18"/>
              </w:rPr>
              <w:t>浙江衢州盛元文 创印业有限公司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22,585,903.38</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03" w:right="0"/>
              <w:jc w:val="left"/>
              <w:rPr>
                <w:rFonts w:ascii="Times New Roman" w:hAnsi="Times New Roman" w:cs="Times New Roman" w:eastAsia="Times New Roman" w:hint="default"/>
                <w:sz w:val="18"/>
                <w:szCs w:val="18"/>
              </w:rPr>
            </w:pPr>
            <w:r>
              <w:rPr>
                <w:rFonts w:ascii="Times New Roman"/>
                <w:sz w:val="18"/>
              </w:rPr>
              <w:t>5,850,000.00</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2,264,815.68</w:t>
            </w:r>
          </w:p>
        </w:tc>
        <w:tc>
          <w:tcPr>
            <w:tcW w:w="117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19,000,719.06</w:t>
            </w: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4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2" w:right="156"/>
              <w:jc w:val="left"/>
              <w:rPr>
                <w:rFonts w:ascii="宋体" w:hAnsi="宋体" w:cs="宋体" w:eastAsia="宋体" w:hint="default"/>
                <w:sz w:val="18"/>
                <w:szCs w:val="18"/>
              </w:rPr>
            </w:pPr>
            <w:r>
              <w:rPr>
                <w:rFonts w:ascii="宋体" w:hAnsi="宋体" w:cs="宋体" w:eastAsia="宋体" w:hint="default"/>
                <w:sz w:val="18"/>
                <w:szCs w:val="18"/>
              </w:rPr>
              <w:t>杭州千岱酒店有 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738,303.69</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-35,641.65</w:t>
            </w:r>
          </w:p>
        </w:tc>
        <w:tc>
          <w:tcPr>
            <w:tcW w:w="117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702,662.04</w:t>
            </w: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56"/>
              <w:jc w:val="left"/>
              <w:rPr>
                <w:rFonts w:ascii="宋体" w:hAnsi="宋体" w:cs="宋体" w:eastAsia="宋体" w:hint="default"/>
                <w:sz w:val="18"/>
                <w:szCs w:val="18"/>
              </w:rPr>
            </w:pPr>
            <w:r>
              <w:rPr>
                <w:rFonts w:ascii="宋体" w:hAnsi="宋体" w:cs="宋体" w:eastAsia="宋体" w:hint="default"/>
                <w:sz w:val="18"/>
                <w:szCs w:val="18"/>
              </w:rPr>
              <w:t>浙江饭美科技有 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3,401,597.27</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-1,818,908.84</w:t>
            </w:r>
          </w:p>
        </w:tc>
        <w:tc>
          <w:tcPr>
            <w:tcW w:w="117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1,582,688.43</w:t>
            </w:r>
          </w:p>
        </w:tc>
        <w:tc>
          <w:tcPr>
            <w:tcW w:w="109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1"/>
          <w:footerReference w:type="default" r:id="rId42"/>
          <w:pgSz w:w="16840" w:h="11910" w:orient="landscape"/>
          <w:pgMar w:header="867" w:footer="978" w:top="1060" w:bottom="1160" w:left="1300" w:right="1300"/>
          <w:pgNumType w:start="121"/>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tbl>
      <w:tblPr>
        <w:tblW w:w="0" w:type="auto"/>
        <w:jc w:val="left"/>
        <w:tblInd w:w="107" w:type="dxa"/>
        <w:tblLayout w:type="fixed"/>
        <w:tblCellMar>
          <w:top w:w="0" w:type="dxa"/>
          <w:left w:w="0" w:type="dxa"/>
          <w:bottom w:w="0" w:type="dxa"/>
          <w:right w:w="0" w:type="dxa"/>
        </w:tblCellMar>
        <w:tblLook w:val="01E0"/>
      </w:tblPr>
      <w:tblGrid>
        <w:gridCol w:w="1451"/>
        <w:gridCol w:w="1181"/>
        <w:gridCol w:w="1181"/>
        <w:gridCol w:w="1181"/>
        <w:gridCol w:w="1432"/>
        <w:gridCol w:w="1178"/>
        <w:gridCol w:w="560"/>
        <w:gridCol w:w="1432"/>
        <w:gridCol w:w="964"/>
        <w:gridCol w:w="1181"/>
        <w:gridCol w:w="1181"/>
        <w:gridCol w:w="1093"/>
      </w:tblGrid>
      <w:tr>
        <w:trPr>
          <w:trHeight w:val="485" w:hRule="exact"/>
        </w:trPr>
        <w:tc>
          <w:tcPr>
            <w:tcW w:w="145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exact"/>
              <w:ind w:left="22" w:right="156"/>
              <w:jc w:val="left"/>
              <w:rPr>
                <w:rFonts w:ascii="宋体" w:hAnsi="宋体" w:cs="宋体" w:eastAsia="宋体" w:hint="default"/>
                <w:sz w:val="18"/>
                <w:szCs w:val="18"/>
              </w:rPr>
            </w:pPr>
            <w:r>
              <w:rPr>
                <w:rFonts w:ascii="宋体" w:hAnsi="宋体" w:cs="宋体" w:eastAsia="宋体" w:hint="default"/>
                <w:sz w:val="18"/>
                <w:szCs w:val="18"/>
              </w:rPr>
              <w:t>杭州都健电子商 务有限公司</w:t>
            </w:r>
          </w:p>
        </w:tc>
        <w:tc>
          <w:tcPr>
            <w:tcW w:w="11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400,000.00</w:t>
            </w: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400,000.00</w:t>
            </w:r>
          </w:p>
        </w:tc>
        <w:tc>
          <w:tcPr>
            <w:tcW w:w="1432" w:type="dxa"/>
            <w:tcBorders>
              <w:top w:val="nil" w:sz="6" w:space="0" w:color="auto"/>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1432" w:type="dxa"/>
            <w:tcBorders>
              <w:top w:val="nil" w:sz="6" w:space="0" w:color="auto"/>
              <w:left w:val="single" w:sz="4" w:space="0" w:color="000000"/>
              <w:bottom w:val="single" w:sz="4" w:space="0" w:color="000000"/>
              <w:right w:val="single" w:sz="4" w:space="0" w:color="000000"/>
            </w:tcBorders>
          </w:tcPr>
          <w:p>
            <w:pPr/>
          </w:p>
        </w:tc>
        <w:tc>
          <w:tcPr>
            <w:tcW w:w="964"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093" w:type="dxa"/>
            <w:tcBorders>
              <w:top w:val="nil" w:sz="6" w:space="0" w:color="auto"/>
              <w:left w:val="single" w:sz="4" w:space="0" w:color="000000"/>
              <w:bottom w:val="single" w:sz="4" w:space="0" w:color="000000"/>
              <w:right w:val="single" w:sz="4" w:space="0" w:color="000000"/>
            </w:tcBorders>
          </w:tcPr>
          <w:p>
            <w:pPr/>
          </w:p>
        </w:tc>
      </w:tr>
      <w:tr>
        <w:trPr>
          <w:trHeight w:val="491" w:hRule="exact"/>
        </w:trPr>
        <w:tc>
          <w:tcPr>
            <w:tcW w:w="14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2" w:right="156"/>
              <w:jc w:val="left"/>
              <w:rPr>
                <w:rFonts w:ascii="宋体" w:hAnsi="宋体" w:cs="宋体" w:eastAsia="宋体" w:hint="default"/>
                <w:sz w:val="18"/>
                <w:szCs w:val="18"/>
              </w:rPr>
            </w:pPr>
            <w:r>
              <w:rPr>
                <w:rFonts w:ascii="宋体" w:hAnsi="宋体" w:cs="宋体" w:eastAsia="宋体" w:hint="default"/>
                <w:sz w:val="18"/>
                <w:szCs w:val="18"/>
              </w:rPr>
              <w:t>杭州一鼓智讯网 络科技有限公司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707,560.98</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-112,431.13</w:t>
            </w:r>
          </w:p>
        </w:tc>
        <w:tc>
          <w:tcPr>
            <w:tcW w:w="117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595,129.85</w:t>
            </w: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56"/>
              <w:jc w:val="left"/>
              <w:rPr>
                <w:rFonts w:ascii="宋体" w:hAnsi="宋体" w:cs="宋体" w:eastAsia="宋体" w:hint="default"/>
                <w:sz w:val="18"/>
                <w:szCs w:val="18"/>
              </w:rPr>
            </w:pPr>
            <w:r>
              <w:rPr>
                <w:rFonts w:ascii="宋体" w:hAnsi="宋体" w:cs="宋体" w:eastAsia="宋体" w:hint="default"/>
                <w:sz w:val="18"/>
                <w:szCs w:val="18"/>
              </w:rPr>
              <w:t>北京精典博维文 化传媒有限公司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129,182,104.43</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133,274,948.54</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4,092,844.11</w:t>
            </w:r>
          </w:p>
        </w:tc>
        <w:tc>
          <w:tcPr>
            <w:tcW w:w="117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56"/>
              <w:jc w:val="left"/>
              <w:rPr>
                <w:rFonts w:ascii="宋体" w:hAnsi="宋体" w:cs="宋体" w:eastAsia="宋体" w:hint="default"/>
                <w:sz w:val="18"/>
                <w:szCs w:val="18"/>
              </w:rPr>
            </w:pPr>
            <w:r>
              <w:rPr>
                <w:rFonts w:ascii="宋体" w:hAnsi="宋体" w:cs="宋体" w:eastAsia="宋体" w:hint="default"/>
                <w:sz w:val="18"/>
                <w:szCs w:val="18"/>
              </w:rPr>
              <w:t>杭州华媒科创园 区管理有限公司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2,896,250.48</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259,702.73</w:t>
            </w:r>
          </w:p>
        </w:tc>
        <w:tc>
          <w:tcPr>
            <w:tcW w:w="117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3,155,953.21</w:t>
            </w: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4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2" w:right="156"/>
              <w:jc w:val="left"/>
              <w:rPr>
                <w:rFonts w:ascii="宋体" w:hAnsi="宋体" w:cs="宋体" w:eastAsia="宋体" w:hint="default"/>
                <w:sz w:val="18"/>
                <w:szCs w:val="18"/>
              </w:rPr>
            </w:pPr>
            <w:r>
              <w:rPr>
                <w:rFonts w:ascii="宋体" w:hAnsi="宋体" w:cs="宋体" w:eastAsia="宋体" w:hint="default"/>
                <w:sz w:val="18"/>
                <w:szCs w:val="18"/>
              </w:rPr>
              <w:t>杭州华媒泽商创 业投资合伙企业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29,148,459.41</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-528,750.29</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2,190,121.44</w:t>
            </w: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30,809,830.56</w:t>
            </w: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56"/>
              <w:jc w:val="left"/>
              <w:rPr>
                <w:rFonts w:ascii="宋体" w:hAnsi="宋体" w:cs="宋体" w:eastAsia="宋体" w:hint="default"/>
                <w:sz w:val="18"/>
                <w:szCs w:val="18"/>
              </w:rPr>
            </w:pPr>
            <w:r>
              <w:rPr>
                <w:rFonts w:ascii="宋体" w:hAnsi="宋体" w:cs="宋体" w:eastAsia="宋体" w:hint="default"/>
                <w:sz w:val="18"/>
                <w:szCs w:val="18"/>
              </w:rPr>
              <w:t>杭州看看十度网 络科技有限公司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799,984.06</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611,648.09</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-2,320.21</w:t>
            </w:r>
          </w:p>
        </w:tc>
        <w:tc>
          <w:tcPr>
            <w:tcW w:w="117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186,015.76</w:t>
            </w: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56"/>
              <w:jc w:val="left"/>
              <w:rPr>
                <w:rFonts w:ascii="宋体" w:hAnsi="宋体" w:cs="宋体" w:eastAsia="宋体" w:hint="default"/>
                <w:sz w:val="18"/>
                <w:szCs w:val="18"/>
              </w:rPr>
            </w:pPr>
            <w:r>
              <w:rPr>
                <w:rFonts w:ascii="宋体" w:hAnsi="宋体" w:cs="宋体" w:eastAsia="宋体" w:hint="default"/>
                <w:sz w:val="18"/>
                <w:szCs w:val="18"/>
              </w:rPr>
              <w:t>上海合印科技股 份有限公司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54,401,108.60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55,414,707.21</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1,013,598.61</w:t>
            </w:r>
          </w:p>
        </w:tc>
        <w:tc>
          <w:tcPr>
            <w:tcW w:w="117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4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2" w:right="156"/>
              <w:jc w:val="left"/>
              <w:rPr>
                <w:rFonts w:ascii="宋体" w:hAnsi="宋体" w:cs="宋体" w:eastAsia="宋体" w:hint="default"/>
                <w:sz w:val="18"/>
                <w:szCs w:val="18"/>
              </w:rPr>
            </w:pPr>
            <w:r>
              <w:rPr>
                <w:rFonts w:ascii="宋体" w:hAnsi="宋体" w:cs="宋体" w:eastAsia="宋体" w:hint="default"/>
                <w:sz w:val="18"/>
                <w:szCs w:val="18"/>
              </w:rPr>
              <w:t>杭州萧山日报资 本管理有限公司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46,283.81</w:t>
            </w:r>
          </w:p>
        </w:tc>
        <w:tc>
          <w:tcPr>
            <w:tcW w:w="117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3,869,283.41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3,915,567.22</w:t>
            </w: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22"/>
              <w:jc w:val="left"/>
              <w:rPr>
                <w:rFonts w:ascii="宋体" w:hAnsi="宋体" w:cs="宋体" w:eastAsia="宋体" w:hint="default"/>
                <w:sz w:val="18"/>
                <w:szCs w:val="18"/>
              </w:rPr>
            </w:pPr>
            <w:r>
              <w:rPr>
                <w:rFonts w:ascii="宋体" w:hAnsi="宋体" w:cs="宋体" w:eastAsia="宋体" w:hint="default"/>
                <w:spacing w:val="-6"/>
                <w:sz w:val="18"/>
                <w:szCs w:val="18"/>
              </w:rPr>
              <w:t>快点文化传播（上</w:t>
            </w:r>
            <w:r>
              <w:rPr>
                <w:rFonts w:ascii="宋体" w:hAnsi="宋体" w:cs="宋体" w:eastAsia="宋体" w:hint="default"/>
                <w:sz w:val="18"/>
                <w:szCs w:val="18"/>
              </w:rPr>
              <w:t> 海）有限公司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50,325,180.00</w:t>
            </w:r>
          </w:p>
        </w:tc>
        <w:tc>
          <w:tcPr>
            <w:tcW w:w="143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257,781,507.00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207,252,201.00</w:t>
            </w: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56"/>
              <w:jc w:val="left"/>
              <w:rPr>
                <w:rFonts w:ascii="宋体" w:hAnsi="宋体" w:cs="宋体" w:eastAsia="宋体" w:hint="default"/>
                <w:sz w:val="18"/>
                <w:szCs w:val="18"/>
              </w:rPr>
            </w:pPr>
            <w:r>
              <w:rPr>
                <w:rFonts w:ascii="宋体" w:hAnsi="宋体" w:cs="宋体" w:eastAsia="宋体" w:hint="default"/>
                <w:sz w:val="18"/>
                <w:szCs w:val="18"/>
              </w:rPr>
              <w:t>浙江弘致投资管 理有限公司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1,950,000.00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-531,370.40</w:t>
            </w:r>
          </w:p>
        </w:tc>
        <w:tc>
          <w:tcPr>
            <w:tcW w:w="117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1,418,629.60</w:t>
            </w: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1451" w:type="dxa"/>
            <w:tcBorders>
              <w:top w:val="single" w:sz="4" w:space="0" w:color="000000"/>
              <w:left w:val="single" w:sz="4" w:space="0" w:color="000000"/>
              <w:bottom w:val="single" w:sz="4" w:space="0" w:color="000000"/>
              <w:right w:val="single" w:sz="13" w:space="0" w:color="FFFFFF"/>
            </w:tcBorders>
            <w:shd w:val="clear" w:color="auto" w:fill="C7EDCC"/>
          </w:tcPr>
          <w:p>
            <w:pPr>
              <w:pStyle w:val="TableParagraph"/>
              <w:spacing w:line="240" w:lineRule="exact" w:before="1"/>
              <w:ind w:left="22" w:right="-33"/>
              <w:jc w:val="left"/>
              <w:rPr>
                <w:rFonts w:ascii="宋体" w:hAnsi="宋体" w:cs="宋体" w:eastAsia="宋体" w:hint="default"/>
                <w:sz w:val="18"/>
                <w:szCs w:val="18"/>
              </w:rPr>
            </w:pPr>
            <w:r>
              <w:rPr>
                <w:rFonts w:ascii="宋体" w:hAnsi="宋体" w:cs="宋体" w:eastAsia="宋体" w:hint="default"/>
                <w:sz w:val="18"/>
                <w:szCs w:val="18"/>
              </w:rPr>
              <w:t>布朗睿智（北京） 国际教育科技有 限公司</w:t>
            </w:r>
          </w:p>
        </w:tc>
        <w:tc>
          <w:tcPr>
            <w:tcW w:w="1181" w:type="dxa"/>
            <w:tcBorders>
              <w:top w:val="single" w:sz="4" w:space="0" w:color="000000"/>
              <w:left w:val="single" w:sz="13"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104,929,600.00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4,181,264.36</w:t>
            </w:r>
          </w:p>
        </w:tc>
        <w:tc>
          <w:tcPr>
            <w:tcW w:w="117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109,110,864.36</w:t>
            </w: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451" w:type="dxa"/>
            <w:tcBorders>
              <w:top w:val="single" w:sz="4" w:space="0" w:color="000000"/>
              <w:left w:val="single" w:sz="4" w:space="0" w:color="000000"/>
              <w:bottom w:val="single" w:sz="4" w:space="0" w:color="000000"/>
              <w:right w:val="single" w:sz="13" w:space="0" w:color="FFFFFF"/>
            </w:tcBorders>
            <w:shd w:val="clear" w:color="auto" w:fill="C7EDCC"/>
          </w:tcPr>
          <w:p>
            <w:pPr>
              <w:pStyle w:val="TableParagraph"/>
              <w:spacing w:line="240" w:lineRule="exact"/>
              <w:ind w:left="22" w:right="-33"/>
              <w:jc w:val="left"/>
              <w:rPr>
                <w:rFonts w:ascii="宋体" w:hAnsi="宋体" w:cs="宋体" w:eastAsia="宋体" w:hint="default"/>
                <w:sz w:val="18"/>
                <w:szCs w:val="18"/>
              </w:rPr>
            </w:pPr>
            <w:r>
              <w:rPr>
                <w:rFonts w:ascii="宋体" w:hAnsi="宋体" w:cs="宋体" w:eastAsia="宋体" w:hint="default"/>
                <w:sz w:val="18"/>
                <w:szCs w:val="18"/>
              </w:rPr>
              <w:t>布朗时代（北京） 教育投资有限公</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81" w:type="dxa"/>
            <w:tcBorders>
              <w:top w:val="single" w:sz="4" w:space="0" w:color="000000"/>
              <w:left w:val="single" w:sz="13"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45,070,400.00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2,508,973.31</w:t>
            </w:r>
          </w:p>
        </w:tc>
        <w:tc>
          <w:tcPr>
            <w:tcW w:w="117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47,579,373.31</w:t>
            </w: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4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348,608,268.40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151,950,000.00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245,876,483.84</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23,042,684.99</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2,190,121.44</w:t>
            </w: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12,379,500.00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9" w:right="0"/>
              <w:jc w:val="center"/>
              <w:rPr>
                <w:rFonts w:ascii="Times New Roman" w:hAnsi="Times New Roman" w:cs="Times New Roman" w:eastAsia="Times New Roman" w:hint="default"/>
                <w:sz w:val="18"/>
                <w:szCs w:val="18"/>
              </w:rPr>
            </w:pPr>
            <w:r>
              <w:rPr>
                <w:rFonts w:ascii="Times New Roman"/>
                <w:sz w:val="18"/>
              </w:rPr>
              <w:t>484,373.39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261,650,790.41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528,981,755.40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615,171.45</w:t>
            </w:r>
          </w:p>
        </w:tc>
      </w:tr>
      <w:tr>
        <w:trPr>
          <w:trHeight w:val="251" w:hRule="exact"/>
        </w:trPr>
        <w:tc>
          <w:tcPr>
            <w:tcW w:w="14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355,522,644.60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151,950,000.00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247,326,361.86</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22,566,076.53</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2,190,121.44</w:t>
            </w:r>
          </w:p>
        </w:tc>
        <w:tc>
          <w:tcPr>
            <w:tcW w:w="56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12,379,500.00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9" w:right="0"/>
              <w:jc w:val="center"/>
              <w:rPr>
                <w:rFonts w:ascii="Times New Roman" w:hAnsi="Times New Roman" w:cs="Times New Roman" w:eastAsia="Times New Roman" w:hint="default"/>
                <w:sz w:val="18"/>
                <w:szCs w:val="18"/>
              </w:rPr>
            </w:pPr>
            <w:r>
              <w:rPr>
                <w:rFonts w:ascii="Times New Roman"/>
                <w:sz w:val="18"/>
              </w:rPr>
              <w:t>484,373.39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261,650,790.41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533,969,645.12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615,171.45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8" w:top="1060" w:bottom="1160" w:left="1300" w:right="130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618"/>
        <w:gridCol w:w="1414"/>
        <w:gridCol w:w="1402"/>
        <w:gridCol w:w="1295"/>
        <w:gridCol w:w="1564"/>
        <w:gridCol w:w="1402"/>
      </w:tblGrid>
      <w:tr>
        <w:trPr>
          <w:trHeight w:val="402"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4" w:type="dxa"/>
            <w:tcBorders>
              <w:top w:val="single" w:sz="4" w:space="0" w:color="000000"/>
              <w:left w:val="single" w:sz="13" w:space="0" w:color="D3D3D3"/>
              <w:bottom w:val="single" w:sz="4" w:space="0" w:color="000000"/>
              <w:right w:val="single" w:sz="4" w:space="0" w:color="000000"/>
            </w:tcBorders>
            <w:shd w:val="clear" w:color="auto" w:fill="E1FFFF"/>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0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14" w:type="dxa"/>
            <w:tcBorders>
              <w:top w:val="single" w:sz="4" w:space="0" w:color="000000"/>
              <w:left w:val="single" w:sz="13" w:space="0" w:color="D3D3D3"/>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110,334,104.46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333,907,820.60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13,709,997.91</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58,374,860.22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516,326,783.19</w:t>
            </w:r>
          </w:p>
        </w:tc>
      </w:tr>
      <w:tr>
        <w:trPr>
          <w:trHeight w:val="402"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34,599,327.37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2,327,410.69</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1,165,457.35</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6,747,149.29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44,839,344.70</w:t>
            </w:r>
          </w:p>
        </w:tc>
      </w:tr>
      <w:tr>
        <w:trPr>
          <w:trHeight w:val="402"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34,599,327.37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2,327,410.69</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1,165,457.35</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6,747,149.29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44,839,344.70</w:t>
            </w:r>
          </w:p>
        </w:tc>
      </w:tr>
      <w:tr>
        <w:trPr>
          <w:trHeight w:val="402"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414" w:type="dxa"/>
            <w:tcBorders>
              <w:top w:val="single" w:sz="4" w:space="0" w:color="000000"/>
              <w:left w:val="single" w:sz="13" w:space="0" w:color="D3D3D3"/>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14" w:type="dxa"/>
            <w:tcBorders>
              <w:top w:val="single" w:sz="4" w:space="0" w:color="000000"/>
              <w:left w:val="single" w:sz="13" w:space="0" w:color="D3D3D3"/>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1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414" w:type="dxa"/>
            <w:tcBorders>
              <w:top w:val="single" w:sz="4" w:space="0" w:color="000000"/>
              <w:left w:val="single" w:sz="13" w:space="0" w:color="E1FFFF"/>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11,284,807.40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27,364,836.03</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490,749.16</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2,157,974.94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41,298,367.53</w:t>
            </w:r>
          </w:p>
        </w:tc>
      </w:tr>
      <w:tr>
        <w:trPr>
          <w:trHeight w:val="402"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11,284,807.40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27,364,836.03</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490,749.16</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1,505,770.05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40,646,162.64</w:t>
            </w:r>
          </w:p>
        </w:tc>
      </w:tr>
      <w:tr>
        <w:trPr>
          <w:trHeight w:val="402" w:hRule="exact"/>
        </w:trPr>
        <w:tc>
          <w:tcPr>
            <w:tcW w:w="261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42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414" w:type="dxa"/>
            <w:tcBorders>
              <w:top w:val="single" w:sz="4" w:space="0" w:color="000000"/>
              <w:left w:val="single" w:sz="13" w:space="0" w:color="E1FFFF"/>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652,204.89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652,204.89</w:t>
            </w:r>
          </w:p>
        </w:tc>
      </w:tr>
      <w:tr>
        <w:trPr>
          <w:trHeight w:val="402"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133,648,624.43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308,870,395.26</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14,384,706.10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62,964,034.57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519,867,760.36</w:t>
            </w:r>
          </w:p>
        </w:tc>
      </w:tr>
      <w:tr>
        <w:trPr>
          <w:trHeight w:val="402"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14" w:type="dxa"/>
            <w:tcBorders>
              <w:top w:val="single" w:sz="4" w:space="0" w:color="000000"/>
              <w:left w:val="single" w:sz="13" w:space="0" w:color="D3D3D3"/>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12,777,502.62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217,826,694.05</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8,291,029.93</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42,868,759.85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281,763,986.45</w:t>
            </w:r>
          </w:p>
        </w:tc>
      </w:tr>
      <w:tr>
        <w:trPr>
          <w:trHeight w:val="402"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4,688,241.31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22,783,870.41</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1,344,444.37</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6,431,844.06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35,248,400.15</w:t>
            </w:r>
          </w:p>
        </w:tc>
      </w:tr>
      <w:tr>
        <w:trPr>
          <w:trHeight w:val="402"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4,688,241.31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22,783,870.41</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1,344,444.37</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6,431,844.06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35,248,400.15</w:t>
            </w:r>
          </w:p>
        </w:tc>
      </w:tr>
      <w:tr>
        <w:trPr>
          <w:trHeight w:val="402" w:hRule="exact"/>
        </w:trPr>
        <w:tc>
          <w:tcPr>
            <w:tcW w:w="261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414" w:type="dxa"/>
            <w:tcBorders>
              <w:top w:val="single" w:sz="4" w:space="0" w:color="000000"/>
              <w:left w:val="single" w:sz="13" w:space="0" w:color="E1FFFF"/>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1,286,287.77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26,775,881.69</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475,605.91</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1,655,211.09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30,192,986.46</w:t>
            </w:r>
          </w:p>
        </w:tc>
      </w:tr>
      <w:tr>
        <w:trPr>
          <w:trHeight w:val="402"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1,286,287.77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26,775,881.69</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475,605.91</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1,240,494.42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29,778,269.79</w:t>
            </w:r>
          </w:p>
        </w:tc>
      </w:tr>
      <w:tr>
        <w:trPr>
          <w:trHeight w:val="402" w:hRule="exact"/>
        </w:trPr>
        <w:tc>
          <w:tcPr>
            <w:tcW w:w="261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42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414" w:type="dxa"/>
            <w:tcBorders>
              <w:top w:val="single" w:sz="4" w:space="0" w:color="000000"/>
              <w:left w:val="single" w:sz="13" w:space="0" w:color="E1FFFF"/>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414,716.67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414,716.67</w:t>
            </w:r>
          </w:p>
        </w:tc>
      </w:tr>
      <w:tr>
        <w:trPr>
          <w:trHeight w:val="402"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16,179,456.16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213,834,682.77</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9,159,868.39</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47,645,392.82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286,819,400.14</w:t>
            </w:r>
          </w:p>
        </w:tc>
      </w:tr>
    </w:tbl>
    <w:p>
      <w:pPr>
        <w:spacing w:after="0" w:line="240" w:lineRule="auto"/>
        <w:jc w:val="right"/>
        <w:rPr>
          <w:rFonts w:ascii="Times New Roman" w:hAnsi="Times New Roman" w:cs="Times New Roman" w:eastAsia="Times New Roman" w:hint="default"/>
          <w:sz w:val="18"/>
          <w:szCs w:val="18"/>
        </w:rPr>
        <w:sectPr>
          <w:headerReference w:type="default" r:id="rId43"/>
          <w:footerReference w:type="default" r:id="rId44"/>
          <w:pgSz w:w="11910" w:h="16840"/>
          <w:pgMar w:header="877" w:footer="982" w:top="1100" w:bottom="1180" w:left="980" w:right="980"/>
          <w:pgNumType w:start="123"/>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602"/>
        <w:gridCol w:w="1430"/>
        <w:gridCol w:w="1402"/>
        <w:gridCol w:w="1295"/>
        <w:gridCol w:w="1564"/>
        <w:gridCol w:w="1402"/>
      </w:tblGrid>
      <w:tr>
        <w:trPr>
          <w:trHeight w:val="402" w:hRule="exact"/>
        </w:trPr>
        <w:tc>
          <w:tcPr>
            <w:tcW w:w="2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30" w:type="dxa"/>
            <w:tcBorders>
              <w:top w:val="single" w:sz="4" w:space="0" w:color="000000"/>
              <w:left w:val="single" w:sz="13" w:space="0" w:color="D3D3D3"/>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30" w:type="dxa"/>
            <w:tcBorders>
              <w:top w:val="single" w:sz="4" w:space="0" w:color="000000"/>
              <w:left w:val="single" w:sz="13" w:space="0" w:color="D3D3D3"/>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30" w:type="dxa"/>
            <w:tcBorders>
              <w:top w:val="single" w:sz="4" w:space="0" w:color="000000"/>
              <w:left w:val="single" w:sz="13" w:space="0" w:color="D3D3D3"/>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30" w:type="dxa"/>
            <w:tcBorders>
              <w:top w:val="single" w:sz="4" w:space="0" w:color="000000"/>
              <w:left w:val="single" w:sz="13" w:space="0" w:color="D3D3D3"/>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2"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430" w:type="dxa"/>
            <w:tcBorders>
              <w:top w:val="single" w:sz="4" w:space="0" w:color="000000"/>
              <w:left w:val="single" w:sz="13" w:space="0" w:color="E1FFFF"/>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30" w:type="dxa"/>
            <w:tcBorders>
              <w:top w:val="single" w:sz="4" w:space="0" w:color="000000"/>
              <w:left w:val="single" w:sz="13" w:space="0" w:color="D3D3D3"/>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30" w:type="dxa"/>
            <w:tcBorders>
              <w:top w:val="single" w:sz="4" w:space="0" w:color="000000"/>
              <w:left w:val="single" w:sz="13" w:space="0" w:color="D3D3D3"/>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2"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430" w:type="dxa"/>
            <w:tcBorders>
              <w:top w:val="single" w:sz="4" w:space="0" w:color="000000"/>
              <w:left w:val="single" w:sz="13" w:space="0" w:color="E1FFFF"/>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30" w:type="dxa"/>
            <w:tcBorders>
              <w:top w:val="single" w:sz="4" w:space="0" w:color="000000"/>
              <w:left w:val="single" w:sz="13" w:space="0" w:color="D3D3D3"/>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30" w:type="dxa"/>
            <w:tcBorders>
              <w:top w:val="single" w:sz="4" w:space="0" w:color="000000"/>
              <w:left w:val="single" w:sz="13" w:space="0" w:color="D3D3D3"/>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117,469,168.27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95,035,712.49</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5,224,837.71</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15,318,641.75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233,048,360.22</w:t>
            </w:r>
          </w:p>
        </w:tc>
      </w:tr>
      <w:tr>
        <w:trPr>
          <w:trHeight w:val="402" w:hRule="exact"/>
        </w:trPr>
        <w:tc>
          <w:tcPr>
            <w:tcW w:w="2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97,556,601.84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116,081,126.55</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5,418,967.98</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15,506,100.37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234,562,796.74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21,786,193.14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尼加拉房产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3,645,617.90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欢乐城喜悦庭写字楼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2,097,271.13</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欢乐城喜悦庭写字楼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1,619,619.43</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欢乐城喜悦庭写字楼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951,726.94</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8,314,235.40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29,126.21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29,126.21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29,126.21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29,126.21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92"/>
        <w:gridCol w:w="379"/>
        <w:gridCol w:w="776"/>
        <w:gridCol w:w="973"/>
        <w:gridCol w:w="875"/>
        <w:gridCol w:w="1115"/>
        <w:gridCol w:w="449"/>
        <w:gridCol w:w="947"/>
        <w:gridCol w:w="449"/>
        <w:gridCol w:w="804"/>
        <w:gridCol w:w="1126"/>
        <w:gridCol w:w="733"/>
        <w:gridCol w:w="449"/>
      </w:tblGrid>
      <w:tr>
        <w:trPr>
          <w:trHeight w:val="1026" w:hRule="exact"/>
        </w:trPr>
        <w:tc>
          <w:tcPr>
            <w:tcW w:w="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0" w:right="10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4" w:right="92"/>
              <w:jc w:val="both"/>
              <w:rPr>
                <w:rFonts w:ascii="宋体" w:hAnsi="宋体" w:cs="宋体" w:eastAsia="宋体" w:hint="default"/>
                <w:sz w:val="18"/>
                <w:szCs w:val="18"/>
              </w:rPr>
            </w:pPr>
            <w:r>
              <w:rPr>
                <w:rFonts w:ascii="宋体" w:hAnsi="宋体" w:cs="宋体" w:eastAsia="宋体" w:hint="default"/>
                <w:sz w:val="18"/>
                <w:szCs w:val="18"/>
              </w:rPr>
              <w:t>预 算 数</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91" w:right="30" w:hanging="360"/>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8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本期转入 固定资产 金额</w:t>
            </w:r>
          </w:p>
        </w:tc>
        <w:tc>
          <w:tcPr>
            <w:tcW w:w="11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2" w:right="101" w:hanging="180"/>
              <w:jc w:val="left"/>
              <w:rPr>
                <w:rFonts w:ascii="宋体" w:hAnsi="宋体" w:cs="宋体" w:eastAsia="宋体" w:hint="default"/>
                <w:sz w:val="18"/>
                <w:szCs w:val="18"/>
              </w:rPr>
            </w:pPr>
            <w:r>
              <w:rPr>
                <w:rFonts w:ascii="宋体" w:hAnsi="宋体" w:cs="宋体" w:eastAsia="宋体" w:hint="default"/>
                <w:sz w:val="18"/>
                <w:szCs w:val="18"/>
              </w:rPr>
              <w:t>本期其他减 少金额</w:t>
            </w:r>
          </w:p>
        </w:tc>
        <w:tc>
          <w:tcPr>
            <w:tcW w:w="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8" w:right="38"/>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9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7" w:right="107"/>
              <w:jc w:val="both"/>
              <w:rPr>
                <w:rFonts w:ascii="宋体" w:hAnsi="宋体" w:cs="宋体" w:eastAsia="宋体" w:hint="default"/>
                <w:sz w:val="18"/>
                <w:szCs w:val="18"/>
              </w:rPr>
            </w:pPr>
            <w:r>
              <w:rPr>
                <w:rFonts w:ascii="宋体" w:hAnsi="宋体" w:cs="宋体" w:eastAsia="宋体" w:hint="default"/>
                <w:sz w:val="18"/>
                <w:szCs w:val="18"/>
              </w:rPr>
              <w:t>工程累计 投入占预 算比例</w:t>
            </w:r>
          </w:p>
        </w:tc>
        <w:tc>
          <w:tcPr>
            <w:tcW w:w="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8" w:right="38"/>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6" w:right="36"/>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2"/>
                <w:sz w:val="18"/>
                <w:szCs w:val="18"/>
              </w:rPr>
              <w:t>其中：本期利</w:t>
            </w:r>
            <w:r>
              <w:rPr>
                <w:rFonts w:ascii="宋体" w:hAnsi="宋体" w:cs="宋体" w:eastAsia="宋体" w:hint="default"/>
                <w:sz w:val="18"/>
                <w:szCs w:val="18"/>
              </w:rPr>
              <w:t> 息资本化金 额</w:t>
            </w:r>
          </w:p>
        </w:tc>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1" w:right="90"/>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8" w:right="38"/>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358" w:hRule="exact"/>
        </w:trPr>
        <w:tc>
          <w:tcPr>
            <w:tcW w:w="59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w:t>
            </w:r>
          </w:p>
        </w:tc>
        <w:tc>
          <w:tcPr>
            <w:tcW w:w="379" w:type="dxa"/>
            <w:vMerge w:val="restart"/>
            <w:tcBorders>
              <w:top w:val="single" w:sz="4" w:space="0" w:color="000000"/>
              <w:left w:val="single" w:sz="4" w:space="0" w:color="000000"/>
              <w:right w:val="single" w:sz="4" w:space="0" w:color="000000"/>
            </w:tcBorders>
          </w:tcPr>
          <w:p>
            <w:pPr/>
          </w:p>
        </w:tc>
        <w:tc>
          <w:tcPr>
            <w:tcW w:w="776" w:type="dxa"/>
            <w:tcBorders>
              <w:top w:val="single" w:sz="4" w:space="0" w:color="000000"/>
              <w:left w:val="single" w:sz="4" w:space="0" w:color="000000"/>
              <w:bottom w:val="nil" w:sz="6" w:space="0" w:color="auto"/>
              <w:right w:val="single" w:sz="4" w:space="0" w:color="000000"/>
            </w:tcBorders>
          </w:tcPr>
          <w:p>
            <w:pPr/>
          </w:p>
        </w:tc>
        <w:tc>
          <w:tcPr>
            <w:tcW w:w="973" w:type="dxa"/>
            <w:tcBorders>
              <w:top w:val="single" w:sz="4" w:space="0" w:color="000000"/>
              <w:left w:val="single" w:sz="4" w:space="0" w:color="000000"/>
              <w:bottom w:val="nil" w:sz="6" w:space="0" w:color="auto"/>
              <w:right w:val="single" w:sz="4" w:space="0" w:color="000000"/>
            </w:tcBorders>
          </w:tcPr>
          <w:p>
            <w:pPr/>
          </w:p>
        </w:tc>
        <w:tc>
          <w:tcPr>
            <w:tcW w:w="875" w:type="dxa"/>
            <w:vMerge w:val="restart"/>
            <w:tcBorders>
              <w:top w:val="single" w:sz="4" w:space="0" w:color="000000"/>
              <w:left w:val="single" w:sz="4" w:space="0" w:color="000000"/>
              <w:right w:val="single" w:sz="4" w:space="0" w:color="000000"/>
            </w:tcBorders>
          </w:tcPr>
          <w:p>
            <w:pPr/>
          </w:p>
        </w:tc>
        <w:tc>
          <w:tcPr>
            <w:tcW w:w="1115" w:type="dxa"/>
            <w:tcBorders>
              <w:top w:val="single" w:sz="4" w:space="0" w:color="000000"/>
              <w:left w:val="single" w:sz="4" w:space="0" w:color="000000"/>
              <w:bottom w:val="nil" w:sz="6" w:space="0" w:color="auto"/>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947"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shd w:val="clear" w:color="auto" w:fill="C7EDCC"/>
          </w:tcPr>
          <w:p>
            <w:pPr/>
          </w:p>
        </w:tc>
        <w:tc>
          <w:tcPr>
            <w:tcW w:w="804"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733" w:type="dxa"/>
            <w:vMerge w:val="restart"/>
            <w:tcBorders>
              <w:top w:val="single" w:sz="4" w:space="0" w:color="000000"/>
              <w:left w:val="single" w:sz="4" w:space="0" w:color="000000"/>
              <w:right w:val="single" w:sz="4" w:space="0" w:color="000000"/>
            </w:tcBorders>
          </w:tcPr>
          <w:p>
            <w:pPr/>
          </w:p>
        </w:tc>
        <w:tc>
          <w:tcPr>
            <w:tcW w:w="449"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5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改造</w:t>
            </w:r>
          </w:p>
        </w:tc>
        <w:tc>
          <w:tcPr>
            <w:tcW w:w="379" w:type="dxa"/>
            <w:vMerge/>
            <w:tcBorders>
              <w:left w:val="single" w:sz="4" w:space="0" w:color="000000"/>
              <w:right w:val="single" w:sz="4" w:space="0" w:color="000000"/>
            </w:tcBorders>
          </w:tcPr>
          <w:p>
            <w:pPr/>
          </w:p>
        </w:tc>
        <w:tc>
          <w:tcPr>
            <w:tcW w:w="77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29,126.21</w:t>
            </w:r>
          </w:p>
        </w:tc>
        <w:tc>
          <w:tcPr>
            <w:tcW w:w="97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892,814.42</w:t>
            </w:r>
          </w:p>
        </w:tc>
        <w:tc>
          <w:tcPr>
            <w:tcW w:w="875" w:type="dxa"/>
            <w:vMerge/>
            <w:tcBorders>
              <w:left w:val="single" w:sz="4" w:space="0" w:color="000000"/>
              <w:right w:val="single" w:sz="4" w:space="0" w:color="000000"/>
            </w:tcBorders>
          </w:tcPr>
          <w:p>
            <w:pPr/>
          </w:p>
        </w:tc>
        <w:tc>
          <w:tcPr>
            <w:tcW w:w="111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921,940.63</w:t>
            </w:r>
          </w:p>
        </w:tc>
        <w:tc>
          <w:tcPr>
            <w:tcW w:w="449"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shd w:val="clear" w:color="auto" w:fill="C7EDCC"/>
          </w:tcPr>
          <w:p>
            <w:pPr/>
          </w:p>
        </w:tc>
        <w:tc>
          <w:tcPr>
            <w:tcW w:w="804"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733" w:type="dxa"/>
            <w:vMerge/>
            <w:tcBorders>
              <w:left w:val="single" w:sz="4" w:space="0" w:color="000000"/>
              <w:right w:val="single" w:sz="4" w:space="0" w:color="000000"/>
            </w:tcBorders>
          </w:tcPr>
          <w:p>
            <w:pPr/>
          </w:p>
        </w:tc>
        <w:tc>
          <w:tcPr>
            <w:tcW w:w="4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351" w:hRule="exact"/>
        </w:trPr>
        <w:tc>
          <w:tcPr>
            <w:tcW w:w="59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379" w:type="dxa"/>
            <w:vMerge/>
            <w:tcBorders>
              <w:left w:val="single" w:sz="4" w:space="0" w:color="000000"/>
              <w:bottom w:val="single" w:sz="4" w:space="0" w:color="000000"/>
              <w:right w:val="single" w:sz="4" w:space="0" w:color="000000"/>
            </w:tcBorders>
          </w:tcPr>
          <w:p>
            <w:pPr/>
          </w:p>
        </w:tc>
        <w:tc>
          <w:tcPr>
            <w:tcW w:w="776" w:type="dxa"/>
            <w:tcBorders>
              <w:top w:val="nil" w:sz="6" w:space="0" w:color="auto"/>
              <w:left w:val="single" w:sz="4" w:space="0" w:color="000000"/>
              <w:bottom w:val="single" w:sz="4" w:space="0" w:color="000000"/>
              <w:right w:val="single" w:sz="4" w:space="0" w:color="000000"/>
            </w:tcBorders>
          </w:tcPr>
          <w:p>
            <w:pPr/>
          </w:p>
        </w:tc>
        <w:tc>
          <w:tcPr>
            <w:tcW w:w="973" w:type="dxa"/>
            <w:tcBorders>
              <w:top w:val="nil" w:sz="6" w:space="0" w:color="auto"/>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c>
          <w:tcPr>
            <w:tcW w:w="1115" w:type="dxa"/>
            <w:tcBorders>
              <w:top w:val="nil" w:sz="6" w:space="0" w:color="auto"/>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shd w:val="clear" w:color="auto" w:fill="C7EDCC"/>
          </w:tcPr>
          <w:p>
            <w:pPr/>
          </w:p>
        </w:tc>
        <w:tc>
          <w:tcPr>
            <w:tcW w:w="804"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733" w:type="dxa"/>
            <w:vMerge/>
            <w:tcBorders>
              <w:left w:val="single" w:sz="4" w:space="0" w:color="000000"/>
              <w:bottom w:val="single" w:sz="4" w:space="0" w:color="000000"/>
              <w:right w:val="single" w:sz="4" w:space="0" w:color="000000"/>
            </w:tcBorders>
          </w:tcPr>
          <w:p>
            <w:pPr/>
          </w:p>
        </w:tc>
        <w:tc>
          <w:tcPr>
            <w:tcW w:w="449"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79"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29,126.21</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892,814.42</w:t>
            </w:r>
          </w:p>
        </w:tc>
        <w:tc>
          <w:tcPr>
            <w:tcW w:w="875"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921,940.63</w:t>
            </w:r>
          </w:p>
        </w:tc>
        <w:tc>
          <w:tcPr>
            <w:tcW w:w="449"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0"/>
        <w:gridCol w:w="1091"/>
        <w:gridCol w:w="546"/>
        <w:gridCol w:w="854"/>
        <w:gridCol w:w="1001"/>
        <w:gridCol w:w="1002"/>
        <w:gridCol w:w="1091"/>
        <w:gridCol w:w="1091"/>
        <w:gridCol w:w="1091"/>
      </w:tblGrid>
      <w:tr>
        <w:trPr>
          <w:trHeight w:val="162" w:hRule="exact"/>
        </w:trPr>
        <w:tc>
          <w:tcPr>
            <w:tcW w:w="1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77" w:right="86" w:hanging="90"/>
              <w:jc w:val="left"/>
              <w:rPr>
                <w:rFonts w:ascii="宋体" w:hAnsi="宋体" w:cs="宋体" w:eastAsia="宋体" w:hint="default"/>
                <w:sz w:val="18"/>
                <w:szCs w:val="18"/>
              </w:rPr>
            </w:pPr>
            <w:r>
              <w:rPr>
                <w:rFonts w:ascii="宋体" w:hAnsi="宋体" w:cs="宋体" w:eastAsia="宋体" w:hint="default"/>
                <w:sz w:val="18"/>
                <w:szCs w:val="18"/>
              </w:rPr>
              <w:t>专利 权</w:t>
            </w:r>
          </w:p>
        </w:tc>
        <w:tc>
          <w:tcPr>
            <w:tcW w:w="85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32" w:right="60" w:hanging="270"/>
              <w:jc w:val="left"/>
              <w:rPr>
                <w:rFonts w:ascii="宋体" w:hAnsi="宋体" w:cs="宋体" w:eastAsia="宋体" w:hint="default"/>
                <w:sz w:val="18"/>
                <w:szCs w:val="18"/>
              </w:rPr>
            </w:pPr>
            <w:r>
              <w:rPr>
                <w:rFonts w:ascii="宋体" w:hAnsi="宋体" w:cs="宋体" w:eastAsia="宋体" w:hint="default"/>
                <w:sz w:val="18"/>
                <w:szCs w:val="18"/>
              </w:rPr>
              <w:t>非专利技 术</w:t>
            </w:r>
          </w:p>
        </w:tc>
        <w:tc>
          <w:tcPr>
            <w:tcW w:w="1001" w:type="dxa"/>
            <w:vMerge w:val="restart"/>
            <w:tcBorders>
              <w:top w:val="single" w:sz="4" w:space="0" w:color="000000"/>
              <w:left w:val="single" w:sz="13" w:space="0" w:color="D3D3D3"/>
              <w:right w:val="single" w:sz="4" w:space="0" w:color="000000"/>
            </w:tcBorders>
            <w:shd w:val="clear" w:color="auto" w:fill="E1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002" w:type="dxa"/>
            <w:vMerge w:val="restart"/>
            <w:tcBorders>
              <w:top w:val="single" w:sz="4" w:space="0" w:color="000000"/>
              <w:left w:val="single" w:sz="4" w:space="0" w:color="000000"/>
              <w:right w:val="single" w:sz="4" w:space="0" w:color="000000"/>
            </w:tcBorders>
            <w:shd w:val="clear" w:color="auto" w:fill="E1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091" w:type="dxa"/>
            <w:vMerge w:val="restart"/>
            <w:tcBorders>
              <w:top w:val="single" w:sz="4" w:space="0" w:color="000000"/>
              <w:left w:val="single" w:sz="4" w:space="0" w:color="000000"/>
              <w:right w:val="single" w:sz="4" w:space="0" w:color="000000"/>
            </w:tcBorders>
            <w:shd w:val="clear" w:color="auto" w:fill="E1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091" w:type="dxa"/>
            <w:vMerge w:val="restart"/>
            <w:tcBorders>
              <w:top w:val="single" w:sz="4" w:space="0" w:color="000000"/>
              <w:left w:val="single" w:sz="4" w:space="0" w:color="000000"/>
              <w:right w:val="single" w:sz="4" w:space="0" w:color="000000"/>
            </w:tcBorders>
            <w:shd w:val="clear" w:color="auto" w:fill="E1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1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9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8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546" w:type="dxa"/>
            <w:vMerge/>
            <w:tcBorders>
              <w:left w:val="single" w:sz="4" w:space="0" w:color="000000"/>
              <w:right w:val="single" w:sz="4" w:space="0" w:color="000000"/>
            </w:tcBorders>
            <w:shd w:val="clear" w:color="auto" w:fill="D3D3D3"/>
          </w:tcPr>
          <w:p>
            <w:pPr/>
          </w:p>
        </w:tc>
        <w:tc>
          <w:tcPr>
            <w:tcW w:w="854" w:type="dxa"/>
            <w:vMerge/>
            <w:tcBorders>
              <w:left w:val="single" w:sz="4" w:space="0" w:color="000000"/>
              <w:right w:val="single" w:sz="4" w:space="0" w:color="000000"/>
            </w:tcBorders>
            <w:shd w:val="clear" w:color="auto" w:fill="D3D3D3"/>
          </w:tcPr>
          <w:p>
            <w:pPr/>
          </w:p>
        </w:tc>
        <w:tc>
          <w:tcPr>
            <w:tcW w:w="1001" w:type="dxa"/>
            <w:vMerge/>
            <w:tcBorders>
              <w:left w:val="single" w:sz="13" w:space="0" w:color="D3D3D3"/>
              <w:right w:val="single" w:sz="4" w:space="0" w:color="000000"/>
            </w:tcBorders>
            <w:shd w:val="clear" w:color="auto" w:fill="E1FFFF"/>
          </w:tcPr>
          <w:p>
            <w:pPr/>
          </w:p>
        </w:tc>
        <w:tc>
          <w:tcPr>
            <w:tcW w:w="1002" w:type="dxa"/>
            <w:vMerge/>
            <w:tcBorders>
              <w:left w:val="single" w:sz="4" w:space="0" w:color="000000"/>
              <w:right w:val="single" w:sz="4" w:space="0" w:color="000000"/>
            </w:tcBorders>
            <w:shd w:val="clear" w:color="auto" w:fill="E1FFFF"/>
          </w:tcPr>
          <w:p>
            <w:pPr/>
          </w:p>
        </w:tc>
        <w:tc>
          <w:tcPr>
            <w:tcW w:w="1091" w:type="dxa"/>
            <w:vMerge/>
            <w:tcBorders>
              <w:left w:val="single" w:sz="4" w:space="0" w:color="000000"/>
              <w:right w:val="single" w:sz="4" w:space="0" w:color="000000"/>
            </w:tcBorders>
            <w:shd w:val="clear" w:color="auto" w:fill="E1FFFF"/>
          </w:tcPr>
          <w:p>
            <w:pPr/>
          </w:p>
        </w:tc>
        <w:tc>
          <w:tcPr>
            <w:tcW w:w="1091" w:type="dxa"/>
            <w:vMerge/>
            <w:tcBorders>
              <w:left w:val="single" w:sz="4" w:space="0" w:color="000000"/>
              <w:right w:val="single" w:sz="4" w:space="0" w:color="000000"/>
            </w:tcBorders>
            <w:shd w:val="clear" w:color="auto" w:fill="E1FFFF"/>
          </w:tcPr>
          <w:p>
            <w:pPr/>
          </w:p>
        </w:tc>
        <w:tc>
          <w:tcPr>
            <w:tcW w:w="1091" w:type="dxa"/>
            <w:vMerge/>
            <w:tcBorders>
              <w:left w:val="single" w:sz="4" w:space="0" w:color="000000"/>
              <w:right w:val="single" w:sz="4" w:space="0" w:color="000000"/>
            </w:tcBorders>
            <w:shd w:val="clear" w:color="auto" w:fill="D3D3D3"/>
          </w:tcPr>
          <w:p>
            <w:pPr/>
          </w:p>
        </w:tc>
      </w:tr>
      <w:tr>
        <w:trPr>
          <w:trHeight w:val="161" w:hRule="exact"/>
        </w:trPr>
        <w:tc>
          <w:tcPr>
            <w:tcW w:w="1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6" w:type="dxa"/>
            <w:vMerge/>
            <w:tcBorders>
              <w:left w:val="single" w:sz="4" w:space="0" w:color="000000"/>
              <w:bottom w:val="single" w:sz="4" w:space="0" w:color="000000"/>
              <w:right w:val="single" w:sz="4" w:space="0" w:color="000000"/>
            </w:tcBorders>
            <w:shd w:val="clear" w:color="auto" w:fill="D3D3D3"/>
          </w:tcPr>
          <w:p>
            <w:pPr/>
          </w:p>
        </w:tc>
        <w:tc>
          <w:tcPr>
            <w:tcW w:w="854" w:type="dxa"/>
            <w:vMerge/>
            <w:tcBorders>
              <w:left w:val="single" w:sz="4" w:space="0" w:color="000000"/>
              <w:bottom w:val="single" w:sz="4" w:space="0" w:color="000000"/>
              <w:right w:val="single" w:sz="4" w:space="0" w:color="000000"/>
            </w:tcBorders>
            <w:shd w:val="clear" w:color="auto" w:fill="D3D3D3"/>
          </w:tcPr>
          <w:p>
            <w:pPr/>
          </w:p>
        </w:tc>
        <w:tc>
          <w:tcPr>
            <w:tcW w:w="1001" w:type="dxa"/>
            <w:vMerge/>
            <w:tcBorders>
              <w:left w:val="single" w:sz="13" w:space="0" w:color="D3D3D3"/>
              <w:bottom w:val="single" w:sz="4" w:space="0" w:color="000000"/>
              <w:right w:val="single" w:sz="4" w:space="0" w:color="000000"/>
            </w:tcBorders>
            <w:shd w:val="clear" w:color="auto" w:fill="E1FFFF"/>
          </w:tcPr>
          <w:p>
            <w:pPr/>
          </w:p>
        </w:tc>
        <w:tc>
          <w:tcPr>
            <w:tcW w:w="1002" w:type="dxa"/>
            <w:vMerge/>
            <w:tcBorders>
              <w:left w:val="single" w:sz="4" w:space="0" w:color="000000"/>
              <w:bottom w:val="single" w:sz="4" w:space="0" w:color="000000"/>
              <w:right w:val="single" w:sz="4" w:space="0" w:color="000000"/>
            </w:tcBorders>
            <w:shd w:val="clear" w:color="auto" w:fill="E1FFFF"/>
          </w:tcPr>
          <w:p>
            <w:pPr/>
          </w:p>
        </w:tc>
        <w:tc>
          <w:tcPr>
            <w:tcW w:w="1091" w:type="dxa"/>
            <w:vMerge/>
            <w:tcBorders>
              <w:left w:val="single" w:sz="4" w:space="0" w:color="000000"/>
              <w:bottom w:val="single" w:sz="4" w:space="0" w:color="000000"/>
              <w:right w:val="single" w:sz="4" w:space="0" w:color="000000"/>
            </w:tcBorders>
            <w:shd w:val="clear" w:color="auto" w:fill="E1FFFF"/>
          </w:tcPr>
          <w:p>
            <w:pPr/>
          </w:p>
        </w:tc>
        <w:tc>
          <w:tcPr>
            <w:tcW w:w="1091" w:type="dxa"/>
            <w:vMerge/>
            <w:tcBorders>
              <w:left w:val="single" w:sz="4" w:space="0" w:color="000000"/>
              <w:bottom w:val="single" w:sz="4" w:space="0" w:color="000000"/>
              <w:right w:val="single" w:sz="4" w:space="0" w:color="000000"/>
            </w:tcBorders>
            <w:shd w:val="clear" w:color="auto" w:fill="E1FFFF"/>
          </w:tcPr>
          <w:p>
            <w:pPr/>
          </w:p>
        </w:tc>
        <w:tc>
          <w:tcPr>
            <w:tcW w:w="109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091" w:type="dxa"/>
            <w:tcBorders>
              <w:top w:val="single" w:sz="4" w:space="0" w:color="000000"/>
              <w:left w:val="single" w:sz="13" w:space="0" w:color="D3D3D3"/>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0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14,251,283.39</w:t>
            </w: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6,342,481.83</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3,383,679.26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17,982,800.00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4,664,979.67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46,625,224.15</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0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49,188,600.00</w:t>
            </w: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761,266.75</w:t>
            </w: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6,620,756.84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56,570,623.59</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0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49,188,600.00</w:t>
            </w: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761,266.75</w:t>
            </w: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209,684.49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50,159,551.24</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091" w:type="dxa"/>
            <w:tcBorders>
              <w:top w:val="single" w:sz="4" w:space="0" w:color="000000"/>
              <w:left w:val="single" w:sz="13" w:space="0" w:color="D3D3D3"/>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6,411,072.35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6,411,072.35</w:t>
            </w:r>
          </w:p>
        </w:tc>
      </w:tr>
      <w:tr>
        <w:trPr>
          <w:trHeight w:val="714"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3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）企业合并增</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091" w:type="dxa"/>
            <w:tcBorders>
              <w:top w:val="single" w:sz="4" w:space="0" w:color="000000"/>
              <w:left w:val="single" w:sz="13" w:space="0" w:color="D3D3D3"/>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09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65,811.97</w:t>
            </w: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17,982,800.00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18,048,611.97</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09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65,811.97</w:t>
            </w: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65,811.97</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09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17,982,800.00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17,982,800.00</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9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09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831,324.90</w:t>
            </w: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3,487,482.02</w:t>
            </w: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5,994,266.64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36,520.91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10,349,594.47</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367,006.68</w:t>
            </w: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562,327.50</w:t>
            </w: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3,596,560.00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762,107.83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5,288,002.01</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367,006.68</w:t>
            </w: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562,327.50</w:t>
            </w: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3,596,560.00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762,107.83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5,288,002.01</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09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09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65,811.97</w:t>
            </w: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9,590,826.64</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9,656,638.61</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09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65,811.97</w:t>
            </w: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65,811.97</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09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9,590,826.64</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9,590,826.64</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1,198,331.58</w:t>
            </w: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3,983,997.55</w:t>
            </w: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798,628.74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5,980,957.87</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09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09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09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09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09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09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0"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99"/>
        <w:gridCol w:w="1091"/>
        <w:gridCol w:w="546"/>
        <w:gridCol w:w="854"/>
        <w:gridCol w:w="1001"/>
        <w:gridCol w:w="1002"/>
        <w:gridCol w:w="1091"/>
        <w:gridCol w:w="1091"/>
        <w:gridCol w:w="1091"/>
      </w:tblGrid>
      <w:tr>
        <w:trPr>
          <w:trHeight w:val="402" w:hRule="exact"/>
        </w:trPr>
        <w:tc>
          <w:tcPr>
            <w:tcW w:w="18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9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09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9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62,241,551.81</w:t>
            </w: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3,053,939.06</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3,383,679.26</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10,487,107.77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79,166,277.90</w:t>
            </w:r>
          </w:p>
        </w:tc>
      </w:tr>
      <w:tr>
        <w:trPr>
          <w:trHeight w:val="402" w:hRule="exact"/>
        </w:trPr>
        <w:tc>
          <w:tcPr>
            <w:tcW w:w="18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9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13,419,958.49</w:t>
            </w:r>
          </w:p>
        </w:tc>
        <w:tc>
          <w:tcPr>
            <w:tcW w:w="54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2,854,999.81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3,383,679.26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11,988,533.36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4,628,458.76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36,275,629.68</w:t>
            </w:r>
          </w:p>
        </w:tc>
      </w:tr>
    </w:tbl>
    <w:p>
      <w:pPr>
        <w:pStyle w:val="BodyText"/>
        <w:spacing w:line="240" w:lineRule="auto" w:before="51"/>
        <w:ind w:right="0"/>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12.67%</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杭大江东工出【</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号地块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49,106,619.00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581"/>
        <w:gridCol w:w="1134"/>
        <w:gridCol w:w="1133"/>
        <w:gridCol w:w="568"/>
        <w:gridCol w:w="460"/>
        <w:gridCol w:w="1098"/>
        <w:gridCol w:w="1134"/>
        <w:gridCol w:w="569"/>
        <w:gridCol w:w="1018"/>
      </w:tblGrid>
      <w:tr>
        <w:trPr>
          <w:trHeight w:val="402" w:hRule="exact"/>
        </w:trPr>
        <w:tc>
          <w:tcPr>
            <w:tcW w:w="25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6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8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58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全国教师培训网（小学课件）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2,651,126.54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2,773,126.54</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58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全国教师培训网（校长课件）</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1,892,739.60</w:t>
            </w:r>
          </w:p>
        </w:tc>
        <w:tc>
          <w:tcPr>
            <w:tcW w:w="56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1,359,409.51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533,330.09</w:t>
            </w:r>
          </w:p>
        </w:tc>
        <w:tc>
          <w:tcPr>
            <w:tcW w:w="56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中教未来教学管理系统</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1,570,459.58</w:t>
            </w:r>
          </w:p>
        </w:tc>
        <w:tc>
          <w:tcPr>
            <w:tcW w:w="56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1,149,636.40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420,823.18</w:t>
            </w:r>
          </w:p>
        </w:tc>
        <w:tc>
          <w:tcPr>
            <w:tcW w:w="56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中教未来在线课程学习平台</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2,777,622.12</w:t>
            </w:r>
          </w:p>
        </w:tc>
        <w:tc>
          <w:tcPr>
            <w:tcW w:w="56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414,444.24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2,363,177.88</w:t>
            </w:r>
          </w:p>
        </w:tc>
        <w:tc>
          <w:tcPr>
            <w:tcW w:w="56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大数据实验室</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1,143,295.49</w:t>
            </w:r>
          </w:p>
        </w:tc>
        <w:tc>
          <w:tcPr>
            <w:tcW w:w="56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210,356.37</w:t>
            </w:r>
          </w:p>
        </w:tc>
        <w:tc>
          <w:tcPr>
            <w:tcW w:w="56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932,939.12</w:t>
            </w:r>
          </w:p>
        </w:tc>
      </w:tr>
      <w:tr>
        <w:trPr>
          <w:trHeight w:val="402" w:hRule="exact"/>
        </w:trPr>
        <w:tc>
          <w:tcPr>
            <w:tcW w:w="258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教育教学信息资源公共服务平台</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186,221.03</w:t>
            </w:r>
          </w:p>
        </w:tc>
        <w:tc>
          <w:tcPr>
            <w:tcW w:w="56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20,651.39</w:t>
            </w:r>
          </w:p>
        </w:tc>
        <w:tc>
          <w:tcPr>
            <w:tcW w:w="56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165,569.64</w:t>
            </w:r>
          </w:p>
        </w:tc>
      </w:tr>
      <w:tr>
        <w:trPr>
          <w:trHeight w:val="402" w:hRule="exact"/>
        </w:trPr>
        <w:tc>
          <w:tcPr>
            <w:tcW w:w="258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双创在线教学平台</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388,638.65</w:t>
            </w:r>
          </w:p>
        </w:tc>
        <w:tc>
          <w:tcPr>
            <w:tcW w:w="56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273,047.27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115,591.38</w:t>
            </w:r>
          </w:p>
        </w:tc>
        <w:tc>
          <w:tcPr>
            <w:tcW w:w="56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励耘行知高校入学报名系统</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650,601.12</w:t>
            </w:r>
          </w:p>
        </w:tc>
        <w:tc>
          <w:tcPr>
            <w:tcW w:w="56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441,408.39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209,192.73</w:t>
            </w:r>
          </w:p>
        </w:tc>
        <w:tc>
          <w:tcPr>
            <w:tcW w:w="56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2,651,126.54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8,731,577.59</w:t>
            </w:r>
          </w:p>
        </w:tc>
        <w:tc>
          <w:tcPr>
            <w:tcW w:w="56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6,411,072.35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3,873,123.02</w:t>
            </w:r>
          </w:p>
        </w:tc>
        <w:tc>
          <w:tcPr>
            <w:tcW w:w="56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1,098,508.76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428"/>
        <w:gridCol w:w="1561"/>
        <w:gridCol w:w="566"/>
        <w:gridCol w:w="565"/>
        <w:gridCol w:w="1182"/>
        <w:gridCol w:w="901"/>
        <w:gridCol w:w="1489"/>
      </w:tblGrid>
      <w:tr>
        <w:trPr>
          <w:trHeight w:val="402" w:hRule="exact"/>
        </w:trPr>
        <w:tc>
          <w:tcPr>
            <w:tcW w:w="34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8"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5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08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42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181,787,928.75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181,787,928.75</w:t>
            </w:r>
          </w:p>
        </w:tc>
        <w:tc>
          <w:tcPr>
            <w:tcW w:w="901"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2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中教未来国际教育科技（北京）有限公司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525,013,767.16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525,013,767.16</w:t>
            </w:r>
          </w:p>
        </w:tc>
      </w:tr>
      <w:tr>
        <w:trPr>
          <w:trHeight w:val="402" w:hRule="exact"/>
        </w:trPr>
        <w:tc>
          <w:tcPr>
            <w:tcW w:w="342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北京红舞星文化传播有限公司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367,290.76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367,290.76</w:t>
            </w:r>
          </w:p>
        </w:tc>
      </w:tr>
      <w:tr>
        <w:trPr>
          <w:trHeight w:val="402" w:hRule="exact"/>
        </w:trPr>
        <w:tc>
          <w:tcPr>
            <w:tcW w:w="342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艾特嘉信息技术（北京）有限公司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2,019,356.16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2,019,356.16</w:t>
            </w:r>
          </w:p>
        </w:tc>
      </w:tr>
      <w:tr>
        <w:trPr>
          <w:trHeight w:val="402" w:hRule="exact"/>
        </w:trPr>
        <w:tc>
          <w:tcPr>
            <w:tcW w:w="342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广州励耘教育科技有限公司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2,713,613.93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2,713,613.93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428"/>
        <w:gridCol w:w="1561"/>
        <w:gridCol w:w="566"/>
        <w:gridCol w:w="565"/>
        <w:gridCol w:w="1182"/>
        <w:gridCol w:w="901"/>
        <w:gridCol w:w="1489"/>
      </w:tblGrid>
      <w:tr>
        <w:trPr>
          <w:trHeight w:val="402" w:hRule="exact"/>
        </w:trPr>
        <w:tc>
          <w:tcPr>
            <w:tcW w:w="342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智明远扬教育科技（北京）有限公司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39,951,919.33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39,951,919.33</w:t>
            </w:r>
          </w:p>
        </w:tc>
      </w:tr>
      <w:tr>
        <w:trPr>
          <w:trHeight w:val="402" w:hRule="exact"/>
        </w:trPr>
        <w:tc>
          <w:tcPr>
            <w:tcW w:w="34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751,853,876.09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181,787,928.75</w:t>
            </w:r>
          </w:p>
        </w:tc>
        <w:tc>
          <w:tcPr>
            <w:tcW w:w="901"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570,065,947.34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1,315,524.41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2,566,742.94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1,082,491.84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59,136.31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2,740,639.20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阅报栏维护支出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37,614.55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32,901.68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4,712.87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广告牌</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9,890,110.27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3,610,714.75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2,981,665.91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75,758.00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10,443,401.11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1,019,932.10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727,906.80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710,897.25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1,036,941.65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12,263,181.33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6,905,364.49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4,807,956.68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134,894.31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14,225,694.83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8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3D3D3"/>
          </w:tcPr>
          <w:p>
            <w:pPr/>
          </w:p>
        </w:tc>
        <w:tc>
          <w:tcPr>
            <w:tcW w:w="19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1,304,085.29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305,256.85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1,743,247.48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357,314.49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17,648,693.31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4,412,173.32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8,816,865.45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2,204,216.36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19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2,749,643.25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687,410.82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2,630,898.92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657,724.73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21,702,421.85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5,404,840.99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13,191,011.85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3,219,255.58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2"/>
        <w:gridCol w:w="1904"/>
        <w:gridCol w:w="1925"/>
        <w:gridCol w:w="1903"/>
        <w:gridCol w:w="1903"/>
      </w:tblGrid>
      <w:tr>
        <w:trPr>
          <w:trHeight w:val="207" w:hRule="exact"/>
        </w:trPr>
        <w:tc>
          <w:tcPr>
            <w:tcW w:w="1912"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2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0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5" w:hRule="exact"/>
        </w:trPr>
        <w:tc>
          <w:tcPr>
            <w:tcW w:w="19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05"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12" w:type="dxa"/>
            <w:vMerge/>
            <w:tcBorders>
              <w:left w:val="single" w:sz="4" w:space="0" w:color="000000"/>
              <w:bottom w:val="nil" w:sz="6" w:space="0" w:color="auto"/>
              <w:right w:val="single" w:sz="4" w:space="0" w:color="000000"/>
            </w:tcBorders>
            <w:shd w:val="clear" w:color="auto" w:fill="D3D3D3"/>
          </w:tcPr>
          <w:p>
            <w:pPr/>
          </w:p>
        </w:tc>
        <w:tc>
          <w:tcPr>
            <w:tcW w:w="19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2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04" w:type="dxa"/>
            <w:vMerge/>
            <w:tcBorders>
              <w:left w:val="single" w:sz="4" w:space="0" w:color="000000"/>
              <w:bottom w:val="single" w:sz="4" w:space="0" w:color="000000"/>
              <w:right w:val="single" w:sz="4" w:space="0" w:color="000000"/>
            </w:tcBorders>
            <w:shd w:val="clear" w:color="auto" w:fill="D3D3D3"/>
          </w:tcPr>
          <w:p>
            <w:pPr/>
          </w:p>
        </w:tc>
        <w:tc>
          <w:tcPr>
            <w:tcW w:w="1925" w:type="dxa"/>
            <w:vMerge/>
            <w:tcBorders>
              <w:left w:val="single" w:sz="4" w:space="0" w:color="000000"/>
              <w:bottom w:val="single" w:sz="4" w:space="0" w:color="000000"/>
              <w:right w:val="single" w:sz="4" w:space="0" w:color="000000"/>
            </w:tcBorders>
            <w:shd w:val="clear" w:color="auto" w:fill="D3D3D3"/>
          </w:tcPr>
          <w:p>
            <w:pPr/>
          </w:p>
        </w:tc>
        <w:tc>
          <w:tcPr>
            <w:tcW w:w="1903" w:type="dxa"/>
            <w:vMerge/>
            <w:tcBorders>
              <w:left w:val="single" w:sz="4" w:space="0" w:color="000000"/>
              <w:bottom w:val="single" w:sz="4" w:space="0" w:color="000000"/>
              <w:right w:val="single" w:sz="4" w:space="0" w:color="000000"/>
            </w:tcBorders>
            <w:shd w:val="clear" w:color="auto" w:fill="D3D3D3"/>
          </w:tcPr>
          <w:p>
            <w:pPr/>
          </w:p>
        </w:tc>
        <w:tc>
          <w:tcPr>
            <w:tcW w:w="1903"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89"/>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04"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12,033,873.10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1,504,234.13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4"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12,033,873.10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1,504,234.13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162" w:hRule="exact"/>
        </w:trPr>
        <w:tc>
          <w:tcPr>
            <w:tcW w:w="1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192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425"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8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r>
      <w:tr>
        <w:trPr>
          <w:trHeight w:val="161" w:hRule="exact"/>
        </w:trPr>
        <w:tc>
          <w:tcPr>
            <w:tcW w:w="1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5" w:right="0"/>
              <w:jc w:val="left"/>
              <w:rPr>
                <w:rFonts w:ascii="Times New Roman" w:hAnsi="Times New Roman" w:cs="Times New Roman" w:eastAsia="Times New Roman" w:hint="default"/>
                <w:sz w:val="18"/>
                <w:szCs w:val="18"/>
              </w:rPr>
            </w:pPr>
            <w:r>
              <w:rPr>
                <w:rFonts w:ascii="Times New Roman"/>
                <w:sz w:val="18"/>
              </w:rPr>
              <w:t>5,404,840.99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3,219,255.58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1,504,234.13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431,059.38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964,783.50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31,532,278.86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25,834,834.77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31,963,338.24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26,799,618.27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2020</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2,233,928.85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2,233,928.85</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2021</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23,600,905.92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23,600,905.92</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2022</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5,697,444.09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31,532,278.86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25,834,834.77</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预付固定资产采购款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1,084,179.00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20,721,090.28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进项税留抵税额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46,215,604.16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44,977,277.56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预付装修款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1,534,046.17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50,233,829.33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67,012,767.84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60,450,000.00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190,450,000.00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25,600,000.00</w:t>
            </w:r>
          </w:p>
        </w:tc>
      </w:tr>
    </w:tbl>
    <w:p>
      <w:pPr>
        <w:pStyle w:val="BodyText"/>
        <w:spacing w:line="357" w:lineRule="auto" w:before="51"/>
        <w:ind w:left="625" w:right="0" w:hanging="472"/>
        <w:jc w:val="left"/>
      </w:pPr>
      <w:r>
        <w:rPr/>
        <w:t>短期借款分类的说明： 注：本公司之孙公司浙江风盛传媒股份有限公司因业务拓展、解决短期流动资金需要，向银行申请授信</w:t>
      </w:r>
      <w:r>
        <w:rPr>
          <w:rFonts w:ascii="Times New Roman" w:hAnsi="Times New Roman" w:cs="Times New Roman" w:eastAsia="Times New Roman" w:hint="default"/>
        </w:rPr>
        <w:t>14,000</w:t>
      </w:r>
      <w:r>
        <w:rPr/>
        <w:t>万元，</w:t>
      </w:r>
    </w:p>
    <w:p>
      <w:pPr>
        <w:pStyle w:val="BodyText"/>
        <w:spacing w:line="214" w:lineRule="exact"/>
        <w:ind w:left="153" w:right="0"/>
        <w:jc w:val="left"/>
      </w:pPr>
      <w:r>
        <w:rPr/>
        <w:t>申请本公司为其提供相应持股比例的连带责任担保，本次担保的期限为</w:t>
      </w:r>
      <w:r>
        <w:rPr>
          <w:rFonts w:ascii="Times New Roman" w:hAnsi="Times New Roman" w:cs="Times New Roman" w:eastAsia="Times New Roman" w:hint="default"/>
        </w:rPr>
        <w:t>5</w:t>
      </w:r>
      <w:r>
        <w:rPr/>
        <w:t>年。浙江风盛传媒股份有限公司其他股东浙江国大</w:t>
      </w:r>
    </w:p>
    <w:p>
      <w:pPr>
        <w:pStyle w:val="BodyText"/>
        <w:spacing w:line="240" w:lineRule="auto" w:before="63"/>
        <w:ind w:left="153" w:right="0"/>
        <w:jc w:val="left"/>
      </w:pPr>
      <w:r>
        <w:rPr/>
        <w:t>集团有限责任公司同意提供相应持股比例的连带保证责任担保。</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67,324,006.00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25,193,864.60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67,324,006.00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25,193,864.60</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采编广告及策划成本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58,822,205.39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110,211,400.71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38,003,374.39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52,411,460.38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17,993,836.62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16,725,079.54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114,819,416.40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179,347,940.63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报刊发行款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155,560,596.68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130,782,755.41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114,951,211.33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103,070,011.00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1,566,107.58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1,802,016.62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教育培训及技术服务款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26,112,685.81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22,683,175.60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6,469,061.52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5,093,497.23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304,659,662.92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263,431,455.86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7"/>
        <w:gridCol w:w="1430"/>
        <w:gridCol w:w="1914"/>
        <w:gridCol w:w="1914"/>
        <w:gridCol w:w="1914"/>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59,480,340.35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360,562,830.44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346,893,269.94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73,149,900.85</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设定提存计划</w:t>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1,236,984.53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22,850,485.71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22,918,208.94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1,169,261.30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430" w:type="dxa"/>
            <w:tcBorders>
              <w:top w:val="single" w:sz="4" w:space="0" w:color="000000"/>
              <w:left w:val="single" w:sz="13"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2,462,181.21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2,462,181.21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60,717,324.88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385,875,497.36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372,273,660.09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74,319,162.15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45"/>
        <w:gridCol w:w="1571"/>
        <w:gridCol w:w="1914"/>
        <w:gridCol w:w="1914"/>
        <w:gridCol w:w="1914"/>
      </w:tblGrid>
      <w:tr>
        <w:trPr>
          <w:trHeight w:val="402"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、工资、奖金、津贴和补贴</w:t>
            </w:r>
          </w:p>
        </w:tc>
        <w:tc>
          <w:tcPr>
            <w:tcW w:w="15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57,202,076.59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318,616,144.53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305,489,828.18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70,328,392.94</w:t>
            </w:r>
          </w:p>
        </w:tc>
      </w:tr>
      <w:tr>
        <w:trPr>
          <w:trHeight w:val="402"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571" w:type="dxa"/>
            <w:tcBorders>
              <w:top w:val="single" w:sz="4" w:space="0" w:color="000000"/>
              <w:left w:val="single" w:sz="13"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13,231,439.37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13,231,439.37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5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1,000,010.70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14,175,190.33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14,311,092.35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864,108.68</w:t>
            </w:r>
          </w:p>
        </w:tc>
      </w:tr>
      <w:tr>
        <w:trPr>
          <w:trHeight w:val="402"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900,168.23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12,656,185.74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12,778,293.28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778,060.69</w:t>
            </w:r>
          </w:p>
        </w:tc>
      </w:tr>
      <w:tr>
        <w:trPr>
          <w:trHeight w:val="403"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21,912.96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345,649.19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348,823.22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18,738.93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40"/>
        <w:gridCol w:w="1588"/>
        <w:gridCol w:w="1914"/>
        <w:gridCol w:w="1914"/>
        <w:gridCol w:w="1914"/>
      </w:tblGrid>
      <w:tr>
        <w:trPr>
          <w:trHeight w:val="402" w:hRule="exact"/>
        </w:trPr>
        <w:tc>
          <w:tcPr>
            <w:tcW w:w="2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77,929.51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1,173,355.40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1,183,975.85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67,309.06</w:t>
            </w:r>
          </w:p>
        </w:tc>
      </w:tr>
      <w:tr>
        <w:trPr>
          <w:trHeight w:val="402" w:hRule="exact"/>
        </w:trPr>
        <w:tc>
          <w:tcPr>
            <w:tcW w:w="2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5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105,995.00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10,810,244.80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10,853,141.80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63,098.00</w:t>
            </w:r>
          </w:p>
        </w:tc>
      </w:tr>
      <w:tr>
        <w:trPr>
          <w:trHeight w:val="402" w:hRule="exact"/>
        </w:trPr>
        <w:tc>
          <w:tcPr>
            <w:tcW w:w="2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、工会经费和职工教育经费</w:t>
            </w:r>
          </w:p>
        </w:tc>
        <w:tc>
          <w:tcPr>
            <w:tcW w:w="15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1,172,258.06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3,729,811.41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3,007,768.24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1,894,301.23</w:t>
            </w:r>
          </w:p>
        </w:tc>
      </w:tr>
      <w:tr>
        <w:trPr>
          <w:trHeight w:val="402" w:hRule="exact"/>
        </w:trPr>
        <w:tc>
          <w:tcPr>
            <w:tcW w:w="2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59,480,340.35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360,562,830.44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346,893,269.94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73,149,900.85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4"/>
      </w:tblGrid>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1,159,347.62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18,871,086.80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18,977,853.83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1,052,580.59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77,636.91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850,500.63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891,333.43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36,804.11</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3,128,898.28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3,049,021.68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79,876.60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1,236,984.53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22,850,485.71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22,918,208.94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1,169,261.30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15,497,748.96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16,817,908.87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2,788,443.52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5,092,250.35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3,153,483.23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1,847,374.37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625,421.98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815,735.76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270,047.32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365,440.81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176,317.64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243,292.10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42,726.13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3,383,765.77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3,455,933.97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247,730.62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131,817.14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370,084.31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226,129.79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3,542.47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2,986.56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44,338.57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20,714.90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26,560,924.39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29,093,310.75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62,716.75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241,731.21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20,735.00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143,324.52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447,772.48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20,735.00</w:t>
            </w:r>
          </w:p>
        </w:tc>
      </w:tr>
    </w:tbl>
    <w:p>
      <w:pPr>
        <w:pStyle w:val="BodyText"/>
        <w:spacing w:line="240" w:lineRule="auto" w:before="51"/>
        <w:ind w:right="0"/>
        <w:jc w:val="left"/>
      </w:pPr>
      <w:r>
        <w:rPr/>
        <w:t>重要的已逾期未支付的利息情况：不适用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5,972,470.85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3,107,619.00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5,972,470.85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3,107,619.00</w:t>
            </w:r>
          </w:p>
        </w:tc>
      </w:tr>
    </w:tbl>
    <w:p>
      <w:pPr>
        <w:pStyle w:val="BodyText"/>
        <w:spacing w:line="240" w:lineRule="auto" w:before="51"/>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应付投资款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301,241,493.26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339,274,884.63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12,945,074.58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2,309,983.73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14,870,984.19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21,981,581.60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10,977,370.26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14,671,835.02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340,034,922.29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378,238,284.98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42</w:t>
      </w:r>
      <w:r>
        <w:rPr/>
        <w:t>、持有待售的负债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63"/>
        <w:gridCol w:w="2706"/>
        <w:gridCol w:w="3188"/>
      </w:tblGrid>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7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7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55,830,000.00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减：一年内到期的长期借款（附注六、</w:t>
            </w:r>
            <w:r>
              <w:rPr>
                <w:rFonts w:ascii="Times New Roman" w:hAnsi="Times New Roman" w:cs="Times New Roman" w:eastAsia="Times New Roman" w:hint="default"/>
                <w:sz w:val="18"/>
                <w:szCs w:val="18"/>
              </w:rPr>
              <w:t>29</w:t>
            </w:r>
            <w:r>
              <w:rPr>
                <w:rFonts w:ascii="宋体" w:hAnsi="宋体" w:cs="宋体" w:eastAsia="宋体" w:hint="default"/>
                <w:sz w:val="18"/>
                <w:szCs w:val="18"/>
              </w:rPr>
              <w:t>）</w:t>
            </w:r>
          </w:p>
        </w:tc>
        <w:tc>
          <w:tcPr>
            <w:tcW w:w="270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47,630,000.00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3" w:right="7611"/>
        <w:jc w:val="left"/>
      </w:pPr>
      <w:r>
        <w:rPr/>
        <w:t>长期借款分类的说明： 其他说明，包括利率区间：</w:t>
      </w:r>
    </w:p>
    <w:p>
      <w:pPr>
        <w:pStyle w:val="BodyText"/>
        <w:spacing w:line="300" w:lineRule="auto" w:before="25"/>
        <w:ind w:right="99" w:firstLine="480"/>
        <w:jc w:val="both"/>
      </w:pPr>
      <w:r>
        <w:rPr/>
        <w:t>注</w:t>
      </w:r>
      <w:r>
        <w:rPr>
          <w:rFonts w:ascii="Times New Roman" w:hAnsi="Times New Roman" w:cs="Times New Roman" w:eastAsia="Times New Roman" w:hint="default"/>
        </w:rPr>
        <w:t>1</w:t>
      </w:r>
      <w:r>
        <w:rPr/>
        <w:t>：中教未来国际教育科技（北京）有限公司于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日与杭州银行股份有限公司北京中关村支行签订了编号 为</w:t>
      </w:r>
      <w:r>
        <w:rPr>
          <w:rFonts w:ascii="Times New Roman" w:hAnsi="Times New Roman" w:cs="Times New Roman" w:eastAsia="Times New Roman" w:hint="default"/>
        </w:rPr>
        <w:t>129C215201700001</w:t>
      </w:r>
      <w:r>
        <w:rPr/>
        <w:t>的借款合同，借款金额人民币</w:t>
      </w:r>
      <w:r>
        <w:rPr>
          <w:rFonts w:ascii="Times New Roman" w:hAnsi="Times New Roman" w:cs="Times New Roman" w:eastAsia="Times New Roman" w:hint="default"/>
        </w:rPr>
        <w:t>2,100.00</w:t>
      </w:r>
      <w:r>
        <w:rPr/>
        <w:t>万元，借款期限自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日止。中教未来国 际教育科技（北京）有限公司同时与杭州银行股份有限公司北京中关村支行签订了编号为</w:t>
      </w:r>
      <w:r>
        <w:rPr>
          <w:rFonts w:ascii="Times New Roman" w:hAnsi="Times New Roman" w:cs="Times New Roman" w:eastAsia="Times New Roman" w:hint="default"/>
        </w:rPr>
        <w:t>129C2152017000011</w:t>
      </w:r>
      <w:r>
        <w:rPr/>
        <w:t>的质押合同， 质押担保的主债权金额金额为人民币</w:t>
      </w:r>
      <w:r>
        <w:rPr>
          <w:rFonts w:ascii="Times New Roman" w:hAnsi="Times New Roman" w:cs="Times New Roman" w:eastAsia="Times New Roman" w:hint="default"/>
        </w:rPr>
        <w:t>2,100.00</w:t>
      </w:r>
      <w:r>
        <w:rPr/>
        <w:t>万元，质押权利清单：中教未来国际教育科技（北京）有限公司持有的智明远</w:t>
      </w:r>
      <w:r>
        <w:rPr>
          <w:spacing w:val="-84"/>
        </w:rPr>
        <w:t> </w:t>
      </w:r>
      <w:r>
        <w:rPr>
          <w:spacing w:val="-84"/>
        </w:rPr>
      </w:r>
      <w:r>
        <w:rPr/>
        <w:t>扬国际教育科技（北京）有限公司</w:t>
      </w:r>
      <w:r>
        <w:rPr>
          <w:rFonts w:ascii="Times New Roman" w:hAnsi="Times New Roman" w:cs="Times New Roman" w:eastAsia="Times New Roman" w:hint="default"/>
        </w:rPr>
        <w:t>100%</w:t>
      </w:r>
      <w:r>
        <w:rPr/>
        <w:t>的股权（质押股权协商认定评估价为人民币</w:t>
      </w:r>
      <w:r>
        <w:rPr>
          <w:rFonts w:ascii="Times New Roman" w:hAnsi="Times New Roman" w:cs="Times New Roman" w:eastAsia="Times New Roman" w:hint="default"/>
        </w:rPr>
        <w:t>5,531.00</w:t>
      </w:r>
      <w:r>
        <w:rPr/>
        <w:t>万元）。截止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中教未来国际教育科技（北京）有限公司尚未使用的借款额度为人民币</w:t>
      </w:r>
      <w:r>
        <w:rPr>
          <w:rFonts w:ascii="Times New Roman" w:hAnsi="Times New Roman" w:cs="Times New Roman" w:eastAsia="Times New Roman" w:hint="default"/>
        </w:rPr>
        <w:t>630.00</w:t>
      </w:r>
      <w:r>
        <w:rPr/>
        <w:t>万元。</w:t>
      </w:r>
    </w:p>
    <w:p>
      <w:pPr>
        <w:pStyle w:val="BodyText"/>
        <w:spacing w:line="300" w:lineRule="auto" w:before="13"/>
        <w:ind w:left="153" w:right="148" w:firstLine="480"/>
        <w:jc w:val="both"/>
      </w:pPr>
      <w:r>
        <w:rPr/>
        <w:t>注</w:t>
      </w:r>
      <w:r>
        <w:rPr>
          <w:rFonts w:ascii="Times New Roman" w:hAnsi="Times New Roman" w:cs="Times New Roman" w:eastAsia="Times New Roman" w:hint="default"/>
        </w:rPr>
        <w:t>2</w:t>
      </w:r>
      <w:r>
        <w:rPr/>
        <w:t>：中教未来国际教育科技（北京）有限公司于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日与杭州银行股份有限公司北京中关村支行签订了编号 </w:t>
      </w:r>
      <w:r>
        <w:rPr>
          <w:spacing w:val="-1"/>
        </w:rPr>
        <w:t>为</w:t>
      </w:r>
      <w:r>
        <w:rPr>
          <w:rFonts w:ascii="Times New Roman" w:hAnsi="Times New Roman" w:cs="Times New Roman" w:eastAsia="Times New Roman" w:hint="default"/>
          <w:spacing w:val="-1"/>
        </w:rPr>
        <w:t>129C215201700006</w:t>
      </w:r>
      <w:r>
        <w:rPr>
          <w:spacing w:val="-1"/>
        </w:rPr>
        <w:t>的借款合同，借款金额人民币</w:t>
      </w:r>
      <w:r>
        <w:rPr>
          <w:rFonts w:ascii="Times New Roman" w:hAnsi="Times New Roman" w:cs="Times New Roman" w:eastAsia="Times New Roman" w:hint="default"/>
          <w:spacing w:val="-1"/>
        </w:rPr>
        <w:t>7,500.00</w:t>
      </w:r>
      <w:r>
        <w:rPr>
          <w:spacing w:val="-1"/>
        </w:rPr>
        <w:t>万元，借款期限自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8</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7</w:t>
      </w:r>
      <w:r>
        <w:rPr>
          <w:spacing w:val="-1"/>
        </w:rPr>
        <w:t>日止。同时，宁波</w:t>
      </w:r>
      <w:r>
        <w:rPr>
          <w:spacing w:val="-43"/>
        </w:rPr>
        <w:t> </w:t>
      </w:r>
      <w:r>
        <w:rPr>
          <w:spacing w:val="-43"/>
        </w:rPr>
      </w:r>
      <w:r>
        <w:rPr>
          <w:spacing w:val="-1"/>
        </w:rPr>
        <w:t>高新区新愿景股权投资有限公司与杭州银行股份有限公司北京中关村支行签订了编号为</w:t>
      </w:r>
      <w:r>
        <w:rPr>
          <w:rFonts w:ascii="Times New Roman" w:hAnsi="Times New Roman" w:cs="Times New Roman" w:eastAsia="Times New Roman" w:hint="default"/>
          <w:spacing w:val="-1"/>
        </w:rPr>
        <w:t>129C2152017000061</w:t>
      </w:r>
      <w:r>
        <w:rPr>
          <w:spacing w:val="-1"/>
        </w:rPr>
        <w:t>的保证合同，保</w:t>
      </w:r>
      <w:r>
        <w:rPr>
          <w:spacing w:val="-51"/>
        </w:rPr>
        <w:t> </w:t>
      </w:r>
      <w:r>
        <w:rPr>
          <w:spacing w:val="-51"/>
        </w:rPr>
      </w:r>
      <w:r>
        <w:rPr/>
        <w:t>证担保的主债权金额为人民币</w:t>
      </w:r>
      <w:r>
        <w:rPr>
          <w:rFonts w:ascii="Times New Roman" w:hAnsi="Times New Roman" w:cs="Times New Roman" w:eastAsia="Times New Roman" w:hint="default"/>
        </w:rPr>
        <w:t>7,500.00</w:t>
      </w:r>
      <w:r>
        <w:rPr/>
        <w:t>万元，保证期间为自借款发放之日起至借款到期后两年止。曲水华航投资有限公司与</w:t>
      </w:r>
      <w:r>
        <w:rPr>
          <w:spacing w:val="-85"/>
        </w:rPr>
        <w:t> </w:t>
      </w:r>
      <w:r>
        <w:rPr>
          <w:spacing w:val="-85"/>
        </w:rPr>
      </w:r>
      <w:r>
        <w:rPr>
          <w:spacing w:val="5"/>
        </w:rPr>
        <w:t>杭州银行股份有限公司北京中关村支行签订了编号为</w:t>
      </w:r>
      <w:r>
        <w:rPr>
          <w:rFonts w:ascii="Times New Roman" w:hAnsi="Times New Roman" w:cs="Times New Roman" w:eastAsia="Times New Roman" w:hint="default"/>
          <w:spacing w:val="5"/>
        </w:rPr>
        <w:t>129C2152017000062</w:t>
      </w:r>
      <w:r>
        <w:rPr>
          <w:spacing w:val="5"/>
        </w:rPr>
        <w:t>的保证合同，保证担保的主债权金额为人民币</w:t>
      </w:r>
      <w:r>
        <w:rPr>
          <w:spacing w:val="-68"/>
        </w:rPr>
        <w:t> </w:t>
      </w:r>
      <w:r>
        <w:rPr>
          <w:spacing w:val="-68"/>
        </w:rPr>
      </w:r>
      <w:r>
        <w:rPr>
          <w:rFonts w:ascii="Times New Roman" w:hAnsi="Times New Roman" w:cs="Times New Roman" w:eastAsia="Times New Roman" w:hint="default"/>
        </w:rPr>
        <w:t>7,500.00</w:t>
      </w:r>
      <w:r>
        <w:rPr/>
        <w:t>万元，保证期间为自借款发放之日起至借款到期后两年止。吴井军与杭州银行股份有限公司北京中关村支行签订了</w:t>
      </w:r>
      <w:r>
        <w:rPr>
          <w:spacing w:val="-85"/>
        </w:rPr>
        <w:t> </w:t>
      </w:r>
      <w:r>
        <w:rPr>
          <w:spacing w:val="-85"/>
        </w:rPr>
      </w:r>
      <w:r>
        <w:rPr/>
        <w:t>编号为</w:t>
      </w:r>
      <w:r>
        <w:rPr>
          <w:rFonts w:ascii="Times New Roman" w:hAnsi="Times New Roman" w:cs="Times New Roman" w:eastAsia="Times New Roman" w:hint="default"/>
        </w:rPr>
        <w:t>129C2152017000063</w:t>
      </w:r>
      <w:r>
        <w:rPr/>
        <w:t>的抵押合同，抵押担保的主债权金额为人民币</w:t>
      </w:r>
      <w:r>
        <w:rPr>
          <w:rFonts w:ascii="Times New Roman" w:hAnsi="Times New Roman" w:cs="Times New Roman" w:eastAsia="Times New Roman" w:hint="default"/>
        </w:rPr>
        <w:t>7,500.00</w:t>
      </w:r>
      <w:r>
        <w:rPr/>
        <w:t>万元，抵押财产清单：普通住宅（京房权</w:t>
      </w:r>
      <w:r>
        <w:rPr>
          <w:spacing w:val="-36"/>
        </w:rPr>
        <w:t> </w:t>
      </w:r>
      <w:r>
        <w:rPr>
          <w:spacing w:val="-36"/>
        </w:rPr>
      </w:r>
      <w:r>
        <w:rPr>
          <w:spacing w:val="-1"/>
        </w:rPr>
        <w:t>证海私移字第</w:t>
      </w:r>
      <w:r>
        <w:rPr>
          <w:rFonts w:ascii="Times New Roman" w:hAnsi="Times New Roman" w:cs="Times New Roman" w:eastAsia="Times New Roman" w:hint="default"/>
          <w:spacing w:val="-1"/>
        </w:rPr>
        <w:t>0105318</w:t>
      </w:r>
      <w:r>
        <w:rPr>
          <w:spacing w:val="-1"/>
        </w:rPr>
        <w:t>号，协商认定评估价为人民币</w:t>
      </w:r>
      <w:r>
        <w:rPr>
          <w:rFonts w:ascii="Times New Roman" w:hAnsi="Times New Roman" w:cs="Times New Roman" w:eastAsia="Times New Roman" w:hint="default"/>
          <w:spacing w:val="-1"/>
        </w:rPr>
        <w:t>9,429,749.35</w:t>
      </w:r>
      <w:r>
        <w:rPr>
          <w:spacing w:val="-1"/>
        </w:rPr>
        <w:t>元）。浙江华媒控股股份有限公司与杭州银行股份有限公司</w:t>
      </w:r>
      <w:r>
        <w:rPr>
          <w:spacing w:val="-64"/>
        </w:rPr>
        <w:t> </w:t>
      </w:r>
      <w:r>
        <w:rPr>
          <w:spacing w:val="-64"/>
        </w:rPr>
      </w:r>
      <w:r>
        <w:rPr/>
        <w:t>北京中关村支行签订了编号为</w:t>
      </w:r>
      <w:r>
        <w:rPr>
          <w:rFonts w:ascii="Times New Roman" w:hAnsi="Times New Roman" w:cs="Times New Roman" w:eastAsia="Times New Roman" w:hint="default"/>
        </w:rPr>
        <w:t>129C2152017000064</w:t>
      </w:r>
      <w:r>
        <w:rPr/>
        <w:t>的最高额保证合同，本合同债权确认期间为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rFonts w:ascii="Times New Roman" w:hAnsi="Times New Roman" w:cs="Times New Roman" w:eastAsia="Times New Roman" w:hint="default"/>
          <w:spacing w:val="41"/>
        </w:rPr>
        <w:t> </w:t>
      </w:r>
      <w:r>
        <w:rPr/>
        <w:t>日，最高融资余额为人民币</w:t>
      </w:r>
      <w:r>
        <w:rPr>
          <w:rFonts w:ascii="Times New Roman" w:hAnsi="Times New Roman" w:cs="Times New Roman" w:eastAsia="Times New Roman" w:hint="default"/>
        </w:rPr>
        <w:t>4,500.00</w:t>
      </w:r>
      <w:r>
        <w:rPr/>
        <w:t>万元。中教未来国际教育科技（北京）有限公司与杭州银行股份有限公司北京中关村支</w:t>
      </w:r>
      <w:r>
        <w:rPr>
          <w:spacing w:val="-85"/>
        </w:rPr>
        <w:t> </w:t>
      </w:r>
      <w:r>
        <w:rPr>
          <w:spacing w:val="-85"/>
        </w:rPr>
      </w:r>
      <w:r>
        <w:rPr/>
        <w:t>行签订了编号为</w:t>
      </w:r>
      <w:r>
        <w:rPr>
          <w:rFonts w:ascii="Times New Roman" w:hAnsi="Times New Roman" w:cs="Times New Roman" w:eastAsia="Times New Roman" w:hint="default"/>
        </w:rPr>
        <w:t>129C2152017000065</w:t>
      </w:r>
      <w:r>
        <w:rPr/>
        <w:t>的质押合同，质押担保的主债权金额为人民币</w:t>
      </w:r>
      <w:r>
        <w:rPr>
          <w:rFonts w:ascii="Times New Roman" w:hAnsi="Times New Roman" w:cs="Times New Roman" w:eastAsia="Times New Roman" w:hint="default"/>
        </w:rPr>
        <w:t>7,500.00</w:t>
      </w:r>
      <w:r>
        <w:rPr/>
        <w:t>万元，质押权利清单：中教未来</w:t>
      </w:r>
      <w:r>
        <w:rPr>
          <w:spacing w:val="-36"/>
        </w:rPr>
        <w:t> </w:t>
      </w:r>
      <w:r>
        <w:rPr>
          <w:spacing w:val="-36"/>
        </w:rPr>
      </w:r>
      <w:r>
        <w:rPr>
          <w:spacing w:val="-1"/>
        </w:rPr>
        <w:t>国际教育科技（北京）有限公司持有的布朗睿智（北京）国际教育科技有限公司</w:t>
      </w:r>
      <w:r>
        <w:rPr>
          <w:rFonts w:ascii="Times New Roman" w:hAnsi="Times New Roman" w:cs="Times New Roman" w:eastAsia="Times New Roman" w:hint="default"/>
          <w:spacing w:val="-1"/>
        </w:rPr>
        <w:t>30%</w:t>
      </w:r>
      <w:r>
        <w:rPr>
          <w:spacing w:val="-1"/>
        </w:rPr>
        <w:t>的股权（质押股权协商认定评估价为人</w:t>
      </w:r>
      <w:r>
        <w:rPr/>
        <w:t> 民币</w:t>
      </w:r>
      <w:r>
        <w:rPr>
          <w:rFonts w:ascii="Times New Roman" w:hAnsi="Times New Roman" w:cs="Times New Roman" w:eastAsia="Times New Roman" w:hint="default"/>
        </w:rPr>
        <w:t>104,929,600.00</w:t>
      </w:r>
      <w:r>
        <w:rPr/>
        <w:t>元）、中教未来国际教育科技（北京）有限公司持有的布朗时代（北京）教育投资有限公司</w:t>
      </w:r>
      <w:r>
        <w:rPr>
          <w:rFonts w:ascii="Times New Roman" w:hAnsi="Times New Roman" w:cs="Times New Roman" w:eastAsia="Times New Roman" w:hint="default"/>
        </w:rPr>
        <w:t>30%</w:t>
      </w:r>
      <w:r>
        <w:rPr/>
        <w:t>的股权</w:t>
      </w:r>
    </w:p>
    <w:p>
      <w:pPr>
        <w:pStyle w:val="BodyText"/>
        <w:spacing w:line="300" w:lineRule="auto" w:before="13"/>
        <w:ind w:left="153" w:right="0"/>
        <w:jc w:val="left"/>
      </w:pPr>
      <w:r>
        <w:rPr>
          <w:spacing w:val="-1"/>
        </w:rPr>
        <w:t>（质押股权协商认定评估价为人民币</w:t>
      </w:r>
      <w:r>
        <w:rPr>
          <w:rFonts w:ascii="Times New Roman" w:hAnsi="Times New Roman" w:cs="Times New Roman" w:eastAsia="Times New Roman" w:hint="default"/>
          <w:spacing w:val="-1"/>
        </w:rPr>
        <w:t>45,070,400.00</w:t>
      </w:r>
      <w:r>
        <w:rPr>
          <w:spacing w:val="-1"/>
        </w:rPr>
        <w:t>元）。截止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日，中教未来国际教育科技（北京）有限公司尚</w:t>
      </w:r>
      <w:r>
        <w:rPr>
          <w:spacing w:val="-68"/>
        </w:rPr>
        <w:t> </w:t>
      </w:r>
      <w:r>
        <w:rPr>
          <w:spacing w:val="-68"/>
        </w:rPr>
      </w:r>
      <w:r>
        <w:rPr/>
        <w:t>未使用的借款额度为人民币</w:t>
      </w:r>
      <w:r>
        <w:rPr>
          <w:rFonts w:ascii="Times New Roman" w:hAnsi="Times New Roman" w:cs="Times New Roman" w:eastAsia="Times New Roman" w:hint="default"/>
        </w:rPr>
        <w:t>1,917.00</w:t>
      </w:r>
      <w:r>
        <w:rPr/>
        <w:t>万元。</w:t>
      </w:r>
    </w:p>
    <w:p>
      <w:pPr>
        <w:spacing w:after="0" w:line="30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5"/>
        <w:gridCol w:w="1594"/>
        <w:gridCol w:w="1594"/>
        <w:gridCol w:w="1583"/>
      </w:tblGrid>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3,711,187.40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535,159.00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667,796.36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3,578,550.04</w:t>
            </w:r>
          </w:p>
        </w:tc>
        <w:tc>
          <w:tcPr>
            <w:tcW w:w="15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财政扶持</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3,711,187.40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535,159.00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667,796.36</w:t>
            </w:r>
          </w:p>
        </w:tc>
        <w:tc>
          <w:tcPr>
            <w:tcW w:w="159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3,578,550.04</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97"/>
        <w:gridCol w:w="1012"/>
        <w:gridCol w:w="1074"/>
        <w:gridCol w:w="827"/>
        <w:gridCol w:w="1190"/>
        <w:gridCol w:w="767"/>
        <w:gridCol w:w="414"/>
        <w:gridCol w:w="1001"/>
        <w:gridCol w:w="784"/>
      </w:tblGrid>
      <w:tr>
        <w:trPr>
          <w:trHeight w:val="1338"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2" w:right="79"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8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8" w:right="47"/>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0" w:right="48" w:hanging="180"/>
              <w:jc w:val="left"/>
              <w:rPr>
                <w:rFonts w:ascii="宋体" w:hAnsi="宋体" w:cs="宋体" w:eastAsia="宋体" w:hint="default"/>
                <w:sz w:val="18"/>
                <w:szCs w:val="18"/>
              </w:rPr>
            </w:pPr>
            <w:r>
              <w:rPr>
                <w:rFonts w:ascii="宋体" w:hAnsi="宋体" w:cs="宋体" w:eastAsia="宋体" w:hint="default"/>
                <w:sz w:val="18"/>
                <w:szCs w:val="18"/>
              </w:rPr>
              <w:t>本期计入其他 收益金额</w:t>
            </w:r>
          </w:p>
        </w:tc>
        <w:tc>
          <w:tcPr>
            <w:tcW w:w="7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7" w:right="107"/>
              <w:jc w:val="center"/>
              <w:rPr>
                <w:rFonts w:ascii="宋体" w:hAnsi="宋体" w:cs="宋体" w:eastAsia="宋体" w:hint="default"/>
                <w:sz w:val="18"/>
                <w:szCs w:val="18"/>
              </w:rPr>
            </w:pPr>
            <w:r>
              <w:rPr>
                <w:rFonts w:ascii="宋体" w:hAnsi="宋体" w:cs="宋体" w:eastAsia="宋体" w:hint="default"/>
                <w:sz w:val="18"/>
                <w:szCs w:val="18"/>
              </w:rPr>
              <w:t>本期冲 减成本 费用金 额</w:t>
            </w:r>
          </w:p>
        </w:tc>
        <w:tc>
          <w:tcPr>
            <w:tcW w:w="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2" w:right="109"/>
              <w:jc w:val="both"/>
              <w:rPr>
                <w:rFonts w:ascii="宋体" w:hAnsi="宋体" w:cs="宋体" w:eastAsia="宋体" w:hint="default"/>
                <w:sz w:val="18"/>
                <w:szCs w:val="18"/>
              </w:rPr>
            </w:pPr>
            <w:r>
              <w:rPr>
                <w:rFonts w:ascii="宋体" w:hAnsi="宋体" w:cs="宋体" w:eastAsia="宋体" w:hint="default"/>
                <w:sz w:val="18"/>
                <w:szCs w:val="18"/>
              </w:rPr>
              <w:t>其 他 变 动</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6" w:right="25"/>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25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年度中央补助文化产业发展 专项资金</w:t>
            </w:r>
          </w:p>
        </w:tc>
        <w:tc>
          <w:tcPr>
            <w:tcW w:w="1012"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3,333,333.40</w:t>
            </w:r>
          </w:p>
        </w:tc>
        <w:tc>
          <w:tcPr>
            <w:tcW w:w="1074"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266,666.64</w:t>
            </w:r>
          </w:p>
        </w:tc>
        <w:tc>
          <w:tcPr>
            <w:tcW w:w="767"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3,066,666.76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26" w:hRule="exact"/>
        </w:trPr>
        <w:tc>
          <w:tcPr>
            <w:tcW w:w="25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年红烛行动之</w:t>
            </w:r>
            <w:r>
              <w:rPr>
                <w:rFonts w:ascii="Times New Roman" w:hAnsi="Times New Roman" w:cs="Times New Roman" w:eastAsia="Times New Roman" w:hint="default"/>
                <w:sz w:val="18"/>
                <w:szCs w:val="18"/>
              </w:rPr>
              <w:t>“</w:t>
            </w:r>
            <w:r>
              <w:rPr>
                <w:rFonts w:ascii="宋体" w:hAnsi="宋体" w:cs="宋体" w:eastAsia="宋体" w:hint="default"/>
                <w:sz w:val="18"/>
                <w:szCs w:val="18"/>
              </w:rPr>
              <w:t>呵护心灵之 </w:t>
            </w:r>
            <w:r>
              <w:rPr>
                <w:rFonts w:ascii="宋体" w:hAnsi="宋体" w:cs="宋体" w:eastAsia="宋体" w:hint="default"/>
                <w:spacing w:val="-4"/>
                <w:sz w:val="18"/>
                <w:szCs w:val="18"/>
              </w:rPr>
              <w:t>光，温暖成长之路</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帮扶昌平区和</w:t>
            </w:r>
            <w:r>
              <w:rPr>
                <w:rFonts w:ascii="宋体" w:hAnsi="宋体" w:cs="宋体" w:eastAsia="宋体" w:hint="default"/>
                <w:spacing w:val="-77"/>
                <w:sz w:val="18"/>
                <w:szCs w:val="18"/>
              </w:rPr>
              <w:t> </w:t>
            </w:r>
            <w:r>
              <w:rPr>
                <w:rFonts w:ascii="宋体" w:hAnsi="宋体" w:cs="宋体" w:eastAsia="宋体" w:hint="default"/>
                <w:sz w:val="18"/>
                <w:szCs w:val="18"/>
              </w:rPr>
              <w:t>谐星火学校开展课外活动</w:t>
            </w:r>
          </w:p>
        </w:tc>
        <w:tc>
          <w:tcPr>
            <w:tcW w:w="1012"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27,854.00</w:t>
            </w:r>
          </w:p>
        </w:tc>
        <w:tc>
          <w:tcPr>
            <w:tcW w:w="1074"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27,854.00</w:t>
            </w:r>
          </w:p>
        </w:tc>
        <w:tc>
          <w:tcPr>
            <w:tcW w:w="767"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09"/>
        <w:gridCol w:w="1001"/>
        <w:gridCol w:w="1074"/>
        <w:gridCol w:w="827"/>
        <w:gridCol w:w="1190"/>
        <w:gridCol w:w="767"/>
        <w:gridCol w:w="414"/>
        <w:gridCol w:w="1001"/>
        <w:gridCol w:w="784"/>
      </w:tblGrid>
      <w:tr>
        <w:trPr>
          <w:trHeight w:val="851" w:hRule="exact"/>
        </w:trPr>
        <w:tc>
          <w:tcPr>
            <w:tcW w:w="26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119"/>
              <w:ind w:left="22" w:right="23"/>
              <w:jc w:val="left"/>
              <w:rPr>
                <w:rFonts w:ascii="宋体" w:hAnsi="宋体" w:cs="宋体" w:eastAsia="宋体" w:hint="default"/>
                <w:sz w:val="18"/>
                <w:szCs w:val="18"/>
              </w:rPr>
            </w:pPr>
            <w:r>
              <w:rPr>
                <w:rFonts w:ascii="宋体" w:hAnsi="宋体" w:cs="宋体" w:eastAsia="宋体" w:hint="default"/>
                <w:sz w:val="18"/>
                <w:szCs w:val="18"/>
              </w:rPr>
              <w:t>富阳区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年（第三批）文化创</w:t>
            </w:r>
            <w:r>
              <w:rPr>
                <w:rFonts w:ascii="宋体" w:hAnsi="宋体" w:cs="宋体" w:eastAsia="宋体" w:hint="default"/>
                <w:sz w:val="18"/>
                <w:szCs w:val="18"/>
              </w:rPr>
              <w:t> 意产业专项补助资金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350,000.00</w:t>
            </w:r>
          </w:p>
        </w:tc>
        <w:tc>
          <w:tcPr>
            <w:tcW w:w="1074"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350,000.00</w:t>
            </w:r>
          </w:p>
        </w:tc>
        <w:tc>
          <w:tcPr>
            <w:tcW w:w="767"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9"/>
              <w:ind w:left="22" w:right="2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26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工业和信息化发展财政专项资金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535,159.00</w:t>
            </w:r>
          </w:p>
        </w:tc>
        <w:tc>
          <w:tcPr>
            <w:tcW w:w="82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23,275.72</w:t>
            </w:r>
          </w:p>
        </w:tc>
        <w:tc>
          <w:tcPr>
            <w:tcW w:w="767"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511,883.28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402" w:hRule="exact"/>
        </w:trPr>
        <w:tc>
          <w:tcPr>
            <w:tcW w:w="26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3,711,187.40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535,159.00</w:t>
            </w:r>
          </w:p>
        </w:tc>
        <w:tc>
          <w:tcPr>
            <w:tcW w:w="82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667,796.36</w:t>
            </w:r>
          </w:p>
        </w:tc>
        <w:tc>
          <w:tcPr>
            <w:tcW w:w="767"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3,578,550.04</w:t>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166"/>
        <w:gridCol w:w="1996"/>
        <w:gridCol w:w="1178"/>
        <w:gridCol w:w="631"/>
        <w:gridCol w:w="1451"/>
        <w:gridCol w:w="631"/>
        <w:gridCol w:w="621"/>
        <w:gridCol w:w="2008"/>
      </w:tblGrid>
      <w:tr>
        <w:trPr>
          <w:trHeight w:val="206" w:hRule="exact"/>
        </w:trPr>
        <w:tc>
          <w:tcPr>
            <w:tcW w:w="1166"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6" w:type="dxa"/>
            <w:tcBorders>
              <w:top w:val="single" w:sz="4" w:space="0" w:color="000000"/>
              <w:left w:val="single" w:sz="4" w:space="0" w:color="000000"/>
              <w:bottom w:val="nil" w:sz="6" w:space="0" w:color="auto"/>
              <w:right w:val="single" w:sz="4" w:space="0" w:color="000000"/>
            </w:tcBorders>
            <w:shd w:val="clear" w:color="auto" w:fill="D3D3D3"/>
          </w:tcPr>
          <w:p>
            <w:pPr/>
          </w:p>
        </w:tc>
        <w:tc>
          <w:tcPr>
            <w:tcW w:w="4512"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306"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0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1166" w:type="dxa"/>
            <w:vMerge w:val="restart"/>
            <w:tcBorders>
              <w:top w:val="nil" w:sz="6" w:space="0" w:color="auto"/>
              <w:left w:val="single" w:sz="4" w:space="0" w:color="000000"/>
              <w:right w:val="single" w:sz="4" w:space="0" w:color="000000"/>
            </w:tcBorders>
            <w:shd w:val="clear" w:color="auto" w:fill="D3D3D3"/>
          </w:tcPr>
          <w:p>
            <w:pPr/>
          </w:p>
        </w:tc>
        <w:tc>
          <w:tcPr>
            <w:tcW w:w="19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512" w:type="dxa"/>
            <w:gridSpan w:val="5"/>
            <w:vMerge/>
            <w:tcBorders>
              <w:left w:val="single" w:sz="4" w:space="0" w:color="000000"/>
              <w:bottom w:val="single" w:sz="4" w:space="0" w:color="000000"/>
              <w:right w:val="single" w:sz="4" w:space="0" w:color="000000"/>
            </w:tcBorders>
            <w:shd w:val="clear" w:color="auto" w:fill="D3D3D3"/>
          </w:tcPr>
          <w:p>
            <w:pPr/>
          </w:p>
        </w:tc>
        <w:tc>
          <w:tcPr>
            <w:tcW w:w="200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4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66" w:type="dxa"/>
            <w:vMerge/>
            <w:tcBorders>
              <w:left w:val="single" w:sz="4" w:space="0" w:color="000000"/>
              <w:bottom w:val="nil" w:sz="6" w:space="0" w:color="auto"/>
              <w:right w:val="single" w:sz="4" w:space="0" w:color="000000"/>
            </w:tcBorders>
            <w:shd w:val="clear" w:color="auto" w:fill="D3D3D3"/>
          </w:tcPr>
          <w:p>
            <w:pPr/>
          </w:p>
        </w:tc>
        <w:tc>
          <w:tcPr>
            <w:tcW w:w="1996" w:type="dxa"/>
            <w:vMerge/>
            <w:tcBorders>
              <w:left w:val="single" w:sz="4" w:space="0" w:color="000000"/>
              <w:bottom w:val="nil" w:sz="6" w:space="0" w:color="auto"/>
              <w:right w:val="single" w:sz="4" w:space="0" w:color="000000"/>
            </w:tcBorders>
            <w:shd w:val="clear" w:color="auto" w:fill="D3D3D3"/>
          </w:tcPr>
          <w:p>
            <w:pPr/>
          </w:p>
        </w:tc>
        <w:tc>
          <w:tcPr>
            <w:tcW w:w="1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4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6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008"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166" w:type="dxa"/>
            <w:tcBorders>
              <w:top w:val="nil" w:sz="6" w:space="0" w:color="auto"/>
              <w:left w:val="single" w:sz="4" w:space="0" w:color="000000"/>
              <w:bottom w:val="single" w:sz="4" w:space="0" w:color="000000"/>
              <w:right w:val="single" w:sz="4" w:space="0" w:color="000000"/>
            </w:tcBorders>
            <w:shd w:val="clear" w:color="auto" w:fill="D3D3D3"/>
          </w:tcPr>
          <w:p>
            <w:pPr/>
          </w:p>
        </w:tc>
        <w:tc>
          <w:tcPr>
            <w:tcW w:w="19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78" w:type="dxa"/>
            <w:vMerge/>
            <w:tcBorders>
              <w:left w:val="single" w:sz="4" w:space="0" w:color="000000"/>
              <w:bottom w:val="single" w:sz="4" w:space="0" w:color="000000"/>
              <w:right w:val="single" w:sz="4" w:space="0" w:color="000000"/>
            </w:tcBorders>
            <w:shd w:val="clear" w:color="auto" w:fill="D3D3D3"/>
          </w:tcPr>
          <w:p>
            <w:pPr/>
          </w:p>
        </w:tc>
        <w:tc>
          <w:tcPr>
            <w:tcW w:w="631" w:type="dxa"/>
            <w:vMerge/>
            <w:tcBorders>
              <w:left w:val="single" w:sz="4" w:space="0" w:color="000000"/>
              <w:bottom w:val="single" w:sz="4" w:space="0" w:color="000000"/>
              <w:right w:val="single" w:sz="4" w:space="0" w:color="000000"/>
            </w:tcBorders>
            <w:shd w:val="clear" w:color="auto" w:fill="D3D3D3"/>
          </w:tcPr>
          <w:p>
            <w:pPr/>
          </w:p>
        </w:tc>
        <w:tc>
          <w:tcPr>
            <w:tcW w:w="1451" w:type="dxa"/>
            <w:vMerge/>
            <w:tcBorders>
              <w:left w:val="single" w:sz="4" w:space="0" w:color="000000"/>
              <w:bottom w:val="single" w:sz="4" w:space="0" w:color="000000"/>
              <w:right w:val="single" w:sz="4" w:space="0" w:color="000000"/>
            </w:tcBorders>
            <w:shd w:val="clear" w:color="auto" w:fill="D3D3D3"/>
          </w:tcPr>
          <w:p>
            <w:pPr/>
          </w:p>
        </w:tc>
        <w:tc>
          <w:tcPr>
            <w:tcW w:w="631" w:type="dxa"/>
            <w:vMerge/>
            <w:tcBorders>
              <w:left w:val="single" w:sz="4" w:space="0" w:color="000000"/>
              <w:bottom w:val="single" w:sz="4" w:space="0" w:color="000000"/>
              <w:right w:val="single" w:sz="4" w:space="0" w:color="000000"/>
            </w:tcBorders>
            <w:shd w:val="clear" w:color="auto" w:fill="D3D3D3"/>
          </w:tcPr>
          <w:p>
            <w:pPr/>
          </w:p>
        </w:tc>
        <w:tc>
          <w:tcPr>
            <w:tcW w:w="621" w:type="dxa"/>
            <w:vMerge/>
            <w:tcBorders>
              <w:left w:val="single" w:sz="4" w:space="0" w:color="000000"/>
              <w:bottom w:val="single" w:sz="4" w:space="0" w:color="000000"/>
              <w:right w:val="single" w:sz="4" w:space="0" w:color="000000"/>
            </w:tcBorders>
            <w:shd w:val="clear" w:color="auto" w:fill="D3D3D3"/>
          </w:tcPr>
          <w:p>
            <w:pPr/>
          </w:p>
        </w:tc>
        <w:tc>
          <w:tcPr>
            <w:tcW w:w="200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9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692" w:right="0"/>
              <w:jc w:val="left"/>
              <w:rPr>
                <w:rFonts w:ascii="Times New Roman" w:hAnsi="Times New Roman" w:cs="Times New Roman" w:eastAsia="Times New Roman" w:hint="default"/>
                <w:sz w:val="18"/>
                <w:szCs w:val="18"/>
              </w:rPr>
            </w:pPr>
            <w:r>
              <w:rPr>
                <w:rFonts w:ascii="Times New Roman"/>
                <w:sz w:val="18"/>
              </w:rPr>
              <w:t>1,017,698,410.00</w:t>
            </w:r>
          </w:p>
        </w:tc>
        <w:tc>
          <w:tcPr>
            <w:tcW w:w="1178"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5" w:right="0"/>
              <w:jc w:val="left"/>
              <w:rPr>
                <w:rFonts w:ascii="Times New Roman" w:hAnsi="Times New Roman" w:cs="Times New Roman" w:eastAsia="Times New Roman" w:hint="default"/>
                <w:sz w:val="18"/>
                <w:szCs w:val="18"/>
              </w:rPr>
            </w:pPr>
            <w:r>
              <w:rPr>
                <w:rFonts w:ascii="Times New Roman"/>
                <w:sz w:val="18"/>
              </w:rPr>
              <w:t>1,017,698,410.00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111,730.81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111,730.81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-230,286,857.59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4,627,866.03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-234,914,723.62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-230,286,857.59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111,730.81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4,627,866.03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-234,802,992.81</w:t>
            </w:r>
          </w:p>
        </w:tc>
      </w:tr>
    </w:tbl>
    <w:p>
      <w:pPr>
        <w:pStyle w:val="BodyText"/>
        <w:spacing w:line="357" w:lineRule="auto" w:before="51"/>
        <w:ind w:left="634" w:right="0" w:hanging="480"/>
        <w:jc w:val="left"/>
      </w:pPr>
      <w:r>
        <w:rPr/>
        <w:t>其他说明，包括本期增减变动情况、变动原因说明： </w:t>
      </w:r>
      <w:r>
        <w:rPr>
          <w:spacing w:val="-2"/>
        </w:rPr>
        <w:t>注：（</w:t>
      </w:r>
      <w:r>
        <w:rPr>
          <w:rFonts w:ascii="Times New Roman" w:hAnsi="Times New Roman" w:cs="Times New Roman" w:eastAsia="Times New Roman" w:hint="default"/>
          <w:spacing w:val="-2"/>
        </w:rPr>
        <w:t>1</w:t>
      </w:r>
      <w:r>
        <w:rPr>
          <w:spacing w:val="-2"/>
        </w:rPr>
        <w:t>）本公司于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月收购子公司杭州华泰一媒文化传媒有限公司少数股东持有的</w:t>
      </w:r>
      <w:r>
        <w:rPr>
          <w:rFonts w:ascii="Times New Roman" w:hAnsi="Times New Roman" w:cs="Times New Roman" w:eastAsia="Times New Roman" w:hint="default"/>
          <w:spacing w:val="-2"/>
        </w:rPr>
        <w:t>49%</w:t>
      </w:r>
      <w:r>
        <w:rPr>
          <w:spacing w:val="-2"/>
        </w:rPr>
        <w:t>的股权，因购买少数股</w:t>
      </w:r>
    </w:p>
    <w:p>
      <w:pPr>
        <w:pStyle w:val="BodyText"/>
        <w:spacing w:line="201" w:lineRule="exact"/>
        <w:ind w:right="0"/>
        <w:jc w:val="left"/>
      </w:pPr>
      <w:r>
        <w:rPr/>
        <w:t>权新取得的长期股权投资与按照新增持股比例计算应享有子公司自合并日开始持续计算的净资产份额之间的差额</w:t>
      </w:r>
      <w:r>
        <w:rPr>
          <w:spacing w:val="-82"/>
        </w:rPr>
        <w:t>，</w:t>
      </w:r>
      <w:r>
        <w:rPr/>
        <w:t>调增资本</w:t>
      </w:r>
    </w:p>
    <w:p>
      <w:pPr>
        <w:pStyle w:val="BodyText"/>
        <w:spacing w:line="240" w:lineRule="auto" w:before="76"/>
        <w:ind w:right="0"/>
        <w:jc w:val="left"/>
      </w:pPr>
      <w:r>
        <w:rPr/>
        <w:t>公积</w:t>
      </w:r>
      <w:r>
        <w:rPr>
          <w:rFonts w:ascii="Times New Roman" w:hAnsi="Times New Roman" w:cs="Times New Roman" w:eastAsia="Times New Roman" w:hint="default"/>
        </w:rPr>
        <w:t>-</w:t>
      </w:r>
      <w:r>
        <w:rPr/>
        <w:t>资本溢价</w:t>
      </w:r>
      <w:r>
        <w:rPr>
          <w:rFonts w:ascii="Times New Roman" w:hAnsi="Times New Roman" w:cs="Times New Roman" w:eastAsia="Times New Roman" w:hint="default"/>
        </w:rPr>
        <w:t>111,730.81</w:t>
      </w:r>
      <w:r>
        <w:rPr/>
        <w:t>元；</w:t>
      </w:r>
    </w:p>
    <w:p>
      <w:pPr>
        <w:pStyle w:val="BodyText"/>
        <w:spacing w:line="240" w:lineRule="auto" w:before="63"/>
        <w:ind w:left="633" w:right="0"/>
        <w:jc w:val="left"/>
      </w:pPr>
      <w:r>
        <w:rPr/>
        <w:t>（</w:t>
      </w:r>
      <w:r>
        <w:rPr>
          <w:rFonts w:ascii="Times New Roman" w:hAnsi="Times New Roman" w:cs="Times New Roman" w:eastAsia="Times New Roman" w:hint="default"/>
        </w:rPr>
        <w:t>2</w:t>
      </w:r>
      <w:r>
        <w:rPr/>
        <w:t>）本年完成同一控制下合并杭州萧山萧报教育咨询有限公司，相应减少资本公积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500,000.00</w:t>
      </w:r>
      <w:r>
        <w:rPr/>
        <w:t>元；</w:t>
      </w:r>
    </w:p>
    <w:p>
      <w:pPr>
        <w:pStyle w:val="BodyText"/>
        <w:spacing w:line="309" w:lineRule="auto" w:before="63"/>
        <w:ind w:right="138" w:firstLine="480"/>
        <w:jc w:val="both"/>
      </w:pPr>
      <w:r>
        <w:rPr/>
        <w:t>（</w:t>
      </w:r>
      <w:r>
        <w:rPr>
          <w:rFonts w:ascii="Times New Roman" w:hAnsi="Times New Roman" w:cs="Times New Roman" w:eastAsia="Times New Roman" w:hint="default"/>
        </w:rPr>
        <w:t>3</w:t>
      </w:r>
      <w:r>
        <w:rPr/>
        <w:t>）本公司的子公司杭州日报报业集团盛元印务有限公司对上海合印科技股份有限公司的投资由权益法转为公允价</w:t>
      </w:r>
      <w:r>
        <w:rPr>
          <w:spacing w:val="1"/>
        </w:rPr>
        <w:t> </w:t>
      </w:r>
      <w:r>
        <w:rPr>
          <w:spacing w:val="8"/>
        </w:rPr>
        <w:t>值计量的金融资产，因被投资单位除净损益、其他综合收益和利润分配以外的其他所有者权益变动而确认的资本公积</w:t>
      </w:r>
      <w:r>
        <w:rPr>
          <w:spacing w:val="-56"/>
        </w:rPr>
        <w:t> </w:t>
      </w:r>
      <w:r>
        <w:rPr>
          <w:spacing w:val="-56"/>
        </w:rPr>
      </w:r>
      <w:r>
        <w:rPr>
          <w:rFonts w:ascii="Times New Roman" w:hAnsi="Times New Roman" w:cs="Times New Roman" w:eastAsia="Times New Roman" w:hint="default"/>
        </w:rPr>
        <w:t>3,975,979.23</w:t>
      </w:r>
      <w:r>
        <w:rPr/>
        <w:t>元在本期全部转入投资收益，相应减少资本公积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3,975,979.23</w:t>
      </w:r>
      <w:r>
        <w:rPr/>
        <w:t>元。</w:t>
      </w:r>
    </w:p>
    <w:p>
      <w:pPr>
        <w:pStyle w:val="BodyText"/>
        <w:spacing w:line="316" w:lineRule="auto" w:before="5"/>
        <w:ind w:left="153" w:right="150" w:firstLine="480"/>
        <w:jc w:val="both"/>
      </w:pPr>
      <w:r>
        <w:rPr>
          <w:spacing w:val="-1"/>
        </w:rPr>
        <w:t>（4）本公司的孙公司浙江风盛传媒股份有限公司于2017年1月进行非公开发行，支付中介费235,849.06元冲减资本公</w:t>
      </w:r>
      <w:r>
        <w:rPr/>
        <w:t> 积</w:t>
      </w:r>
      <w:r>
        <w:rPr>
          <w:rFonts w:ascii="Times New Roman" w:hAnsi="Times New Roman" w:cs="Times New Roman" w:eastAsia="Times New Roman" w:hint="default"/>
        </w:rPr>
        <w:t>-</w:t>
      </w:r>
      <w:r>
        <w:rPr/>
        <w:t>资本溢价，本公司按照持股比例相应减少资本公积</w:t>
      </w:r>
      <w:r>
        <w:rPr>
          <w:rFonts w:ascii="Times New Roman" w:hAnsi="Times New Roman" w:cs="Times New Roman" w:eastAsia="Times New Roman" w:hint="default"/>
        </w:rPr>
        <w:t>-</w:t>
      </w:r>
      <w:r>
        <w:rPr/>
        <w:t>资本溢价</w:t>
      </w:r>
      <w:r>
        <w:rPr>
          <w:rFonts w:ascii="Times New Roman" w:hAnsi="Times New Roman" w:cs="Times New Roman" w:eastAsia="Times New Roman" w:hint="default"/>
        </w:rPr>
        <w:t>151,886.80</w:t>
      </w:r>
      <w:r>
        <w:rPr/>
        <w:t>元。</w:t>
      </w:r>
    </w:p>
    <w:p>
      <w:pPr>
        <w:spacing w:after="0" w:line="316" w:lineRule="auto"/>
        <w:jc w:val="both"/>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25"/>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86"/>
        <w:gridCol w:w="432"/>
        <w:gridCol w:w="1272"/>
        <w:gridCol w:w="1522"/>
        <w:gridCol w:w="762"/>
        <w:gridCol w:w="1190"/>
        <w:gridCol w:w="778"/>
        <w:gridCol w:w="1013"/>
      </w:tblGrid>
      <w:tr>
        <w:trPr>
          <w:trHeight w:val="403" w:hRule="exact"/>
        </w:trPr>
        <w:tc>
          <w:tcPr>
            <w:tcW w:w="2686" w:type="dxa"/>
            <w:vMerge w:val="restart"/>
            <w:tcBorders>
              <w:top w:val="single" w:sz="4" w:space="0" w:color="000000"/>
              <w:left w:val="single" w:sz="4" w:space="0" w:color="000000"/>
              <w:right w:val="single" w:sz="4" w:space="0" w:color="000000"/>
            </w:tcBorders>
            <w:shd w:val="clear" w:color="auto" w:fill="D3D3D3"/>
          </w:tcPr>
          <w:p>
            <w:pPr/>
          </w:p>
        </w:tc>
        <w:tc>
          <w:tcPr>
            <w:tcW w:w="432" w:type="dxa"/>
            <w:tcBorders>
              <w:top w:val="single" w:sz="4" w:space="0" w:color="000000"/>
              <w:left w:val="single" w:sz="4" w:space="0" w:color="000000"/>
              <w:bottom w:val="nil" w:sz="6" w:space="0" w:color="auto"/>
              <w:right w:val="single" w:sz="4" w:space="0" w:color="000000"/>
            </w:tcBorders>
            <w:shd w:val="clear" w:color="auto" w:fill="D3D3D3"/>
          </w:tcPr>
          <w:p>
            <w:pPr/>
          </w:p>
        </w:tc>
        <w:tc>
          <w:tcPr>
            <w:tcW w:w="552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13" w:type="dxa"/>
            <w:vMerge w:val="restart"/>
            <w:tcBorders>
              <w:top w:val="single" w:sz="4" w:space="0" w:color="000000"/>
              <w:left w:val="single" w:sz="4" w:space="0" w:color="000000"/>
              <w:right w:val="single" w:sz="4" w:space="0" w:color="000000"/>
            </w:tcBorders>
            <w:shd w:val="clear" w:color="auto" w:fill="D3D3D3"/>
          </w:tcPr>
          <w:p>
            <w:pPr/>
          </w:p>
        </w:tc>
      </w:tr>
      <w:tr>
        <w:trPr>
          <w:trHeight w:val="116" w:hRule="exact"/>
        </w:trPr>
        <w:tc>
          <w:tcPr>
            <w:tcW w:w="2686" w:type="dxa"/>
            <w:vMerge/>
            <w:tcBorders>
              <w:left w:val="single" w:sz="4" w:space="0" w:color="000000"/>
              <w:bottom w:val="nil" w:sz="6" w:space="0" w:color="auto"/>
              <w:right w:val="single" w:sz="4" w:space="0" w:color="000000"/>
            </w:tcBorders>
            <w:shd w:val="clear" w:color="auto" w:fill="D3D3D3"/>
          </w:tcPr>
          <w:p>
            <w:pPr/>
          </w:p>
        </w:tc>
        <w:tc>
          <w:tcPr>
            <w:tcW w:w="432"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11"/>
              <w:ind w:left="37" w:right="23"/>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272"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减：前期计入其他 综合收益当期转入 损益</w:t>
            </w: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0" w:right="17"/>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1013" w:type="dxa"/>
            <w:vMerge/>
            <w:tcBorders>
              <w:left w:val="single" w:sz="4" w:space="0" w:color="000000"/>
              <w:bottom w:val="nil" w:sz="6" w:space="0" w:color="auto"/>
              <w:right w:val="single" w:sz="4" w:space="0" w:color="000000"/>
            </w:tcBorders>
            <w:shd w:val="clear" w:color="auto" w:fill="D3D3D3"/>
          </w:tcPr>
          <w:p>
            <w:pPr/>
          </w:p>
        </w:tc>
      </w:tr>
      <w:tr>
        <w:trPr>
          <w:trHeight w:val="359" w:hRule="exact"/>
        </w:trPr>
        <w:tc>
          <w:tcPr>
            <w:tcW w:w="26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163"/>
              <w:jc w:val="right"/>
              <w:rPr>
                <w:rFonts w:ascii="宋体" w:hAnsi="宋体" w:cs="宋体" w:eastAsia="宋体" w:hint="default"/>
                <w:sz w:val="18"/>
                <w:szCs w:val="18"/>
              </w:rPr>
            </w:pPr>
            <w:r>
              <w:rPr>
                <w:rFonts w:ascii="宋体" w:hAnsi="宋体" w:cs="宋体" w:eastAsia="宋体" w:hint="default"/>
                <w:sz w:val="18"/>
                <w:szCs w:val="18"/>
              </w:rPr>
              <w:t>项目</w:t>
            </w:r>
          </w:p>
        </w:tc>
        <w:tc>
          <w:tcPr>
            <w:tcW w:w="432" w:type="dxa"/>
            <w:vMerge/>
            <w:tcBorders>
              <w:left w:val="single" w:sz="4" w:space="0" w:color="000000"/>
              <w:right w:val="single" w:sz="4" w:space="0" w:color="000000"/>
            </w:tcBorders>
            <w:shd w:val="clear" w:color="auto" w:fill="D3D3D3"/>
          </w:tcPr>
          <w:p>
            <w:pPr/>
          </w:p>
        </w:tc>
        <w:tc>
          <w:tcPr>
            <w:tcW w:w="1272"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63"/>
              <w:ind w:left="365" w:right="84" w:hanging="270"/>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522" w:type="dxa"/>
            <w:vMerge/>
            <w:tcBorders>
              <w:left w:val="single" w:sz="4" w:space="0" w:color="000000"/>
              <w:right w:val="single" w:sz="4" w:space="0" w:color="000000"/>
            </w:tcBorders>
            <w:shd w:val="clear" w:color="auto" w:fill="D3D3D3"/>
          </w:tcPr>
          <w:p>
            <w:pP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63"/>
              <w:ind w:left="105" w:right="23" w:hanging="83"/>
              <w:jc w:val="left"/>
              <w:rPr>
                <w:rFonts w:ascii="宋体" w:hAnsi="宋体" w:cs="宋体" w:eastAsia="宋体" w:hint="default"/>
                <w:sz w:val="18"/>
                <w:szCs w:val="18"/>
              </w:rPr>
            </w:pPr>
            <w:r>
              <w:rPr>
                <w:rFonts w:ascii="宋体" w:hAnsi="宋体" w:cs="宋体" w:eastAsia="宋体" w:hint="default"/>
                <w:spacing w:val="-4"/>
                <w:sz w:val="18"/>
                <w:szCs w:val="18"/>
              </w:rPr>
              <w:t>减：所得</w:t>
            </w:r>
            <w:r>
              <w:rPr>
                <w:rFonts w:ascii="宋体" w:hAnsi="宋体" w:cs="宋体" w:eastAsia="宋体" w:hint="default"/>
                <w:sz w:val="18"/>
                <w:szCs w:val="18"/>
              </w:rPr>
              <w:t> 税费用</w:t>
            </w:r>
          </w:p>
        </w:tc>
        <w:tc>
          <w:tcPr>
            <w:tcW w:w="119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63"/>
              <w:ind w:left="410" w:right="48"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778" w:type="dxa"/>
            <w:vMerge/>
            <w:tcBorders>
              <w:left w:val="single" w:sz="4" w:space="0" w:color="000000"/>
              <w:right w:val="single" w:sz="4" w:space="0" w:color="000000"/>
            </w:tcBorders>
            <w:shd w:val="clear" w:color="auto" w:fill="D3D3D3"/>
          </w:tcPr>
          <w:p>
            <w:pPr/>
          </w:p>
        </w:tc>
        <w:tc>
          <w:tcPr>
            <w:tcW w:w="101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6" w:hRule="exact"/>
        </w:trPr>
        <w:tc>
          <w:tcPr>
            <w:tcW w:w="2686" w:type="dxa"/>
            <w:vMerge w:val="restart"/>
            <w:tcBorders>
              <w:top w:val="nil" w:sz="6" w:space="0" w:color="auto"/>
              <w:left w:val="single" w:sz="4" w:space="0" w:color="000000"/>
              <w:right w:val="single" w:sz="4" w:space="0" w:color="000000"/>
            </w:tcBorders>
            <w:shd w:val="clear" w:color="auto" w:fill="D3D3D3"/>
          </w:tcPr>
          <w:p>
            <w:pPr/>
          </w:p>
        </w:tc>
        <w:tc>
          <w:tcPr>
            <w:tcW w:w="432" w:type="dxa"/>
            <w:vMerge/>
            <w:tcBorders>
              <w:left w:val="single" w:sz="4" w:space="0" w:color="000000"/>
              <w:bottom w:val="nil" w:sz="6" w:space="0" w:color="auto"/>
              <w:right w:val="single" w:sz="4" w:space="0" w:color="000000"/>
            </w:tcBorders>
            <w:shd w:val="clear" w:color="auto" w:fill="D3D3D3"/>
          </w:tcPr>
          <w:p>
            <w:pPr/>
          </w:p>
        </w:tc>
        <w:tc>
          <w:tcPr>
            <w:tcW w:w="1272" w:type="dxa"/>
            <w:vMerge/>
            <w:tcBorders>
              <w:left w:val="single" w:sz="4" w:space="0" w:color="000000"/>
              <w:right w:val="single" w:sz="4" w:space="0" w:color="000000"/>
            </w:tcBorders>
            <w:shd w:val="clear" w:color="auto" w:fill="D3D3D3"/>
          </w:tcPr>
          <w:p>
            <w:pPr/>
          </w:p>
        </w:tc>
        <w:tc>
          <w:tcPr>
            <w:tcW w:w="1522" w:type="dxa"/>
            <w:vMerge/>
            <w:tcBorders>
              <w:left w:val="single" w:sz="4" w:space="0" w:color="000000"/>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1190" w:type="dxa"/>
            <w:vMerge/>
            <w:tcBorders>
              <w:left w:val="single" w:sz="4" w:space="0" w:color="000000"/>
              <w:right w:val="single" w:sz="4" w:space="0" w:color="000000"/>
            </w:tcBorders>
            <w:shd w:val="clear" w:color="auto" w:fill="D3D3D3"/>
          </w:tcPr>
          <w:p>
            <w:pPr/>
          </w:p>
        </w:tc>
        <w:tc>
          <w:tcPr>
            <w:tcW w:w="778" w:type="dxa"/>
            <w:vMerge/>
            <w:tcBorders>
              <w:left w:val="single" w:sz="4" w:space="0" w:color="000000"/>
              <w:right w:val="single" w:sz="4" w:space="0" w:color="000000"/>
            </w:tcBorders>
            <w:shd w:val="clear" w:color="auto" w:fill="D3D3D3"/>
          </w:tcPr>
          <w:p>
            <w:pPr/>
          </w:p>
        </w:tc>
        <w:tc>
          <w:tcPr>
            <w:tcW w:w="1013" w:type="dxa"/>
            <w:vMerge w:val="restart"/>
            <w:tcBorders>
              <w:top w:val="nil" w:sz="6" w:space="0" w:color="auto"/>
              <w:left w:val="single" w:sz="4" w:space="0" w:color="000000"/>
              <w:right w:val="single" w:sz="4" w:space="0" w:color="000000"/>
            </w:tcBorders>
            <w:shd w:val="clear" w:color="auto" w:fill="D3D3D3"/>
          </w:tcPr>
          <w:p>
            <w:pPr/>
          </w:p>
        </w:tc>
      </w:tr>
      <w:tr>
        <w:trPr>
          <w:trHeight w:val="200" w:hRule="exact"/>
        </w:trPr>
        <w:tc>
          <w:tcPr>
            <w:tcW w:w="2686" w:type="dxa"/>
            <w:vMerge/>
            <w:tcBorders>
              <w:left w:val="single" w:sz="4" w:space="0" w:color="000000"/>
              <w:right w:val="single" w:sz="4" w:space="0" w:color="000000"/>
            </w:tcBorders>
            <w:shd w:val="clear" w:color="auto" w:fill="D3D3D3"/>
          </w:tcPr>
          <w:p>
            <w:pPr/>
          </w:p>
        </w:tc>
        <w:tc>
          <w:tcPr>
            <w:tcW w:w="432" w:type="dxa"/>
            <w:vMerge w:val="restart"/>
            <w:tcBorders>
              <w:top w:val="nil" w:sz="6" w:space="0" w:color="auto"/>
              <w:left w:val="single" w:sz="4" w:space="0" w:color="000000"/>
              <w:right w:val="single" w:sz="4" w:space="0" w:color="000000"/>
            </w:tcBorders>
            <w:shd w:val="clear" w:color="auto" w:fill="D3D3D3"/>
          </w:tcPr>
          <w:p>
            <w:pPr/>
          </w:p>
        </w:tc>
        <w:tc>
          <w:tcPr>
            <w:tcW w:w="1272" w:type="dxa"/>
            <w:vMerge/>
            <w:tcBorders>
              <w:left w:val="single" w:sz="4" w:space="0" w:color="000000"/>
              <w:bottom w:val="nil" w:sz="6" w:space="0" w:color="auto"/>
              <w:right w:val="single" w:sz="4" w:space="0" w:color="000000"/>
            </w:tcBorders>
            <w:shd w:val="clear" w:color="auto" w:fill="D3D3D3"/>
          </w:tcPr>
          <w:p>
            <w:pPr/>
          </w:p>
        </w:tc>
        <w:tc>
          <w:tcPr>
            <w:tcW w:w="1522" w:type="dxa"/>
            <w:vMerge/>
            <w:tcBorders>
              <w:left w:val="single" w:sz="4" w:space="0" w:color="000000"/>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1190" w:type="dxa"/>
            <w:vMerge/>
            <w:tcBorders>
              <w:left w:val="single" w:sz="4" w:space="0" w:color="000000"/>
              <w:bottom w:val="nil" w:sz="6" w:space="0" w:color="auto"/>
              <w:right w:val="single" w:sz="4" w:space="0" w:color="000000"/>
            </w:tcBorders>
            <w:shd w:val="clear" w:color="auto" w:fill="D3D3D3"/>
          </w:tcPr>
          <w:p>
            <w:pPr/>
          </w:p>
        </w:tc>
        <w:tc>
          <w:tcPr>
            <w:tcW w:w="778" w:type="dxa"/>
            <w:vMerge/>
            <w:tcBorders>
              <w:left w:val="single" w:sz="4" w:space="0" w:color="000000"/>
              <w:right w:val="single" w:sz="4" w:space="0" w:color="000000"/>
            </w:tcBorders>
            <w:shd w:val="clear" w:color="auto" w:fill="D3D3D3"/>
          </w:tcPr>
          <w:p>
            <w:pPr/>
          </w:p>
        </w:tc>
        <w:tc>
          <w:tcPr>
            <w:tcW w:w="1013" w:type="dxa"/>
            <w:vMerge/>
            <w:tcBorders>
              <w:left w:val="single" w:sz="4" w:space="0" w:color="000000"/>
              <w:right w:val="single" w:sz="4" w:space="0" w:color="000000"/>
            </w:tcBorders>
            <w:shd w:val="clear" w:color="auto" w:fill="D3D3D3"/>
          </w:tcPr>
          <w:p>
            <w:pPr/>
          </w:p>
        </w:tc>
      </w:tr>
      <w:tr>
        <w:trPr>
          <w:trHeight w:val="161" w:hRule="exact"/>
        </w:trPr>
        <w:tc>
          <w:tcPr>
            <w:tcW w:w="2686" w:type="dxa"/>
            <w:vMerge/>
            <w:tcBorders>
              <w:left w:val="single" w:sz="4" w:space="0" w:color="000000"/>
              <w:bottom w:val="single" w:sz="4" w:space="0" w:color="000000"/>
              <w:right w:val="single" w:sz="4" w:space="0" w:color="000000"/>
            </w:tcBorders>
            <w:shd w:val="clear" w:color="auto" w:fill="D3D3D3"/>
          </w:tcPr>
          <w:p>
            <w:pPr/>
          </w:p>
        </w:tc>
        <w:tc>
          <w:tcPr>
            <w:tcW w:w="432" w:type="dxa"/>
            <w:vMerge/>
            <w:tcBorders>
              <w:left w:val="single" w:sz="4" w:space="0" w:color="000000"/>
              <w:bottom w:val="single" w:sz="4" w:space="0" w:color="000000"/>
              <w:right w:val="single" w:sz="4" w:space="0" w:color="000000"/>
            </w:tcBorders>
            <w:shd w:val="clear" w:color="auto" w:fill="D3D3D3"/>
          </w:tcPr>
          <w:p>
            <w:pPr/>
          </w:p>
        </w:tc>
        <w:tc>
          <w:tcPr>
            <w:tcW w:w="127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2" w:type="dxa"/>
            <w:vMerge/>
            <w:tcBorders>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778" w:type="dxa"/>
            <w:vMerge/>
            <w:tcBorders>
              <w:left w:val="single" w:sz="4" w:space="0" w:color="000000"/>
              <w:bottom w:val="single" w:sz="4" w:space="0" w:color="000000"/>
              <w:right w:val="single" w:sz="4" w:space="0" w:color="000000"/>
            </w:tcBorders>
            <w:shd w:val="clear" w:color="auto" w:fill="D3D3D3"/>
          </w:tcPr>
          <w:p>
            <w:pPr/>
          </w:p>
        </w:tc>
        <w:tc>
          <w:tcPr>
            <w:tcW w:w="1013"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20"/>
              <w:jc w:val="left"/>
              <w:rPr>
                <w:rFonts w:ascii="宋体" w:hAnsi="宋体" w:cs="宋体" w:eastAsia="宋体" w:hint="default"/>
                <w:sz w:val="18"/>
                <w:szCs w:val="18"/>
              </w:rPr>
            </w:pPr>
            <w:r>
              <w:rPr>
                <w:rFonts w:ascii="宋体" w:hAnsi="宋体" w:cs="宋体" w:eastAsia="宋体" w:hint="default"/>
                <w:spacing w:val="-4"/>
                <w:sz w:val="18"/>
                <w:szCs w:val="18"/>
              </w:rPr>
              <w:t>二、以后将重分类进损益的其他综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432" w:type="dxa"/>
            <w:tcBorders>
              <w:top w:val="single" w:sz="4" w:space="0" w:color="000000"/>
              <w:left w:val="single" w:sz="13" w:space="0" w:color="D3D3D3"/>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2,190,121.44</w:t>
            </w:r>
          </w:p>
        </w:tc>
        <w:tc>
          <w:tcPr>
            <w:tcW w:w="152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2,190,121.44</w:t>
            </w:r>
          </w:p>
        </w:tc>
        <w:tc>
          <w:tcPr>
            <w:tcW w:w="77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2,190,121.44</w:t>
            </w:r>
          </w:p>
        </w:tc>
      </w:tr>
      <w:tr>
        <w:trPr>
          <w:trHeight w:val="1026" w:hRule="exact"/>
        </w:trPr>
        <w:tc>
          <w:tcPr>
            <w:tcW w:w="2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20"/>
              <w:jc w:val="left"/>
              <w:rPr>
                <w:rFonts w:ascii="宋体" w:hAnsi="宋体" w:cs="宋体" w:eastAsia="宋体" w:hint="default"/>
                <w:sz w:val="18"/>
                <w:szCs w:val="18"/>
              </w:rPr>
            </w:pPr>
            <w:r>
              <w:rPr>
                <w:rFonts w:ascii="宋体" w:hAnsi="宋体" w:cs="宋体" w:eastAsia="宋体" w:hint="default"/>
                <w:spacing w:val="-4"/>
                <w:sz w:val="18"/>
                <w:szCs w:val="18"/>
              </w:rPr>
              <w:t>其中：权益法下在被投资单位以后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将重分类进损益的其他综合收益 中享有的份额</w:t>
            </w:r>
          </w:p>
        </w:tc>
        <w:tc>
          <w:tcPr>
            <w:tcW w:w="432" w:type="dxa"/>
            <w:tcBorders>
              <w:top w:val="single" w:sz="4" w:space="0" w:color="000000"/>
              <w:left w:val="single" w:sz="13" w:space="0" w:color="D3D3D3"/>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2,190,121.44</w:t>
            </w:r>
          </w:p>
        </w:tc>
        <w:tc>
          <w:tcPr>
            <w:tcW w:w="152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2,190,121.44</w:t>
            </w:r>
          </w:p>
        </w:tc>
        <w:tc>
          <w:tcPr>
            <w:tcW w:w="77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2,190,121.44</w:t>
            </w:r>
          </w:p>
        </w:tc>
      </w:tr>
      <w:tr>
        <w:trPr>
          <w:trHeight w:val="403" w:hRule="exact"/>
        </w:trPr>
        <w:tc>
          <w:tcPr>
            <w:tcW w:w="2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223"/>
              <w:jc w:val="righ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432" w:type="dxa"/>
            <w:tcBorders>
              <w:top w:val="single" w:sz="4" w:space="0" w:color="000000"/>
              <w:left w:val="single" w:sz="13" w:space="0" w:color="D3D3D3"/>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2,190,121.44</w:t>
            </w:r>
          </w:p>
        </w:tc>
        <w:tc>
          <w:tcPr>
            <w:tcW w:w="152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2,190,121.44</w:t>
            </w:r>
          </w:p>
        </w:tc>
        <w:tc>
          <w:tcPr>
            <w:tcW w:w="77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2,190,121.44</w:t>
            </w:r>
          </w:p>
        </w:tc>
      </w:tr>
    </w:tbl>
    <w:p>
      <w:pPr>
        <w:pStyle w:val="BodyText"/>
        <w:spacing w:line="240" w:lineRule="auto" w:before="51"/>
        <w:ind w:right="125"/>
        <w:jc w:val="left"/>
      </w:pPr>
      <w:r>
        <w:rPr/>
        <w:t>其他说明，包括对现金流量套期损益的有效部分转为被套期项目初始确认金额调整：不适用</w:t>
      </w:r>
    </w:p>
    <w:p>
      <w:pPr>
        <w:spacing w:line="240" w:lineRule="auto" w:before="10"/>
        <w:rPr>
          <w:rFonts w:ascii="宋体" w:hAnsi="宋体" w:cs="宋体" w:eastAsia="宋体" w:hint="default"/>
          <w:sz w:val="26"/>
          <w:szCs w:val="26"/>
        </w:rPr>
      </w:pPr>
    </w:p>
    <w:p>
      <w:pPr>
        <w:pStyle w:val="Heading3"/>
        <w:spacing w:line="240" w:lineRule="auto"/>
        <w:ind w:right="125"/>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25"/>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69,102,092.76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2,356,712.45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33,861.82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71,424,943.39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69,102,092.76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2,356,712.45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33,861.82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71,424,943.39</w:t>
            </w:r>
          </w:p>
        </w:tc>
      </w:tr>
    </w:tbl>
    <w:p>
      <w:pPr>
        <w:pStyle w:val="BodyText"/>
        <w:spacing w:line="357" w:lineRule="auto" w:before="51"/>
        <w:ind w:left="634" w:right="125" w:hanging="480"/>
        <w:jc w:val="left"/>
      </w:pPr>
      <w:r>
        <w:rPr/>
        <w:t>盈余公积说明，包括本期增减变动情况、变动原因说明： </w:t>
      </w:r>
      <w:r>
        <w:rPr>
          <w:spacing w:val="-2"/>
        </w:rPr>
        <w:t>注：（</w:t>
      </w:r>
      <w:r>
        <w:rPr>
          <w:rFonts w:ascii="Times New Roman" w:hAnsi="Times New Roman" w:cs="Times New Roman" w:eastAsia="Times New Roman" w:hint="default"/>
          <w:spacing w:val="-2"/>
        </w:rPr>
        <w:t>1</w:t>
      </w:r>
      <w:r>
        <w:rPr>
          <w:spacing w:val="-2"/>
        </w:rPr>
        <w:t>）本公司于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月处置快点文化传播（上海）有限公司</w:t>
      </w:r>
      <w:r>
        <w:rPr>
          <w:rFonts w:ascii="Times New Roman" w:hAnsi="Times New Roman" w:cs="Times New Roman" w:eastAsia="Times New Roman" w:hint="default"/>
          <w:spacing w:val="-2"/>
        </w:rPr>
        <w:t>12%</w:t>
      </w:r>
      <w:r>
        <w:rPr>
          <w:spacing w:val="-2"/>
        </w:rPr>
        <w:t>的股权，由成本法改为权益法核算，对于原取</w:t>
      </w:r>
    </w:p>
    <w:p>
      <w:pPr>
        <w:pStyle w:val="BodyText"/>
        <w:spacing w:line="214" w:lineRule="exact"/>
        <w:ind w:right="0"/>
        <w:jc w:val="left"/>
      </w:pPr>
      <w:r>
        <w:rPr/>
        <w:t>得投资时至处置投资当期期初被投资单位实现的净损益中应享有的份额，调整留存收益，相应调增盈余公积</w:t>
      </w:r>
      <w:r>
        <w:rPr>
          <w:rFonts w:ascii="Times New Roman" w:hAnsi="Times New Roman" w:cs="Times New Roman" w:eastAsia="Times New Roman" w:hint="default"/>
        </w:rPr>
        <w:t>2,356,712.45</w:t>
      </w:r>
      <w:r>
        <w:rPr/>
        <w:t>元；</w:t>
      </w:r>
    </w:p>
    <w:p>
      <w:pPr>
        <w:pStyle w:val="BodyText"/>
        <w:spacing w:line="300" w:lineRule="auto" w:before="63"/>
        <w:ind w:left="153" w:right="191" w:firstLine="360"/>
        <w:jc w:val="both"/>
      </w:pPr>
      <w:r>
        <w:rPr>
          <w:spacing w:val="-2"/>
        </w:rPr>
        <w:t>（</w:t>
      </w:r>
      <w:r>
        <w:rPr>
          <w:rFonts w:ascii="Times New Roman" w:hAnsi="Times New Roman" w:cs="Times New Roman" w:eastAsia="Times New Roman" w:hint="default"/>
          <w:spacing w:val="-2"/>
        </w:rPr>
        <w:t>2</w:t>
      </w:r>
      <w:r>
        <w:rPr>
          <w:spacing w:val="-2"/>
        </w:rPr>
        <w:t>）本公司的子公司杭州余杭晨报传媒有限公司于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月收购孙公司杭州余杭晨报文化创意有限公司少数股东持有</w:t>
      </w:r>
      <w:r>
        <w:rPr/>
        <w:t> </w:t>
      </w:r>
      <w:r>
        <w:rPr>
          <w:spacing w:val="-1"/>
        </w:rPr>
        <w:t>的</w:t>
      </w:r>
      <w:r>
        <w:rPr>
          <w:rFonts w:ascii="Times New Roman" w:hAnsi="Times New Roman" w:cs="Times New Roman" w:eastAsia="Times New Roman" w:hint="default"/>
          <w:spacing w:val="-1"/>
        </w:rPr>
        <w:t>49%</w:t>
      </w:r>
      <w:r>
        <w:rPr>
          <w:spacing w:val="-1"/>
        </w:rPr>
        <w:t>的股权，因购买少数股权新取得的长期股权投资与按照新增持股比例计算应享有子公司自合并日开始持续计算的净资</w:t>
      </w:r>
      <w:r>
        <w:rPr>
          <w:spacing w:val="-87"/>
        </w:rPr>
        <w:t> </w:t>
      </w:r>
      <w:r>
        <w:rPr>
          <w:spacing w:val="-87"/>
        </w:rPr>
      </w:r>
      <w:r>
        <w:rPr/>
        <w:t>产份额之间的差额，调减盈余公积</w:t>
      </w:r>
      <w:r>
        <w:rPr>
          <w:rFonts w:ascii="Times New Roman" w:hAnsi="Times New Roman" w:cs="Times New Roman" w:eastAsia="Times New Roman" w:hint="default"/>
        </w:rPr>
        <w:t>33,861.82</w:t>
      </w:r>
      <w:r>
        <w:rPr/>
        <w:t>元。</w:t>
      </w:r>
    </w:p>
    <w:p>
      <w:pPr>
        <w:spacing w:line="240" w:lineRule="auto" w:before="1"/>
        <w:rPr>
          <w:rFonts w:ascii="宋体" w:hAnsi="宋体" w:cs="宋体" w:eastAsia="宋体" w:hint="default"/>
          <w:sz w:val="22"/>
          <w:szCs w:val="22"/>
        </w:rPr>
      </w:pPr>
    </w:p>
    <w:p>
      <w:pPr>
        <w:pStyle w:val="Heading3"/>
        <w:spacing w:line="240" w:lineRule="auto"/>
        <w:ind w:right="125"/>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8"/>
      </w:tblGrid>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910,699,612.47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711,912,027.37</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3,565,231.17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1,513,716.99</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914,264,843.64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713,425,744.36</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146,809,823.33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225,115,501.44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24,276,402.16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22,389,365.01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95,035,645.61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943,649,656.35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914,264,843.64</w:t>
            </w:r>
          </w:p>
        </w:tc>
      </w:tr>
    </w:tbl>
    <w:p>
      <w:pPr>
        <w:pStyle w:val="BodyText"/>
        <w:spacing w:line="240" w:lineRule="auto" w:before="51"/>
        <w:ind w:right="0"/>
        <w:jc w:val="left"/>
      </w:pPr>
      <w:r>
        <w:rPr/>
        <w:t>调整期初未分配利润明细：</w:t>
      </w:r>
    </w:p>
    <w:p>
      <w:pPr>
        <w:pStyle w:val="BodyText"/>
        <w:spacing w:line="240" w:lineRule="auto" w:before="117"/>
        <w:ind w:left="153" w:right="0"/>
        <w:jc w:val="left"/>
      </w:pPr>
      <w:r>
        <w:rPr>
          <w:rFonts w:ascii="Times New Roman" w:hAnsi="Times New Roman" w:cs="Times New Roman" w:eastAsia="Times New Roman" w:hint="default"/>
        </w:rPr>
        <w:t>1)</w:t>
      </w:r>
      <w:r>
        <w:rPr/>
        <w:t>、由于同一控制导致的合并范围变更，影响期初未分配利润</w:t>
      </w:r>
      <w:r>
        <w:rPr>
          <w:spacing w:val="-47"/>
        </w:rPr>
        <w:t> </w:t>
      </w:r>
      <w:r>
        <w:rPr>
          <w:rFonts w:ascii="Times New Roman" w:hAnsi="Times New Roman" w:cs="Times New Roman" w:eastAsia="Times New Roman" w:hint="default"/>
        </w:rPr>
        <w:t>3,565,231.17</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01" w:type="dxa"/>
            <w:vMerge/>
            <w:tcBorders>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1,770,251,225.41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1,310,086,294.95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1,728,707,250.63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1,166,350,704.64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62,016,776.06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58,308,178.51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103,437,354.43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97,472,503.47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1,832,268,001.47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1,368,394,473.46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1,832,144,605.06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1,263,823,208.11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2,037,367.75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2,557,006.45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978,400.60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1,125,804.23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898,223.47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908,499.00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2,628.99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710,672.78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655,862.83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784,788.56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12,599,856.04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13,850,923.53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21,731.95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14,341.91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801,420.98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561,269.16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93,073.21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57,295.14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18,224.60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613,966.78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132,250.19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18,720,757.20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20,707,100.95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发行服务费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27,057,946.87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29,008,173.36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45,859,233.43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39,932,453.60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房租物业及水电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8,150,945.70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7,494,144.20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运输及汽车保险费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9,051,901.76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5,163,231.16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9,397,036.99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8,205,353.72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活动与宣传费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3,315,133.31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5,833,382.77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1,261,173.27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1,572,081.34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1,925,594.02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1,938,588.44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邮电费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505,524.71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493,140.68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3,218,532.92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8,907,094.01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5,390,358.97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6,477,794.17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115,133,381.95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115,025,437.45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108,006,943.49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85,099,961.50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房租物业及水电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12,800,417.29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12,133,218.62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7,366,421.97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8,657,860.67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8,508,759.08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8,570,870.36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17,224,634.68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9,936,645.31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6,146,050.44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2,902,854.55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4,653,281.02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4,864,493.50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1,181,349.52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1,830,396.43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1,688,775.73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3,105,989.00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2,406,973.30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11,404,051.01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11,859,929.56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181,046,944.41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149,302,932.62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5,966,831.94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516,568.96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5,749,526.01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6,675,315.83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807,130.35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718,980.24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1,024,436.28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-5,439,766.63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15,868,497.32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25,167,091.63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124,988.34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484,373.39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16,477,859.05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25,167,091.63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41"/>
        <w:gridCol w:w="2128"/>
        <w:gridCol w:w="3188"/>
      </w:tblGrid>
      <w:tr>
        <w:trPr>
          <w:trHeight w:val="402" w:hRule="exact"/>
        </w:trPr>
        <w:tc>
          <w:tcPr>
            <w:tcW w:w="42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4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以公允价值计量的且其变动计入当期损益的金融资产</w:t>
            </w:r>
          </w:p>
        </w:tc>
        <w:tc>
          <w:tcPr>
            <w:tcW w:w="21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105,622.40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-1,649.00</w:t>
            </w:r>
          </w:p>
        </w:tc>
      </w:tr>
      <w:tr>
        <w:trPr>
          <w:trHeight w:val="402" w:hRule="exact"/>
        </w:trPr>
        <w:tc>
          <w:tcPr>
            <w:tcW w:w="42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105,622.40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-1,649.00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2"/>
        <w:gridCol w:w="2917"/>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22,566,076.53</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28,384,239.78</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-2,712.30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-1,545,400.72</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73"/>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94,424.26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222,226.16</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5,395,906.95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2,392,138.05</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48,162,310.53</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76,216,005.97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29,453,203.27</w:t>
            </w:r>
          </w:p>
        </w:tc>
      </w:tr>
    </w:tbl>
    <w:p>
      <w:pPr>
        <w:pStyle w:val="BodyText"/>
        <w:spacing w:line="240" w:lineRule="auto" w:before="10"/>
        <w:ind w:left="634" w:right="0"/>
        <w:jc w:val="left"/>
      </w:pPr>
      <w:r>
        <w:rPr/>
        <w:t>注：其他主要系本公司的子公司杭州日报报业集团盛元印务有限公司在联营企业上海合印科技股份有限公司（以下简</w:t>
      </w:r>
    </w:p>
    <w:p>
      <w:pPr>
        <w:spacing w:after="0" w:line="240"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09" w:lineRule="auto" w:before="44"/>
        <w:ind w:left="153" w:right="151"/>
        <w:jc w:val="both"/>
      </w:pPr>
      <w:r>
        <w:rPr>
          <w:spacing w:val="-2"/>
        </w:rPr>
        <w:t>称</w:t>
      </w:r>
      <w:r>
        <w:rPr>
          <w:rFonts w:ascii="Times New Roman" w:hAnsi="Times New Roman" w:cs="Times New Roman" w:eastAsia="Times New Roman" w:hint="default"/>
          <w:spacing w:val="-2"/>
        </w:rPr>
        <w:t>“</w:t>
      </w:r>
      <w:r>
        <w:rPr>
          <w:spacing w:val="-2"/>
        </w:rPr>
        <w:t>合印科技</w:t>
      </w:r>
      <w:r>
        <w:rPr>
          <w:rFonts w:ascii="Times New Roman" w:hAnsi="Times New Roman" w:cs="Times New Roman" w:eastAsia="Times New Roman" w:hint="default"/>
          <w:spacing w:val="-2"/>
        </w:rPr>
        <w:t>”</w:t>
      </w:r>
      <w:r>
        <w:rPr>
          <w:spacing w:val="-2"/>
        </w:rPr>
        <w:t>）股票的持有意图发生变化，不再参与上海合印的日常经营管理，盛元印务委派的上海合印董事黄磊退出董事</w:t>
      </w:r>
      <w:r>
        <w:rPr>
          <w:spacing w:val="-44"/>
        </w:rPr>
        <w:t> </w:t>
      </w:r>
      <w:r>
        <w:rPr>
          <w:spacing w:val="-44"/>
        </w:rPr>
      </w:r>
      <w:r>
        <w:rPr>
          <w:spacing w:val="-2"/>
        </w:rPr>
        <w:t>席位，且日后不打算委派董事，盛元印务不再对合印科技施加重大影响，对合印科技的权益投资由长期股权投资转换为可供</w:t>
      </w:r>
      <w:r>
        <w:rPr>
          <w:spacing w:val="-66"/>
        </w:rPr>
        <w:t> </w:t>
      </w:r>
      <w:r>
        <w:rPr>
          <w:spacing w:val="-66"/>
        </w:rPr>
      </w:r>
      <w:r>
        <w:rPr/>
        <w:t>出售金融资产核算形成的投资收益，详见附注六、</w:t>
      </w:r>
      <w:r>
        <w:rPr>
          <w:rFonts w:ascii="Times New Roman" w:hAnsi="Times New Roman" w:cs="Times New Roman" w:eastAsia="Times New Roman" w:hint="default"/>
        </w:rPr>
        <w:t>10</w:t>
      </w:r>
      <w:r>
        <w:rPr>
          <w:rFonts w:ascii="Times New Roman" w:hAnsi="Times New Roman" w:cs="Times New Roman" w:eastAsia="Times New Roman" w:hint="default"/>
          <w:spacing w:val="28"/>
        </w:rPr>
        <w:t> </w:t>
      </w:r>
      <w:r>
        <w:rPr/>
        <w:t>。</w:t>
      </w:r>
    </w:p>
    <w:p>
      <w:pPr>
        <w:spacing w:line="240" w:lineRule="auto" w:before="6"/>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69</w:t>
      </w:r>
      <w:r>
        <w:rPr/>
        <w:t>、资产处置收益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3,512,242.63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-307,168.94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11"/>
        <w:gridCol w:w="2268"/>
        <w:gridCol w:w="3190"/>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3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年度第一批市文化创意资金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年度省级以上众创空间奖励资金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年度第二批文化事业专项资金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年社会机构主办类创业品牌活动补助 经费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政府主办类创业品牌活动补助（电商领袖及爬山虎企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明星）</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富阳区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年（第三批）文化创意产业专项补助资 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杭州市下城区人民政府天水街道办事处（工业信息化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财政补助）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288,116.72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杭州市财政局（</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年度中央补助文化产业发展专 </w:t>
            </w:r>
            <w:r>
              <w:rPr>
                <w:rFonts w:ascii="宋体" w:hAnsi="宋体" w:cs="宋体" w:eastAsia="宋体" w:hint="default"/>
                <w:spacing w:val="-4"/>
                <w:sz w:val="18"/>
                <w:szCs w:val="18"/>
              </w:rPr>
              <w:t>项资金：环保型绿色印刷设备扩能改造及其应用示范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266,666.64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第二课堂微信公众号维护补助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创新型房租补贴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164,250.00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我们西湖记忆</w:t>
            </w:r>
            <w:r>
              <w:rPr>
                <w:rFonts w:ascii="Times New Roman" w:hAnsi="Times New Roman" w:cs="Times New Roman" w:eastAsia="Times New Roman" w:hint="default"/>
                <w:sz w:val="18"/>
                <w:szCs w:val="18"/>
              </w:rPr>
              <w:t>”</w:t>
            </w: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《非物质文化遗产记录</w:t>
            </w:r>
            <w:r>
              <w:rPr>
                <w:rFonts w:ascii="Times New Roman" w:hAnsi="Times New Roman" w:cs="Times New Roman" w:eastAsia="Times New Roman" w:hint="default"/>
                <w:sz w:val="18"/>
                <w:szCs w:val="18"/>
              </w:rPr>
              <w:t>---</w:t>
            </w:r>
            <w:r>
              <w:rPr>
                <w:rFonts w:ascii="宋体" w:hAnsi="宋体" w:cs="宋体" w:eastAsia="宋体" w:hint="default"/>
                <w:sz w:val="18"/>
                <w:szCs w:val="18"/>
              </w:rPr>
              <w:t>大师工作室》补助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媒体融合平台扶持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党员活动经费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78,023.36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富阳区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年（第二批）文化创意产业专项补助资 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江干区科技局宣传费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9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3"/>
                <w:sz w:val="18"/>
                <w:szCs w:val="18"/>
              </w:rPr>
              <w:t>红烛行动之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呵护心灵之光，温暖成长之路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帮扶昌平</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47,854.00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111"/>
        <w:gridCol w:w="2268"/>
        <w:gridCol w:w="3190"/>
      </w:tblGrid>
      <w:tr>
        <w:trPr>
          <w:trHeight w:val="36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区和谐星火学校开展课外活动</w:t>
            </w:r>
          </w:p>
        </w:tc>
        <w:tc>
          <w:tcPr>
            <w:tcW w:w="2268"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全国报业联盟百家媒体小镇行活动补助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年重点科普项目补助款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梦想小镇创新创业活动补助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收到未来科技城管委会梦想小镇孵化器考核奖励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tabs>
                <w:tab w:pos="449" w:val="left" w:leader="none"/>
              </w:tabs>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9,265,910.72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8"/>
        <w:gridCol w:w="2395"/>
        <w:gridCol w:w="2392"/>
        <w:gridCol w:w="2392"/>
      </w:tblGrid>
      <w:tr>
        <w:trPr>
          <w:trHeight w:val="162" w:hRule="exact"/>
        </w:trPr>
        <w:tc>
          <w:tcPr>
            <w:tcW w:w="2378"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0" w:hRule="exact"/>
        </w:trPr>
        <w:tc>
          <w:tcPr>
            <w:tcW w:w="23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2,483,312.30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6,248,319.45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2,483,312.30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54,719.57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240.00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1,144,787.67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862,717.00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1,144,787.67</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3,628,339.97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7,165,756.02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3,628,339.97</w:t>
            </w:r>
          </w:p>
        </w:tc>
      </w:tr>
    </w:tbl>
    <w:p>
      <w:pPr>
        <w:pStyle w:val="BodyText"/>
        <w:spacing w:line="240" w:lineRule="auto" w:before="51"/>
        <w:ind w:right="0"/>
        <w:jc w:val="left"/>
      </w:pPr>
      <w:r>
        <w:rPr/>
        <w:t>计入当期损益的政府补助：</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156"/>
        <w:gridCol w:w="851"/>
        <w:gridCol w:w="852"/>
        <w:gridCol w:w="848"/>
        <w:gridCol w:w="1134"/>
        <w:gridCol w:w="626"/>
        <w:gridCol w:w="1075"/>
        <w:gridCol w:w="1076"/>
        <w:gridCol w:w="1074"/>
      </w:tblGrid>
      <w:tr>
        <w:trPr>
          <w:trHeight w:val="714" w:hRule="exact"/>
        </w:trPr>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2"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7" w:right="37"/>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42" w:right="80"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44" w:right="80"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81" w:right="57"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年度经济工作表彰奖 励</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1,206,600.00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残疾人保障金退回</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69,629.52</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科技创新优秀企业奖励费</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下城区科技局省科技型中 小企业补助</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水利基金退税</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86,883.20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1,835,580.18</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减免税款</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1,828.39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1,119,856.30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文化创意产业专项补助资 金</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945,000.00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财政局新三板挂牌补助</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5"/>
                <w:sz w:val="18"/>
                <w:szCs w:val="18"/>
              </w:rPr>
              <w:t>杭州市就业管理服务局（稳</w:t>
            </w:r>
            <w:r>
              <w:rPr>
                <w:rFonts w:ascii="宋体" w:hAnsi="宋体" w:cs="宋体" w:eastAsia="宋体" w:hint="default"/>
                <w:sz w:val="18"/>
                <w:szCs w:val="18"/>
              </w:rPr>
              <w:t> 定岗位补贴）</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348,771.19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131,202.30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用工补助</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2156"/>
        <w:gridCol w:w="851"/>
        <w:gridCol w:w="852"/>
        <w:gridCol w:w="848"/>
        <w:gridCol w:w="1134"/>
        <w:gridCol w:w="626"/>
        <w:gridCol w:w="1075"/>
        <w:gridCol w:w="1076"/>
        <w:gridCol w:w="1074"/>
      </w:tblGrid>
      <w:tr>
        <w:trPr>
          <w:trHeight w:val="1338"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7"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红烛行动之</w:t>
            </w:r>
            <w:r>
              <w:rPr>
                <w:rFonts w:ascii="Times New Roman" w:hAnsi="Times New Roman" w:cs="Times New Roman" w:eastAsia="Times New Roman" w:hint="default"/>
                <w:sz w:val="18"/>
                <w:szCs w:val="18"/>
              </w:rPr>
              <w:t>“</w:t>
            </w:r>
            <w:r>
              <w:rPr>
                <w:rFonts w:ascii="宋体" w:hAnsi="宋体" w:cs="宋体" w:eastAsia="宋体" w:hint="default"/>
                <w:sz w:val="18"/>
                <w:szCs w:val="18"/>
              </w:rPr>
              <w:t>呵护心灵 之光，温暖成长之路</w:t>
            </w:r>
            <w:r>
              <w:rPr>
                <w:rFonts w:ascii="Times New Roman" w:hAnsi="Times New Roman" w:cs="Times New Roman" w:eastAsia="Times New Roman" w:hint="default"/>
                <w:sz w:val="18"/>
                <w:szCs w:val="18"/>
              </w:rPr>
              <w:t>”</w:t>
            </w:r>
            <w:r>
              <w:rPr>
                <w:rFonts w:ascii="宋体" w:hAnsi="宋体" w:cs="宋体" w:eastAsia="宋体" w:hint="default"/>
                <w:sz w:val="18"/>
                <w:szCs w:val="18"/>
              </w:rPr>
              <w:t>帮扶 昌平区和谐星火学校开展 课外活动</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22,146.00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收到未来科技城孵化器运 营奖励款</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297,079.00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杭州市财政局（</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中央补助文化产业发展专 </w:t>
            </w:r>
            <w:r>
              <w:rPr>
                <w:rFonts w:ascii="宋体" w:hAnsi="宋体" w:cs="宋体" w:eastAsia="宋体" w:hint="default"/>
                <w:spacing w:val="-5"/>
                <w:sz w:val="18"/>
                <w:szCs w:val="18"/>
              </w:rPr>
              <w:t>项资金：环保型绿色印刷设</w:t>
            </w:r>
            <w:r>
              <w:rPr>
                <w:rFonts w:ascii="宋体" w:hAnsi="宋体" w:cs="宋体" w:eastAsia="宋体" w:hint="default"/>
                <w:sz w:val="18"/>
                <w:szCs w:val="18"/>
              </w:rPr>
              <w:t> 备扩能改造及其应用示范 项目）</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266,666.64</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16"/>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上海金桥经济技术开发区 管理委员会财政补贴</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杭州市第二批市级众创空 间补助经费</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江干区创新性企业房租补 贴</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164,250.00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杭州城市休闲日项目 文化创意资金补助款</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在线艺术平台项目文化创 意资金补助款</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清风视野项目补助款</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第二课堂公众号维护补助</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动漫产业专项补助资金</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富阳区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年（第三批） 文化创意产业专项补助资 金</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动漫</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COSPLAY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俱乐部补 助款</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文化创意宣传补助资金</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道路标识宣传补助</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职工培训补贴</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22,137.04</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高污染柴油车淘汰补助</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劳动就业服务处安置残疾 人补助</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失业保险补助款</w:t>
            </w:r>
          </w:p>
        </w:tc>
        <w:tc>
          <w:tcPr>
            <w:tcW w:w="85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3,201.99</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2,483,312.30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6,248,319.45</w:t>
            </w:r>
          </w:p>
        </w:tc>
        <w:tc>
          <w:tcPr>
            <w:tcW w:w="1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right="0"/>
        <w:jc w:val="left"/>
        <w:rPr>
          <w:b w:val="0"/>
          <w:bCs w:val="0"/>
        </w:rPr>
      </w:pP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2" w:hRule="exact"/>
        </w:trPr>
        <w:tc>
          <w:tcPr>
            <w:tcW w:w="2389"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0" w:hRule="exact"/>
        </w:trPr>
        <w:tc>
          <w:tcPr>
            <w:tcW w:w="23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31,680.80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非流动资产损毁报废损失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645,423.68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139,160.22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645,423.68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411,591.66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49,016.23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411,591.66</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2,488,450.98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750,166.00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2,488,450.98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990,879.70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125,731.38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727,884.59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125,731.38</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3,796,197.70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2,688,787.54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3,796,197.70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73</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13,676,102.43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11,766,266.69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-3,412,131.25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-182,796.53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10,263,971.18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11,583,470.16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6"/>
        <w:gridCol w:w="4800"/>
      </w:tblGrid>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220,402,073.11</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55,100,518.28</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-50,046,937.60</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615,659.53</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-2,356,594.49</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725,832.30</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-537,634.20</w:t>
            </w:r>
          </w:p>
        </w:tc>
      </w:tr>
      <w:tr>
        <w:trPr>
          <w:trHeight w:val="714"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1,266,828.85</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税率调整导致年初递延所得税资产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84,112.59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税法规定的额外扣除项目</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-895,285.97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权益法核算的长期股权投资处置收益</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6,307,471.89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10,263,971.18</w:t>
            </w:r>
          </w:p>
        </w:tc>
      </w:tr>
    </w:tbl>
    <w:p>
      <w:pPr>
        <w:spacing w:line="240" w:lineRule="auto" w:before="2"/>
        <w:rPr>
          <w:rFonts w:ascii="宋体" w:hAnsi="宋体" w:cs="宋体" w:eastAsia="宋体" w:hint="default"/>
          <w:sz w:val="19"/>
          <w:szCs w:val="19"/>
        </w:rPr>
      </w:pPr>
    </w:p>
    <w:p>
      <w:pPr>
        <w:spacing w:line="547" w:lineRule="auto" w:before="35"/>
        <w:ind w:left="154" w:right="78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spacing w:val="1"/>
          <w:w w:val="99"/>
          <w:sz w:val="21"/>
          <w:szCs w:val="21"/>
        </w:rPr>
        <w:t> </w:t>
      </w:r>
      <w:r>
        <w:rPr>
          <w:rFonts w:ascii="宋体" w:hAnsi="宋体" w:cs="宋体" w:eastAsia="宋体" w:hint="default"/>
          <w:sz w:val="18"/>
          <w:szCs w:val="18"/>
        </w:rPr>
        <w:t>详见附注六、</w:t>
      </w:r>
      <w:r>
        <w:rPr>
          <w:rFonts w:ascii="Times New Roman" w:hAnsi="Times New Roman" w:cs="Times New Roman" w:eastAsia="Times New Roman" w:hint="default"/>
          <w:sz w:val="18"/>
          <w:szCs w:val="18"/>
        </w:rPr>
        <w:t>35</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5"/>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5,520,956.56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6,670,263.19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10,885,123.19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6,339,831.93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128,406,524.16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127,334,044.75</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收回的不符合现金及现金等价物定义的 货币资金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8,100,259.38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32,115,312.10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152,912,863.29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172,459,451.97</w:t>
            </w:r>
          </w:p>
        </w:tc>
      </w:tr>
    </w:tbl>
    <w:p>
      <w:pPr>
        <w:pStyle w:val="BodyText"/>
        <w:spacing w:line="240" w:lineRule="auto" w:before="51"/>
        <w:ind w:right="0"/>
        <w:jc w:val="left"/>
      </w:pPr>
      <w:r>
        <w:rPr/>
        <w:t>收到的其他与经营活动有关的现金说明：无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115,625,371.51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124,729,942.02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140,466,151.38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154,770,402.26</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支付的不符合现金及现金等价物定义的 货币资金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20,197,201.80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8,100,259.38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276,288,724.69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287,600,603.66</w:t>
            </w:r>
          </w:p>
        </w:tc>
      </w:tr>
    </w:tbl>
    <w:p>
      <w:pPr>
        <w:pStyle w:val="BodyText"/>
        <w:spacing w:line="240" w:lineRule="auto" w:before="51"/>
        <w:ind w:right="0"/>
        <w:jc w:val="left"/>
      </w:pPr>
      <w:r>
        <w:rPr/>
        <w:t>支付的其他与经营活动有关的现金说明：无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收回对非金融机构借款的本金及利息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2,841,077.64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1,685.25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2,841,077.64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1,685.25</w:t>
            </w:r>
          </w:p>
        </w:tc>
      </w:tr>
    </w:tbl>
    <w:p>
      <w:pPr>
        <w:pStyle w:val="BodyText"/>
        <w:spacing w:line="240" w:lineRule="auto" w:before="51"/>
        <w:ind w:right="0"/>
        <w:jc w:val="left"/>
      </w:pPr>
      <w:r>
        <w:rPr/>
        <w:t>收到的其他与投资活动有关的现金说明：无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对非金融机构借款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本期处置子公司收回金额与处置日现金 及现金等价物的差额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32,780,631.17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81,648.35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45,430,631.17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81,648.35</w:t>
            </w:r>
          </w:p>
        </w:tc>
      </w:tr>
    </w:tbl>
    <w:p>
      <w:pPr>
        <w:pStyle w:val="BodyText"/>
        <w:spacing w:line="240" w:lineRule="auto" w:before="51"/>
        <w:ind w:right="0"/>
        <w:jc w:val="left"/>
      </w:pPr>
      <w:r>
        <w:rPr/>
        <w:t>支付的其他与投资活动有关的现金说明：无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非金融机构借款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25,600,000.01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收到与资产相关的政府补助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535,159.00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25,535,159.00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25,600,000.01</w:t>
            </w:r>
          </w:p>
        </w:tc>
      </w:tr>
    </w:tbl>
    <w:p>
      <w:pPr>
        <w:pStyle w:val="BodyText"/>
        <w:spacing w:line="240" w:lineRule="auto" w:before="51"/>
        <w:ind w:right="0"/>
        <w:jc w:val="left"/>
      </w:pPr>
      <w:r>
        <w:rPr/>
        <w:t>收到的其他与筹资活动有关的现金说明：无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归还非金融机构的借款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25,610,000.01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同一控制下企业合并支付的现金对价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31,895,370.00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非同一控制下企业合并支付的现金对价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139,142,921.37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67,961,324.37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收购少数股东股权支付对价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189,738,291.37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94,051,324.38</w:t>
            </w:r>
          </w:p>
        </w:tc>
      </w:tr>
    </w:tbl>
    <w:p>
      <w:pPr>
        <w:pStyle w:val="BodyText"/>
        <w:spacing w:line="240" w:lineRule="auto" w:before="51"/>
        <w:ind w:right="0"/>
        <w:jc w:val="left"/>
      </w:pPr>
      <w:r>
        <w:rPr/>
        <w:t>支付的其他与筹资活动有关的现金说明：无</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805"/>
        <w:gridCol w:w="2567"/>
        <w:gridCol w:w="3184"/>
      </w:tblGrid>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210,138,101.93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285,596,484.58</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16,477,859.05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25,167,091.63</w:t>
            </w:r>
          </w:p>
        </w:tc>
      </w:tr>
      <w:tr>
        <w:trPr>
          <w:trHeight w:val="714" w:hRule="exact"/>
        </w:trPr>
        <w:tc>
          <w:tcPr>
            <w:tcW w:w="3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 折旧</w:t>
            </w:r>
          </w:p>
        </w:tc>
        <w:tc>
          <w:tcPr>
            <w:tcW w:w="2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35,243,947.80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37,544,805.73</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5,288,002.01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4,322,822.61</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4,807,956.68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10,387,296.93</w:t>
            </w:r>
          </w:p>
        </w:tc>
      </w:tr>
      <w:tr>
        <w:trPr>
          <w:trHeight w:val="714" w:hRule="exact"/>
        </w:trPr>
        <w:tc>
          <w:tcPr>
            <w:tcW w:w="3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-3,512,242.63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391,609.59</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645,183.68</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-105,622.40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1,649.00</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5,738,262.49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516,568.96</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-76,216,005.97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-29,453,203.27</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-2,868,833.06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274,243.15</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-543,298.19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-452,825.68</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1,747,854.48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8,658,227.23</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-198,717,822.70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150,891,445.16</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187,122,165.47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-203,889,528.57</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185,245,508.64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289,956,687.05</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731,355,688.83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777,107,117.31</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777,107,117.31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887,216,398.67</w:t>
            </w:r>
          </w:p>
        </w:tc>
      </w:tr>
      <w:tr>
        <w:trPr>
          <w:trHeight w:val="403" w:hRule="exact"/>
        </w:trPr>
        <w:tc>
          <w:tcPr>
            <w:tcW w:w="3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-45,751,428.48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-110,109,281.36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139,142,921.37</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27,224,921.37</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中教未来国际教育科技（北京）有限公司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96,048,000.00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北京星干线文化传播有限公司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智明远扬教育科技（北京）有限公司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广州励耘教育科技有限公司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139,142,921.37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6"/>
        <w:gridCol w:w="3057"/>
        <w:gridCol w:w="3184"/>
      </w:tblGrid>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731,355,688.83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777,107,117.31</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902,439.69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1,213,332.57</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728,298,836.27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773,087,141.65</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2,154,412.87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2,806,643.09</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731,355,688.83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777,107,117.31</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spacing w:line="547" w:lineRule="auto" w:before="0"/>
        <w:ind w:left="154" w:right="42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spacing w:val="1"/>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项目名称及调整金额等事项：无 </w:t>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16"/>
        <w:gridCol w:w="3068"/>
        <w:gridCol w:w="3156"/>
      </w:tblGrid>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20,197,201.80</w:t>
            </w:r>
          </w:p>
        </w:tc>
        <w:tc>
          <w:tcPr>
            <w:tcW w:w="3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不能随时支取的定期存款</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3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结构性存款</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06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156,690,237.67</w:t>
            </w:r>
          </w:p>
        </w:tc>
        <w:tc>
          <w:tcPr>
            <w:tcW w:w="31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长期借款股权质押</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256,887,439.47</w:t>
            </w:r>
          </w:p>
        </w:tc>
        <w:tc>
          <w:tcPr>
            <w:tcW w:w="3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其他说明：无</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80</w:t>
      </w:r>
      <w:r>
        <w:rPr/>
        <w:t>、套期</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left="153"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713"/>
        <w:gridCol w:w="1012"/>
        <w:gridCol w:w="1558"/>
        <w:gridCol w:w="648"/>
        <w:gridCol w:w="482"/>
        <w:gridCol w:w="1449"/>
        <w:gridCol w:w="1472"/>
        <w:gridCol w:w="1217"/>
        <w:gridCol w:w="1144"/>
      </w:tblGrid>
      <w:tr>
        <w:trPr>
          <w:trHeight w:val="1338" w:hRule="exact"/>
        </w:trPr>
        <w:tc>
          <w:tcPr>
            <w:tcW w:w="713" w:type="dxa"/>
            <w:tcBorders>
              <w:top w:val="single" w:sz="4" w:space="0" w:color="000000"/>
              <w:left w:val="single" w:sz="4" w:space="0" w:color="000000"/>
              <w:bottom w:val="single" w:sz="8" w:space="0" w:color="C7EDCC"/>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1" w:right="79"/>
              <w:jc w:val="left"/>
              <w:rPr>
                <w:rFonts w:ascii="宋体" w:hAnsi="宋体" w:cs="宋体" w:eastAsia="宋体" w:hint="default"/>
                <w:sz w:val="18"/>
                <w:szCs w:val="18"/>
              </w:rPr>
            </w:pPr>
            <w:r>
              <w:rPr>
                <w:rFonts w:ascii="宋体" w:hAnsi="宋体" w:cs="宋体" w:eastAsia="宋体" w:hint="default"/>
                <w:sz w:val="18"/>
                <w:szCs w:val="18"/>
              </w:rPr>
              <w:t>被合并 方名称</w:t>
            </w:r>
          </w:p>
        </w:tc>
        <w:tc>
          <w:tcPr>
            <w:tcW w:w="1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 w:right="49"/>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558" w:type="dxa"/>
            <w:tcBorders>
              <w:top w:val="single" w:sz="4" w:space="0" w:color="000000"/>
              <w:left w:val="single" w:sz="4" w:space="0" w:color="000000"/>
              <w:bottom w:val="single" w:sz="8" w:space="0" w:color="C7EDCC"/>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2" w:right="53" w:hanging="180"/>
              <w:jc w:val="left"/>
              <w:rPr>
                <w:rFonts w:ascii="宋体" w:hAnsi="宋体" w:cs="宋体" w:eastAsia="宋体" w:hint="default"/>
                <w:sz w:val="18"/>
                <w:szCs w:val="18"/>
              </w:rPr>
            </w:pPr>
            <w:r>
              <w:rPr>
                <w:rFonts w:ascii="宋体" w:hAnsi="宋体" w:cs="宋体" w:eastAsia="宋体" w:hint="default"/>
                <w:sz w:val="18"/>
                <w:szCs w:val="18"/>
              </w:rPr>
              <w:t>构成同一控制下企 业合并的依据</w:t>
            </w:r>
          </w:p>
        </w:tc>
        <w:tc>
          <w:tcPr>
            <w:tcW w:w="6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1" w:right="50"/>
              <w:jc w:val="both"/>
              <w:rPr>
                <w:rFonts w:ascii="宋体" w:hAnsi="宋体" w:cs="宋体" w:eastAsia="宋体" w:hint="default"/>
                <w:sz w:val="18"/>
                <w:szCs w:val="18"/>
              </w:rPr>
            </w:pPr>
            <w:r>
              <w:rPr>
                <w:rFonts w:ascii="宋体" w:hAnsi="宋体" w:cs="宋体" w:eastAsia="宋体" w:hint="default"/>
                <w:sz w:val="18"/>
                <w:szCs w:val="18"/>
              </w:rPr>
              <w:t>合并 日的 确定 依据</w:t>
            </w:r>
          </w:p>
        </w:tc>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5" w:right="83"/>
              <w:jc w:val="center"/>
              <w:rPr>
                <w:rFonts w:ascii="宋体" w:hAnsi="宋体" w:cs="宋体" w:eastAsia="宋体" w:hint="default"/>
                <w:sz w:val="18"/>
                <w:szCs w:val="18"/>
              </w:rPr>
            </w:pPr>
            <w:r>
              <w:rPr>
                <w:rFonts w:ascii="宋体" w:hAnsi="宋体" w:cs="宋体" w:eastAsia="宋体" w:hint="default"/>
                <w:sz w:val="18"/>
                <w:szCs w:val="18"/>
              </w:rPr>
              <w:t>合并当期期初至 合并日被合并方 的收入</w:t>
            </w:r>
          </w:p>
        </w:tc>
        <w:tc>
          <w:tcPr>
            <w:tcW w:w="1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0" w:right="101"/>
              <w:jc w:val="center"/>
              <w:rPr>
                <w:rFonts w:ascii="宋体" w:hAnsi="宋体" w:cs="宋体" w:eastAsia="宋体" w:hint="default"/>
                <w:sz w:val="18"/>
                <w:szCs w:val="18"/>
              </w:rPr>
            </w:pPr>
            <w:r>
              <w:rPr>
                <w:rFonts w:ascii="宋体" w:hAnsi="宋体" w:cs="宋体" w:eastAsia="宋体" w:hint="default"/>
                <w:sz w:val="18"/>
                <w:szCs w:val="18"/>
              </w:rPr>
              <w:t>合并当期期初至 合并日被合并方 的净利润</w:t>
            </w:r>
          </w:p>
        </w:tc>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53" w:right="61" w:hanging="90"/>
              <w:jc w:val="left"/>
              <w:rPr>
                <w:rFonts w:ascii="宋体" w:hAnsi="宋体" w:cs="宋体" w:eastAsia="宋体" w:hint="default"/>
                <w:sz w:val="18"/>
                <w:szCs w:val="18"/>
              </w:rPr>
            </w:pPr>
            <w:r>
              <w:rPr>
                <w:rFonts w:ascii="宋体" w:hAnsi="宋体" w:cs="宋体" w:eastAsia="宋体" w:hint="default"/>
                <w:sz w:val="18"/>
                <w:szCs w:val="18"/>
              </w:rPr>
              <w:t>比较期间被合 并方的收入</w:t>
            </w:r>
          </w:p>
        </w:tc>
        <w:tc>
          <w:tcPr>
            <w:tcW w:w="1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6" w:right="25"/>
              <w:jc w:val="left"/>
              <w:rPr>
                <w:rFonts w:ascii="宋体" w:hAnsi="宋体" w:cs="宋体" w:eastAsia="宋体" w:hint="default"/>
                <w:sz w:val="18"/>
                <w:szCs w:val="18"/>
              </w:rPr>
            </w:pPr>
            <w:r>
              <w:rPr>
                <w:rFonts w:ascii="宋体" w:hAnsi="宋体" w:cs="宋体" w:eastAsia="宋体" w:hint="default"/>
                <w:sz w:val="18"/>
                <w:szCs w:val="18"/>
              </w:rPr>
              <w:t>比较期间被合 并方的净利润</w:t>
            </w:r>
          </w:p>
        </w:tc>
      </w:tr>
      <w:tr>
        <w:trPr>
          <w:trHeight w:val="368" w:hRule="exact"/>
        </w:trPr>
        <w:tc>
          <w:tcPr>
            <w:tcW w:w="71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杭州华</w:t>
            </w:r>
          </w:p>
        </w:tc>
        <w:tc>
          <w:tcPr>
            <w:tcW w:w="1012"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71"/>
              <w:ind w:right="60"/>
              <w:jc w:val="center"/>
              <w:rPr>
                <w:rFonts w:ascii="宋体" w:hAnsi="宋体" w:cs="宋体" w:eastAsia="宋体" w:hint="default"/>
                <w:sz w:val="18"/>
                <w:szCs w:val="18"/>
              </w:rPr>
            </w:pPr>
            <w:r>
              <w:rPr>
                <w:rFonts w:ascii="宋体" w:hAnsi="宋体" w:cs="宋体" w:eastAsia="宋体" w:hint="default"/>
                <w:sz w:val="18"/>
                <w:szCs w:val="18"/>
              </w:rPr>
              <w:t>合并前后均受杭州</w:t>
            </w:r>
          </w:p>
        </w:tc>
        <w:tc>
          <w:tcPr>
            <w:tcW w:w="6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w:t>
            </w:r>
          </w:p>
        </w:tc>
        <w:tc>
          <w:tcPr>
            <w:tcW w:w="1449" w:type="dxa"/>
            <w:tcBorders>
              <w:top w:val="single" w:sz="4" w:space="0" w:color="000000"/>
              <w:left w:val="single" w:sz="13" w:space="0" w:color="C7EDCC"/>
              <w:bottom w:val="nil" w:sz="6" w:space="0" w:color="auto"/>
              <w:right w:val="single" w:sz="4" w:space="0" w:color="000000"/>
            </w:tcBorders>
          </w:tcPr>
          <w:p>
            <w:pPr/>
          </w:p>
        </w:tc>
        <w:tc>
          <w:tcPr>
            <w:tcW w:w="1472" w:type="dxa"/>
            <w:tcBorders>
              <w:top w:val="single" w:sz="4" w:space="0" w:color="000000"/>
              <w:left w:val="single" w:sz="4" w:space="0" w:color="000000"/>
              <w:bottom w:val="nil" w:sz="6" w:space="0" w:color="auto"/>
              <w:right w:val="single" w:sz="4" w:space="0" w:color="000000"/>
            </w:tcBorders>
          </w:tcPr>
          <w:p>
            <w:pPr/>
          </w:p>
        </w:tc>
        <w:tc>
          <w:tcPr>
            <w:tcW w:w="1217" w:type="dxa"/>
            <w:vMerge w:val="restart"/>
            <w:tcBorders>
              <w:top w:val="single" w:sz="4" w:space="0" w:color="000000"/>
              <w:left w:val="single" w:sz="4" w:space="0" w:color="000000"/>
              <w:right w:val="single" w:sz="4" w:space="0" w:color="000000"/>
            </w:tcBorders>
          </w:tcPr>
          <w:p>
            <w:pPr/>
          </w:p>
        </w:tc>
        <w:tc>
          <w:tcPr>
            <w:tcW w:w="1144" w:type="dxa"/>
            <w:vMerge w:val="restart"/>
            <w:tcBorders>
              <w:top w:val="single" w:sz="4" w:space="0" w:color="000000"/>
              <w:left w:val="single" w:sz="4" w:space="0" w:color="000000"/>
              <w:right w:val="single" w:sz="4" w:space="0" w:color="000000"/>
            </w:tcBorders>
          </w:tcPr>
          <w:p>
            <w:pPr/>
          </w:p>
        </w:tc>
      </w:tr>
      <w:tr>
        <w:trPr>
          <w:trHeight w:val="312" w:hRule="exact"/>
        </w:trPr>
        <w:tc>
          <w:tcPr>
            <w:tcW w:w="71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媒企业</w:t>
            </w: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334" w:right="0"/>
              <w:jc w:val="left"/>
              <w:rPr>
                <w:rFonts w:ascii="Times New Roman" w:hAnsi="Times New Roman" w:cs="Times New Roman" w:eastAsia="Times New Roman" w:hint="default"/>
                <w:sz w:val="18"/>
                <w:szCs w:val="18"/>
              </w:rPr>
            </w:pPr>
            <w:r>
              <w:rPr>
                <w:rFonts w:ascii="Times New Roman"/>
                <w:sz w:val="18"/>
              </w:rPr>
              <w:t>100.00%</w:t>
            </w:r>
          </w:p>
        </w:tc>
        <w:tc>
          <w:tcPr>
            <w:tcW w:w="15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9"/>
              <w:ind w:right="60"/>
              <w:jc w:val="center"/>
              <w:rPr>
                <w:rFonts w:ascii="宋体" w:hAnsi="宋体" w:cs="宋体" w:eastAsia="宋体" w:hint="default"/>
                <w:sz w:val="18"/>
                <w:szCs w:val="18"/>
              </w:rPr>
            </w:pPr>
            <w:r>
              <w:rPr>
                <w:rFonts w:ascii="宋体" w:hAnsi="宋体" w:cs="宋体" w:eastAsia="宋体" w:hint="default"/>
                <w:sz w:val="18"/>
                <w:szCs w:val="18"/>
              </w:rPr>
              <w:t>日报报业集团（杭</w:t>
            </w:r>
          </w:p>
        </w:tc>
        <w:tc>
          <w:tcPr>
            <w:tcW w:w="648"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30</w:t>
            </w:r>
          </w:p>
        </w:tc>
        <w:tc>
          <w:tcPr>
            <w:tcW w:w="48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控制</w:t>
            </w:r>
          </w:p>
        </w:tc>
        <w:tc>
          <w:tcPr>
            <w:tcW w:w="1449" w:type="dxa"/>
            <w:tcBorders>
              <w:top w:val="nil" w:sz="6" w:space="0" w:color="auto"/>
              <w:left w:val="single" w:sz="13" w:space="0" w:color="C7EDCC"/>
              <w:bottom w:val="nil" w:sz="6" w:space="0" w:color="auto"/>
              <w:right w:val="single" w:sz="4" w:space="0" w:color="000000"/>
            </w:tcBorders>
          </w:tcPr>
          <w:p>
            <w:pPr>
              <w:pStyle w:val="TableParagraph"/>
              <w:spacing w:line="240" w:lineRule="auto" w:before="40"/>
              <w:ind w:left="595" w:right="0"/>
              <w:jc w:val="left"/>
              <w:rPr>
                <w:rFonts w:ascii="Times New Roman" w:hAnsi="Times New Roman" w:cs="Times New Roman" w:eastAsia="Times New Roman" w:hint="default"/>
                <w:sz w:val="18"/>
                <w:szCs w:val="18"/>
              </w:rPr>
            </w:pPr>
            <w:r>
              <w:rPr>
                <w:rFonts w:ascii="Times New Roman"/>
                <w:sz w:val="18"/>
              </w:rPr>
              <w:t>199,224.85</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660" w:right="0"/>
              <w:jc w:val="left"/>
              <w:rPr>
                <w:rFonts w:ascii="Times New Roman" w:hAnsi="Times New Roman" w:cs="Times New Roman" w:eastAsia="Times New Roman" w:hint="default"/>
                <w:sz w:val="18"/>
                <w:szCs w:val="18"/>
              </w:rPr>
            </w:pPr>
            <w:r>
              <w:rPr>
                <w:rFonts w:ascii="Times New Roman"/>
                <w:sz w:val="18"/>
              </w:rPr>
              <w:t>-91,848.86</w:t>
            </w:r>
          </w:p>
        </w:tc>
        <w:tc>
          <w:tcPr>
            <w:tcW w:w="1217" w:type="dxa"/>
            <w:vMerge/>
            <w:tcBorders>
              <w:left w:val="single" w:sz="4" w:space="0" w:color="000000"/>
              <w:right w:val="single" w:sz="4" w:space="0" w:color="000000"/>
            </w:tcBorders>
          </w:tcPr>
          <w:p>
            <w:pPr/>
          </w:p>
        </w:tc>
        <w:tc>
          <w:tcPr>
            <w:tcW w:w="1144" w:type="dxa"/>
            <w:vMerge/>
            <w:tcBorders>
              <w:left w:val="single" w:sz="4" w:space="0" w:color="000000"/>
              <w:right w:val="single" w:sz="4" w:space="0" w:color="000000"/>
            </w:tcBorders>
          </w:tcPr>
          <w:p>
            <w:pPr/>
          </w:p>
        </w:tc>
      </w:tr>
      <w:tr>
        <w:trPr>
          <w:trHeight w:val="346" w:hRule="exact"/>
        </w:trPr>
        <w:tc>
          <w:tcPr>
            <w:tcW w:w="71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管理有</w:t>
            </w:r>
          </w:p>
        </w:tc>
        <w:tc>
          <w:tcPr>
            <w:tcW w:w="1012"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9"/>
              <w:ind w:right="60"/>
              <w:jc w:val="center"/>
              <w:rPr>
                <w:rFonts w:ascii="宋体" w:hAnsi="宋体" w:cs="宋体" w:eastAsia="宋体" w:hint="default"/>
                <w:sz w:val="18"/>
                <w:szCs w:val="18"/>
              </w:rPr>
            </w:pPr>
            <w:r>
              <w:rPr>
                <w:rFonts w:ascii="宋体" w:hAnsi="宋体" w:cs="宋体" w:eastAsia="宋体" w:hint="default"/>
                <w:sz w:val="18"/>
                <w:szCs w:val="18"/>
              </w:rPr>
              <w:t>州日报社）控制，</w:t>
            </w:r>
          </w:p>
        </w:tc>
        <w:tc>
          <w:tcPr>
            <w:tcW w:w="6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8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权</w:t>
            </w:r>
          </w:p>
        </w:tc>
        <w:tc>
          <w:tcPr>
            <w:tcW w:w="1449" w:type="dxa"/>
            <w:tcBorders>
              <w:top w:val="nil" w:sz="6" w:space="0" w:color="auto"/>
              <w:left w:val="single" w:sz="13" w:space="0" w:color="C7EDCC"/>
              <w:bottom w:val="single" w:sz="4" w:space="0" w:color="000000"/>
              <w:right w:val="single" w:sz="4" w:space="0" w:color="000000"/>
            </w:tcBorders>
          </w:tcPr>
          <w:p>
            <w:pPr/>
          </w:p>
        </w:tc>
        <w:tc>
          <w:tcPr>
            <w:tcW w:w="1472" w:type="dxa"/>
            <w:tcBorders>
              <w:top w:val="nil" w:sz="6" w:space="0" w:color="auto"/>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144"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713"/>
        <w:gridCol w:w="1012"/>
        <w:gridCol w:w="1546"/>
        <w:gridCol w:w="660"/>
        <w:gridCol w:w="493"/>
        <w:gridCol w:w="1438"/>
        <w:gridCol w:w="1472"/>
        <w:gridCol w:w="1217"/>
        <w:gridCol w:w="1144"/>
      </w:tblGrid>
      <w:tr>
        <w:trPr>
          <w:trHeight w:val="674" w:hRule="exact"/>
        </w:trPr>
        <w:tc>
          <w:tcPr>
            <w:tcW w:w="7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1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22" w:right="71"/>
              <w:jc w:val="left"/>
              <w:rPr>
                <w:rFonts w:ascii="宋体" w:hAnsi="宋体" w:cs="宋体" w:eastAsia="宋体" w:hint="default"/>
                <w:sz w:val="18"/>
                <w:szCs w:val="18"/>
              </w:rPr>
            </w:pPr>
            <w:r>
              <w:rPr>
                <w:rFonts w:ascii="宋体" w:hAnsi="宋体" w:cs="宋体" w:eastAsia="宋体" w:hint="default"/>
                <w:sz w:val="18"/>
                <w:szCs w:val="18"/>
              </w:rPr>
              <w:t>且该项控制非暂时 的</w:t>
            </w:r>
          </w:p>
        </w:tc>
        <w:tc>
          <w:tcPr>
            <w:tcW w:w="660" w:type="dxa"/>
            <w:tcBorders>
              <w:top w:val="single" w:sz="4" w:space="0" w:color="000000"/>
              <w:left w:val="single" w:sz="13" w:space="0" w:color="C7EDCC"/>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1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w:t>
            </w:r>
          </w:p>
        </w:tc>
        <w:tc>
          <w:tcPr>
            <w:tcW w:w="1012" w:type="dxa"/>
            <w:tcBorders>
              <w:top w:val="single" w:sz="4" w:space="0" w:color="000000"/>
              <w:left w:val="single" w:sz="4" w:space="0" w:color="000000"/>
              <w:bottom w:val="nil" w:sz="6" w:space="0" w:color="auto"/>
              <w:right w:val="single" w:sz="4" w:space="0" w:color="000000"/>
            </w:tcBorders>
          </w:tcPr>
          <w:p>
            <w:pPr/>
          </w:p>
        </w:tc>
        <w:tc>
          <w:tcPr>
            <w:tcW w:w="154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合并前后均受杭州</w:t>
            </w:r>
          </w:p>
        </w:tc>
        <w:tc>
          <w:tcPr>
            <w:tcW w:w="660" w:type="dxa"/>
            <w:tcBorders>
              <w:top w:val="single" w:sz="4" w:space="0" w:color="000000"/>
              <w:left w:val="single" w:sz="13" w:space="0" w:color="C7EDCC"/>
              <w:bottom w:val="nil" w:sz="6" w:space="0" w:color="auto"/>
              <w:right w:val="single" w:sz="4" w:space="0" w:color="000000"/>
            </w:tcBorders>
          </w:tcPr>
          <w:p>
            <w:pPr/>
          </w:p>
        </w:tc>
        <w:tc>
          <w:tcPr>
            <w:tcW w:w="493" w:type="dxa"/>
            <w:tcBorders>
              <w:top w:val="single" w:sz="4" w:space="0" w:color="000000"/>
              <w:left w:val="single" w:sz="4" w:space="0" w:color="000000"/>
              <w:bottom w:val="nil" w:sz="6" w:space="0" w:color="auto"/>
              <w:right w:val="single" w:sz="4" w:space="0" w:color="000000"/>
            </w:tcBorders>
            <w:shd w:val="clear" w:color="auto" w:fill="C7EDCC"/>
          </w:tcPr>
          <w:p>
            <w:pPr/>
          </w:p>
        </w:tc>
        <w:tc>
          <w:tcPr>
            <w:tcW w:w="1438" w:type="dxa"/>
            <w:tcBorders>
              <w:top w:val="single" w:sz="4" w:space="0" w:color="000000"/>
              <w:left w:val="single" w:sz="4" w:space="0" w:color="000000"/>
              <w:bottom w:val="nil" w:sz="6" w:space="0" w:color="auto"/>
              <w:right w:val="single" w:sz="4" w:space="0" w:color="000000"/>
            </w:tcBorders>
          </w:tcPr>
          <w:p>
            <w:pPr/>
          </w:p>
        </w:tc>
        <w:tc>
          <w:tcPr>
            <w:tcW w:w="1472" w:type="dxa"/>
            <w:tcBorders>
              <w:top w:val="single" w:sz="4" w:space="0" w:color="000000"/>
              <w:left w:val="single" w:sz="4" w:space="0" w:color="000000"/>
              <w:bottom w:val="nil" w:sz="6" w:space="0" w:color="auto"/>
              <w:right w:val="single" w:sz="4" w:space="0" w:color="000000"/>
            </w:tcBorders>
          </w:tcPr>
          <w:p>
            <w:pPr/>
          </w:p>
        </w:tc>
        <w:tc>
          <w:tcPr>
            <w:tcW w:w="1217" w:type="dxa"/>
            <w:tcBorders>
              <w:top w:val="single" w:sz="4" w:space="0" w:color="000000"/>
              <w:left w:val="single" w:sz="4" w:space="0" w:color="000000"/>
              <w:bottom w:val="nil" w:sz="6" w:space="0" w:color="auto"/>
              <w:right w:val="single" w:sz="4" w:space="0" w:color="000000"/>
            </w:tcBorders>
          </w:tcPr>
          <w:p>
            <w:pPr/>
          </w:p>
        </w:tc>
        <w:tc>
          <w:tcPr>
            <w:tcW w:w="1144"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1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山萧报</w:t>
            </w:r>
          </w:p>
        </w:tc>
        <w:tc>
          <w:tcPr>
            <w:tcW w:w="1012"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日报报业集团（杭</w:t>
            </w:r>
          </w:p>
        </w:tc>
        <w:tc>
          <w:tcPr>
            <w:tcW w:w="660" w:type="dxa"/>
            <w:tcBorders>
              <w:top w:val="nil" w:sz="6" w:space="0" w:color="auto"/>
              <w:left w:val="single" w:sz="13" w:space="0" w:color="C7EDCC"/>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9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取得</w:t>
            </w:r>
          </w:p>
        </w:tc>
        <w:tc>
          <w:tcPr>
            <w:tcW w:w="1438"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1144"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71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教育咨</w:t>
            </w:r>
          </w:p>
        </w:tc>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334" w:right="0"/>
              <w:jc w:val="left"/>
              <w:rPr>
                <w:rFonts w:ascii="Times New Roman" w:hAnsi="Times New Roman" w:cs="Times New Roman" w:eastAsia="Times New Roman" w:hint="default"/>
                <w:sz w:val="18"/>
                <w:szCs w:val="18"/>
              </w:rPr>
            </w:pPr>
            <w:r>
              <w:rPr>
                <w:rFonts w:ascii="Times New Roman"/>
                <w:sz w:val="18"/>
              </w:rPr>
              <w:t>100.00%</w:t>
            </w:r>
          </w:p>
        </w:tc>
        <w:tc>
          <w:tcPr>
            <w:tcW w:w="154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州日报社）控制，</w:t>
            </w:r>
          </w:p>
        </w:tc>
        <w:tc>
          <w:tcPr>
            <w:tcW w:w="660" w:type="dxa"/>
            <w:tcBorders>
              <w:top w:val="nil" w:sz="6" w:space="0" w:color="auto"/>
              <w:left w:val="single" w:sz="13" w:space="0" w:color="C7EDCC"/>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31</w:t>
            </w:r>
          </w:p>
        </w:tc>
        <w:tc>
          <w:tcPr>
            <w:tcW w:w="49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控制</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460" w:right="0"/>
              <w:jc w:val="left"/>
              <w:rPr>
                <w:rFonts w:ascii="Times New Roman" w:hAnsi="Times New Roman" w:cs="Times New Roman" w:eastAsia="Times New Roman" w:hint="default"/>
                <w:sz w:val="18"/>
                <w:szCs w:val="18"/>
              </w:rPr>
            </w:pPr>
            <w:r>
              <w:rPr>
                <w:rFonts w:ascii="Times New Roman"/>
                <w:sz w:val="18"/>
              </w:rPr>
              <w:t>6,337,946.53</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495" w:right="0"/>
              <w:jc w:val="left"/>
              <w:rPr>
                <w:rFonts w:ascii="Times New Roman" w:hAnsi="Times New Roman" w:cs="Times New Roman" w:eastAsia="Times New Roman" w:hint="default"/>
                <w:sz w:val="18"/>
                <w:szCs w:val="18"/>
              </w:rPr>
            </w:pPr>
            <w:r>
              <w:rPr>
                <w:rFonts w:ascii="Times New Roman"/>
                <w:sz w:val="18"/>
              </w:rPr>
              <w:t>2,003,778.49</w:t>
            </w:r>
          </w:p>
        </w:tc>
        <w:tc>
          <w:tcPr>
            <w:tcW w:w="121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40" w:right="0"/>
              <w:jc w:val="left"/>
              <w:rPr>
                <w:rFonts w:ascii="Times New Roman" w:hAnsi="Times New Roman" w:cs="Times New Roman" w:eastAsia="Times New Roman" w:hint="default"/>
                <w:sz w:val="18"/>
                <w:szCs w:val="18"/>
              </w:rPr>
            </w:pPr>
            <w:r>
              <w:rPr>
                <w:rFonts w:ascii="Times New Roman"/>
                <w:sz w:val="18"/>
              </w:rPr>
              <w:t>6,932,912.57</w:t>
            </w:r>
          </w:p>
        </w:tc>
        <w:tc>
          <w:tcPr>
            <w:tcW w:w="114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301" w:right="0"/>
              <w:jc w:val="left"/>
              <w:rPr>
                <w:rFonts w:ascii="Times New Roman" w:hAnsi="Times New Roman" w:cs="Times New Roman" w:eastAsia="Times New Roman" w:hint="default"/>
                <w:sz w:val="18"/>
                <w:szCs w:val="18"/>
              </w:rPr>
            </w:pPr>
            <w:r>
              <w:rPr>
                <w:rFonts w:ascii="Times New Roman"/>
                <w:sz w:val="18"/>
              </w:rPr>
              <w:t>618,536.96</w:t>
            </w:r>
          </w:p>
        </w:tc>
      </w:tr>
      <w:tr>
        <w:trPr>
          <w:trHeight w:val="308" w:hRule="exact"/>
        </w:trPr>
        <w:tc>
          <w:tcPr>
            <w:tcW w:w="71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询有限</w:t>
            </w:r>
          </w:p>
        </w:tc>
        <w:tc>
          <w:tcPr>
            <w:tcW w:w="1012"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且该项控制非暂时</w:t>
            </w:r>
          </w:p>
        </w:tc>
        <w:tc>
          <w:tcPr>
            <w:tcW w:w="660" w:type="dxa"/>
            <w:tcBorders>
              <w:top w:val="nil" w:sz="6" w:space="0" w:color="auto"/>
              <w:left w:val="single" w:sz="13" w:space="0" w:color="C7EDCC"/>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9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权</w:t>
            </w:r>
          </w:p>
        </w:tc>
        <w:tc>
          <w:tcPr>
            <w:tcW w:w="1438"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
        </w:tc>
        <w:tc>
          <w:tcPr>
            <w:tcW w:w="1144"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1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12" w:type="dxa"/>
            <w:tcBorders>
              <w:top w:val="nil" w:sz="6" w:space="0" w:color="auto"/>
              <w:left w:val="single" w:sz="4" w:space="0" w:color="000000"/>
              <w:bottom w:val="single" w:sz="4" w:space="0" w:color="000000"/>
              <w:right w:val="single" w:sz="4" w:space="0" w:color="000000"/>
            </w:tcBorders>
          </w:tcPr>
          <w:p>
            <w:pPr/>
          </w:p>
        </w:tc>
        <w:tc>
          <w:tcPr>
            <w:tcW w:w="154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p>
        </w:tc>
        <w:tc>
          <w:tcPr>
            <w:tcW w:w="660" w:type="dxa"/>
            <w:tcBorders>
              <w:top w:val="nil" w:sz="6" w:space="0" w:color="auto"/>
              <w:left w:val="single" w:sz="13" w:space="0" w:color="C7EDCC"/>
              <w:bottom w:val="single" w:sz="4" w:space="0" w:color="000000"/>
              <w:right w:val="single" w:sz="4" w:space="0" w:color="000000"/>
            </w:tcBorders>
          </w:tcPr>
          <w:p>
            <w:pPr/>
          </w:p>
        </w:tc>
        <w:tc>
          <w:tcPr>
            <w:tcW w:w="493" w:type="dxa"/>
            <w:tcBorders>
              <w:top w:val="nil" w:sz="6" w:space="0" w:color="auto"/>
              <w:left w:val="single" w:sz="4" w:space="0" w:color="000000"/>
              <w:bottom w:val="single" w:sz="4" w:space="0" w:color="000000"/>
              <w:right w:val="single" w:sz="4" w:space="0" w:color="000000"/>
            </w:tcBorders>
            <w:shd w:val="clear" w:color="auto" w:fill="C7EDCC"/>
          </w:tcPr>
          <w:p>
            <w:pPr/>
          </w:p>
        </w:tc>
        <w:tc>
          <w:tcPr>
            <w:tcW w:w="1438" w:type="dxa"/>
            <w:tcBorders>
              <w:top w:val="nil" w:sz="6" w:space="0" w:color="auto"/>
              <w:left w:val="single" w:sz="4" w:space="0" w:color="000000"/>
              <w:bottom w:val="single" w:sz="4" w:space="0" w:color="000000"/>
              <w:right w:val="single" w:sz="4" w:space="0" w:color="000000"/>
            </w:tcBorders>
          </w:tcPr>
          <w:p>
            <w:pPr/>
          </w:p>
        </w:tc>
        <w:tc>
          <w:tcPr>
            <w:tcW w:w="1472" w:type="dxa"/>
            <w:tcBorders>
              <w:top w:val="nil" w:sz="6" w:space="0" w:color="auto"/>
              <w:left w:val="single" w:sz="4" w:space="0" w:color="000000"/>
              <w:bottom w:val="single" w:sz="4" w:space="0" w:color="000000"/>
              <w:right w:val="single" w:sz="4" w:space="0" w:color="000000"/>
            </w:tcBorders>
          </w:tcPr>
          <w:p>
            <w:pPr/>
          </w:p>
        </w:tc>
        <w:tc>
          <w:tcPr>
            <w:tcW w:w="1217" w:type="dxa"/>
            <w:tcBorders>
              <w:top w:val="nil" w:sz="6" w:space="0" w:color="auto"/>
              <w:left w:val="single" w:sz="4" w:space="0" w:color="000000"/>
              <w:bottom w:val="single" w:sz="4" w:space="0" w:color="000000"/>
              <w:right w:val="single" w:sz="4" w:space="0" w:color="000000"/>
            </w:tcBorders>
          </w:tcPr>
          <w:p>
            <w:pPr/>
          </w:p>
        </w:tc>
        <w:tc>
          <w:tcPr>
            <w:tcW w:w="1144"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杭州华媒企业管理有限公司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杭州萧山萧报教育咨询有限公司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90,565,000.00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15,752,900.00</w:t>
            </w:r>
          </w:p>
        </w:tc>
      </w:tr>
    </w:tbl>
    <w:p>
      <w:pPr>
        <w:pStyle w:val="BodyText"/>
        <w:spacing w:line="360" w:lineRule="auto" w:before="51"/>
        <w:ind w:left="153" w:right="7431"/>
        <w:jc w:val="left"/>
      </w:pPr>
      <w:r>
        <w:rPr/>
        <w:t>或有对价及其变动的说明：无 其他说明：无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3"/>
        <w:gridCol w:w="1925"/>
        <w:gridCol w:w="1914"/>
        <w:gridCol w:w="1914"/>
        <w:gridCol w:w="1914"/>
      </w:tblGrid>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839" w:type="dxa"/>
            <w:gridSpan w:val="2"/>
            <w:tcBorders>
              <w:top w:val="single" w:sz="4" w:space="0" w:color="000000"/>
              <w:left w:val="single" w:sz="9" w:space="0" w:color="D3D3D3"/>
              <w:bottom w:val="single" w:sz="4" w:space="0" w:color="000000"/>
              <w:right w:val="single" w:sz="4" w:space="0" w:color="000000"/>
            </w:tcBorders>
            <w:shd w:val="clear" w:color="auto" w:fill="E1FFFF"/>
          </w:tcPr>
          <w:p>
            <w:pPr>
              <w:pStyle w:val="TableParagraph"/>
              <w:spacing w:line="240" w:lineRule="auto" w:before="51"/>
              <w:ind w:left="832" w:right="0"/>
              <w:jc w:val="left"/>
              <w:rPr>
                <w:rFonts w:ascii="宋体" w:hAnsi="宋体" w:cs="宋体" w:eastAsia="宋体" w:hint="default"/>
                <w:sz w:val="18"/>
                <w:szCs w:val="18"/>
              </w:rPr>
            </w:pPr>
            <w:r>
              <w:rPr>
                <w:rFonts w:ascii="宋体" w:hAnsi="宋体" w:cs="宋体" w:eastAsia="宋体" w:hint="default"/>
                <w:sz w:val="18"/>
                <w:szCs w:val="18"/>
              </w:rPr>
              <w:t>杭州华媒企业管理有限公司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647" w:right="0"/>
              <w:jc w:val="left"/>
              <w:rPr>
                <w:rFonts w:ascii="宋体" w:hAnsi="宋体" w:cs="宋体" w:eastAsia="宋体" w:hint="default"/>
                <w:sz w:val="18"/>
                <w:szCs w:val="18"/>
              </w:rPr>
            </w:pPr>
            <w:r>
              <w:rPr>
                <w:rFonts w:ascii="宋体" w:hAnsi="宋体" w:cs="宋体" w:eastAsia="宋体" w:hint="default"/>
                <w:sz w:val="18"/>
                <w:szCs w:val="18"/>
              </w:rPr>
              <w:t>杭州萧山萧报教育咨询有限公司</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上期期末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合并日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上期期末</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5"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1,298,977.99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2,601,502.58</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221,139.58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1,808,722.39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1,838,235.46</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12,863,879.29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38,324.40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45,112.51</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25"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79,500.00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925" w:type="dxa"/>
            <w:tcBorders>
              <w:top w:val="single" w:sz="4" w:space="0" w:color="000000"/>
              <w:left w:val="single" w:sz="9" w:space="0" w:color="E1FFFF"/>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74,804.00</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25" w:type="dxa"/>
            <w:tcBorders>
              <w:top w:val="single" w:sz="4" w:space="0" w:color="000000"/>
              <w:left w:val="single" w:sz="9" w:space="0" w:color="E1FFFF"/>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1,580,205.48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40,088.00</w:t>
            </w:r>
          </w:p>
        </w:tc>
      </w:tr>
      <w:tr>
        <w:trPr>
          <w:trHeight w:val="714"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925" w:type="dxa"/>
            <w:tcBorders>
              <w:top w:val="single" w:sz="4" w:space="0" w:color="000000"/>
              <w:left w:val="single" w:sz="9" w:space="0" w:color="E1FFFF"/>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3,309,280.47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2,250,775.00</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5" w:type="dxa"/>
            <w:tcBorders>
              <w:top w:val="single" w:sz="4" w:space="0" w:color="000000"/>
              <w:left w:val="single" w:sz="9"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13,085,018.87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8,137,960.73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6,850,517.55</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25"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70,276.45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16,705.00</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925" w:type="dxa"/>
            <w:tcBorders>
              <w:top w:val="single" w:sz="4" w:space="0" w:color="000000"/>
              <w:left w:val="single" w:sz="9" w:space="0" w:color="E1FFFF"/>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1,438,474.11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1,540,700.00</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25" w:type="dxa"/>
            <w:tcBorders>
              <w:top w:val="single" w:sz="4" w:space="0" w:color="000000"/>
              <w:left w:val="single" w:sz="9"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14,900.70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383,502.50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93,324.50</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25" w:type="dxa"/>
            <w:tcBorders>
              <w:top w:val="single" w:sz="4" w:space="0" w:color="000000"/>
              <w:left w:val="single" w:sz="9" w:space="0" w:color="E1FFFF"/>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112,197.35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861,882.27</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25" w:type="dxa"/>
            <w:tcBorders>
              <w:top w:val="single" w:sz="4" w:space="0" w:color="000000"/>
              <w:left w:val="single" w:sz="9"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23,000.19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64,500.66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272,674.61</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5" w:type="dxa"/>
            <w:tcBorders>
              <w:top w:val="single" w:sz="4" w:space="0" w:color="000000"/>
              <w:left w:val="single" w:sz="9"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37,900.89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2,068,951.07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2,785,286.38</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13,047,117.98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6,069,009.66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4,065,231.17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03"/>
        <w:gridCol w:w="1925"/>
        <w:gridCol w:w="1914"/>
        <w:gridCol w:w="1914"/>
        <w:gridCol w:w="1914"/>
      </w:tblGrid>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856" w:right="0"/>
              <w:jc w:val="left"/>
              <w:rPr>
                <w:rFonts w:ascii="Times New Roman" w:hAnsi="Times New Roman" w:cs="Times New Roman" w:eastAsia="Times New Roman" w:hint="default"/>
                <w:sz w:val="18"/>
                <w:szCs w:val="18"/>
              </w:rPr>
            </w:pPr>
            <w:r>
              <w:rPr>
                <w:rFonts w:ascii="Times New Roman"/>
                <w:sz w:val="18"/>
              </w:rPr>
              <w:t>13,047,117.98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6,069,009.66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4,065,231.17</w:t>
            </w:r>
          </w:p>
        </w:tc>
      </w:tr>
    </w:tbl>
    <w:p>
      <w:pPr>
        <w:pStyle w:val="BodyText"/>
        <w:spacing w:line="360" w:lineRule="auto" w:before="51"/>
        <w:ind w:left="153" w:right="6491"/>
        <w:jc w:val="left"/>
      </w:pPr>
      <w:r>
        <w:rPr/>
        <w:t>企业合并中承担的被合并方的或有负债：无 其他说明：无</w:t>
      </w:r>
    </w:p>
    <w:p>
      <w:pPr>
        <w:spacing w:line="240" w:lineRule="auto" w:before="11"/>
        <w:rPr>
          <w:rFonts w:ascii="宋体" w:hAnsi="宋体" w:cs="宋体" w:eastAsia="宋体" w:hint="default"/>
          <w:sz w:val="19"/>
          <w:szCs w:val="19"/>
        </w:rPr>
      </w:pPr>
    </w:p>
    <w:p>
      <w:pPr>
        <w:pStyle w:val="Heading3"/>
        <w:spacing w:line="240" w:lineRule="auto"/>
        <w:ind w:right="415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415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840"/>
        </w:sectPr>
      </w:pPr>
    </w:p>
    <w:p>
      <w:pPr>
        <w:pStyle w:val="BodyText"/>
        <w:spacing w:line="240" w:lineRule="auto" w:before="44"/>
        <w:ind w:right="-20"/>
        <w:jc w:val="left"/>
      </w:pPr>
      <w:r>
        <w:rPr/>
        <w:t>是否存在单次处置对子公司投资即丧失控制权的情形</w:t>
      </w:r>
    </w:p>
    <w:p>
      <w:pPr>
        <w:pStyle w:val="BodyText"/>
        <w:spacing w:line="240" w:lineRule="auto" w:before="116"/>
        <w:ind w:left="153" w:right="-1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840"/>
          <w:cols w:num="2" w:equalWidth="0">
            <w:col w:w="4295" w:space="4534"/>
            <w:col w:w="126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973"/>
        <w:gridCol w:w="736"/>
        <w:gridCol w:w="737"/>
        <w:gridCol w:w="736"/>
        <w:gridCol w:w="737"/>
        <w:gridCol w:w="736"/>
        <w:gridCol w:w="736"/>
      </w:tblGrid>
      <w:tr>
        <w:trPr>
          <w:trHeight w:val="2898"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1" w:right="30"/>
              <w:jc w:val="both"/>
              <w:rPr>
                <w:rFonts w:ascii="宋体" w:hAnsi="宋体" w:cs="宋体" w:eastAsia="宋体" w:hint="default"/>
                <w:sz w:val="18"/>
                <w:szCs w:val="18"/>
              </w:rPr>
            </w:pPr>
            <w:r>
              <w:rPr>
                <w:rFonts w:ascii="宋体" w:hAnsi="宋体" w:cs="宋体" w:eastAsia="宋体" w:hint="default"/>
                <w:sz w:val="18"/>
                <w:szCs w:val="18"/>
              </w:rPr>
              <w:t>处置价款与 处置投资对 应的合并财 务报表层面 享有该子公 司净资产份 额的差额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2"/>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快点文</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shd w:val="clear" w:color="auto" w:fill="C7EDCC"/>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shd w:val="clear" w:color="auto" w:fill="C7EDCC"/>
          </w:tcPr>
          <w:p>
            <w:pPr/>
          </w:p>
        </w:tc>
        <w:tc>
          <w:tcPr>
            <w:tcW w:w="973"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shd w:val="clear" w:color="auto" w:fill="C7EDCC"/>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736" w:type="dxa"/>
            <w:tcBorders>
              <w:top w:val="nil" w:sz="6" w:space="0" w:color="auto"/>
              <w:left w:val="single" w:sz="4" w:space="0" w:color="000000"/>
              <w:bottom w:val="nil" w:sz="6" w:space="0" w:color="auto"/>
              <w:right w:val="single" w:sz="13" w:space="0" w:color="FFFFFF"/>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化传播</w:t>
            </w:r>
          </w:p>
          <w:p>
            <w:pPr>
              <w:pStyle w:val="TableParagraph"/>
              <w:spacing w:line="316" w:lineRule="auto" w:before="76"/>
              <w:ind w:left="22" w:right="-29"/>
              <w:jc w:val="left"/>
              <w:rPr>
                <w:rFonts w:ascii="宋体" w:hAnsi="宋体" w:cs="宋体" w:eastAsia="宋体" w:hint="default"/>
                <w:sz w:val="18"/>
                <w:szCs w:val="18"/>
              </w:rPr>
            </w:pPr>
            <w:r>
              <w:rPr>
                <w:rFonts w:ascii="宋体" w:hAnsi="宋体" w:cs="宋体" w:eastAsia="宋体" w:hint="default"/>
                <w:sz w:val="18"/>
                <w:szCs w:val="18"/>
              </w:rPr>
              <w:t>（上海） 有限公</w:t>
            </w:r>
          </w:p>
        </w:tc>
        <w:tc>
          <w:tcPr>
            <w:tcW w:w="737"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59,400,0</w:t>
            </w:r>
          </w:p>
          <w:p>
            <w:pPr>
              <w:pStyle w:val="TableParagraph"/>
              <w:spacing w:line="240" w:lineRule="auto" w:before="106"/>
              <w:ind w:left="28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8" w:right="0"/>
              <w:jc w:val="left"/>
              <w:rPr>
                <w:rFonts w:ascii="Times New Roman" w:hAnsi="Times New Roman" w:cs="Times New Roman" w:eastAsia="Times New Roman" w:hint="default"/>
                <w:sz w:val="18"/>
                <w:szCs w:val="18"/>
              </w:rPr>
            </w:pPr>
            <w:r>
              <w:rPr>
                <w:rFonts w:ascii="Times New Roman"/>
                <w:sz w:val="18"/>
              </w:rPr>
              <w:t>12.00%</w:t>
            </w: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公开竞 拍</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工商变 更</w:t>
            </w:r>
          </w:p>
        </w:tc>
        <w:tc>
          <w:tcPr>
            <w:tcW w:w="9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9,074,820.0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7" w:right="0"/>
              <w:jc w:val="left"/>
              <w:rPr>
                <w:rFonts w:ascii="Times New Roman" w:hAnsi="Times New Roman" w:cs="Times New Roman" w:eastAsia="Times New Roman" w:hint="default"/>
                <w:sz w:val="18"/>
                <w:szCs w:val="18"/>
              </w:rPr>
            </w:pPr>
            <w:r>
              <w:rPr>
                <w:rFonts w:ascii="Times New Roman"/>
                <w:sz w:val="18"/>
              </w:rPr>
              <w:t>39.00%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202,120,</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035.83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207,252,</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201.00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5,132,16</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9.17</w:t>
            </w: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评估</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2,661,68</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2.91</w:t>
            </w:r>
          </w:p>
        </w:tc>
      </w:tr>
      <w:tr>
        <w:trPr>
          <w:trHeight w:val="355" w:hRule="exact"/>
        </w:trPr>
        <w:tc>
          <w:tcPr>
            <w:tcW w:w="73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shd w:val="clear" w:color="auto" w:fill="C7EDCC"/>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shd w:val="clear" w:color="auto" w:fill="C7EDCC"/>
          </w:tcPr>
          <w:p>
            <w:pPr/>
          </w:p>
        </w:tc>
        <w:tc>
          <w:tcPr>
            <w:tcW w:w="973"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shd w:val="clear" w:color="auto" w:fill="C7EDCC"/>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pStyle w:val="BodyText"/>
        <w:spacing w:line="360" w:lineRule="auto" w:before="51"/>
        <w:ind w:right="4150"/>
        <w:jc w:val="left"/>
      </w:pPr>
      <w:r>
        <w:rPr/>
        <w:t>其他说明：无 是否存在通过多次交易分步处置对子公司投资且在本期丧失控制权的情形</w:t>
      </w:r>
    </w:p>
    <w:p>
      <w:pPr>
        <w:pStyle w:val="BodyText"/>
        <w:spacing w:line="240" w:lineRule="auto" w:before="26"/>
        <w:ind w:left="153" w:right="41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415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line="240" w:lineRule="auto" w:before="13"/>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2275"/>
        <w:gridCol w:w="744"/>
        <w:gridCol w:w="472"/>
        <w:gridCol w:w="607"/>
        <w:gridCol w:w="670"/>
        <w:gridCol w:w="450"/>
        <w:gridCol w:w="2550"/>
        <w:gridCol w:w="1030"/>
        <w:gridCol w:w="860"/>
      </w:tblGrid>
      <w:tr>
        <w:trPr>
          <w:trHeight w:val="342" w:hRule="exact"/>
        </w:trPr>
        <w:tc>
          <w:tcPr>
            <w:tcW w:w="2275"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744" w:type="dxa"/>
            <w:vMerge w:val="restart"/>
            <w:tcBorders>
              <w:top w:val="single" w:sz="4" w:space="0" w:color="000000"/>
              <w:left w:val="single" w:sz="4" w:space="0" w:color="000000"/>
              <w:right w:val="single" w:sz="4" w:space="0" w:color="000000"/>
            </w:tcBorders>
            <w:shd w:val="clear" w:color="auto" w:fill="DDDDDD"/>
          </w:tcPr>
          <w:p>
            <w:pPr>
              <w:pStyle w:val="TableParagraph"/>
              <w:spacing w:line="316" w:lineRule="auto" w:before="35"/>
              <w:ind w:left="277" w:right="5" w:hanging="270"/>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472" w:type="dxa"/>
            <w:vMerge w:val="restart"/>
            <w:tcBorders>
              <w:top w:val="single" w:sz="4" w:space="0" w:color="000000"/>
              <w:left w:val="single" w:sz="4" w:space="0" w:color="000000"/>
              <w:right w:val="single" w:sz="4" w:space="0" w:color="000000"/>
            </w:tcBorders>
            <w:shd w:val="clear" w:color="auto" w:fill="DDDDDD"/>
          </w:tcPr>
          <w:p>
            <w:pPr>
              <w:pStyle w:val="TableParagraph"/>
              <w:spacing w:line="316" w:lineRule="auto" w:before="35"/>
              <w:ind w:left="141" w:right="48"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607" w:type="dxa"/>
            <w:vMerge w:val="restart"/>
            <w:tcBorders>
              <w:top w:val="single" w:sz="4" w:space="0" w:color="000000"/>
              <w:left w:val="single" w:sz="4" w:space="0" w:color="000000"/>
              <w:right w:val="single" w:sz="4" w:space="0" w:color="000000"/>
            </w:tcBorders>
            <w:shd w:val="clear" w:color="auto" w:fill="DDDDDD"/>
          </w:tcPr>
          <w:p>
            <w:pPr>
              <w:pStyle w:val="TableParagraph"/>
              <w:spacing w:line="316" w:lineRule="auto" w:before="35"/>
              <w:ind w:left="207" w:right="29"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持股比例（</w:t>
            </w:r>
            <w:r>
              <w:rPr>
                <w:rFonts w:ascii="Times New Roman" w:hAnsi="Times New Roman" w:cs="Times New Roman" w:eastAsia="Times New Roman" w:hint="default"/>
                <w:spacing w:val="-7"/>
                <w:sz w:val="18"/>
                <w:szCs w:val="18"/>
              </w:rPr>
              <w:t>%</w:t>
            </w:r>
          </w:p>
        </w:tc>
        <w:tc>
          <w:tcPr>
            <w:tcW w:w="2550" w:type="dxa"/>
            <w:vMerge w:val="restart"/>
            <w:tcBorders>
              <w:top w:val="single" w:sz="4" w:space="0" w:color="000000"/>
              <w:left w:val="single" w:sz="4" w:space="0" w:color="000000"/>
              <w:right w:val="single" w:sz="4" w:space="0" w:color="000000"/>
            </w:tcBorders>
            <w:shd w:val="clear" w:color="auto" w:fill="DDDDDD"/>
          </w:tcPr>
          <w:p>
            <w:pPr>
              <w:pStyle w:val="TableParagraph"/>
              <w:spacing w:line="203" w:lineRule="exact" w:before="21"/>
              <w:ind w:left="-10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投资方</w:t>
            </w:r>
          </w:p>
        </w:tc>
        <w:tc>
          <w:tcPr>
            <w:tcW w:w="1030" w:type="dxa"/>
            <w:vMerge w:val="restart"/>
            <w:tcBorders>
              <w:top w:val="single" w:sz="4" w:space="0" w:color="000000"/>
              <w:left w:val="single" w:sz="4" w:space="0" w:color="000000"/>
              <w:right w:val="single" w:sz="4" w:space="0" w:color="000000"/>
            </w:tcBorders>
            <w:shd w:val="clear" w:color="auto" w:fill="DDDDDD"/>
          </w:tcPr>
          <w:p>
            <w:pPr>
              <w:pStyle w:val="TableParagraph"/>
              <w:spacing w:line="316" w:lineRule="auto" w:before="35"/>
              <w:ind w:left="330" w:right="2" w:hanging="326"/>
              <w:jc w:val="left"/>
              <w:rPr>
                <w:rFonts w:ascii="宋体" w:hAnsi="宋体" w:cs="宋体" w:eastAsia="宋体" w:hint="default"/>
                <w:sz w:val="18"/>
                <w:szCs w:val="18"/>
              </w:rPr>
            </w:pPr>
            <w:r>
              <w:rPr>
                <w:rFonts w:ascii="宋体" w:hAnsi="宋体" w:cs="宋体" w:eastAsia="宋体" w:hint="default"/>
                <w:spacing w:val="-12"/>
                <w:sz w:val="18"/>
                <w:szCs w:val="18"/>
              </w:rPr>
              <w:t>注册资本（万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860"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42" w:hRule="exact"/>
        </w:trPr>
        <w:tc>
          <w:tcPr>
            <w:tcW w:w="2275" w:type="dxa"/>
            <w:vMerge/>
            <w:tcBorders>
              <w:left w:val="single" w:sz="4" w:space="0" w:color="000000"/>
              <w:bottom w:val="single" w:sz="4" w:space="0" w:color="000000"/>
              <w:right w:val="single" w:sz="4" w:space="0" w:color="000000"/>
            </w:tcBorders>
            <w:shd w:val="clear" w:color="auto" w:fill="DDDDDD"/>
          </w:tcPr>
          <w:p>
            <w:pPr/>
          </w:p>
        </w:tc>
        <w:tc>
          <w:tcPr>
            <w:tcW w:w="744" w:type="dxa"/>
            <w:vMerge/>
            <w:tcBorders>
              <w:left w:val="single" w:sz="4" w:space="0" w:color="000000"/>
              <w:bottom w:val="single" w:sz="4" w:space="0" w:color="000000"/>
              <w:right w:val="single" w:sz="4" w:space="0" w:color="000000"/>
            </w:tcBorders>
            <w:shd w:val="clear" w:color="auto" w:fill="DDDDDD"/>
          </w:tcPr>
          <w:p>
            <w:pPr/>
          </w:p>
        </w:tc>
        <w:tc>
          <w:tcPr>
            <w:tcW w:w="472" w:type="dxa"/>
            <w:vMerge/>
            <w:tcBorders>
              <w:left w:val="single" w:sz="4" w:space="0" w:color="000000"/>
              <w:bottom w:val="single" w:sz="4" w:space="0" w:color="000000"/>
              <w:right w:val="single" w:sz="4" w:space="0" w:color="000000"/>
            </w:tcBorders>
            <w:shd w:val="clear" w:color="auto" w:fill="DDDDDD"/>
          </w:tcPr>
          <w:p>
            <w:pPr/>
          </w:p>
        </w:tc>
        <w:tc>
          <w:tcPr>
            <w:tcW w:w="607" w:type="dxa"/>
            <w:vMerge/>
            <w:tcBorders>
              <w:left w:val="single" w:sz="4" w:space="0" w:color="000000"/>
              <w:bottom w:val="single" w:sz="4" w:space="0" w:color="000000"/>
              <w:right w:val="single" w:sz="4" w:space="0" w:color="000000"/>
            </w:tcBorders>
            <w:shd w:val="clear" w:color="auto" w:fill="DDDDDD"/>
          </w:tcPr>
          <w:p>
            <w:pPr/>
          </w:p>
        </w:tc>
        <w:tc>
          <w:tcPr>
            <w:tcW w:w="67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14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4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3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550" w:type="dxa"/>
            <w:vMerge/>
            <w:tcBorders>
              <w:left w:val="single" w:sz="4" w:space="0" w:color="000000"/>
              <w:bottom w:val="single" w:sz="4" w:space="0" w:color="000000"/>
              <w:right w:val="single" w:sz="4" w:space="0" w:color="000000"/>
            </w:tcBorders>
            <w:shd w:val="clear" w:color="auto" w:fill="DDDDDD"/>
          </w:tcPr>
          <w:p>
            <w:pPr/>
          </w:p>
        </w:tc>
        <w:tc>
          <w:tcPr>
            <w:tcW w:w="1030" w:type="dxa"/>
            <w:vMerge/>
            <w:tcBorders>
              <w:left w:val="single" w:sz="4" w:space="0" w:color="000000"/>
              <w:bottom w:val="single" w:sz="4" w:space="0" w:color="000000"/>
              <w:right w:val="single" w:sz="4" w:space="0" w:color="000000"/>
            </w:tcBorders>
            <w:shd w:val="clear" w:color="auto" w:fill="DDDDDD"/>
          </w:tcPr>
          <w:p>
            <w:pPr/>
          </w:p>
        </w:tc>
        <w:tc>
          <w:tcPr>
            <w:tcW w:w="860" w:type="dxa"/>
            <w:vMerge/>
            <w:tcBorders>
              <w:left w:val="single" w:sz="4" w:space="0" w:color="000000"/>
              <w:bottom w:val="single" w:sz="4" w:space="0" w:color="000000"/>
              <w:right w:val="single" w:sz="4" w:space="0" w:color="000000"/>
            </w:tcBorders>
            <w:shd w:val="clear" w:color="auto" w:fill="DDDDDD"/>
          </w:tcPr>
          <w:p>
            <w:pPr/>
          </w:p>
        </w:tc>
      </w:tr>
      <w:tr>
        <w:trPr>
          <w:trHeight w:val="342"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浙江华媒教育科技有限公司</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浙江华媒控股股份有限公司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5,000.00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54"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3"/>
              <w:jc w:val="left"/>
              <w:rPr>
                <w:rFonts w:ascii="宋体" w:hAnsi="宋体" w:cs="宋体" w:eastAsia="宋体" w:hint="default"/>
                <w:sz w:val="18"/>
                <w:szCs w:val="18"/>
              </w:rPr>
            </w:pPr>
            <w:r>
              <w:rPr>
                <w:rFonts w:ascii="宋体" w:hAnsi="宋体" w:cs="宋体" w:eastAsia="宋体" w:hint="default"/>
                <w:spacing w:val="8"/>
                <w:sz w:val="18"/>
                <w:szCs w:val="18"/>
              </w:rPr>
              <w:t>杭州好声音风尚传媒有限公 </w:t>
            </w:r>
            <w:r>
              <w:rPr>
                <w:rFonts w:ascii="宋体" w:hAnsi="宋体" w:cs="宋体" w:eastAsia="宋体" w:hint="default"/>
                <w:sz w:val="18"/>
                <w:szCs w:val="18"/>
              </w:rPr>
              <w:t>司</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500.00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42"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浙江智骊文化传媒有限公司</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51.00</w:t>
            </w:r>
          </w:p>
        </w:tc>
        <w:tc>
          <w:tcPr>
            <w:tcW w:w="450"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54"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3"/>
              <w:jc w:val="left"/>
              <w:rPr>
                <w:rFonts w:ascii="宋体" w:hAnsi="宋体" w:cs="宋体" w:eastAsia="宋体" w:hint="default"/>
                <w:sz w:val="18"/>
                <w:szCs w:val="18"/>
              </w:rPr>
            </w:pPr>
            <w:r>
              <w:rPr>
                <w:rFonts w:ascii="宋体" w:hAnsi="宋体" w:cs="宋体" w:eastAsia="宋体" w:hint="default"/>
                <w:spacing w:val="8"/>
                <w:sz w:val="18"/>
                <w:szCs w:val="18"/>
              </w:rPr>
              <w:t>杭州今日大江东传媒有限公 </w:t>
            </w:r>
            <w:r>
              <w:rPr>
                <w:rFonts w:ascii="宋体" w:hAnsi="宋体" w:cs="宋体" w:eastAsia="宋体" w:hint="default"/>
                <w:sz w:val="18"/>
                <w:szCs w:val="18"/>
              </w:rPr>
              <w:t>司</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100.00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杭州萧山日报传媒有限公司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300.00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42"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宁波华杭投资有限公司</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42"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浙江华媒实业有限公司</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宁波华杭投资有限公司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20,000.00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840"/>
        </w:sectPr>
      </w:pPr>
    </w:p>
    <w:p>
      <w:pPr>
        <w:spacing w:line="240" w:lineRule="auto" w:before="6"/>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2275"/>
        <w:gridCol w:w="744"/>
        <w:gridCol w:w="472"/>
        <w:gridCol w:w="607"/>
        <w:gridCol w:w="670"/>
        <w:gridCol w:w="450"/>
        <w:gridCol w:w="2550"/>
        <w:gridCol w:w="1030"/>
        <w:gridCol w:w="860"/>
      </w:tblGrid>
      <w:tr>
        <w:trPr>
          <w:trHeight w:val="654"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3"/>
              <w:jc w:val="left"/>
              <w:rPr>
                <w:rFonts w:ascii="宋体" w:hAnsi="宋体" w:cs="宋体" w:eastAsia="宋体" w:hint="default"/>
                <w:sz w:val="18"/>
                <w:szCs w:val="18"/>
              </w:rPr>
            </w:pPr>
            <w:r>
              <w:rPr>
                <w:rFonts w:ascii="宋体" w:hAnsi="宋体" w:cs="宋体" w:eastAsia="宋体" w:hint="default"/>
                <w:spacing w:val="8"/>
                <w:sz w:val="18"/>
                <w:szCs w:val="18"/>
              </w:rPr>
              <w:t>霍尔果斯东昂信息科技有限 </w:t>
            </w:r>
            <w:r>
              <w:rPr>
                <w:rFonts w:ascii="宋体" w:hAnsi="宋体" w:cs="宋体" w:eastAsia="宋体" w:hint="default"/>
                <w:sz w:val="18"/>
                <w:szCs w:val="18"/>
              </w:rPr>
              <w:t>公司</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100.00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北京文教英才科贸有限公司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54"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3"/>
              <w:jc w:val="left"/>
              <w:rPr>
                <w:rFonts w:ascii="宋体" w:hAnsi="宋体" w:cs="宋体" w:eastAsia="宋体" w:hint="default"/>
                <w:sz w:val="18"/>
                <w:szCs w:val="18"/>
              </w:rPr>
            </w:pPr>
            <w:r>
              <w:rPr>
                <w:rFonts w:ascii="宋体" w:hAnsi="宋体" w:cs="宋体" w:eastAsia="宋体" w:hint="default"/>
                <w:spacing w:val="8"/>
                <w:sz w:val="18"/>
                <w:szCs w:val="18"/>
              </w:rPr>
              <w:t>昆明市五华区云师未来培训 </w:t>
            </w:r>
            <w:r>
              <w:rPr>
                <w:rFonts w:ascii="宋体" w:hAnsi="宋体" w:cs="宋体" w:eastAsia="宋体" w:hint="default"/>
                <w:sz w:val="18"/>
                <w:szCs w:val="18"/>
              </w:rPr>
              <w:t>中心</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100.00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云南求知教育信息咨询有限公司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42"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南京博彦教育科技有限公司</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苏州中育教育科技有限公司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54"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3"/>
              <w:jc w:val="left"/>
              <w:rPr>
                <w:rFonts w:ascii="宋体" w:hAnsi="宋体" w:cs="宋体" w:eastAsia="宋体" w:hint="default"/>
                <w:sz w:val="18"/>
                <w:szCs w:val="18"/>
              </w:rPr>
            </w:pPr>
            <w:r>
              <w:rPr>
                <w:rFonts w:ascii="宋体" w:hAnsi="宋体" w:cs="宋体" w:eastAsia="宋体" w:hint="default"/>
                <w:spacing w:val="8"/>
                <w:sz w:val="18"/>
                <w:szCs w:val="18"/>
              </w:rPr>
              <w:t>合肥中教正远教育科技有限 </w:t>
            </w:r>
            <w:r>
              <w:rPr>
                <w:rFonts w:ascii="宋体" w:hAnsi="宋体" w:cs="宋体" w:eastAsia="宋体" w:hint="default"/>
                <w:sz w:val="18"/>
                <w:szCs w:val="18"/>
              </w:rPr>
              <w:t>公司</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51.00</w:t>
            </w:r>
          </w:p>
        </w:tc>
        <w:tc>
          <w:tcPr>
            <w:tcW w:w="450"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
              <w:jc w:val="left"/>
              <w:rPr>
                <w:rFonts w:ascii="宋体" w:hAnsi="宋体" w:cs="宋体" w:eastAsia="宋体" w:hint="default"/>
                <w:sz w:val="18"/>
                <w:szCs w:val="18"/>
              </w:rPr>
            </w:pPr>
            <w:r>
              <w:rPr>
                <w:rFonts w:ascii="宋体" w:hAnsi="宋体" w:cs="宋体" w:eastAsia="宋体" w:hint="default"/>
                <w:sz w:val="18"/>
                <w:szCs w:val="18"/>
              </w:rPr>
              <w:t>中教未来国际教育科技（北京）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54"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2"/>
              <w:jc w:val="left"/>
              <w:rPr>
                <w:rFonts w:ascii="宋体" w:hAnsi="宋体" w:cs="宋体" w:eastAsia="宋体" w:hint="default"/>
                <w:sz w:val="18"/>
                <w:szCs w:val="18"/>
              </w:rPr>
            </w:pPr>
            <w:r>
              <w:rPr>
                <w:rFonts w:ascii="宋体" w:hAnsi="宋体" w:cs="宋体" w:eastAsia="宋体" w:hint="default"/>
                <w:spacing w:val="-7"/>
                <w:sz w:val="18"/>
                <w:szCs w:val="18"/>
              </w:rPr>
              <w:t>中教知本教育科技（北京）有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70.00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
              <w:jc w:val="left"/>
              <w:rPr>
                <w:rFonts w:ascii="宋体" w:hAnsi="宋体" w:cs="宋体" w:eastAsia="宋体" w:hint="default"/>
                <w:sz w:val="18"/>
                <w:szCs w:val="18"/>
              </w:rPr>
            </w:pPr>
            <w:r>
              <w:rPr>
                <w:rFonts w:ascii="宋体" w:hAnsi="宋体" w:cs="宋体" w:eastAsia="宋体" w:hint="default"/>
                <w:sz w:val="18"/>
                <w:szCs w:val="18"/>
              </w:rPr>
              <w:t>中教未来国际教育科技（北京）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54"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杭州华媒教育科技有限公司</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100.00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
              <w:jc w:val="left"/>
              <w:rPr>
                <w:rFonts w:ascii="宋体" w:hAnsi="宋体" w:cs="宋体" w:eastAsia="宋体" w:hint="default"/>
                <w:sz w:val="18"/>
                <w:szCs w:val="18"/>
              </w:rPr>
            </w:pPr>
            <w:r>
              <w:rPr>
                <w:rFonts w:ascii="宋体" w:hAnsi="宋体" w:cs="宋体" w:eastAsia="宋体" w:hint="default"/>
                <w:sz w:val="18"/>
                <w:szCs w:val="18"/>
              </w:rPr>
              <w:t>中教未来国际教育科技（北京）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54"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3"/>
              <w:jc w:val="left"/>
              <w:rPr>
                <w:rFonts w:ascii="宋体" w:hAnsi="宋体" w:cs="宋体" w:eastAsia="宋体" w:hint="default"/>
                <w:sz w:val="18"/>
                <w:szCs w:val="18"/>
              </w:rPr>
            </w:pPr>
            <w:r>
              <w:rPr>
                <w:rFonts w:ascii="宋体" w:hAnsi="宋体" w:cs="宋体" w:eastAsia="宋体" w:hint="default"/>
                <w:spacing w:val="8"/>
                <w:sz w:val="18"/>
                <w:szCs w:val="18"/>
              </w:rPr>
              <w:t>贵州中教未来教育科技有限 </w:t>
            </w:r>
            <w:r>
              <w:rPr>
                <w:rFonts w:ascii="宋体" w:hAnsi="宋体" w:cs="宋体" w:eastAsia="宋体" w:hint="default"/>
                <w:sz w:val="18"/>
                <w:szCs w:val="18"/>
              </w:rPr>
              <w:t>公司</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100.00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
              <w:jc w:val="left"/>
              <w:rPr>
                <w:rFonts w:ascii="宋体" w:hAnsi="宋体" w:cs="宋体" w:eastAsia="宋体" w:hint="default"/>
                <w:sz w:val="18"/>
                <w:szCs w:val="18"/>
              </w:rPr>
            </w:pPr>
            <w:r>
              <w:rPr>
                <w:rFonts w:ascii="宋体" w:hAnsi="宋体" w:cs="宋体" w:eastAsia="宋体" w:hint="default"/>
                <w:sz w:val="18"/>
                <w:szCs w:val="18"/>
              </w:rPr>
              <w:t>中教未来国际教育科技（北京）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2"/>
        <w:rPr>
          <w:rFonts w:ascii="宋体" w:hAnsi="宋体" w:cs="宋体" w:eastAsia="宋体" w:hint="default"/>
          <w:sz w:val="19"/>
          <w:szCs w:val="19"/>
        </w:rPr>
      </w:pPr>
    </w:p>
    <w:p>
      <w:pPr>
        <w:pStyle w:val="Heading3"/>
        <w:spacing w:line="240" w:lineRule="auto" w:before="35"/>
        <w:ind w:right="125"/>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88" w:firstLine="480"/>
        <w:jc w:val="both"/>
      </w:pPr>
      <w:r>
        <w:rPr/>
        <w:t>注：</w:t>
      </w:r>
      <w:r>
        <w:rPr>
          <w:rFonts w:ascii="Times New Roman" w:hAnsi="Times New Roman" w:cs="Times New Roman" w:eastAsia="Times New Roman" w:hint="default"/>
        </w:rPr>
        <w:t>1</w:t>
      </w:r>
      <w:r>
        <w:rPr/>
        <w:t>、根据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日杭州观盛文化传播有限公司股东会决议，原股东杭州文化创意产业创业投资管理有限公</w:t>
      </w:r>
      <w:r>
        <w:rPr>
          <w:spacing w:val="1"/>
        </w:rPr>
        <w:t> </w:t>
      </w:r>
      <w:r>
        <w:rPr>
          <w:spacing w:val="-1"/>
        </w:rPr>
        <w:t>司、骆铭嘉、吴燕仙对杭州观盛文化传播有限公司进行增资。增资后，杭州观盛文化传播有限公司的注册资本增加至</w:t>
      </w:r>
      <w:r>
        <w:rPr>
          <w:rFonts w:ascii="Times New Roman" w:hAnsi="Times New Roman" w:cs="Times New Roman" w:eastAsia="Times New Roman" w:hint="default"/>
          <w:spacing w:val="-1"/>
        </w:rPr>
        <w:t>258.00</w:t>
      </w:r>
      <w:r>
        <w:rPr>
          <w:rFonts w:ascii="Times New Roman" w:hAnsi="Times New Roman" w:cs="Times New Roman" w:eastAsia="Times New Roman" w:hint="default"/>
          <w:spacing w:val="-27"/>
        </w:rPr>
        <w:t> </w:t>
      </w:r>
      <w:r>
        <w:rPr/>
        <w:t>万元，其中：杭州文化创意产业创业投资管理有限公司认缴出资 </w:t>
      </w:r>
      <w:r>
        <w:rPr>
          <w:rFonts w:ascii="Times New Roman" w:hAnsi="Times New Roman" w:cs="Times New Roman" w:eastAsia="Times New Roman" w:hint="default"/>
        </w:rPr>
        <w:t>129.40</w:t>
      </w:r>
      <w:r>
        <w:rPr/>
        <w:t>万元，占注册资本的</w:t>
      </w:r>
      <w:r>
        <w:rPr>
          <w:rFonts w:ascii="Times New Roman" w:hAnsi="Times New Roman" w:cs="Times New Roman" w:eastAsia="Times New Roman" w:hint="default"/>
        </w:rPr>
        <w:t>50.1550%</w:t>
      </w:r>
      <w:r>
        <w:rPr/>
        <w:t>；杭州朗盛传媒有限</w:t>
      </w:r>
      <w:r>
        <w:rPr>
          <w:spacing w:val="-65"/>
        </w:rPr>
        <w:t> </w:t>
      </w:r>
      <w:r>
        <w:rPr/>
        <w:t>公司认缴出资 </w:t>
      </w:r>
      <w:r>
        <w:rPr>
          <w:rFonts w:ascii="Times New Roman" w:hAnsi="Times New Roman" w:cs="Times New Roman" w:eastAsia="Times New Roman" w:hint="default"/>
        </w:rPr>
        <w:t>51.00</w:t>
      </w:r>
      <w:r>
        <w:rPr/>
        <w:t>万元，占注册资本的</w:t>
      </w:r>
      <w:r>
        <w:rPr>
          <w:rFonts w:ascii="Times New Roman" w:hAnsi="Times New Roman" w:cs="Times New Roman" w:eastAsia="Times New Roman" w:hint="default"/>
        </w:rPr>
        <w:t>19.7675%</w:t>
      </w:r>
      <w:r>
        <w:rPr/>
        <w:t>；骆铭嘉认缴出资</w:t>
      </w:r>
      <w:r>
        <w:rPr>
          <w:rFonts w:ascii="Times New Roman" w:hAnsi="Times New Roman" w:cs="Times New Roman" w:eastAsia="Times New Roman" w:hint="default"/>
        </w:rPr>
        <w:t>43.86</w:t>
      </w:r>
      <w:r>
        <w:rPr/>
        <w:t>万元，占注册资本的</w:t>
      </w:r>
      <w:r>
        <w:rPr>
          <w:rFonts w:ascii="Times New Roman" w:hAnsi="Times New Roman" w:cs="Times New Roman" w:eastAsia="Times New Roman" w:hint="default"/>
        </w:rPr>
        <w:t>17.00%</w:t>
      </w:r>
      <w:r>
        <w:rPr/>
        <w:t>；杨军认缴出资</w:t>
      </w:r>
      <w:r>
        <w:rPr>
          <w:rFonts w:ascii="Times New Roman" w:hAnsi="Times New Roman" w:cs="Times New Roman" w:eastAsia="Times New Roman" w:hint="default"/>
        </w:rPr>
        <w:t>26.00</w:t>
      </w:r>
      <w:r>
        <w:rPr>
          <w:rFonts w:ascii="Times New Roman" w:hAnsi="Times New Roman" w:cs="Times New Roman" w:eastAsia="Times New Roman" w:hint="default"/>
          <w:spacing w:val="-34"/>
        </w:rPr>
        <w:t> </w:t>
      </w:r>
      <w:r>
        <w:rPr/>
        <w:t>万元，占注册资本的</w:t>
      </w:r>
      <w:r>
        <w:rPr>
          <w:rFonts w:ascii="Times New Roman" w:hAnsi="Times New Roman" w:cs="Times New Roman" w:eastAsia="Times New Roman" w:hint="default"/>
        </w:rPr>
        <w:t>10.0775%</w:t>
      </w:r>
      <w:r>
        <w:rPr/>
        <w:t>；吴燕仙认缴出资</w:t>
      </w:r>
      <w:r>
        <w:rPr>
          <w:rFonts w:ascii="Times New Roman" w:hAnsi="Times New Roman" w:cs="Times New Roman" w:eastAsia="Times New Roman" w:hint="default"/>
        </w:rPr>
        <w:t>7.74</w:t>
      </w:r>
      <w:r>
        <w:rPr/>
        <w:t>万元，占注册资本的</w:t>
      </w:r>
      <w:r>
        <w:rPr>
          <w:rFonts w:ascii="Times New Roman" w:hAnsi="Times New Roman" w:cs="Times New Roman" w:eastAsia="Times New Roman" w:hint="default"/>
        </w:rPr>
        <w:t>3.00%</w:t>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日起，杭州观盛文化传播有</w:t>
      </w:r>
      <w:r>
        <w:rPr>
          <w:spacing w:val="-75"/>
        </w:rPr>
        <w:t> </w:t>
      </w:r>
      <w:r>
        <w:rPr>
          <w:spacing w:val="-75"/>
        </w:rPr>
      </w:r>
      <w:r>
        <w:rPr/>
        <w:t>限公司将不纳入本公司的合并范围。</w:t>
      </w:r>
    </w:p>
    <w:p>
      <w:pPr>
        <w:pStyle w:val="BodyText"/>
        <w:spacing w:line="300" w:lineRule="auto" w:before="31"/>
        <w:ind w:right="187" w:firstLine="479"/>
        <w:jc w:val="both"/>
      </w:pPr>
      <w:r>
        <w:rPr>
          <w:rFonts w:ascii="Times New Roman" w:hAnsi="Times New Roman" w:cs="Times New Roman" w:eastAsia="Times New Roman" w:hint="default"/>
        </w:rPr>
        <w:t>2</w:t>
      </w:r>
      <w:r>
        <w:rPr/>
        <w:t>、根据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日杭州萧山资本管理有限公司股东会决议，同意通过杭州文化产权交易所公开对杭州萧山日报资</w:t>
      </w:r>
      <w:r>
        <w:rPr>
          <w:spacing w:val="1"/>
        </w:rPr>
        <w:t> </w:t>
      </w:r>
      <w:r>
        <w:rPr/>
        <w:t>本管理有限公司增资扩股，增加注册资本人民币</w:t>
      </w:r>
      <w:r>
        <w:rPr>
          <w:rFonts w:ascii="Times New Roman" w:hAnsi="Times New Roman" w:cs="Times New Roman" w:eastAsia="Times New Roman" w:hint="default"/>
        </w:rPr>
        <w:t>500.00</w:t>
      </w:r>
      <w:r>
        <w:rPr/>
        <w:t>万。增资后，杭州萧山日报资本管理有限公司注册资本由</w:t>
      </w:r>
      <w:r>
        <w:rPr>
          <w:rFonts w:ascii="Times New Roman" w:hAnsi="Times New Roman" w:cs="Times New Roman" w:eastAsia="Times New Roman" w:hint="default"/>
        </w:rPr>
        <w:t>500.00</w:t>
      </w:r>
      <w:r>
        <w:rPr/>
        <w:t>万增</w:t>
      </w:r>
      <w:r>
        <w:rPr>
          <w:spacing w:val="-84"/>
        </w:rPr>
        <w:t> </w:t>
      </w:r>
      <w:r>
        <w:rPr>
          <w:spacing w:val="-1"/>
        </w:rPr>
        <w:t>加到</w:t>
      </w:r>
      <w:r>
        <w:rPr>
          <w:rFonts w:ascii="Times New Roman" w:hAnsi="Times New Roman" w:cs="Times New Roman" w:eastAsia="Times New Roman" w:hint="default"/>
          <w:spacing w:val="-1"/>
        </w:rPr>
        <w:t>1000.00</w:t>
      </w:r>
      <w:r>
        <w:rPr>
          <w:spacing w:val="-1"/>
        </w:rPr>
        <w:t>万。本公司与宋德贤签订股权转让协议。依据浙江浙天允资产评估有限公司出具的浙天允评报【</w:t>
      </w:r>
      <w:r>
        <w:rPr>
          <w:rFonts w:ascii="Times New Roman" w:hAnsi="Times New Roman" w:cs="Times New Roman" w:eastAsia="Times New Roman" w:hint="default"/>
          <w:spacing w:val="-1"/>
        </w:rPr>
        <w:t>2016</w:t>
      </w:r>
      <w:r>
        <w:rPr>
          <w:spacing w:val="-1"/>
        </w:rPr>
        <w:t>】第</w:t>
      </w:r>
      <w:r>
        <w:rPr>
          <w:rFonts w:ascii="Times New Roman" w:hAnsi="Times New Roman" w:cs="Times New Roman" w:eastAsia="Times New Roman" w:hint="default"/>
          <w:spacing w:val="-1"/>
        </w:rPr>
        <w:t>080</w:t>
      </w:r>
      <w:r>
        <w:rPr>
          <w:spacing w:val="-1"/>
        </w:rPr>
        <w:t>号</w:t>
      </w:r>
    </w:p>
    <w:p>
      <w:pPr>
        <w:pStyle w:val="BodyText"/>
        <w:spacing w:line="300" w:lineRule="auto" w:before="13"/>
        <w:ind w:right="83"/>
        <w:jc w:val="left"/>
      </w:pPr>
      <w:r>
        <w:rPr>
          <w:spacing w:val="12"/>
        </w:rPr>
        <w:t>《资产评估报告》，截至评估基准日</w:t>
      </w:r>
      <w:r>
        <w:rPr>
          <w:rFonts w:ascii="Times New Roman" w:hAnsi="Times New Roman" w:cs="Times New Roman" w:eastAsia="Times New Roman" w:hint="default"/>
          <w:spacing w:val="12"/>
        </w:rPr>
        <w:t>2016</w:t>
      </w:r>
      <w:r>
        <w:rPr>
          <w:spacing w:val="12"/>
        </w:rPr>
        <w:t>年</w:t>
      </w:r>
      <w:r>
        <w:rPr>
          <w:rFonts w:ascii="Times New Roman" w:hAnsi="Times New Roman" w:cs="Times New Roman" w:eastAsia="Times New Roman" w:hint="default"/>
          <w:spacing w:val="12"/>
        </w:rPr>
        <w:t>8</w:t>
      </w:r>
      <w:r>
        <w:rPr>
          <w:spacing w:val="12"/>
        </w:rPr>
        <w:t>月</w:t>
      </w:r>
      <w:r>
        <w:rPr>
          <w:rFonts w:ascii="Times New Roman" w:hAnsi="Times New Roman" w:cs="Times New Roman" w:eastAsia="Times New Roman" w:hint="default"/>
          <w:spacing w:val="12"/>
        </w:rPr>
        <w:t>31</w:t>
      </w:r>
      <w:r>
        <w:rPr>
          <w:spacing w:val="12"/>
        </w:rPr>
        <w:t>日，杭州萧山日报资本管理有限公司</w:t>
      </w:r>
      <w:r>
        <w:rPr>
          <w:rFonts w:ascii="Times New Roman" w:hAnsi="Times New Roman" w:cs="Times New Roman" w:eastAsia="Times New Roman" w:hint="default"/>
          <w:spacing w:val="12"/>
        </w:rPr>
        <w:t>100%</w:t>
      </w:r>
      <w:r>
        <w:rPr>
          <w:spacing w:val="12"/>
        </w:rPr>
        <w:t>股权的评估值为人民币</w:t>
      </w:r>
      <w:r>
        <w:rPr>
          <w:spacing w:val="-87"/>
        </w:rPr>
        <w:t> </w:t>
      </w:r>
      <w:r>
        <w:rPr>
          <w:spacing w:val="-87"/>
        </w:rPr>
      </w:r>
      <w:r>
        <w:rPr>
          <w:rFonts w:ascii="Times New Roman" w:hAnsi="Times New Roman" w:cs="Times New Roman" w:eastAsia="Times New Roman" w:hint="default"/>
        </w:rPr>
        <w:t>4,829,811.81</w:t>
      </w:r>
      <w:r>
        <w:rPr/>
        <w:t>元。参考评估结果，交易双方经友好协商确定杭州萧山日报本管理有限公司</w:t>
      </w:r>
      <w:r>
        <w:rPr>
          <w:rFonts w:ascii="Times New Roman" w:hAnsi="Times New Roman" w:cs="Times New Roman" w:eastAsia="Times New Roman" w:hint="default"/>
        </w:rPr>
        <w:t>50%</w:t>
      </w:r>
      <w:r>
        <w:rPr/>
        <w:t>股权的交易作价为人民币</w:t>
      </w:r>
      <w:r>
        <w:rPr>
          <w:rFonts w:ascii="Times New Roman" w:hAnsi="Times New Roman" w:cs="Times New Roman" w:eastAsia="Times New Roman" w:hint="default"/>
        </w:rPr>
        <w:t>525.00 </w:t>
      </w:r>
      <w:r>
        <w:rPr>
          <w:spacing w:val="-5"/>
        </w:rPr>
        <w:t>万元，其中人民币</w:t>
      </w:r>
      <w:r>
        <w:rPr>
          <w:rFonts w:ascii="Times New Roman" w:hAnsi="Times New Roman" w:cs="Times New Roman" w:eastAsia="Times New Roman" w:hint="default"/>
          <w:spacing w:val="-5"/>
        </w:rPr>
        <w:t>500.00</w:t>
      </w:r>
      <w:r>
        <w:rPr>
          <w:spacing w:val="-5"/>
        </w:rPr>
        <w:t>万元计入实收资本，余额人民币</w:t>
      </w:r>
      <w:r>
        <w:rPr>
          <w:rFonts w:ascii="Times New Roman" w:hAnsi="Times New Roman" w:cs="Times New Roman" w:eastAsia="Times New Roman" w:hint="default"/>
          <w:spacing w:val="-5"/>
        </w:rPr>
        <w:t>25.00</w:t>
      </w:r>
      <w:r>
        <w:rPr>
          <w:spacing w:val="-5"/>
        </w:rPr>
        <w:t>万元计入资本公积。增资后，本公司股权占比从</w:t>
      </w:r>
      <w:r>
        <w:rPr>
          <w:rFonts w:ascii="Times New Roman" w:hAnsi="Times New Roman" w:cs="Times New Roman" w:eastAsia="Times New Roman" w:hint="default"/>
          <w:spacing w:val="-5"/>
        </w:rPr>
        <w:t>70%</w:t>
      </w:r>
      <w:r>
        <w:rPr>
          <w:spacing w:val="-5"/>
        </w:rPr>
        <w:t>下降到</w:t>
      </w:r>
      <w:r>
        <w:rPr>
          <w:rFonts w:ascii="Times New Roman" w:hAnsi="Times New Roman" w:cs="Times New Roman" w:eastAsia="Times New Roman" w:hint="default"/>
          <w:spacing w:val="-5"/>
        </w:rPr>
        <w:t>35%</w:t>
      </w:r>
      <w:r>
        <w:rPr>
          <w:spacing w:val="-5"/>
        </w:rPr>
        <w:t>。</w:t>
      </w:r>
      <w:r>
        <w:rPr>
          <w:spacing w:val="-69"/>
        </w:rPr>
        <w:t> </w:t>
      </w:r>
      <w:r>
        <w:rPr>
          <w:spacing w:val="-2"/>
        </w:rPr>
        <w:t>根据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9</w:t>
      </w:r>
      <w:r>
        <w:rPr>
          <w:spacing w:val="-2"/>
        </w:rPr>
        <w:t>日杭州萧山资本管理有限公司《关于选举公司法定代表人（董事长、经理）决定》的股东会决议、以及《关</w:t>
      </w:r>
      <w:r>
        <w:rPr>
          <w:spacing w:val="-59"/>
        </w:rPr>
        <w:t> </w:t>
      </w:r>
      <w:r>
        <w:rPr>
          <w:spacing w:val="-59"/>
        </w:rPr>
      </w:r>
      <w:r>
        <w:rPr>
          <w:spacing w:val="-2"/>
        </w:rPr>
        <w:t>于选举公司董事、监事的决定》的董事会决议，变更后董事会成员</w:t>
      </w:r>
      <w:r>
        <w:rPr>
          <w:rFonts w:ascii="Times New Roman" w:hAnsi="Times New Roman" w:cs="Times New Roman" w:eastAsia="Times New Roman" w:hint="default"/>
          <w:spacing w:val="-2"/>
        </w:rPr>
        <w:t>5</w:t>
      </w:r>
      <w:r>
        <w:rPr>
          <w:spacing w:val="-2"/>
        </w:rPr>
        <w:t>人，本公司派遣</w:t>
      </w:r>
      <w:r>
        <w:rPr>
          <w:rFonts w:ascii="Times New Roman" w:hAnsi="Times New Roman" w:cs="Times New Roman" w:eastAsia="Times New Roman" w:hint="default"/>
          <w:spacing w:val="-2"/>
        </w:rPr>
        <w:t>1</w:t>
      </w:r>
      <w:r>
        <w:rPr>
          <w:spacing w:val="-2"/>
        </w:rPr>
        <w:t>人。本公司全资子公司杭州萧山日报传</w:t>
      </w:r>
      <w:r>
        <w:rPr>
          <w:spacing w:val="-64"/>
        </w:rPr>
        <w:t> </w:t>
      </w:r>
      <w:r>
        <w:rPr>
          <w:spacing w:val="-64"/>
        </w:rPr>
      </w:r>
      <w:r>
        <w:rPr/>
        <w:t>媒有限公司已丧失对杭州萧山日报资本管理有限公司控制权。</w:t>
      </w:r>
    </w:p>
    <w:p>
      <w:pPr>
        <w:pStyle w:val="BodyText"/>
        <w:spacing w:line="302" w:lineRule="auto" w:before="31"/>
        <w:ind w:right="90" w:firstLine="479"/>
        <w:jc w:val="left"/>
      </w:pPr>
      <w:r>
        <w:rPr>
          <w:rFonts w:ascii="Times New Roman" w:hAnsi="Times New Roman" w:cs="Times New Roman" w:eastAsia="Times New Roman" w:hint="default"/>
        </w:rPr>
        <w:t>3</w:t>
      </w:r>
      <w:r>
        <w:rPr/>
        <w:t>、根据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日第八届董事会第二十六次会议审议通过，本公司全资子公司杭州网络传媒有限公司拟挂牌转</w:t>
      </w:r>
      <w:r>
        <w:rPr>
          <w:spacing w:val="1"/>
        </w:rPr>
        <w:t> </w:t>
      </w:r>
      <w:r>
        <w:rPr>
          <w:spacing w:val="-2"/>
        </w:rPr>
        <w:t>让所持快点文化传播（上海）有限公司的</w:t>
      </w:r>
      <w:r>
        <w:rPr>
          <w:rFonts w:ascii="Times New Roman" w:hAnsi="Times New Roman" w:cs="Times New Roman" w:eastAsia="Times New Roman" w:hint="default"/>
          <w:spacing w:val="-2"/>
        </w:rPr>
        <w:t>32%</w:t>
      </w:r>
      <w:r>
        <w:rPr>
          <w:spacing w:val="-2"/>
        </w:rPr>
        <w:t>股权，对应注册资本</w:t>
      </w:r>
      <w:r>
        <w:rPr>
          <w:rFonts w:ascii="Times New Roman" w:hAnsi="Times New Roman" w:cs="Times New Roman" w:eastAsia="Times New Roman" w:hint="default"/>
          <w:spacing w:val="-2"/>
        </w:rPr>
        <w:t>640</w:t>
      </w:r>
      <w:r>
        <w:rPr>
          <w:spacing w:val="-2"/>
        </w:rPr>
        <w:t>万元整，该部分股权挂牌价格不低于人民币</w:t>
      </w:r>
      <w:r>
        <w:rPr>
          <w:rFonts w:ascii="Times New Roman" w:hAnsi="Times New Roman" w:cs="Times New Roman" w:eastAsia="Times New Roman" w:hint="default"/>
          <w:spacing w:val="-2"/>
        </w:rPr>
        <w:t>1.584</w:t>
      </w:r>
      <w:r>
        <w:rPr>
          <w:spacing w:val="-2"/>
        </w:rPr>
        <w:t>亿元，</w:t>
      </w:r>
      <w:r>
        <w:rPr>
          <w:spacing w:val="-68"/>
        </w:rPr>
        <w:t> </w:t>
      </w:r>
      <w:r>
        <w:rPr/>
        <w:t>对应快点文化传播（上海）有限公司估值</w:t>
      </w:r>
      <w:r>
        <w:rPr>
          <w:rFonts w:ascii="Times New Roman" w:hAnsi="Times New Roman" w:cs="Times New Roman" w:eastAsia="Times New Roman" w:hint="default"/>
        </w:rPr>
        <w:t>4.95</w:t>
      </w:r>
      <w:r>
        <w:rPr/>
        <w:t>亿元。依据北京中企华资产评估有限责任公司出具的中企华评报字（</w:t>
      </w:r>
      <w:r>
        <w:rPr>
          <w:rFonts w:ascii="Times New Roman" w:hAnsi="Times New Roman" w:cs="Times New Roman" w:eastAsia="Times New Roman" w:hint="default"/>
        </w:rPr>
        <w:t>2017</w:t>
      </w:r>
      <w:r>
        <w:rPr/>
        <w:t>）第</w:t>
      </w:r>
      <w:r>
        <w:rPr>
          <w:spacing w:val="-8"/>
        </w:rPr>
        <w:t> </w:t>
      </w:r>
      <w:r>
        <w:rPr>
          <w:rFonts w:ascii="Times New Roman" w:hAnsi="Times New Roman" w:cs="Times New Roman" w:eastAsia="Times New Roman" w:hint="default"/>
          <w:spacing w:val="-2"/>
        </w:rPr>
        <w:t>3999</w:t>
      </w:r>
      <w:r>
        <w:rPr>
          <w:spacing w:val="-2"/>
        </w:rPr>
        <w:t>号《杭州网络传媒有限公司拟转让股权涉及的快点文化传播（上海）有限公司股东全部权益项目评估报告》，截至评估</w:t>
      </w:r>
      <w:r>
        <w:rPr>
          <w:spacing w:val="-63"/>
        </w:rPr>
        <w:t> </w:t>
      </w:r>
      <w:r>
        <w:rPr>
          <w:spacing w:val="-63"/>
        </w:rPr>
      </w:r>
      <w:r>
        <w:rPr/>
        <w:t>基准日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日，快点文化传播（上海）有限公司</w:t>
      </w:r>
      <w:r>
        <w:rPr>
          <w:rFonts w:ascii="Times New Roman" w:hAnsi="Times New Roman" w:cs="Times New Roman" w:eastAsia="Times New Roman" w:hint="default"/>
        </w:rPr>
        <w:t>100%</w:t>
      </w:r>
      <w:r>
        <w:rPr/>
        <w:t>股权评估值为</w:t>
      </w:r>
      <w:r>
        <w:rPr>
          <w:rFonts w:ascii="Times New Roman" w:hAnsi="Times New Roman" w:cs="Times New Roman" w:eastAsia="Times New Roman" w:hint="default"/>
        </w:rPr>
        <w:t>53,141.59</w:t>
      </w:r>
      <w:r>
        <w:rPr/>
        <w:t>万元。根据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日分别与舟</w:t>
      </w:r>
      <w:r>
        <w:rPr>
          <w:spacing w:val="-65"/>
        </w:rPr>
        <w:t> </w:t>
      </w:r>
      <w:r>
        <w:rPr>
          <w:spacing w:val="-65"/>
        </w:rPr>
      </w:r>
      <w:r>
        <w:rPr>
          <w:spacing w:val="-2"/>
        </w:rPr>
        <w:t>山泽创投资合伙企业（有限合伙）、舟山创科技合伙企业（有限合伙）签订《股权转让协议》，将持有的快点文化传播（上</w:t>
      </w:r>
      <w:r>
        <w:rPr>
          <w:spacing w:val="-69"/>
        </w:rPr>
        <w:t> </w:t>
      </w:r>
      <w:r>
        <w:rPr>
          <w:spacing w:val="-69"/>
        </w:rPr>
      </w:r>
      <w:r>
        <w:rPr/>
        <w:t>海）有限公司</w:t>
      </w:r>
      <w:r>
        <w:rPr>
          <w:rFonts w:ascii="Times New Roman" w:hAnsi="Times New Roman" w:cs="Times New Roman" w:eastAsia="Times New Roman" w:hint="default"/>
        </w:rPr>
        <w:t>5%</w:t>
      </w:r>
      <w:r>
        <w:rPr/>
        <w:t>股权作价人民币</w:t>
      </w:r>
      <w:r>
        <w:rPr>
          <w:rFonts w:ascii="Times New Roman" w:hAnsi="Times New Roman" w:cs="Times New Roman" w:eastAsia="Times New Roman" w:hint="default"/>
        </w:rPr>
        <w:t>2475</w:t>
      </w:r>
      <w:r>
        <w:rPr/>
        <w:t>万元转让给舟山泽创投资合伙企业（有限合伙），将持有的快点文化传播（上海）有</w:t>
      </w:r>
      <w:r>
        <w:rPr>
          <w:spacing w:val="-57"/>
        </w:rPr>
        <w:t> </w:t>
      </w:r>
      <w:r>
        <w:rPr>
          <w:spacing w:val="-57"/>
        </w:rPr>
      </w:r>
      <w:r>
        <w:rPr/>
        <w:t>限公司</w:t>
      </w:r>
      <w:r>
        <w:rPr>
          <w:rFonts w:ascii="Times New Roman" w:hAnsi="Times New Roman" w:cs="Times New Roman" w:eastAsia="Times New Roman" w:hint="default"/>
        </w:rPr>
        <w:t>7%</w:t>
      </w:r>
      <w:r>
        <w:rPr/>
        <w:t>股权作价人民币</w:t>
      </w:r>
      <w:r>
        <w:rPr>
          <w:rFonts w:ascii="Times New Roman" w:hAnsi="Times New Roman" w:cs="Times New Roman" w:eastAsia="Times New Roman" w:hint="default"/>
        </w:rPr>
        <w:t>3465</w:t>
      </w:r>
      <w:r>
        <w:rPr/>
        <w:t>万元转让给舟山创科技合伙企业（有限合伙）。快点文化传播（上海）有限公司已于</w:t>
      </w:r>
      <w:r>
        <w:rPr>
          <w:rFonts w:ascii="Times New Roman" w:hAnsi="Times New Roman" w:cs="Times New Roman" w:eastAsia="Times New Roman" w:hint="default"/>
        </w:rPr>
        <w:t>2018</w:t>
      </w:r>
      <w:r>
        <w:rPr/>
        <w:t>年</w:t>
      </w:r>
      <w:r>
        <w:rPr>
          <w:spacing w:val="-60"/>
        </w:rPr>
        <w:t> </w:t>
      </w:r>
      <w:r>
        <w:rPr/>
        <w:t>完成董事会改选。本次转让后，本公司全资子公司杭州网络传媒有限公司持有快点文化传播（上海）有限公司</w:t>
      </w:r>
      <w:r>
        <w:rPr>
          <w:rFonts w:ascii="Times New Roman" w:hAnsi="Times New Roman" w:cs="Times New Roman" w:eastAsia="Times New Roman" w:hint="default"/>
        </w:rPr>
        <w:t>39%</w:t>
      </w:r>
      <w:r>
        <w:rPr/>
        <w:t>股权，由 于其他股东属于一致行动人，本公司全资子公司杭州网络传媒有限公司已丧失对快点文化传播（上海）有限公司的控制权。</w:t>
      </w:r>
    </w:p>
    <w:p>
      <w:pPr>
        <w:pStyle w:val="BodyText"/>
        <w:spacing w:line="300" w:lineRule="auto" w:before="29"/>
        <w:ind w:right="188" w:firstLine="480"/>
        <w:jc w:val="both"/>
      </w:pPr>
      <w:r>
        <w:rPr>
          <w:rFonts w:ascii="Times New Roman" w:hAnsi="Times New Roman" w:cs="Times New Roman" w:eastAsia="Times New Roman" w:hint="default"/>
          <w:spacing w:val="-1"/>
        </w:rPr>
        <w:t>4</w:t>
      </w:r>
      <w:r>
        <w:rPr>
          <w:spacing w:val="-1"/>
        </w:rPr>
        <w:t>、本公司的孙公司杭州盛景科技有限公司与本公司的子公司杭州日报报业集团盛元印务有限公司于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8</w:t>
      </w:r>
      <w:r>
        <w:rPr>
          <w:spacing w:val="-1"/>
        </w:rPr>
        <w:t>月份签订</w:t>
      </w:r>
      <w:r>
        <w:rPr/>
        <w:t> 吸收合并协议，盛景科技完成工商变更手续之日起的所有债权债务由盛元印务无条件承继，盛景科技于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月完成工商</w:t>
      </w:r>
      <w:r>
        <w:rPr>
          <w:spacing w:val="-84"/>
        </w:rPr>
        <w:t> </w:t>
      </w:r>
      <w:r>
        <w:rPr/>
        <w:t>注销登记。</w:t>
      </w:r>
    </w:p>
    <w:p>
      <w:pPr>
        <w:spacing w:after="0" w:line="300" w:lineRule="auto"/>
        <w:jc w:val="both"/>
        <w:sectPr>
          <w:pgSz w:w="11910" w:h="16840"/>
          <w:pgMar w:header="877" w:footer="982" w:top="1100" w:bottom="1180" w:left="980" w:right="94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839"/>
        <w:gridCol w:w="1057"/>
        <w:gridCol w:w="659"/>
        <w:gridCol w:w="845"/>
        <w:gridCol w:w="785"/>
        <w:gridCol w:w="460"/>
        <w:gridCol w:w="2037"/>
      </w:tblGrid>
      <w:tr>
        <w:trPr>
          <w:trHeight w:val="402" w:hRule="exact"/>
        </w:trPr>
        <w:tc>
          <w:tcPr>
            <w:tcW w:w="38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05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0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5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3839" w:type="dxa"/>
            <w:vMerge/>
            <w:tcBorders>
              <w:left w:val="single" w:sz="4" w:space="0" w:color="000000"/>
              <w:bottom w:val="single" w:sz="4" w:space="0" w:color="000000"/>
              <w:right w:val="single" w:sz="4" w:space="0" w:color="000000"/>
            </w:tcBorders>
            <w:shd w:val="clear" w:color="auto" w:fill="D3D3D3"/>
          </w:tcPr>
          <w:p>
            <w:pPr/>
          </w:p>
        </w:tc>
        <w:tc>
          <w:tcPr>
            <w:tcW w:w="1057"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c>
          <w:tcPr>
            <w:tcW w:w="845" w:type="dxa"/>
            <w:vMerge/>
            <w:tcBorders>
              <w:left w:val="single" w:sz="4" w:space="0" w:color="000000"/>
              <w:bottom w:val="single" w:sz="4" w:space="0" w:color="000000"/>
              <w:right w:val="single" w:sz="4" w:space="0" w:color="000000"/>
            </w:tcBorders>
            <w:shd w:val="clear" w:color="auto" w:fill="D3D3D3"/>
          </w:tcPr>
          <w:p>
            <w:pP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4"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037"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85" w:type="dxa"/>
            <w:tcBorders>
              <w:top w:val="single" w:sz="4" w:space="0" w:color="000000"/>
              <w:left w:val="single" w:sz="13" w:space="0" w:color="C7EDCC"/>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73"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杭州网络传媒有限公司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73"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73"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杭州富阳日报传媒有限公司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富阳</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富阳</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73"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杭州萧山日报传媒有限公司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萧山</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萧山</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73"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73"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杭州日报报业集团每日送电子商务有限公司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73"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杭州日报报业集团盛元印务有限公司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73"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163" w:right="0"/>
              <w:jc w:val="center"/>
              <w:rPr>
                <w:rFonts w:ascii="Times New Roman" w:hAnsi="Times New Roman" w:cs="Times New Roman" w:eastAsia="Times New Roman" w:hint="default"/>
                <w:sz w:val="18"/>
                <w:szCs w:val="18"/>
              </w:rPr>
            </w:pPr>
            <w:r>
              <w:rPr>
                <w:rFonts w:ascii="Times New Roman"/>
                <w:sz w:val="18"/>
              </w:rPr>
              <w:t>51.00%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杭州都市周报传媒有限公司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163" w:right="0"/>
              <w:jc w:val="center"/>
              <w:rPr>
                <w:rFonts w:ascii="Times New Roman" w:hAnsi="Times New Roman" w:cs="Times New Roman" w:eastAsia="Times New Roman" w:hint="default"/>
                <w:sz w:val="18"/>
                <w:szCs w:val="18"/>
              </w:rPr>
            </w:pPr>
            <w:r>
              <w:rPr>
                <w:rFonts w:ascii="Times New Roman"/>
                <w:sz w:val="18"/>
              </w:rPr>
              <w:t>80.00%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杭州华泰一媒文化传媒有限公司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73"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73"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163" w:right="0"/>
              <w:jc w:val="center"/>
              <w:rPr>
                <w:rFonts w:ascii="Times New Roman" w:hAnsi="Times New Roman" w:cs="Times New Roman" w:eastAsia="Times New Roman" w:hint="default"/>
                <w:sz w:val="18"/>
                <w:szCs w:val="18"/>
              </w:rPr>
            </w:pPr>
            <w:r>
              <w:rPr>
                <w:rFonts w:ascii="Times New Roman"/>
                <w:sz w:val="18"/>
              </w:rPr>
              <w:t>51.00%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浙江华媒教育科技有限公司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73"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中教未来国际教育科技（北京）有限公司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163" w:right="0"/>
              <w:jc w:val="center"/>
              <w:rPr>
                <w:rFonts w:ascii="Times New Roman" w:hAnsi="Times New Roman" w:cs="Times New Roman" w:eastAsia="Times New Roman" w:hint="default"/>
                <w:sz w:val="18"/>
                <w:szCs w:val="18"/>
              </w:rPr>
            </w:pPr>
            <w:r>
              <w:rPr>
                <w:rFonts w:ascii="Times New Roman"/>
                <w:sz w:val="18"/>
              </w:rPr>
              <w:t>60.00%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85" w:type="dxa"/>
            <w:tcBorders>
              <w:top w:val="single" w:sz="4" w:space="0" w:color="000000"/>
              <w:left w:val="single" w:sz="13" w:space="0" w:color="C7EDCC"/>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杭州都健网络科技有限公司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163" w:right="0"/>
              <w:jc w:val="center"/>
              <w:rPr>
                <w:rFonts w:ascii="Times New Roman" w:hAnsi="Times New Roman" w:cs="Times New Roman" w:eastAsia="Times New Roman" w:hint="default"/>
                <w:sz w:val="18"/>
                <w:szCs w:val="18"/>
              </w:rPr>
            </w:pPr>
            <w:r>
              <w:rPr>
                <w:rFonts w:ascii="Times New Roman"/>
                <w:sz w:val="18"/>
              </w:rPr>
              <w:t>69.46%</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杭州快房传媒有限公司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163" w:right="0"/>
              <w:jc w:val="center"/>
              <w:rPr>
                <w:rFonts w:ascii="Times New Roman" w:hAnsi="Times New Roman" w:cs="Times New Roman" w:eastAsia="Times New Roman" w:hint="default"/>
                <w:sz w:val="18"/>
                <w:szCs w:val="18"/>
              </w:rPr>
            </w:pPr>
            <w:r>
              <w:rPr>
                <w:rFonts w:ascii="Times New Roman"/>
                <w:sz w:val="18"/>
              </w:rPr>
              <w:t>66.00%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杭州大快文化创意有限公司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73"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杭州都市快报教育文化创意有限公司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163" w:right="0"/>
              <w:jc w:val="center"/>
              <w:rPr>
                <w:rFonts w:ascii="Times New Roman" w:hAnsi="Times New Roman" w:cs="Times New Roman" w:eastAsia="Times New Roman" w:hint="default"/>
                <w:sz w:val="18"/>
                <w:szCs w:val="18"/>
              </w:rPr>
            </w:pPr>
            <w:r>
              <w:rPr>
                <w:rFonts w:ascii="Times New Roman"/>
                <w:sz w:val="18"/>
              </w:rPr>
              <w:t>60.00%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杭州云瞰科技有限公司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]C</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163" w:right="0"/>
              <w:jc w:val="center"/>
              <w:rPr>
                <w:rFonts w:ascii="Times New Roman" w:hAnsi="Times New Roman" w:cs="Times New Roman" w:eastAsia="Times New Roman" w:hint="default"/>
                <w:sz w:val="18"/>
                <w:szCs w:val="18"/>
              </w:rPr>
            </w:pPr>
            <w:r>
              <w:rPr>
                <w:rFonts w:ascii="Times New Roman"/>
                <w:sz w:val="18"/>
              </w:rPr>
              <w:t>50.00%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杭州休闲文化传媒有限公司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163" w:right="0"/>
              <w:jc w:val="center"/>
              <w:rPr>
                <w:rFonts w:ascii="Times New Roman" w:hAnsi="Times New Roman" w:cs="Times New Roman" w:eastAsia="Times New Roman" w:hint="default"/>
                <w:sz w:val="18"/>
                <w:szCs w:val="18"/>
              </w:rPr>
            </w:pPr>
            <w:r>
              <w:rPr>
                <w:rFonts w:ascii="Times New Roman"/>
                <w:sz w:val="18"/>
              </w:rPr>
              <w:t>51.00%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杭州风景名胜传媒有限公司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73"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杭州房产传媒有限公司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163" w:right="0"/>
              <w:jc w:val="center"/>
              <w:rPr>
                <w:rFonts w:ascii="Times New Roman" w:hAnsi="Times New Roman" w:cs="Times New Roman" w:eastAsia="Times New Roman" w:hint="default"/>
                <w:sz w:val="18"/>
                <w:szCs w:val="18"/>
              </w:rPr>
            </w:pPr>
            <w:r>
              <w:rPr>
                <w:rFonts w:ascii="Times New Roman"/>
                <w:sz w:val="18"/>
              </w:rPr>
              <w:t>85.00%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杭州日报品牌策划有限公司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73"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杭州日报华知投资有限公司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163" w:right="0"/>
              <w:jc w:val="center"/>
              <w:rPr>
                <w:rFonts w:ascii="Times New Roman" w:hAnsi="Times New Roman" w:cs="Times New Roman" w:eastAsia="Times New Roman" w:hint="default"/>
                <w:sz w:val="18"/>
                <w:szCs w:val="18"/>
              </w:rPr>
            </w:pPr>
            <w:r>
              <w:rPr>
                <w:rFonts w:ascii="Times New Roman"/>
                <w:sz w:val="18"/>
              </w:rPr>
              <w:t>51.00%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杭州中韩德蔓特科技有限公司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8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163" w:right="0"/>
              <w:jc w:val="center"/>
              <w:rPr>
                <w:rFonts w:ascii="Times New Roman" w:hAnsi="Times New Roman" w:cs="Times New Roman" w:eastAsia="Times New Roman" w:hint="default"/>
                <w:sz w:val="18"/>
                <w:szCs w:val="18"/>
              </w:rPr>
            </w:pPr>
            <w:r>
              <w:rPr>
                <w:rFonts w:ascii="Times New Roman"/>
                <w:sz w:val="18"/>
              </w:rPr>
              <w:t>70.00%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3839"/>
        <w:gridCol w:w="1057"/>
        <w:gridCol w:w="659"/>
        <w:gridCol w:w="829"/>
        <w:gridCol w:w="802"/>
        <w:gridCol w:w="460"/>
        <w:gridCol w:w="2037"/>
      </w:tblGrid>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杭州富阳网络传媒有限公司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70.00%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杭州萧山网络传媒有限公司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51.00%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64.40%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杭州朗盛传媒有限公司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杭州悦报传媒有限公司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90.00%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杭州萧滨每日送发行有限公司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杭州盛友广告设计有限公司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上海盛元第高数码图文影像有限公司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]B</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48.00%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杭州余杭晨报文化创意有限公司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杭州都快投资管理有限公司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]A</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49.00%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北京翻译研修学院</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北京星干线文化传播有限公司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北京星干线艺术教育科技有限公司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贵州星干线新思维文化传播有限公司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85.00%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北京红舞星文化传播有限公司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80.00%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艾特嘉信息技术（北京）有限公司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80.00%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北京教培英才人力资源管理有限责任公司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北京青友联教育科技有限公司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51.00%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云南求知教育信息咨询有限公司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中教未来科技（北京）有限公司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励耘行知教育科技（北京）有限公司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中教未来（北京）文化传播有限公司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北京加美环球教育咨询有限公司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51.00%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广州正索教育咨询有限公司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70.00%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北京文教英才科贸有限公司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云科未来科技（北京）有限公司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70.00%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中网世纪教育科技（北京）有限公司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65.00%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京师教培教育科技（北京）有限公司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55.00%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霍尔果斯中教未来教育咨询有限公司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北京产学研教育科技有限公司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80.00%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智云未来教育科技（北京）有限公司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70.00%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苏州中育教育科技有限公司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55.00%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智明远扬教育科技（北京）有限公司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北京领域兄弟教育咨询有限公司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3839"/>
        <w:gridCol w:w="1057"/>
        <w:gridCol w:w="659"/>
        <w:gridCol w:w="829"/>
        <w:gridCol w:w="802"/>
        <w:gridCol w:w="460"/>
        <w:gridCol w:w="2037"/>
      </w:tblGrid>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贵州雅致思语教育科技有限公司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70.00%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北京未名环球教育科技有限公司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60.00%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广州励耘教育科技有限公司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杭州华媒企业管理有限公司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杭州萧山萧报教育咨询有限公司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杭州好声音风尚传媒有限公司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60.00%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浙江智骊文化传媒有限公司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51.00%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杭州今日大江东传媒有限公司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宁波华杭投资有限公司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浙江华媒实业有限公司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霍尔果斯东昂信息科技有限公司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昆明市五华区云师未来培训中心</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南京博彦教育科技有限公司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合肥中教正远教育科技有限公司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51.00%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中教知本教育科技（北京）有限公司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70.00%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83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贵州中教未来教育科技有限公司</w:t>
            </w:r>
          </w:p>
        </w:tc>
        <w:tc>
          <w:tcPr>
            <w:tcW w:w="10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0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57" w:lineRule="auto" w:before="51"/>
        <w:ind w:left="634" w:right="0" w:hanging="480"/>
        <w:jc w:val="left"/>
      </w:pPr>
      <w:r>
        <w:rPr/>
        <w:t>在子公司的持股比例不同于表决权比例的说明： </w:t>
      </w:r>
      <w:r>
        <w:rPr>
          <w:spacing w:val="-1"/>
        </w:rPr>
        <w:t>注：</w:t>
      </w:r>
      <w:r>
        <w:rPr>
          <w:rFonts w:ascii="Times New Roman" w:hAnsi="Times New Roman" w:cs="Times New Roman" w:eastAsia="Times New Roman" w:hint="default"/>
          <w:spacing w:val="-1"/>
        </w:rPr>
        <w:t>A.</w:t>
      </w:r>
      <w:r>
        <w:rPr>
          <w:spacing w:val="-1"/>
        </w:rPr>
        <w:t>本公司对杭州都快投资管理有限公司持股比例为</w:t>
      </w:r>
      <w:r>
        <w:rPr>
          <w:rFonts w:ascii="Times New Roman" w:hAnsi="Times New Roman" w:cs="Times New Roman" w:eastAsia="Times New Roman" w:hint="default"/>
          <w:spacing w:val="-1"/>
        </w:rPr>
        <w:t>49.00%</w:t>
      </w:r>
      <w:r>
        <w:rPr>
          <w:spacing w:val="-1"/>
        </w:rPr>
        <w:t>，且执行董事及总经理由本公司派遣，所以对其相关活</w:t>
      </w:r>
    </w:p>
    <w:p>
      <w:pPr>
        <w:pStyle w:val="BodyText"/>
        <w:spacing w:line="201" w:lineRule="exact"/>
        <w:ind w:left="153" w:right="0"/>
        <w:jc w:val="left"/>
      </w:pPr>
      <w:r>
        <w:rPr/>
        <w:t>动实际持有半数以上的表决权，因此对杭州都快投资管理有限公司构成控制。</w:t>
      </w:r>
    </w:p>
    <w:p>
      <w:pPr>
        <w:pStyle w:val="BodyText"/>
        <w:spacing w:line="332" w:lineRule="exact" w:before="21"/>
        <w:ind w:left="153" w:right="111" w:firstLine="480"/>
        <w:jc w:val="left"/>
      </w:pPr>
      <w:r>
        <w:rPr>
          <w:rFonts w:ascii="Times New Roman" w:hAnsi="Times New Roman" w:cs="Times New Roman" w:eastAsia="Times New Roman" w:hint="default"/>
        </w:rPr>
        <w:t>B.</w:t>
      </w:r>
      <w:r>
        <w:rPr/>
        <w:t>本公司对杭州云瞰科技有限公司持股比例为</w:t>
      </w:r>
      <w:r>
        <w:rPr>
          <w:rFonts w:ascii="Times New Roman" w:hAnsi="Times New Roman" w:cs="Times New Roman" w:eastAsia="Times New Roman" w:hint="default"/>
        </w:rPr>
        <w:t>50.00%</w:t>
      </w:r>
      <w:r>
        <w:rPr/>
        <w:t>，董事会成员中</w:t>
      </w:r>
      <w:r>
        <w:rPr>
          <w:rFonts w:ascii="Times New Roman" w:hAnsi="Times New Roman" w:cs="Times New Roman" w:eastAsia="Times New Roman" w:hint="default"/>
        </w:rPr>
        <w:t>3</w:t>
      </w:r>
      <w:r>
        <w:rPr/>
        <w:t>人，本公司派遣</w:t>
      </w:r>
      <w:r>
        <w:rPr>
          <w:rFonts w:ascii="Times New Roman" w:hAnsi="Times New Roman" w:cs="Times New Roman" w:eastAsia="Times New Roman" w:hint="default"/>
        </w:rPr>
        <w:t>2</w:t>
      </w:r>
      <w:r>
        <w:rPr/>
        <w:t>人，且总经理由本公司派遣， 所以对其相关活动实际持有半数以上的表决权，因此对杭州云</w:t>
      </w:r>
      <w:r>
        <w:rPr>
          <w:sz w:val="24"/>
          <w:szCs w:val="24"/>
        </w:rPr>
        <w:t>瞰科技有限公司构成控制。</w:t>
      </w:r>
      <w:r>
        <w:rPr>
          <w:sz w:val="24"/>
          <w:szCs w:val="24"/>
        </w:rPr>
        <w:t> </w:t>
      </w:r>
      <w:r>
        <w:rPr/>
        <w:t>持有半数或以下表决权但仍控制被投资单位、以及持有半数以上表决权但不控制被投资单位的依据：</w:t>
      </w:r>
    </w:p>
    <w:p>
      <w:pPr>
        <w:pStyle w:val="BodyText"/>
        <w:spacing w:line="357" w:lineRule="auto" w:before="76"/>
        <w:ind w:left="153" w:right="5271"/>
        <w:jc w:val="left"/>
      </w:pPr>
      <w:r>
        <w:rPr/>
        <w:t>对于纳入合并范围的重要的结构化主体，控制的依据：无 确定公司是代理人还是委托人的依据：无</w:t>
      </w:r>
    </w:p>
    <w:p>
      <w:pPr>
        <w:pStyle w:val="BodyText"/>
        <w:spacing w:line="240" w:lineRule="auto" w:before="28"/>
        <w:ind w:left="153"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600"/>
        <w:gridCol w:w="1283"/>
        <w:gridCol w:w="1944"/>
        <w:gridCol w:w="2196"/>
        <w:gridCol w:w="1670"/>
      </w:tblGrid>
      <w:tr>
        <w:trPr>
          <w:trHeight w:val="762" w:hRule="exact"/>
        </w:trPr>
        <w:tc>
          <w:tcPr>
            <w:tcW w:w="2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4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455" w:right="95" w:hanging="360"/>
              <w:jc w:val="left"/>
              <w:rPr>
                <w:rFonts w:ascii="宋体" w:hAnsi="宋体" w:cs="宋体" w:eastAsia="宋体" w:hint="default"/>
                <w:sz w:val="18"/>
                <w:szCs w:val="18"/>
              </w:rPr>
            </w:pPr>
            <w:r>
              <w:rPr>
                <w:rFonts w:ascii="宋体" w:hAnsi="宋体" w:cs="宋体" w:eastAsia="宋体" w:hint="default"/>
                <w:sz w:val="18"/>
                <w:szCs w:val="18"/>
              </w:rPr>
              <w:t>少数股东持股 比例</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785" w:right="66"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821" w:right="102" w:hanging="720"/>
              <w:jc w:val="left"/>
              <w:rPr>
                <w:rFonts w:ascii="宋体" w:hAnsi="宋体" w:cs="宋体" w:eastAsia="宋体" w:hint="default"/>
                <w:sz w:val="18"/>
                <w:szCs w:val="18"/>
              </w:rPr>
            </w:pPr>
            <w:r>
              <w:rPr>
                <w:rFonts w:ascii="宋体" w:hAnsi="宋体" w:cs="宋体" w:eastAsia="宋体" w:hint="default"/>
                <w:sz w:val="18"/>
                <w:szCs w:val="18"/>
              </w:rPr>
              <w:t>本期向少数股东宣告分派 的股利</w:t>
            </w:r>
          </w:p>
        </w:tc>
        <w:tc>
          <w:tcPr>
            <w:tcW w:w="1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650" w:right="108" w:hanging="540"/>
              <w:jc w:val="left"/>
              <w:rPr>
                <w:rFonts w:ascii="宋体" w:hAnsi="宋体" w:cs="宋体" w:eastAsia="宋体" w:hint="default"/>
                <w:sz w:val="18"/>
                <w:szCs w:val="18"/>
              </w:rPr>
            </w:pPr>
            <w:r>
              <w:rPr>
                <w:rFonts w:ascii="宋体" w:hAnsi="宋体" w:cs="宋体" w:eastAsia="宋体" w:hint="default"/>
                <w:sz w:val="18"/>
                <w:szCs w:val="18"/>
              </w:rPr>
              <w:t>期末少数股东权益 余额</w:t>
            </w:r>
          </w:p>
        </w:tc>
      </w:tr>
      <w:tr>
        <w:trPr>
          <w:trHeight w:val="402" w:hRule="exact"/>
        </w:trPr>
        <w:tc>
          <w:tcPr>
            <w:tcW w:w="26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9,297,625.79</w:t>
            </w:r>
          </w:p>
        </w:tc>
        <w:tc>
          <w:tcPr>
            <w:tcW w:w="2196"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60,077,537.90</w:t>
            </w:r>
          </w:p>
        </w:tc>
      </w:tr>
      <w:tr>
        <w:trPr>
          <w:trHeight w:val="714" w:hRule="exact"/>
        </w:trPr>
        <w:tc>
          <w:tcPr>
            <w:tcW w:w="26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中教未来国际教育科技（北京） 有限公司</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25,761,209.28</w:t>
            </w:r>
          </w:p>
        </w:tc>
        <w:tc>
          <w:tcPr>
            <w:tcW w:w="2196"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50,052,765.12</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35.60%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6,881,890.47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17" w:right="0"/>
              <w:jc w:val="left"/>
              <w:rPr>
                <w:rFonts w:ascii="Times New Roman" w:hAnsi="Times New Roman" w:cs="Times New Roman" w:eastAsia="Times New Roman" w:hint="default"/>
                <w:sz w:val="18"/>
                <w:szCs w:val="18"/>
              </w:rPr>
            </w:pPr>
            <w:r>
              <w:rPr>
                <w:rFonts w:ascii="Times New Roman"/>
                <w:sz w:val="18"/>
              </w:rPr>
              <w:t>2,862,240.00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24,057,481.22</w:t>
            </w:r>
          </w:p>
        </w:tc>
      </w:tr>
    </w:tbl>
    <w:p>
      <w:pPr>
        <w:pStyle w:val="BodyText"/>
        <w:spacing w:line="240" w:lineRule="auto" w:before="51"/>
        <w:ind w:right="0"/>
        <w:jc w:val="left"/>
      </w:pPr>
      <w:r>
        <w:rPr/>
        <w:t>子公司少数股东的持股比例不同于表决权比例的说明：无</w:t>
      </w:r>
    </w:p>
    <w:p>
      <w:pPr>
        <w:spacing w:after="0" w:line="240" w:lineRule="auto"/>
        <w:jc w:val="left"/>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t>其他说明：无</w:t>
      </w:r>
    </w:p>
    <w:p>
      <w:pPr>
        <w:spacing w:after="0" w:line="240" w:lineRule="auto"/>
        <w:jc w:val="left"/>
        <w:sectPr>
          <w:pgSz w:w="11910" w:h="16840"/>
          <w:pgMar w:header="877" w:footer="982" w:top="1100" w:bottom="1180" w:left="980" w:right="980"/>
        </w:sectPr>
      </w:pPr>
    </w:p>
    <w:p>
      <w:pPr>
        <w:spacing w:line="240" w:lineRule="auto" w:before="2"/>
        <w:rPr>
          <w:rFonts w:ascii="宋体" w:hAnsi="宋体" w:cs="宋体" w:eastAsia="宋体" w:hint="default"/>
          <w:sz w:val="24"/>
          <w:szCs w:val="24"/>
        </w:rPr>
      </w:pPr>
    </w:p>
    <w:p>
      <w:pPr>
        <w:pStyle w:val="Heading3"/>
        <w:spacing w:line="240" w:lineRule="auto"/>
        <w:ind w:left="499" w:right="0"/>
        <w:jc w:val="left"/>
        <w:rPr>
          <w:b w:val="0"/>
          <w:bCs w:val="0"/>
        </w:rPr>
      </w:pPr>
      <w:r>
        <w:rPr/>
        <w:pict>
          <v:group style="position:absolute;margin-left:70.490997pt;margin-top:-.396357pt;width:700.95pt;height:.1pt;mso-position-horizontal-relative:page;mso-position-vertical-relative:paragraph;z-index:2224" coordorigin="1410,-8" coordsize="14019,2">
            <v:shape style="position:absolute;left:1410;top:-8;width:14019;height:2" coordorigin="1410,-8" coordsize="14019,0" path="m1410,-8l15428,-8e" filled="false" stroked="true" strokeweight=".72pt" strokecolor="#000000">
              <v:path arrowok="t"/>
            </v:shape>
            <w10:wrap type="none"/>
          </v:group>
        </w:pict>
      </w:r>
      <w:r>
        <w:rPr>
          <w:w w:val="95"/>
        </w:rPr>
        <w:t>（</w:t>
      </w:r>
      <w:r>
        <w:rPr>
          <w:rFonts w:ascii="Times New Roman" w:hAnsi="Times New Roman" w:cs="Times New Roman" w:eastAsia="Times New Roman" w:hint="default"/>
          <w:w w:val="95"/>
        </w:rPr>
        <w:t>3</w:t>
      </w:r>
      <w:r>
        <w:rPr>
          <w:w w:val="95"/>
        </w:rPr>
        <w:t>）重要非全资子公司的主要财务信息</w:t>
      </w:r>
      <w:r>
        <w:rPr>
          <w:b w:val="0"/>
          <w:bCs w:val="0"/>
        </w:rPr>
      </w:r>
    </w:p>
    <w:p>
      <w:pPr>
        <w:pStyle w:val="BodyText"/>
        <w:spacing w:line="240" w:lineRule="auto" w:before="17"/>
        <w:ind w:left="499" w:right="0"/>
        <w:jc w:val="left"/>
      </w:pPr>
      <w:r>
        <w:rPr/>
        <w:br w:type="column"/>
      </w:r>
      <w:r>
        <w:rPr/>
        <w:t>浙江华媒控股股份有限公司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p>
      <w:pPr>
        <w:spacing w:after="0" w:line="240" w:lineRule="auto"/>
        <w:jc w:val="left"/>
        <w:sectPr>
          <w:headerReference w:type="default" r:id="rId45"/>
          <w:footerReference w:type="default" r:id="rId46"/>
          <w:pgSz w:w="16840" w:h="11910" w:orient="landscape"/>
          <w:pgMar w:header="0" w:footer="0" w:top="800" w:bottom="280" w:left="940" w:right="940"/>
          <w:cols w:num="2" w:equalWidth="0">
            <w:col w:w="4188" w:space="5902"/>
            <w:col w:w="4870"/>
          </w:cols>
        </w:sectPr>
      </w:pPr>
    </w:p>
    <w:p>
      <w:pPr>
        <w:spacing w:line="240" w:lineRule="auto" w:before="3"/>
        <w:rPr>
          <w:rFonts w:ascii="宋体" w:hAnsi="宋体" w:cs="宋体" w:eastAsia="宋体" w:hint="default"/>
          <w:sz w:val="23"/>
          <w:szCs w:val="23"/>
        </w:rPr>
      </w:pPr>
    </w:p>
    <w:p>
      <w:pPr>
        <w:pStyle w:val="BodyText"/>
        <w:spacing w:line="240" w:lineRule="auto" w:before="44"/>
        <w:ind w:left="0" w:right="499"/>
        <w:jc w:val="right"/>
      </w:pPr>
      <w:r>
        <w:rPr/>
        <w:t>单位： 元</w:t>
      </w:r>
    </w:p>
    <w:p>
      <w:pPr>
        <w:spacing w:line="240" w:lineRule="auto" w:before="0"/>
        <w:rPr>
          <w:rFonts w:ascii="宋体" w:hAnsi="宋体" w:cs="宋体" w:eastAsia="宋体" w:hint="default"/>
          <w:sz w:val="8"/>
          <w:szCs w:val="8"/>
        </w:rPr>
      </w:pPr>
    </w:p>
    <w:tbl>
      <w:tblPr>
        <w:tblW w:w="0" w:type="auto"/>
        <w:jc w:val="left"/>
        <w:tblInd w:w="211" w:type="dxa"/>
        <w:tblLayout w:type="fixed"/>
        <w:tblCellMar>
          <w:top w:w="0" w:type="dxa"/>
          <w:left w:w="0" w:type="dxa"/>
          <w:bottom w:w="0" w:type="dxa"/>
          <w:right w:w="0" w:type="dxa"/>
        </w:tblCellMar>
        <w:tblLook w:val="01E0"/>
      </w:tblPr>
      <w:tblGrid>
        <w:gridCol w:w="993"/>
        <w:gridCol w:w="1181"/>
        <w:gridCol w:w="1181"/>
        <w:gridCol w:w="1181"/>
        <w:gridCol w:w="1182"/>
        <w:gridCol w:w="1091"/>
        <w:gridCol w:w="1181"/>
        <w:gridCol w:w="1181"/>
        <w:gridCol w:w="1091"/>
        <w:gridCol w:w="1181"/>
        <w:gridCol w:w="1182"/>
        <w:gridCol w:w="792"/>
        <w:gridCol w:w="1181"/>
      </w:tblGrid>
      <w:tr>
        <w:trPr>
          <w:trHeight w:val="250" w:hRule="exact"/>
        </w:trPr>
        <w:tc>
          <w:tcPr>
            <w:tcW w:w="9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99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607"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90" w:hRule="exact"/>
        </w:trPr>
        <w:tc>
          <w:tcPr>
            <w:tcW w:w="993"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22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13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225"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226"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非流动负债</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22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22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right="89"/>
              <w:jc w:val="right"/>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226"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300" w:right="30" w:hanging="270"/>
              <w:jc w:val="left"/>
              <w:rPr>
                <w:rFonts w:ascii="宋体" w:hAnsi="宋体" w:cs="宋体" w:eastAsia="宋体" w:hint="default"/>
                <w:sz w:val="18"/>
                <w:szCs w:val="18"/>
              </w:rPr>
            </w:pPr>
            <w:r>
              <w:rPr>
                <w:rFonts w:ascii="宋体" w:hAnsi="宋体" w:cs="宋体" w:eastAsia="宋体" w:hint="default"/>
                <w:sz w:val="18"/>
                <w:szCs w:val="18"/>
              </w:rPr>
              <w:t>非流动负 债</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225"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730" w:hRule="exact"/>
        </w:trPr>
        <w:tc>
          <w:tcPr>
            <w:tcW w:w="9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3" w:right="58"/>
              <w:jc w:val="both"/>
              <w:rPr>
                <w:rFonts w:ascii="宋体" w:hAnsi="宋体" w:cs="宋体" w:eastAsia="宋体" w:hint="default"/>
                <w:sz w:val="18"/>
                <w:szCs w:val="18"/>
              </w:rPr>
            </w:pPr>
            <w:r>
              <w:rPr>
                <w:rFonts w:ascii="宋体" w:hAnsi="宋体" w:cs="宋体" w:eastAsia="宋体" w:hint="default"/>
                <w:sz w:val="18"/>
                <w:szCs w:val="18"/>
              </w:rPr>
              <w:t>杭州余杭晨 报传媒有限 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145,704,951.60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187,559.46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145,892,511.06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23,285,290.85</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23,285,290.85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121,920,271.28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605,497.49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122,525,768.77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16,927,947.83</w:t>
            </w:r>
          </w:p>
        </w:tc>
        <w:tc>
          <w:tcPr>
            <w:tcW w:w="7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16,927,947.83</w:t>
            </w:r>
          </w:p>
        </w:tc>
      </w:tr>
      <w:tr>
        <w:trPr>
          <w:trHeight w:val="971" w:hRule="exact"/>
        </w:trPr>
        <w:tc>
          <w:tcPr>
            <w:tcW w:w="9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3" w:right="58"/>
              <w:jc w:val="left"/>
              <w:rPr>
                <w:rFonts w:ascii="宋体" w:hAnsi="宋体" w:cs="宋体" w:eastAsia="宋体" w:hint="default"/>
                <w:sz w:val="18"/>
                <w:szCs w:val="18"/>
              </w:rPr>
            </w:pPr>
            <w:r>
              <w:rPr>
                <w:rFonts w:ascii="宋体" w:hAnsi="宋体" w:cs="宋体" w:eastAsia="宋体" w:hint="default"/>
                <w:sz w:val="18"/>
                <w:szCs w:val="18"/>
              </w:rPr>
              <w:t>中教未来国 际教育科技</w:t>
            </w:r>
          </w:p>
          <w:p>
            <w:pPr>
              <w:pStyle w:val="TableParagraph"/>
              <w:spacing w:line="240" w:lineRule="exact"/>
              <w:ind w:left="23" w:right="58"/>
              <w:jc w:val="left"/>
              <w:rPr>
                <w:rFonts w:ascii="宋体" w:hAnsi="宋体" w:cs="宋体" w:eastAsia="宋体" w:hint="default"/>
                <w:sz w:val="18"/>
                <w:szCs w:val="18"/>
              </w:rPr>
            </w:pPr>
            <w:r>
              <w:rPr>
                <w:rFonts w:ascii="宋体" w:hAnsi="宋体" w:cs="宋体" w:eastAsia="宋体" w:hint="default"/>
                <w:sz w:val="18"/>
                <w:szCs w:val="18"/>
              </w:rPr>
              <w:t>（北京）有 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pacing w:val="-1"/>
                <w:sz w:val="18"/>
              </w:rPr>
              <w:t>75,615,620.11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247,864,178.59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323,479,798.70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134,517,062.89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 w:right="0"/>
              <w:jc w:val="center"/>
              <w:rPr>
                <w:rFonts w:ascii="Times New Roman" w:hAnsi="Times New Roman" w:cs="Times New Roman" w:eastAsia="Times New Roman" w:hint="default"/>
                <w:sz w:val="18"/>
                <w:szCs w:val="18"/>
              </w:rPr>
            </w:pPr>
            <w:r>
              <w:rPr>
                <w:rFonts w:ascii="Times New Roman"/>
                <w:sz w:val="18"/>
              </w:rPr>
              <w:t>47,630,000.00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182,147,062.89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69,486,552.00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82,650,746.16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4" w:right="0"/>
              <w:jc w:val="center"/>
              <w:rPr>
                <w:rFonts w:ascii="Times New Roman" w:hAnsi="Times New Roman" w:cs="Times New Roman" w:eastAsia="Times New Roman" w:hint="default"/>
                <w:sz w:val="18"/>
                <w:szCs w:val="18"/>
              </w:rPr>
            </w:pPr>
            <w:r>
              <w:rPr>
                <w:rFonts w:ascii="Times New Roman"/>
                <w:sz w:val="18"/>
              </w:rPr>
              <w:t>152,137,298.16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79,186,782.70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38" w:right="0"/>
              <w:jc w:val="left"/>
              <w:rPr>
                <w:rFonts w:ascii="Times New Roman" w:hAnsi="Times New Roman" w:cs="Times New Roman" w:eastAsia="Times New Roman" w:hint="default"/>
                <w:sz w:val="18"/>
                <w:szCs w:val="18"/>
              </w:rPr>
            </w:pPr>
            <w:r>
              <w:rPr>
                <w:rFonts w:ascii="Times New Roman"/>
                <w:sz w:val="18"/>
              </w:rPr>
              <w:t>27,854.00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79,214,636.70</w:t>
            </w:r>
          </w:p>
        </w:tc>
      </w:tr>
      <w:tr>
        <w:trPr>
          <w:trHeight w:val="730" w:hRule="exact"/>
        </w:trPr>
        <w:tc>
          <w:tcPr>
            <w:tcW w:w="9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3" w:right="58"/>
              <w:jc w:val="both"/>
              <w:rPr>
                <w:rFonts w:ascii="宋体" w:hAnsi="宋体" w:cs="宋体" w:eastAsia="宋体" w:hint="default"/>
                <w:sz w:val="18"/>
                <w:szCs w:val="18"/>
              </w:rPr>
            </w:pPr>
            <w:r>
              <w:rPr>
                <w:rFonts w:ascii="宋体" w:hAnsi="宋体" w:cs="宋体" w:eastAsia="宋体" w:hint="default"/>
                <w:sz w:val="18"/>
                <w:szCs w:val="18"/>
              </w:rPr>
              <w:t>浙江风盛传 媒股份有限 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206,041,799.11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17,408,145.50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223,449,944.61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160,274,739.73</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160,274,739.73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161,713,291.78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15,679,928.09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177,393,219.87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139,490,284.51</w:t>
            </w:r>
          </w:p>
        </w:tc>
        <w:tc>
          <w:tcPr>
            <w:tcW w:w="7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139,490,284.51</w:t>
            </w:r>
          </w:p>
        </w:tc>
      </w:tr>
      <w:tr>
        <w:trPr>
          <w:trHeight w:val="730" w:hRule="exact"/>
        </w:trPr>
        <w:tc>
          <w:tcPr>
            <w:tcW w:w="9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3" w:right="58"/>
              <w:jc w:val="both"/>
              <w:rPr>
                <w:rFonts w:ascii="宋体" w:hAnsi="宋体" w:cs="宋体" w:eastAsia="宋体" w:hint="default"/>
                <w:sz w:val="18"/>
                <w:szCs w:val="18"/>
              </w:rPr>
            </w:pPr>
            <w:r>
              <w:rPr>
                <w:rFonts w:ascii="宋体" w:hAnsi="宋体" w:cs="宋体" w:eastAsia="宋体" w:hint="default"/>
                <w:sz w:val="18"/>
                <w:szCs w:val="18"/>
              </w:rPr>
              <w:t>快点文化传 播（上海） 有限公司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161,075,930.05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1,718,364.63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162,794,294.68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48,560,692.26</w:t>
            </w:r>
          </w:p>
        </w:tc>
        <w:tc>
          <w:tcPr>
            <w:tcW w:w="7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48,560,692.26</w:t>
            </w:r>
          </w:p>
        </w:tc>
      </w:tr>
      <w:tr>
        <w:trPr>
          <w:trHeight w:val="491" w:hRule="exact"/>
        </w:trPr>
        <w:tc>
          <w:tcPr>
            <w:tcW w:w="9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3" w:right="58"/>
              <w:jc w:val="left"/>
              <w:rPr>
                <w:rFonts w:ascii="宋体" w:hAnsi="宋体" w:cs="宋体" w:eastAsia="宋体" w:hint="default"/>
                <w:sz w:val="18"/>
                <w:szCs w:val="18"/>
              </w:rPr>
            </w:pPr>
            <w:r>
              <w:rPr>
                <w:rFonts w:ascii="宋体" w:hAnsi="宋体" w:cs="宋体" w:eastAsia="宋体" w:hint="default"/>
                <w:sz w:val="18"/>
                <w:szCs w:val="18"/>
              </w:rPr>
              <w:t>杭州快房传 媒有限公司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64,860,860.34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3,855,942.98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68,716,803.32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28,673,502.59</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28,673,502.59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68,042,313.29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3,740,685.45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4" w:right="0"/>
              <w:jc w:val="center"/>
              <w:rPr>
                <w:rFonts w:ascii="Times New Roman" w:hAnsi="Times New Roman" w:cs="Times New Roman" w:eastAsia="Times New Roman" w:hint="default"/>
                <w:sz w:val="18"/>
                <w:szCs w:val="18"/>
              </w:rPr>
            </w:pPr>
            <w:r>
              <w:rPr>
                <w:rFonts w:ascii="Times New Roman"/>
                <w:sz w:val="18"/>
              </w:rPr>
              <w:t>71,782,998.74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2"/>
                <w:sz w:val="18"/>
              </w:rPr>
              <w:t>24,111,894.97</w:t>
            </w:r>
          </w:p>
        </w:tc>
        <w:tc>
          <w:tcPr>
            <w:tcW w:w="7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2"/>
                <w:sz w:val="18"/>
              </w:rPr>
              <w:t>24,111,894.97</w:t>
            </w:r>
          </w:p>
        </w:tc>
      </w:tr>
    </w:tbl>
    <w:p>
      <w:pPr>
        <w:pStyle w:val="BodyText"/>
        <w:spacing w:line="240" w:lineRule="auto" w:before="51"/>
        <w:ind w:left="0" w:right="499"/>
        <w:jc w:val="right"/>
      </w:pPr>
      <w:r>
        <w:rPr/>
        <w:t>单位： 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269"/>
        <w:gridCol w:w="1556"/>
        <w:gridCol w:w="1556"/>
        <w:gridCol w:w="1558"/>
        <w:gridCol w:w="1564"/>
        <w:gridCol w:w="1555"/>
        <w:gridCol w:w="1555"/>
        <w:gridCol w:w="1555"/>
        <w:gridCol w:w="1561"/>
      </w:tblGrid>
      <w:tr>
        <w:trPr>
          <w:trHeight w:val="250" w:hRule="exact"/>
        </w:trPr>
        <w:tc>
          <w:tcPr>
            <w:tcW w:w="22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left="68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23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22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0" w:hRule="exact"/>
        </w:trPr>
        <w:tc>
          <w:tcPr>
            <w:tcW w:w="2269" w:type="dxa"/>
            <w:vMerge/>
            <w:tcBorders>
              <w:left w:val="single" w:sz="4" w:space="0" w:color="000000"/>
              <w:bottom w:val="single" w:sz="4" w:space="0" w:color="000000"/>
              <w:right w:val="single" w:sz="4" w:space="0" w:color="000000"/>
            </w:tcBorders>
            <w:shd w:val="clear" w:color="auto" w:fill="D3D3D3"/>
          </w:tcPr>
          <w:p>
            <w:pPr/>
          </w:p>
        </w:tc>
        <w:tc>
          <w:tcPr>
            <w:tcW w:w="1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4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50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3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55"/>
              <w:jc w:val="righ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4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50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3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54"/>
              <w:jc w:val="righ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251" w:hRule="exact"/>
        </w:trPr>
        <w:tc>
          <w:tcPr>
            <w:tcW w:w="22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47,514,120.63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18,459,399.27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18,459,399.27</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28,663,915.61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45,770,140.81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87" w:right="0"/>
              <w:jc w:val="left"/>
              <w:rPr>
                <w:rFonts w:ascii="Times New Roman" w:hAnsi="Times New Roman" w:cs="Times New Roman" w:eastAsia="Times New Roman" w:hint="default"/>
                <w:sz w:val="18"/>
                <w:szCs w:val="18"/>
              </w:rPr>
            </w:pPr>
            <w:r>
              <w:rPr>
                <w:rFonts w:ascii="Times New Roman"/>
                <w:sz w:val="18"/>
              </w:rPr>
              <w:t>16,526,849.63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16,526,849.63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17,761,658.14</w:t>
            </w:r>
          </w:p>
        </w:tc>
      </w:tr>
      <w:tr>
        <w:trPr>
          <w:trHeight w:val="490" w:hRule="exact"/>
        </w:trPr>
        <w:tc>
          <w:tcPr>
            <w:tcW w:w="22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3" w:right="73"/>
              <w:jc w:val="left"/>
              <w:rPr>
                <w:rFonts w:ascii="宋体" w:hAnsi="宋体" w:cs="宋体" w:eastAsia="宋体" w:hint="default"/>
                <w:sz w:val="18"/>
                <w:szCs w:val="18"/>
              </w:rPr>
            </w:pPr>
            <w:r>
              <w:rPr>
                <w:rFonts w:ascii="宋体" w:hAnsi="宋体" w:cs="宋体" w:eastAsia="宋体" w:hint="default"/>
                <w:sz w:val="18"/>
                <w:szCs w:val="18"/>
              </w:rPr>
              <w:t>中教未来国际教育科技（北 京）有限公司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194,647,077.75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67,585,074.35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67,585,074.35</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60,493,587.08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140,007,627.98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87" w:right="0"/>
              <w:jc w:val="left"/>
              <w:rPr>
                <w:rFonts w:ascii="Times New Roman" w:hAnsi="Times New Roman" w:cs="Times New Roman" w:eastAsia="Times New Roman" w:hint="default"/>
                <w:sz w:val="18"/>
                <w:szCs w:val="18"/>
              </w:rPr>
            </w:pPr>
            <w:r>
              <w:rPr>
                <w:rFonts w:ascii="Times New Roman"/>
                <w:sz w:val="18"/>
              </w:rPr>
              <w:t>54,875,863.80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54,875,863.80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42,959,786.17</w:t>
            </w:r>
          </w:p>
        </w:tc>
      </w:tr>
      <w:tr>
        <w:trPr>
          <w:trHeight w:val="250" w:hRule="exact"/>
        </w:trPr>
        <w:tc>
          <w:tcPr>
            <w:tcW w:w="22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252,413,913.61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20,493,744.83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20,493,744.83</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-17,136,141.34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148,021,605.53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93" w:right="0"/>
              <w:jc w:val="left"/>
              <w:rPr>
                <w:rFonts w:ascii="Times New Roman" w:hAnsi="Times New Roman" w:cs="Times New Roman" w:eastAsia="Times New Roman" w:hint="default"/>
                <w:sz w:val="18"/>
                <w:szCs w:val="18"/>
              </w:rPr>
            </w:pPr>
            <w:r>
              <w:rPr>
                <w:rFonts w:ascii="Times New Roman"/>
                <w:sz w:val="18"/>
              </w:rPr>
              <w:t>11,070,959.78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11,070,959.78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-1,631,114.57</w:t>
            </w:r>
          </w:p>
        </w:tc>
      </w:tr>
      <w:tr>
        <w:trPr>
          <w:trHeight w:val="491" w:hRule="exact"/>
        </w:trPr>
        <w:tc>
          <w:tcPr>
            <w:tcW w:w="22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3" w:right="73"/>
              <w:jc w:val="left"/>
              <w:rPr>
                <w:rFonts w:ascii="宋体" w:hAnsi="宋体" w:cs="宋体" w:eastAsia="宋体" w:hint="default"/>
                <w:sz w:val="18"/>
                <w:szCs w:val="18"/>
              </w:rPr>
            </w:pPr>
            <w:r>
              <w:rPr>
                <w:rFonts w:ascii="宋体" w:hAnsi="宋体" w:cs="宋体" w:eastAsia="宋体" w:hint="default"/>
                <w:sz w:val="18"/>
                <w:szCs w:val="18"/>
              </w:rPr>
              <w:t>快点文化传播（上海）有限 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227,216,921.42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42,307,372.85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42,307,372.85</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28,506,418.50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210,714,234.62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87" w:right="0"/>
              <w:jc w:val="left"/>
              <w:rPr>
                <w:rFonts w:ascii="Times New Roman" w:hAnsi="Times New Roman" w:cs="Times New Roman" w:eastAsia="Times New Roman" w:hint="default"/>
                <w:sz w:val="18"/>
                <w:szCs w:val="18"/>
              </w:rPr>
            </w:pPr>
            <w:r>
              <w:rPr>
                <w:rFonts w:ascii="Times New Roman"/>
                <w:sz w:val="18"/>
              </w:rPr>
              <w:t>40,859,983.87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40,859,983.87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4,469,180.05</w:t>
            </w:r>
          </w:p>
        </w:tc>
      </w:tr>
      <w:tr>
        <w:trPr>
          <w:trHeight w:val="250" w:hRule="exact"/>
        </w:trPr>
        <w:tc>
          <w:tcPr>
            <w:tcW w:w="22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杭州快房传媒有限公司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66,935,573.25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2,652,196.96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2,652,196.96</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4,325,207.87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103,758,239.37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87" w:right="0"/>
              <w:jc w:val="left"/>
              <w:rPr>
                <w:rFonts w:ascii="Times New Roman" w:hAnsi="Times New Roman" w:cs="Times New Roman" w:eastAsia="Times New Roman" w:hint="default"/>
                <w:sz w:val="18"/>
                <w:szCs w:val="18"/>
              </w:rPr>
            </w:pPr>
            <w:r>
              <w:rPr>
                <w:rFonts w:ascii="Times New Roman"/>
                <w:sz w:val="18"/>
              </w:rPr>
              <w:t>20,800,982.38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20,800,982.38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12,579,103.82</w:t>
            </w:r>
          </w:p>
        </w:tc>
      </w:tr>
    </w:tbl>
    <w:p>
      <w:pPr>
        <w:pStyle w:val="BodyText"/>
        <w:spacing w:line="240" w:lineRule="auto" w:before="51"/>
        <w:ind w:left="499" w:right="0"/>
        <w:jc w:val="left"/>
      </w:pPr>
      <w:r>
        <w:rPr/>
        <w:t>其他说明：无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ind w:left="0" w:right="499"/>
        <w:jc w:val="right"/>
        <w:rPr>
          <w:rFonts w:ascii="Times New Roman" w:hAnsi="Times New Roman" w:cs="Times New Roman" w:eastAsia="Times New Roman" w:hint="default"/>
        </w:rPr>
      </w:pPr>
      <w:r>
        <w:rPr>
          <w:rFonts w:ascii="Times New Roman"/>
        </w:rPr>
        <w:t>157</w:t>
      </w:r>
    </w:p>
    <w:p>
      <w:pPr>
        <w:spacing w:after="0" w:line="240" w:lineRule="auto"/>
        <w:jc w:val="right"/>
        <w:rPr>
          <w:rFonts w:ascii="Times New Roman" w:hAnsi="Times New Roman" w:cs="Times New Roman" w:eastAsia="Times New Roman" w:hint="default"/>
        </w:rPr>
        <w:sectPr>
          <w:type w:val="continuous"/>
          <w:pgSz w:w="16840" w:h="11910" w:orient="landscape"/>
          <w:pgMar w:top="1060" w:bottom="1180" w:left="940" w:right="94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28"/>
        <w:gridCol w:w="913"/>
        <w:gridCol w:w="576"/>
        <w:gridCol w:w="744"/>
        <w:gridCol w:w="612"/>
        <w:gridCol w:w="690"/>
        <w:gridCol w:w="3002"/>
      </w:tblGrid>
      <w:tr>
        <w:trPr>
          <w:trHeight w:val="402" w:hRule="exact"/>
        </w:trPr>
        <w:tc>
          <w:tcPr>
            <w:tcW w:w="31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91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361" w:right="90" w:hanging="270"/>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57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193" w:right="101"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74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277" w:right="9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130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300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1226" w:right="54" w:hanging="1170"/>
              <w:jc w:val="left"/>
              <w:rPr>
                <w:rFonts w:ascii="宋体" w:hAnsi="宋体" w:cs="宋体" w:eastAsia="宋体" w:hint="default"/>
                <w:sz w:val="18"/>
                <w:szCs w:val="18"/>
              </w:rPr>
            </w:pPr>
            <w:r>
              <w:rPr>
                <w:rFonts w:ascii="宋体" w:hAnsi="宋体" w:cs="宋体" w:eastAsia="宋体" w:hint="default"/>
                <w:sz w:val="18"/>
                <w:szCs w:val="18"/>
              </w:rPr>
              <w:t>对合营企业或联营企业投资的会计处 理方法</w:t>
            </w:r>
          </w:p>
        </w:tc>
      </w:tr>
      <w:tr>
        <w:trPr>
          <w:trHeight w:val="402" w:hRule="exact"/>
        </w:trPr>
        <w:tc>
          <w:tcPr>
            <w:tcW w:w="3128" w:type="dxa"/>
            <w:vMerge/>
            <w:tcBorders>
              <w:left w:val="single" w:sz="4" w:space="0" w:color="000000"/>
              <w:bottom w:val="single" w:sz="4" w:space="0" w:color="000000"/>
              <w:right w:val="single" w:sz="4" w:space="0" w:color="000000"/>
            </w:tcBorders>
            <w:shd w:val="clear" w:color="auto" w:fill="D3D3D3"/>
          </w:tcPr>
          <w:p>
            <w:pPr/>
          </w:p>
        </w:tc>
        <w:tc>
          <w:tcPr>
            <w:tcW w:w="913" w:type="dxa"/>
            <w:vMerge/>
            <w:tcBorders>
              <w:left w:val="single" w:sz="4" w:space="0" w:color="000000"/>
              <w:bottom w:val="single" w:sz="4" w:space="0" w:color="000000"/>
              <w:right w:val="single" w:sz="4" w:space="0" w:color="000000"/>
            </w:tcBorders>
            <w:shd w:val="clear" w:color="auto" w:fill="D3D3D3"/>
          </w:tcPr>
          <w:p>
            <w:pPr/>
          </w:p>
        </w:tc>
        <w:tc>
          <w:tcPr>
            <w:tcW w:w="576" w:type="dxa"/>
            <w:vMerge/>
            <w:tcBorders>
              <w:left w:val="single" w:sz="4" w:space="0" w:color="000000"/>
              <w:bottom w:val="single" w:sz="4" w:space="0" w:color="000000"/>
              <w:right w:val="single" w:sz="4" w:space="0" w:color="000000"/>
            </w:tcBorders>
            <w:shd w:val="clear" w:color="auto" w:fill="D3D3D3"/>
          </w:tcPr>
          <w:p>
            <w:pPr/>
          </w:p>
        </w:tc>
        <w:tc>
          <w:tcPr>
            <w:tcW w:w="744" w:type="dxa"/>
            <w:vMerge/>
            <w:tcBorders>
              <w:left w:val="single" w:sz="4" w:space="0" w:color="000000"/>
              <w:bottom w:val="single" w:sz="4" w:space="0" w:color="000000"/>
              <w:right w:val="single" w:sz="4" w:space="0" w:color="000000"/>
            </w:tcBorders>
            <w:shd w:val="clear" w:color="auto" w:fill="D3D3D3"/>
          </w:tcPr>
          <w:p>
            <w:pPr/>
          </w:p>
        </w:tc>
        <w:tc>
          <w:tcPr>
            <w:tcW w:w="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300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1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9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5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19.95%</w:t>
            </w:r>
          </w:p>
        </w:tc>
        <w:tc>
          <w:tcPr>
            <w:tcW w:w="690" w:type="dxa"/>
            <w:tcBorders>
              <w:top w:val="single" w:sz="4" w:space="0" w:color="000000"/>
              <w:left w:val="single" w:sz="4" w:space="0" w:color="000000"/>
              <w:bottom w:val="single" w:sz="4" w:space="0" w:color="000000"/>
              <w:right w:val="single" w:sz="4" w:space="0" w:color="000000"/>
            </w:tcBorders>
          </w:tcPr>
          <w:p>
            <w:pPr/>
          </w:p>
        </w:tc>
        <w:tc>
          <w:tcPr>
            <w:tcW w:w="30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31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杭州都快交通久一点吧传媒有限公司</w:t>
            </w:r>
          </w:p>
        </w:tc>
        <w:tc>
          <w:tcPr>
            <w:tcW w:w="9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5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45.00%</w:t>
            </w:r>
          </w:p>
        </w:tc>
        <w:tc>
          <w:tcPr>
            <w:tcW w:w="690" w:type="dxa"/>
            <w:tcBorders>
              <w:top w:val="single" w:sz="4" w:space="0" w:color="000000"/>
              <w:left w:val="single" w:sz="4" w:space="0" w:color="000000"/>
              <w:bottom w:val="single" w:sz="4" w:space="0" w:color="000000"/>
              <w:right w:val="single" w:sz="4" w:space="0" w:color="000000"/>
            </w:tcBorders>
          </w:tcPr>
          <w:p>
            <w:pPr/>
          </w:p>
        </w:tc>
        <w:tc>
          <w:tcPr>
            <w:tcW w:w="30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31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c>
          <w:tcPr>
            <w:tcW w:w="9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德清</w:t>
            </w:r>
          </w:p>
        </w:tc>
        <w:tc>
          <w:tcPr>
            <w:tcW w:w="5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德清</w:t>
            </w:r>
          </w:p>
        </w:tc>
        <w:tc>
          <w:tcPr>
            <w:tcW w:w="7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50.00%</w:t>
            </w:r>
          </w:p>
        </w:tc>
        <w:tc>
          <w:tcPr>
            <w:tcW w:w="690" w:type="dxa"/>
            <w:tcBorders>
              <w:top w:val="single" w:sz="4" w:space="0" w:color="000000"/>
              <w:left w:val="single" w:sz="4" w:space="0" w:color="000000"/>
              <w:bottom w:val="single" w:sz="4" w:space="0" w:color="000000"/>
              <w:right w:val="single" w:sz="4" w:space="0" w:color="000000"/>
            </w:tcBorders>
          </w:tcPr>
          <w:p>
            <w:pPr/>
          </w:p>
        </w:tc>
        <w:tc>
          <w:tcPr>
            <w:tcW w:w="30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31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c>
          <w:tcPr>
            <w:tcW w:w="9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5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39.00%</w:t>
            </w:r>
          </w:p>
        </w:tc>
        <w:tc>
          <w:tcPr>
            <w:tcW w:w="690" w:type="dxa"/>
            <w:tcBorders>
              <w:top w:val="single" w:sz="4" w:space="0" w:color="000000"/>
              <w:left w:val="single" w:sz="4" w:space="0" w:color="000000"/>
              <w:bottom w:val="single" w:sz="4" w:space="0" w:color="000000"/>
              <w:right w:val="single" w:sz="4" w:space="0" w:color="000000"/>
            </w:tcBorders>
          </w:tcPr>
          <w:p>
            <w:pPr/>
          </w:p>
        </w:tc>
        <w:tc>
          <w:tcPr>
            <w:tcW w:w="30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31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布朗睿智（北京）国际教育科技有限公 司</w:t>
            </w:r>
          </w:p>
        </w:tc>
        <w:tc>
          <w:tcPr>
            <w:tcW w:w="9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30.00%</w:t>
            </w:r>
          </w:p>
        </w:tc>
        <w:tc>
          <w:tcPr>
            <w:tcW w:w="690" w:type="dxa"/>
            <w:tcBorders>
              <w:top w:val="single" w:sz="4" w:space="0" w:color="000000"/>
              <w:left w:val="single" w:sz="4" w:space="0" w:color="000000"/>
              <w:bottom w:val="single" w:sz="4" w:space="0" w:color="000000"/>
              <w:right w:val="single" w:sz="4" w:space="0" w:color="000000"/>
            </w:tcBorders>
          </w:tcPr>
          <w:p>
            <w:pPr/>
          </w:p>
        </w:tc>
        <w:tc>
          <w:tcPr>
            <w:tcW w:w="30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31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布朗时代（北京）教育投资有限公司</w:t>
            </w:r>
          </w:p>
        </w:tc>
        <w:tc>
          <w:tcPr>
            <w:tcW w:w="9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30.00%</w:t>
            </w:r>
          </w:p>
        </w:tc>
        <w:tc>
          <w:tcPr>
            <w:tcW w:w="690" w:type="dxa"/>
            <w:tcBorders>
              <w:top w:val="single" w:sz="4" w:space="0" w:color="000000"/>
              <w:left w:val="single" w:sz="4" w:space="0" w:color="000000"/>
              <w:bottom w:val="single" w:sz="4" w:space="0" w:color="000000"/>
              <w:right w:val="single" w:sz="4" w:space="0" w:color="000000"/>
            </w:tcBorders>
          </w:tcPr>
          <w:p>
            <w:pPr/>
          </w:p>
        </w:tc>
        <w:tc>
          <w:tcPr>
            <w:tcW w:w="30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7" w:lineRule="auto" w:before="51"/>
        <w:ind w:left="634" w:right="0" w:hanging="480"/>
        <w:jc w:val="left"/>
      </w:pPr>
      <w:r>
        <w:rPr/>
        <w:t>在合营企业或联营企业的持股比例不同于表决权比例的说明： </w:t>
      </w:r>
      <w:r>
        <w:rPr>
          <w:spacing w:val="-1"/>
        </w:rPr>
        <w:t>注：</w:t>
      </w:r>
      <w:r>
        <w:rPr>
          <w:rFonts w:ascii="Times New Roman" w:hAnsi="Times New Roman" w:cs="Times New Roman" w:eastAsia="Times New Roman" w:hint="default"/>
          <w:spacing w:val="-1"/>
        </w:rPr>
        <w:t>1</w:t>
      </w:r>
      <w:r>
        <w:rPr>
          <w:spacing w:val="-1"/>
        </w:rPr>
        <w:t>、本公司对十九楼网络股份有限公司的持股比例为</w:t>
      </w:r>
      <w:r>
        <w:rPr>
          <w:rFonts w:ascii="Times New Roman" w:hAnsi="Times New Roman" w:cs="Times New Roman" w:eastAsia="Times New Roman" w:hint="default"/>
          <w:spacing w:val="-1"/>
        </w:rPr>
        <w:t>19.95%</w:t>
      </w:r>
      <w:r>
        <w:rPr>
          <w:spacing w:val="-1"/>
        </w:rPr>
        <w:t>，且董事会成员中</w:t>
      </w:r>
      <w:r>
        <w:rPr>
          <w:rFonts w:ascii="Times New Roman" w:hAnsi="Times New Roman" w:cs="Times New Roman" w:eastAsia="Times New Roman" w:hint="default"/>
          <w:spacing w:val="-1"/>
        </w:rPr>
        <w:t>9</w:t>
      </w:r>
      <w:r>
        <w:rPr>
          <w:spacing w:val="-1"/>
        </w:rPr>
        <w:t>人，其中本公司派遣</w:t>
      </w:r>
      <w:r>
        <w:rPr>
          <w:rFonts w:ascii="Times New Roman" w:hAnsi="Times New Roman" w:cs="Times New Roman" w:eastAsia="Times New Roman" w:hint="default"/>
          <w:spacing w:val="-1"/>
        </w:rPr>
        <w:t>2</w:t>
      </w:r>
      <w:r>
        <w:rPr>
          <w:spacing w:val="-1"/>
        </w:rPr>
        <w:t>人，另外</w:t>
      </w:r>
      <w:r>
        <w:rPr>
          <w:rFonts w:ascii="Times New Roman" w:hAnsi="Times New Roman" w:cs="Times New Roman" w:eastAsia="Times New Roman" w:hint="default"/>
          <w:spacing w:val="-1"/>
        </w:rPr>
        <w:t>1</w:t>
      </w:r>
      <w:r>
        <w:rPr>
          <w:spacing w:val="-1"/>
        </w:rPr>
        <w:t>名</w:t>
      </w:r>
    </w:p>
    <w:p>
      <w:pPr>
        <w:pStyle w:val="BodyText"/>
        <w:spacing w:line="214" w:lineRule="exact"/>
        <w:ind w:right="0"/>
        <w:jc w:val="left"/>
      </w:pPr>
      <w:r>
        <w:rPr/>
        <w:t>监事、</w:t>
      </w:r>
      <w:r>
        <w:rPr>
          <w:rFonts w:ascii="Times New Roman" w:hAnsi="Times New Roman" w:cs="Times New Roman" w:eastAsia="Times New Roman" w:hint="default"/>
        </w:rPr>
        <w:t>1</w:t>
      </w:r>
      <w:r>
        <w:rPr/>
        <w:t>名监事会主席由本公司派遣，所以对其相关活动能够施加重大影响。</w:t>
      </w:r>
    </w:p>
    <w:p>
      <w:pPr>
        <w:pStyle w:val="BodyText"/>
        <w:spacing w:line="300" w:lineRule="auto" w:before="63"/>
        <w:ind w:right="140" w:firstLine="48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本公司对德清今日传媒有限公司持股比例为</w:t>
      </w:r>
      <w:r>
        <w:rPr>
          <w:rFonts w:ascii="Times New Roman" w:hAnsi="Times New Roman" w:cs="Times New Roman" w:eastAsia="Times New Roman" w:hint="default"/>
        </w:rPr>
        <w:t>50.00%</w:t>
      </w:r>
      <w:r>
        <w:rPr/>
        <w:t>，且董事会成员中</w:t>
      </w:r>
      <w:r>
        <w:rPr>
          <w:rFonts w:ascii="Times New Roman" w:hAnsi="Times New Roman" w:cs="Times New Roman" w:eastAsia="Times New Roman" w:hint="default"/>
        </w:rPr>
        <w:t>3</w:t>
      </w:r>
      <w:r>
        <w:rPr/>
        <w:t>人，其中本公司派遣</w:t>
      </w:r>
      <w:r>
        <w:rPr>
          <w:rFonts w:ascii="Times New Roman" w:hAnsi="Times New Roman" w:cs="Times New Roman" w:eastAsia="Times New Roman" w:hint="default"/>
        </w:rPr>
        <w:t>2</w:t>
      </w:r>
      <w:r>
        <w:rPr/>
        <w:t>人，总经理由对方公 司派遣，由于该公司重大经营决策需要股东双方共同同意，因此对德清今日传媒有限公司不构成控制。</w:t>
      </w:r>
    </w:p>
    <w:p>
      <w:pPr>
        <w:pStyle w:val="BodyText"/>
        <w:spacing w:line="240" w:lineRule="auto" w:before="72"/>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或以上表决权但不具有重大影响的依据：无</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13" w:space="0" w:color="D3D3D3"/>
              <w:bottom w:val="single" w:sz="4" w:space="0" w:color="000000"/>
              <w:right w:val="single" w:sz="4" w:space="0" w:color="000000"/>
            </w:tcBorders>
            <w:shd w:val="clear" w:color="auto" w:fill="E1FFFF"/>
          </w:tcPr>
          <w:p>
            <w:pPr>
              <w:pStyle w:val="TableParagraph"/>
              <w:spacing w:line="240" w:lineRule="auto" w:before="52"/>
              <w:ind w:left="691"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5,407,225.86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5,779,801.64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3,845,448.29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3,770,163.25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684,379.96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753,494.84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6,091,605.82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6,533,296.48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1,176,838.51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1,996,496.82</w:t>
            </w:r>
          </w:p>
        </w:tc>
      </w:tr>
    </w:tbl>
    <w:p>
      <w:pPr>
        <w:spacing w:after="0" w:line="240" w:lineRule="auto"/>
        <w:jc w:val="right"/>
        <w:rPr>
          <w:rFonts w:ascii="Times New Roman" w:hAnsi="Times New Roman" w:cs="Times New Roman" w:eastAsia="Times New Roman" w:hint="default"/>
          <w:sz w:val="18"/>
          <w:szCs w:val="18"/>
        </w:rPr>
        <w:sectPr>
          <w:footerReference w:type="default" r:id="rId47"/>
          <w:pgSz w:w="11910" w:h="16840"/>
          <w:pgMar w:footer="982" w:header="0" w:top="1100" w:bottom="1180" w:left="980" w:right="980"/>
          <w:pgNumType w:start="158"/>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1,176,838.51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1,996,496.82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4,914,767.31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4,536,799.66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2,457,383.66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2,268,399.83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2,553,245.78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2,364,261.95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3,945,034.95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9,092,943.87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-21,543.36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-14,441.39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84,148.77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272,019.09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377,967.65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115,319.32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377,967.65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115,319.32</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055"/>
        <w:gridCol w:w="1089"/>
        <w:gridCol w:w="1079"/>
        <w:gridCol w:w="1078"/>
        <w:gridCol w:w="1078"/>
        <w:gridCol w:w="1079"/>
        <w:gridCol w:w="1078"/>
        <w:gridCol w:w="1078"/>
        <w:gridCol w:w="1070"/>
      </w:tblGrid>
      <w:tr>
        <w:trPr>
          <w:trHeight w:val="402" w:hRule="exact"/>
        </w:trPr>
        <w:tc>
          <w:tcPr>
            <w:tcW w:w="10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40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22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72" w:hRule="exact"/>
        </w:trPr>
        <w:tc>
          <w:tcPr>
            <w:tcW w:w="105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9" w:type="dxa"/>
            <w:vMerge w:val="restart"/>
            <w:tcBorders>
              <w:top w:val="single" w:sz="4" w:space="0" w:color="000000"/>
              <w:left w:val="single" w:sz="9" w:space="0" w:color="D3D3D3"/>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8" w:right="83"/>
              <w:jc w:val="center"/>
              <w:rPr>
                <w:rFonts w:ascii="宋体" w:hAnsi="宋体" w:cs="宋体" w:eastAsia="宋体" w:hint="default"/>
                <w:sz w:val="18"/>
                <w:szCs w:val="18"/>
              </w:rPr>
            </w:pPr>
            <w:r>
              <w:rPr>
                <w:rFonts w:ascii="宋体" w:hAnsi="宋体" w:cs="宋体" w:eastAsia="宋体" w:hint="default"/>
                <w:sz w:val="18"/>
                <w:szCs w:val="18"/>
              </w:rPr>
              <w:t>十九楼网络 股份有限公 司</w:t>
            </w:r>
          </w:p>
        </w:tc>
        <w:tc>
          <w:tcPr>
            <w:tcW w:w="1079" w:type="dxa"/>
            <w:vMerge w:val="restart"/>
            <w:tcBorders>
              <w:top w:val="single" w:sz="4" w:space="0" w:color="000000"/>
              <w:left w:val="single" w:sz="4" w:space="0" w:color="000000"/>
              <w:right w:val="single" w:sz="4" w:space="0" w:color="000000"/>
            </w:tcBorders>
            <w:shd w:val="clear" w:color="auto" w:fill="E1FFFF"/>
          </w:tcPr>
          <w:p>
            <w:pPr>
              <w:pStyle w:val="TableParagraph"/>
              <w:spacing w:line="319" w:lineRule="auto" w:before="51"/>
              <w:ind w:left="85" w:right="83"/>
              <w:jc w:val="center"/>
              <w:rPr>
                <w:rFonts w:ascii="宋体" w:hAnsi="宋体" w:cs="宋体" w:eastAsia="宋体" w:hint="default"/>
                <w:sz w:val="18"/>
                <w:szCs w:val="18"/>
              </w:rPr>
            </w:pPr>
            <w:r>
              <w:rPr>
                <w:rFonts w:ascii="宋体" w:hAnsi="宋体" w:cs="宋体" w:eastAsia="宋体" w:hint="default"/>
                <w:sz w:val="18"/>
                <w:szCs w:val="18"/>
              </w:rPr>
              <w:t>杭州都快交 通久一点吧 传媒有限公 司</w:t>
            </w:r>
          </w:p>
        </w:tc>
        <w:tc>
          <w:tcPr>
            <w:tcW w:w="1078" w:type="dxa"/>
            <w:vMerge w:val="restart"/>
            <w:tcBorders>
              <w:top w:val="single" w:sz="4" w:space="0" w:color="000000"/>
              <w:left w:val="single" w:sz="4" w:space="0" w:color="000000"/>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0"/>
              <w:jc w:val="center"/>
              <w:rPr>
                <w:rFonts w:ascii="宋体" w:hAnsi="宋体" w:cs="宋体" w:eastAsia="宋体" w:hint="default"/>
                <w:sz w:val="18"/>
                <w:szCs w:val="18"/>
              </w:rPr>
            </w:pPr>
            <w:r>
              <w:rPr>
                <w:rFonts w:ascii="宋体" w:hAnsi="宋体" w:cs="宋体" w:eastAsia="宋体" w:hint="default"/>
                <w:sz w:val="18"/>
                <w:szCs w:val="18"/>
              </w:rPr>
              <w:t>快点文化传 </w:t>
            </w:r>
            <w:r>
              <w:rPr>
                <w:rFonts w:ascii="宋体" w:hAnsi="宋体" w:cs="宋体" w:eastAsia="宋体" w:hint="default"/>
                <w:spacing w:val="-10"/>
                <w:sz w:val="18"/>
                <w:szCs w:val="18"/>
              </w:rPr>
              <w:t>播（上海）有</w:t>
            </w:r>
            <w:r>
              <w:rPr>
                <w:rFonts w:ascii="宋体" w:hAnsi="宋体" w:cs="宋体" w:eastAsia="宋体" w:hint="default"/>
                <w:sz w:val="18"/>
                <w:szCs w:val="18"/>
              </w:rPr>
              <w:t> 限公司</w:t>
            </w:r>
          </w:p>
        </w:tc>
        <w:tc>
          <w:tcPr>
            <w:tcW w:w="1078" w:type="dxa"/>
            <w:vMerge w:val="restart"/>
            <w:tcBorders>
              <w:top w:val="single" w:sz="4" w:space="0" w:color="000000"/>
              <w:left w:val="single" w:sz="4" w:space="0" w:color="000000"/>
              <w:right w:val="single" w:sz="4" w:space="0" w:color="000000"/>
            </w:tcBorders>
            <w:shd w:val="clear" w:color="auto" w:fill="E1FFFF"/>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布朗睿智（北</w:t>
            </w:r>
            <w:r>
              <w:rPr>
                <w:rFonts w:ascii="宋体" w:hAnsi="宋体" w:cs="宋体" w:eastAsia="宋体" w:hint="default"/>
                <w:sz w:val="18"/>
                <w:szCs w:val="18"/>
              </w:rPr>
              <w:t> </w:t>
            </w:r>
            <w:r>
              <w:rPr>
                <w:rFonts w:ascii="宋体" w:hAnsi="宋体" w:cs="宋体" w:eastAsia="宋体" w:hint="default"/>
                <w:spacing w:val="-10"/>
                <w:sz w:val="18"/>
                <w:szCs w:val="18"/>
              </w:rPr>
              <w:t>京）国际教育</w:t>
            </w:r>
            <w:r>
              <w:rPr>
                <w:rFonts w:ascii="宋体" w:hAnsi="宋体" w:cs="宋体" w:eastAsia="宋体" w:hint="default"/>
                <w:sz w:val="18"/>
                <w:szCs w:val="18"/>
              </w:rPr>
              <w:t> 科技有限公 司</w:t>
            </w:r>
          </w:p>
        </w:tc>
        <w:tc>
          <w:tcPr>
            <w:tcW w:w="1079" w:type="dxa"/>
            <w:vMerge w:val="restart"/>
            <w:tcBorders>
              <w:top w:val="single" w:sz="4" w:space="0" w:color="000000"/>
              <w:left w:val="single" w:sz="4" w:space="0" w:color="000000"/>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0"/>
              <w:jc w:val="center"/>
              <w:rPr>
                <w:rFonts w:ascii="宋体" w:hAnsi="宋体" w:cs="宋体" w:eastAsia="宋体" w:hint="default"/>
                <w:sz w:val="18"/>
                <w:szCs w:val="18"/>
              </w:rPr>
            </w:pPr>
            <w:r>
              <w:rPr>
                <w:rFonts w:ascii="宋体" w:hAnsi="宋体" w:cs="宋体" w:eastAsia="宋体" w:hint="default"/>
                <w:spacing w:val="-10"/>
                <w:sz w:val="18"/>
                <w:szCs w:val="18"/>
              </w:rPr>
              <w:t>布朗时代（北</w:t>
            </w:r>
            <w:r>
              <w:rPr>
                <w:rFonts w:ascii="宋体" w:hAnsi="宋体" w:cs="宋体" w:eastAsia="宋体" w:hint="default"/>
                <w:sz w:val="18"/>
                <w:szCs w:val="18"/>
              </w:rPr>
              <w:t> </w:t>
            </w:r>
            <w:r>
              <w:rPr>
                <w:rFonts w:ascii="宋体" w:hAnsi="宋体" w:cs="宋体" w:eastAsia="宋体" w:hint="default"/>
                <w:spacing w:val="-10"/>
                <w:sz w:val="18"/>
                <w:szCs w:val="18"/>
              </w:rPr>
              <w:t>京）教育投资</w:t>
            </w:r>
            <w:r>
              <w:rPr>
                <w:rFonts w:ascii="宋体" w:hAnsi="宋体" w:cs="宋体" w:eastAsia="宋体" w:hint="default"/>
                <w:sz w:val="18"/>
                <w:szCs w:val="18"/>
              </w:rPr>
              <w:t> 有限公司</w:t>
            </w:r>
          </w:p>
        </w:tc>
        <w:tc>
          <w:tcPr>
            <w:tcW w:w="1078" w:type="dxa"/>
            <w:vMerge w:val="restart"/>
            <w:tcBorders>
              <w:top w:val="single" w:sz="4" w:space="0" w:color="000000"/>
              <w:left w:val="single" w:sz="4" w:space="0" w:color="000000"/>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3" w:right="83"/>
              <w:jc w:val="center"/>
              <w:rPr>
                <w:rFonts w:ascii="宋体" w:hAnsi="宋体" w:cs="宋体" w:eastAsia="宋体" w:hint="default"/>
                <w:sz w:val="18"/>
                <w:szCs w:val="18"/>
              </w:rPr>
            </w:pPr>
            <w:r>
              <w:rPr>
                <w:rFonts w:ascii="宋体" w:hAnsi="宋体" w:cs="宋体" w:eastAsia="宋体" w:hint="default"/>
                <w:sz w:val="18"/>
                <w:szCs w:val="18"/>
              </w:rPr>
              <w:t>十九楼网络 股份有限公 司</w:t>
            </w:r>
          </w:p>
        </w:tc>
        <w:tc>
          <w:tcPr>
            <w:tcW w:w="1078" w:type="dxa"/>
            <w:vMerge w:val="restart"/>
            <w:tcBorders>
              <w:top w:val="single" w:sz="4" w:space="0" w:color="000000"/>
              <w:left w:val="single" w:sz="4" w:space="0" w:color="000000"/>
              <w:right w:val="single" w:sz="4" w:space="0" w:color="000000"/>
            </w:tcBorders>
            <w:shd w:val="clear" w:color="auto" w:fill="E1FFFF"/>
          </w:tcPr>
          <w:p>
            <w:pPr>
              <w:pStyle w:val="TableParagraph"/>
              <w:spacing w:line="319" w:lineRule="auto" w:before="51"/>
              <w:ind w:left="84" w:right="83"/>
              <w:jc w:val="center"/>
              <w:rPr>
                <w:rFonts w:ascii="宋体" w:hAnsi="宋体" w:cs="宋体" w:eastAsia="宋体" w:hint="default"/>
                <w:sz w:val="18"/>
                <w:szCs w:val="18"/>
              </w:rPr>
            </w:pPr>
            <w:r>
              <w:rPr>
                <w:rFonts w:ascii="宋体" w:hAnsi="宋体" w:cs="宋体" w:eastAsia="宋体" w:hint="default"/>
                <w:sz w:val="18"/>
                <w:szCs w:val="18"/>
              </w:rPr>
              <w:t>杭州都快交 通久一点吧 传媒有限公 司</w:t>
            </w:r>
          </w:p>
        </w:tc>
        <w:tc>
          <w:tcPr>
            <w:tcW w:w="1070" w:type="dxa"/>
            <w:vMerge w:val="restart"/>
            <w:tcBorders>
              <w:top w:val="single" w:sz="4" w:space="0" w:color="000000"/>
              <w:left w:val="single" w:sz="4" w:space="0" w:color="000000"/>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0" w:right="78"/>
              <w:jc w:val="both"/>
              <w:rPr>
                <w:rFonts w:ascii="宋体" w:hAnsi="宋体" w:cs="宋体" w:eastAsia="宋体" w:hint="default"/>
                <w:sz w:val="18"/>
                <w:szCs w:val="18"/>
              </w:rPr>
            </w:pPr>
            <w:r>
              <w:rPr>
                <w:rFonts w:ascii="宋体" w:hAnsi="宋体" w:cs="宋体" w:eastAsia="宋体" w:hint="default"/>
                <w:sz w:val="18"/>
                <w:szCs w:val="18"/>
              </w:rPr>
              <w:t>北京精典博 维文化传媒 有限公司</w:t>
            </w:r>
          </w:p>
        </w:tc>
      </w:tr>
      <w:tr>
        <w:trPr>
          <w:trHeight w:val="393" w:hRule="exact"/>
        </w:trPr>
        <w:tc>
          <w:tcPr>
            <w:tcW w:w="1055" w:type="dxa"/>
            <w:tcBorders>
              <w:top w:val="nil" w:sz="6" w:space="0" w:color="auto"/>
              <w:left w:val="single" w:sz="4" w:space="0" w:color="000000"/>
              <w:bottom w:val="nil" w:sz="6" w:space="0" w:color="auto"/>
              <w:right w:val="single" w:sz="4" w:space="0" w:color="000000"/>
            </w:tcBorders>
            <w:shd w:val="clear" w:color="auto" w:fill="D3D3D3"/>
          </w:tcPr>
          <w:p>
            <w:pPr/>
          </w:p>
        </w:tc>
        <w:tc>
          <w:tcPr>
            <w:tcW w:w="1089" w:type="dxa"/>
            <w:vMerge/>
            <w:tcBorders>
              <w:left w:val="single" w:sz="9" w:space="0" w:color="D3D3D3"/>
              <w:right w:val="single" w:sz="4" w:space="0" w:color="000000"/>
            </w:tcBorders>
            <w:shd w:val="clear" w:color="auto" w:fill="E1FFFF"/>
          </w:tcPr>
          <w:p>
            <w:pPr/>
          </w:p>
        </w:tc>
        <w:tc>
          <w:tcPr>
            <w:tcW w:w="1079" w:type="dxa"/>
            <w:vMerge/>
            <w:tcBorders>
              <w:left w:val="single" w:sz="4" w:space="0" w:color="000000"/>
              <w:right w:val="single" w:sz="4" w:space="0" w:color="000000"/>
            </w:tcBorders>
            <w:shd w:val="clear" w:color="auto" w:fill="E1FFFF"/>
          </w:tcPr>
          <w:p>
            <w:pPr/>
          </w:p>
        </w:tc>
        <w:tc>
          <w:tcPr>
            <w:tcW w:w="1078" w:type="dxa"/>
            <w:vMerge/>
            <w:tcBorders>
              <w:left w:val="single" w:sz="4" w:space="0" w:color="000000"/>
              <w:right w:val="single" w:sz="4" w:space="0" w:color="000000"/>
            </w:tcBorders>
            <w:shd w:val="clear" w:color="auto" w:fill="E1FFFF"/>
          </w:tcPr>
          <w:p>
            <w:pPr/>
          </w:p>
        </w:tc>
        <w:tc>
          <w:tcPr>
            <w:tcW w:w="1078" w:type="dxa"/>
            <w:vMerge/>
            <w:tcBorders>
              <w:left w:val="single" w:sz="4" w:space="0" w:color="000000"/>
              <w:right w:val="single" w:sz="4" w:space="0" w:color="000000"/>
            </w:tcBorders>
            <w:shd w:val="clear" w:color="auto" w:fill="E1FFFF"/>
          </w:tcPr>
          <w:p>
            <w:pPr/>
          </w:p>
        </w:tc>
        <w:tc>
          <w:tcPr>
            <w:tcW w:w="1079" w:type="dxa"/>
            <w:vMerge/>
            <w:tcBorders>
              <w:left w:val="single" w:sz="4" w:space="0" w:color="000000"/>
              <w:right w:val="single" w:sz="4" w:space="0" w:color="000000"/>
            </w:tcBorders>
            <w:shd w:val="clear" w:color="auto" w:fill="E1FFFF"/>
          </w:tcPr>
          <w:p>
            <w:pPr/>
          </w:p>
        </w:tc>
        <w:tc>
          <w:tcPr>
            <w:tcW w:w="1078" w:type="dxa"/>
            <w:vMerge/>
            <w:tcBorders>
              <w:left w:val="single" w:sz="4" w:space="0" w:color="000000"/>
              <w:right w:val="single" w:sz="4" w:space="0" w:color="000000"/>
            </w:tcBorders>
            <w:shd w:val="clear" w:color="auto" w:fill="E1FFFF"/>
          </w:tcPr>
          <w:p>
            <w:pPr/>
          </w:p>
        </w:tc>
        <w:tc>
          <w:tcPr>
            <w:tcW w:w="1078" w:type="dxa"/>
            <w:vMerge/>
            <w:tcBorders>
              <w:left w:val="single" w:sz="4" w:space="0" w:color="000000"/>
              <w:right w:val="single" w:sz="4" w:space="0" w:color="000000"/>
            </w:tcBorders>
            <w:shd w:val="clear" w:color="auto" w:fill="E1FFFF"/>
          </w:tcPr>
          <w:p>
            <w:pPr/>
          </w:p>
        </w:tc>
        <w:tc>
          <w:tcPr>
            <w:tcW w:w="1070" w:type="dxa"/>
            <w:vMerge/>
            <w:tcBorders>
              <w:left w:val="single" w:sz="4" w:space="0" w:color="000000"/>
              <w:right w:val="single" w:sz="4" w:space="0" w:color="000000"/>
            </w:tcBorders>
            <w:shd w:val="clear" w:color="auto" w:fill="E1FFFF"/>
          </w:tcPr>
          <w:p>
            <w:pPr/>
          </w:p>
        </w:tc>
      </w:tr>
      <w:tr>
        <w:trPr>
          <w:trHeight w:val="472" w:hRule="exact"/>
        </w:trPr>
        <w:tc>
          <w:tcPr>
            <w:tcW w:w="105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9" w:type="dxa"/>
            <w:vMerge/>
            <w:tcBorders>
              <w:left w:val="single" w:sz="9" w:space="0" w:color="D3D3D3"/>
              <w:bottom w:val="single" w:sz="4" w:space="0" w:color="000000"/>
              <w:right w:val="single" w:sz="4" w:space="0" w:color="000000"/>
            </w:tcBorders>
            <w:shd w:val="clear" w:color="auto" w:fill="E1FFFF"/>
          </w:tcPr>
          <w:p>
            <w:pPr/>
          </w:p>
        </w:tc>
        <w:tc>
          <w:tcPr>
            <w:tcW w:w="1079" w:type="dxa"/>
            <w:vMerge/>
            <w:tcBorders>
              <w:left w:val="single" w:sz="4" w:space="0" w:color="000000"/>
              <w:bottom w:val="single" w:sz="4" w:space="0" w:color="000000"/>
              <w:right w:val="single" w:sz="4" w:space="0" w:color="000000"/>
            </w:tcBorders>
            <w:shd w:val="clear" w:color="auto" w:fill="E1FFFF"/>
          </w:tcPr>
          <w:p>
            <w:pPr/>
          </w:p>
        </w:tc>
        <w:tc>
          <w:tcPr>
            <w:tcW w:w="1078" w:type="dxa"/>
            <w:vMerge/>
            <w:tcBorders>
              <w:left w:val="single" w:sz="4" w:space="0" w:color="000000"/>
              <w:bottom w:val="single" w:sz="4" w:space="0" w:color="000000"/>
              <w:right w:val="single" w:sz="4" w:space="0" w:color="000000"/>
            </w:tcBorders>
            <w:shd w:val="clear" w:color="auto" w:fill="E1FFFF"/>
          </w:tcPr>
          <w:p>
            <w:pPr/>
          </w:p>
        </w:tc>
        <w:tc>
          <w:tcPr>
            <w:tcW w:w="1078" w:type="dxa"/>
            <w:vMerge/>
            <w:tcBorders>
              <w:left w:val="single" w:sz="4" w:space="0" w:color="000000"/>
              <w:bottom w:val="single" w:sz="4" w:space="0" w:color="000000"/>
              <w:right w:val="single" w:sz="4" w:space="0" w:color="000000"/>
            </w:tcBorders>
            <w:shd w:val="clear" w:color="auto" w:fill="E1FFFF"/>
          </w:tcPr>
          <w:p>
            <w:pPr/>
          </w:p>
        </w:tc>
        <w:tc>
          <w:tcPr>
            <w:tcW w:w="1079" w:type="dxa"/>
            <w:vMerge/>
            <w:tcBorders>
              <w:left w:val="single" w:sz="4" w:space="0" w:color="000000"/>
              <w:bottom w:val="single" w:sz="4" w:space="0" w:color="000000"/>
              <w:right w:val="single" w:sz="4" w:space="0" w:color="000000"/>
            </w:tcBorders>
            <w:shd w:val="clear" w:color="auto" w:fill="E1FFFF"/>
          </w:tcPr>
          <w:p>
            <w:pPr/>
          </w:p>
        </w:tc>
        <w:tc>
          <w:tcPr>
            <w:tcW w:w="1078" w:type="dxa"/>
            <w:vMerge/>
            <w:tcBorders>
              <w:left w:val="single" w:sz="4" w:space="0" w:color="000000"/>
              <w:bottom w:val="single" w:sz="4" w:space="0" w:color="000000"/>
              <w:right w:val="single" w:sz="4" w:space="0" w:color="000000"/>
            </w:tcBorders>
            <w:shd w:val="clear" w:color="auto" w:fill="E1FFFF"/>
          </w:tcPr>
          <w:p>
            <w:pPr/>
          </w:p>
        </w:tc>
        <w:tc>
          <w:tcPr>
            <w:tcW w:w="1078" w:type="dxa"/>
            <w:vMerge/>
            <w:tcBorders>
              <w:left w:val="single" w:sz="4" w:space="0" w:color="000000"/>
              <w:bottom w:val="single" w:sz="4" w:space="0" w:color="000000"/>
              <w:right w:val="single" w:sz="4" w:space="0" w:color="000000"/>
            </w:tcBorders>
            <w:shd w:val="clear" w:color="auto" w:fill="E1FFFF"/>
          </w:tcPr>
          <w:p>
            <w:pPr/>
          </w:p>
        </w:tc>
        <w:tc>
          <w:tcPr>
            <w:tcW w:w="1070" w:type="dxa"/>
            <w:vMerge/>
            <w:tcBorders>
              <w:left w:val="single" w:sz="4" w:space="0" w:color="000000"/>
              <w:bottom w:val="single" w:sz="4" w:space="0" w:color="000000"/>
              <w:right w:val="single" w:sz="4" w:space="0" w:color="000000"/>
            </w:tcBorders>
            <w:shd w:val="clear" w:color="auto" w:fill="E1FFFF"/>
          </w:tcPr>
          <w:p>
            <w:pPr/>
          </w:p>
        </w:tc>
      </w:tr>
      <w:tr>
        <w:trPr>
          <w:trHeight w:val="402" w:hRule="exact"/>
        </w:trPr>
        <w:tc>
          <w:tcPr>
            <w:tcW w:w="1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215,673,596.13</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109,041,913.96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178,258,512.09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47,473,488.90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54,563,586.19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center"/>
              <w:rPr>
                <w:rFonts w:ascii="Times New Roman" w:hAnsi="Times New Roman" w:cs="Times New Roman" w:eastAsia="Times New Roman" w:hint="default"/>
                <w:sz w:val="16"/>
                <w:szCs w:val="16"/>
              </w:rPr>
            </w:pPr>
            <w:r>
              <w:rPr>
                <w:rFonts w:ascii="Times New Roman"/>
                <w:sz w:val="16"/>
              </w:rPr>
              <w:t>222,580,522.29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102,306,837.69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6" w:right="0"/>
              <w:jc w:val="center"/>
              <w:rPr>
                <w:rFonts w:ascii="Times New Roman" w:hAnsi="Times New Roman" w:cs="Times New Roman" w:eastAsia="Times New Roman" w:hint="default"/>
                <w:sz w:val="16"/>
                <w:szCs w:val="16"/>
              </w:rPr>
            </w:pPr>
            <w:r>
              <w:rPr>
                <w:rFonts w:ascii="Times New Roman"/>
                <w:sz w:val="16"/>
              </w:rPr>
              <w:t>82,047,938.54</w:t>
            </w:r>
          </w:p>
        </w:tc>
      </w:tr>
      <w:tr>
        <w:trPr>
          <w:trHeight w:val="402" w:hRule="exact"/>
        </w:trPr>
        <w:tc>
          <w:tcPr>
            <w:tcW w:w="1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0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21,634,927.99</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19,075.22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1,710,656.39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13,904,399.76</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13,332,333.02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Times New Roman" w:hAnsi="Times New Roman" w:cs="Times New Roman" w:eastAsia="Times New Roman" w:hint="default"/>
                <w:sz w:val="16"/>
                <w:szCs w:val="16"/>
              </w:rPr>
            </w:pPr>
            <w:r>
              <w:rPr>
                <w:rFonts w:ascii="Times New Roman"/>
                <w:sz w:val="16"/>
              </w:rPr>
              <w:t>18,736,530.27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27,830.51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6" w:right="0"/>
              <w:jc w:val="center"/>
              <w:rPr>
                <w:rFonts w:ascii="Times New Roman" w:hAnsi="Times New Roman" w:cs="Times New Roman" w:eastAsia="Times New Roman" w:hint="default"/>
                <w:sz w:val="16"/>
                <w:szCs w:val="16"/>
              </w:rPr>
            </w:pPr>
            <w:r>
              <w:rPr>
                <w:rFonts w:ascii="Times New Roman"/>
                <w:sz w:val="16"/>
              </w:rPr>
              <w:t>50,017,136.60</w:t>
            </w:r>
          </w:p>
        </w:tc>
      </w:tr>
      <w:tr>
        <w:trPr>
          <w:trHeight w:val="402" w:hRule="exact"/>
        </w:trPr>
        <w:tc>
          <w:tcPr>
            <w:tcW w:w="1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237,308,524.12</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109,060,989.18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179,969,168.48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61,377,888.66</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67,895,919.21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center"/>
              <w:rPr>
                <w:rFonts w:ascii="Times New Roman" w:hAnsi="Times New Roman" w:cs="Times New Roman" w:eastAsia="Times New Roman" w:hint="default"/>
                <w:sz w:val="16"/>
                <w:szCs w:val="16"/>
              </w:rPr>
            </w:pPr>
            <w:r>
              <w:rPr>
                <w:rFonts w:ascii="Times New Roman"/>
                <w:sz w:val="16"/>
              </w:rPr>
              <w:t>241,317,052.56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102,334,668.20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 w:right="0"/>
              <w:jc w:val="center"/>
              <w:rPr>
                <w:rFonts w:ascii="Times New Roman" w:hAnsi="Times New Roman" w:cs="Times New Roman" w:eastAsia="Times New Roman" w:hint="default"/>
                <w:sz w:val="16"/>
                <w:szCs w:val="16"/>
              </w:rPr>
            </w:pPr>
            <w:r>
              <w:rPr>
                <w:rFonts w:ascii="Times New Roman"/>
                <w:sz w:val="16"/>
              </w:rPr>
              <w:t>132,065,075.14</w:t>
            </w:r>
          </w:p>
        </w:tc>
      </w:tr>
      <w:tr>
        <w:trPr>
          <w:trHeight w:val="402" w:hRule="exact"/>
        </w:trPr>
        <w:tc>
          <w:tcPr>
            <w:tcW w:w="1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50,099,530.96</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8,349,320.83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23,428,193.21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4,315,831.73</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52,420,910.14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Times New Roman" w:hAnsi="Times New Roman" w:cs="Times New Roman" w:eastAsia="Times New Roman" w:hint="default"/>
                <w:sz w:val="16"/>
                <w:szCs w:val="16"/>
              </w:rPr>
            </w:pPr>
            <w:r>
              <w:rPr>
                <w:rFonts w:ascii="Times New Roman"/>
                <w:sz w:val="16"/>
              </w:rPr>
              <w:t>39,800,843.49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6,201,059.43</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6" w:right="0"/>
              <w:jc w:val="center"/>
              <w:rPr>
                <w:rFonts w:ascii="Times New Roman" w:hAnsi="Times New Roman" w:cs="Times New Roman" w:eastAsia="Times New Roman" w:hint="default"/>
                <w:sz w:val="16"/>
                <w:szCs w:val="16"/>
              </w:rPr>
            </w:pPr>
            <w:r>
              <w:rPr>
                <w:rFonts w:ascii="Times New Roman"/>
                <w:sz w:val="16"/>
              </w:rPr>
              <w:t>48,491,468.63</w:t>
            </w:r>
          </w:p>
        </w:tc>
      </w:tr>
      <w:tr>
        <w:trPr>
          <w:trHeight w:val="402" w:hRule="exact"/>
        </w:trPr>
        <w:tc>
          <w:tcPr>
            <w:tcW w:w="1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89" w:type="dxa"/>
            <w:tcBorders>
              <w:top w:val="single" w:sz="4" w:space="0" w:color="000000"/>
              <w:left w:val="single" w:sz="13" w:space="0" w:color="D3D3D3"/>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1,214,288.18</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0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50,099,530.96</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8,349,320.83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23,428,193.21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4,315,831.73</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53,635,198.32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Times New Roman" w:hAnsi="Times New Roman" w:cs="Times New Roman" w:eastAsia="Times New Roman" w:hint="default"/>
                <w:sz w:val="16"/>
                <w:szCs w:val="16"/>
              </w:rPr>
            </w:pPr>
            <w:r>
              <w:rPr>
                <w:rFonts w:ascii="Times New Roman"/>
                <w:sz w:val="16"/>
              </w:rPr>
              <w:t>39,800,843.49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6,201,059.43</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6" w:right="0"/>
              <w:jc w:val="center"/>
              <w:rPr>
                <w:rFonts w:ascii="Times New Roman" w:hAnsi="Times New Roman" w:cs="Times New Roman" w:eastAsia="Times New Roman" w:hint="default"/>
                <w:sz w:val="16"/>
                <w:szCs w:val="16"/>
              </w:rPr>
            </w:pPr>
            <w:r>
              <w:rPr>
                <w:rFonts w:ascii="Times New Roman"/>
                <w:sz w:val="16"/>
              </w:rPr>
              <w:t>48,491,468.63</w:t>
            </w:r>
          </w:p>
        </w:tc>
      </w:tr>
      <w:tr>
        <w:trPr>
          <w:trHeight w:val="714" w:hRule="exact"/>
        </w:trPr>
        <w:tc>
          <w:tcPr>
            <w:tcW w:w="1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31"/>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0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5,779,800.26</w:t>
            </w:r>
          </w:p>
        </w:tc>
        <w:tc>
          <w:tcPr>
            <w:tcW w:w="107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2,182,341.52</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83" w:right="0"/>
              <w:jc w:val="center"/>
              <w:rPr>
                <w:rFonts w:ascii="Times New Roman" w:hAnsi="Times New Roman" w:cs="Times New Roman" w:eastAsia="Times New Roman" w:hint="default"/>
                <w:sz w:val="16"/>
                <w:szCs w:val="16"/>
              </w:rPr>
            </w:pPr>
            <w:r>
              <w:rPr>
                <w:rFonts w:ascii="Times New Roman"/>
                <w:sz w:val="16"/>
              </w:rPr>
              <w:t>3,815,238.64</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31"/>
              <w:jc w:val="left"/>
              <w:rPr>
                <w:rFonts w:ascii="宋体" w:hAnsi="宋体" w:cs="宋体" w:eastAsia="宋体" w:hint="default"/>
                <w:sz w:val="18"/>
                <w:szCs w:val="18"/>
              </w:rPr>
            </w:pPr>
            <w:r>
              <w:rPr>
                <w:rFonts w:ascii="宋体" w:hAnsi="宋体" w:cs="宋体" w:eastAsia="宋体" w:hint="default"/>
                <w:sz w:val="18"/>
                <w:szCs w:val="18"/>
              </w:rPr>
              <w:t>归属于母公 司股东权益</w:t>
            </w:r>
          </w:p>
        </w:tc>
        <w:tc>
          <w:tcPr>
            <w:tcW w:w="10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181,429,192.90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100,711,668.35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154,358,633.75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57,062,056.93</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14,260,720.89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6"/>
                <w:szCs w:val="16"/>
              </w:rPr>
            </w:pPr>
            <w:r>
              <w:rPr>
                <w:rFonts w:ascii="Times New Roman"/>
                <w:sz w:val="16"/>
              </w:rPr>
              <w:t>197,700,970.43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96,133,608.77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6" w:right="0"/>
              <w:jc w:val="center"/>
              <w:rPr>
                <w:rFonts w:ascii="Times New Roman" w:hAnsi="Times New Roman" w:cs="Times New Roman" w:eastAsia="Times New Roman" w:hint="default"/>
                <w:sz w:val="16"/>
                <w:szCs w:val="16"/>
              </w:rPr>
            </w:pPr>
            <w:r>
              <w:rPr>
                <w:rFonts w:ascii="Times New Roman"/>
                <w:sz w:val="16"/>
              </w:rPr>
              <w:t>83,573,606.51</w:t>
            </w:r>
          </w:p>
        </w:tc>
      </w:tr>
      <w:tr>
        <w:trPr>
          <w:trHeight w:val="1026" w:hRule="exact"/>
        </w:trPr>
        <w:tc>
          <w:tcPr>
            <w:tcW w:w="1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31"/>
              <w:jc w:val="both"/>
              <w:rPr>
                <w:rFonts w:ascii="宋体" w:hAnsi="宋体" w:cs="宋体" w:eastAsia="宋体" w:hint="default"/>
                <w:sz w:val="18"/>
                <w:szCs w:val="18"/>
              </w:rPr>
            </w:pPr>
            <w:r>
              <w:rPr>
                <w:rFonts w:ascii="宋体" w:hAnsi="宋体" w:cs="宋体" w:eastAsia="宋体" w:hint="default"/>
                <w:sz w:val="18"/>
                <w:szCs w:val="18"/>
              </w:rPr>
              <w:t>按持股比例 计算的净资 产份额</w:t>
            </w:r>
          </w:p>
        </w:tc>
        <w:tc>
          <w:tcPr>
            <w:tcW w:w="10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36,195,123.98</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45,320,250.76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60,199,867.16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17,118,617.08</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4,278,216.27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center"/>
              <w:rPr>
                <w:rFonts w:ascii="Times New Roman" w:hAnsi="Times New Roman" w:cs="Times New Roman" w:eastAsia="Times New Roman" w:hint="default"/>
                <w:sz w:val="16"/>
                <w:szCs w:val="16"/>
              </w:rPr>
            </w:pPr>
            <w:r>
              <w:rPr>
                <w:rFonts w:ascii="Times New Roman"/>
                <w:sz w:val="16"/>
              </w:rPr>
              <w:t>39,441,343.60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43,260,123.95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6" w:right="0"/>
              <w:jc w:val="center"/>
              <w:rPr>
                <w:rFonts w:ascii="Times New Roman" w:hAnsi="Times New Roman" w:cs="Times New Roman" w:eastAsia="Times New Roman" w:hint="default"/>
                <w:sz w:val="16"/>
                <w:szCs w:val="16"/>
              </w:rPr>
            </w:pPr>
            <w:r>
              <w:rPr>
                <w:rFonts w:ascii="Times New Roman"/>
                <w:sz w:val="16"/>
              </w:rPr>
              <w:t>29,250,762.28</w:t>
            </w:r>
          </w:p>
        </w:tc>
      </w:tr>
      <w:tr>
        <w:trPr>
          <w:trHeight w:val="714" w:hRule="exact"/>
        </w:trPr>
        <w:tc>
          <w:tcPr>
            <w:tcW w:w="1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 实现利润</w:t>
            </w:r>
          </w:p>
        </w:tc>
        <w:tc>
          <w:tcPr>
            <w:tcW w:w="1089" w:type="dxa"/>
            <w:tcBorders>
              <w:top w:val="single" w:sz="4" w:space="0" w:color="000000"/>
              <w:left w:val="single" w:sz="13" w:space="0" w:color="D3D3D3"/>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281,302.51</w:t>
            </w:r>
          </w:p>
        </w:tc>
        <w:tc>
          <w:tcPr>
            <w:tcW w:w="107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31"/>
              <w:jc w:val="both"/>
              <w:rPr>
                <w:rFonts w:ascii="宋体" w:hAnsi="宋体" w:cs="宋体" w:eastAsia="宋体" w:hint="default"/>
                <w:sz w:val="18"/>
                <w:szCs w:val="18"/>
              </w:rPr>
            </w:pPr>
            <w:r>
              <w:rPr>
                <w:rFonts w:ascii="宋体" w:hAnsi="宋体" w:cs="宋体" w:eastAsia="宋体" w:hint="default"/>
                <w:sz w:val="18"/>
                <w:szCs w:val="18"/>
              </w:rPr>
              <w:t>对联营企业 权益投资的 账面价值</w:t>
            </w:r>
          </w:p>
        </w:tc>
        <w:tc>
          <w:tcPr>
            <w:tcW w:w="10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36,275,869.03</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42,225,471.35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207,252,201.00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109,110,864.36</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47,579,373.31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center"/>
              <w:rPr>
                <w:rFonts w:ascii="Times New Roman" w:hAnsi="Times New Roman" w:cs="Times New Roman" w:eastAsia="Times New Roman" w:hint="default"/>
                <w:sz w:val="16"/>
                <w:szCs w:val="16"/>
              </w:rPr>
            </w:pPr>
            <w:r>
              <w:rPr>
                <w:rFonts w:ascii="Times New Roman"/>
                <w:sz w:val="16"/>
              </w:rPr>
              <w:t>39,323,101.20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40,165,344.54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center"/>
              <w:rPr>
                <w:rFonts w:ascii="Times New Roman" w:hAnsi="Times New Roman" w:cs="Times New Roman" w:eastAsia="Times New Roman" w:hint="default"/>
                <w:sz w:val="16"/>
                <w:szCs w:val="16"/>
              </w:rPr>
            </w:pPr>
            <w:r>
              <w:rPr>
                <w:rFonts w:ascii="Times New Roman"/>
                <w:sz w:val="16"/>
              </w:rPr>
              <w:t>129,182,104.43</w:t>
            </w:r>
          </w:p>
        </w:tc>
      </w:tr>
    </w:tbl>
    <w:p>
      <w:pPr>
        <w:spacing w:after="0" w:line="240" w:lineRule="auto"/>
        <w:jc w:val="center"/>
        <w:rPr>
          <w:rFonts w:ascii="Times New Roman" w:hAnsi="Times New Roman" w:cs="Times New Roman" w:eastAsia="Times New Roman" w:hint="default"/>
          <w:sz w:val="16"/>
          <w:szCs w:val="16"/>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078"/>
        <w:gridCol w:w="1078"/>
        <w:gridCol w:w="1079"/>
        <w:gridCol w:w="1078"/>
        <w:gridCol w:w="1078"/>
        <w:gridCol w:w="1079"/>
        <w:gridCol w:w="1078"/>
        <w:gridCol w:w="1078"/>
        <w:gridCol w:w="1070"/>
      </w:tblGrid>
      <w:tr>
        <w:trPr>
          <w:trHeight w:val="402" w:hRule="exact"/>
        </w:trPr>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127,404,235.69</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92,028,034.08</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27,348,207.87</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79,026,639.67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2"/>
                <w:sz w:val="16"/>
              </w:rPr>
              <w:t>111,969,215.51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96,441,872.50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78,630,106.36</w:t>
            </w:r>
          </w:p>
        </w:tc>
      </w:tr>
      <w:tr>
        <w:trPr>
          <w:trHeight w:val="402" w:hRule="exact"/>
        </w:trPr>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7,102,618.15</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22,778,059.58</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14,218,850.36</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8,363,244.38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9,444,164.22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30,814,969.75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6"/>
                <w:szCs w:val="16"/>
              </w:rPr>
            </w:pPr>
            <w:r>
              <w:rPr>
                <w:rFonts w:ascii="Times New Roman"/>
                <w:spacing w:val="-1"/>
                <w:sz w:val="16"/>
              </w:rPr>
              <w:t>34,478,156.13</w:t>
            </w:r>
          </w:p>
        </w:tc>
      </w:tr>
      <w:tr>
        <w:trPr>
          <w:trHeight w:val="714" w:hRule="exact"/>
        </w:trPr>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7,102,618.15</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22,778,059.58</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14,218,850.36</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8,363,244.38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9,444,164.22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30,814,969.75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34,478,156.13</w:t>
            </w:r>
          </w:p>
        </w:tc>
      </w:tr>
      <w:tr>
        <w:trPr>
          <w:trHeight w:val="1026" w:hRule="exact"/>
        </w:trPr>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jc w:val="both"/>
              <w:rPr>
                <w:rFonts w:ascii="宋体" w:hAnsi="宋体" w:cs="宋体" w:eastAsia="宋体" w:hint="default"/>
                <w:sz w:val="18"/>
                <w:szCs w:val="18"/>
              </w:rPr>
            </w:pPr>
            <w:r>
              <w:rPr>
                <w:rFonts w:ascii="宋体" w:hAnsi="宋体" w:cs="宋体" w:eastAsia="宋体" w:hint="default"/>
                <w:sz w:val="18"/>
                <w:szCs w:val="18"/>
              </w:rPr>
              <w:t>本年度收到 的来自联营 企业的股利</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4,189,500.00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8,190,000.00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8,190,000.00</w:t>
            </w:r>
          </w:p>
        </w:tc>
        <w:tc>
          <w:tcPr>
            <w:tcW w:w="107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6"/>
        <w:gridCol w:w="3075"/>
        <w:gridCol w:w="3186"/>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88,357,448.84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144,357,034.42</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201,616.28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578,481.81</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2,190,121.44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2,391,737.72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578,481.81</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after="0" w:line="240" w:lineRule="auto"/>
        <w:jc w:val="left"/>
        <w:sectPr>
          <w:pgSz w:w="11910" w:h="16840"/>
          <w:pgMar w:header="0" w:footer="982" w:top="1100" w:bottom="1180" w:left="980" w:right="980"/>
        </w:sectPr>
      </w:pPr>
    </w:p>
    <w:p>
      <w:pPr>
        <w:spacing w:line="240" w:lineRule="auto" w:before="9"/>
        <w:rPr>
          <w:rFonts w:ascii="宋体" w:hAnsi="宋体" w:cs="宋体" w:eastAsia="宋体" w:hint="default"/>
          <w:b/>
          <w:bCs/>
          <w:sz w:val="20"/>
          <w:szCs w:val="20"/>
        </w:rPr>
      </w:pPr>
    </w:p>
    <w:p>
      <w:pPr>
        <w:pStyle w:val="Heading3"/>
        <w:spacing w:line="240" w:lineRule="auto" w:before="35"/>
        <w:ind w:right="0"/>
        <w:jc w:val="both"/>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未纳入合并财务报表范围的结构化主体的相关说明：无</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both"/>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3" w:right="151" w:firstLine="480"/>
        <w:jc w:val="both"/>
      </w:pPr>
      <w:r>
        <w:rPr>
          <w:spacing w:val="-1"/>
        </w:rPr>
        <w:t>本公司的主要金融工具包括股权投资、借款、应收账款、应付账款等，各项金融工具的详细情况说明见本附注六相关</w:t>
      </w:r>
      <w:r>
        <w:rPr/>
        <w:t> </w:t>
      </w:r>
      <w:r>
        <w:rPr>
          <w:spacing w:val="-2"/>
        </w:rPr>
        <w:t>项目。与这些金融工具有关的风险，以及本公司为降低这些风险所采取的风险管理政策如下所述。本公司管理层对这些风险</w:t>
      </w:r>
      <w:r>
        <w:rPr>
          <w:spacing w:val="-66"/>
        </w:rPr>
        <w:t> </w:t>
      </w:r>
      <w:r>
        <w:rPr>
          <w:spacing w:val="-66"/>
        </w:rPr>
      </w:r>
      <w:r>
        <w:rPr/>
        <w:t>敞口进行管理和监控以确保将上述风险控制在限定的范围之内。</w:t>
      </w:r>
    </w:p>
    <w:p>
      <w:pPr>
        <w:pStyle w:val="BodyText"/>
        <w:spacing w:line="316" w:lineRule="auto" w:before="19"/>
        <w:ind w:left="153" w:right="151" w:firstLine="480"/>
        <w:jc w:val="both"/>
      </w:pPr>
      <w:r>
        <w:rPr>
          <w:spacing w:val="-1"/>
        </w:rPr>
        <w:t>本公司采用敏感性分析技术分析风险变量的合理、可能变化对当期损益或股东权益可能产生的影响。由于任何风险变</w:t>
      </w:r>
      <w:r>
        <w:rPr/>
        <w:t> </w:t>
      </w:r>
      <w:r>
        <w:rPr>
          <w:spacing w:val="-2"/>
        </w:rPr>
        <w:t>量很少孤立地发生变化，而变量之间存在的相关性对某一风险变量的变化的最终影响金额将产生重大作用，因此下述内容是</w:t>
      </w:r>
      <w:r>
        <w:rPr>
          <w:spacing w:val="-64"/>
        </w:rPr>
        <w:t> </w:t>
      </w:r>
      <w:r>
        <w:rPr>
          <w:spacing w:val="-64"/>
        </w:rPr>
      </w:r>
      <w:r>
        <w:rPr/>
        <w:t>在假设每一变量的变化是在独立的情况下进行的。</w:t>
      </w:r>
    </w:p>
    <w:p>
      <w:pPr>
        <w:spacing w:line="316" w:lineRule="auto" w:before="19"/>
        <w:ind w:left="633" w:right="0" w:firstLine="2"/>
        <w:jc w:val="left"/>
        <w:rPr>
          <w:rFonts w:ascii="宋体" w:hAnsi="宋体" w:cs="宋体" w:eastAsia="宋体" w:hint="default"/>
          <w:sz w:val="18"/>
          <w:szCs w:val="18"/>
        </w:rPr>
      </w:pPr>
      <w:r>
        <w:rPr>
          <w:rFonts w:ascii="宋体" w:hAnsi="宋体" w:cs="宋体" w:eastAsia="宋体" w:hint="default"/>
          <w:b/>
          <w:bCs/>
          <w:sz w:val="18"/>
          <w:szCs w:val="18"/>
        </w:rPr>
        <w:t>（一）风险管理目标和政策</w:t>
      </w:r>
      <w:r>
        <w:rPr>
          <w:rFonts w:ascii="宋体" w:hAnsi="宋体" w:cs="宋体" w:eastAsia="宋体" w:hint="default"/>
          <w:b/>
          <w:bCs/>
          <w:w w:val="99"/>
          <w:sz w:val="18"/>
          <w:szCs w:val="18"/>
        </w:rPr>
        <w:t> </w:t>
      </w:r>
      <w:r>
        <w:rPr>
          <w:rFonts w:ascii="宋体" w:hAnsi="宋体" w:cs="宋体" w:eastAsia="宋体" w:hint="default"/>
          <w:spacing w:val="-1"/>
          <w:sz w:val="18"/>
          <w:szCs w:val="18"/>
        </w:rPr>
        <w:t>本公司从事风险管理的目标是在风险和收益之间取得适当的平衡，将风险对本公司经营业绩的负面影响降低到最低水</w:t>
      </w:r>
    </w:p>
    <w:p>
      <w:pPr>
        <w:pStyle w:val="BodyText"/>
        <w:spacing w:line="316" w:lineRule="auto" w:before="19"/>
        <w:ind w:left="153" w:right="151"/>
        <w:jc w:val="both"/>
      </w:pP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Heading5"/>
        <w:spacing w:line="240" w:lineRule="auto"/>
        <w:ind w:right="0"/>
        <w:jc w:val="left"/>
        <w:rPr>
          <w:b w:val="0"/>
          <w:bCs w:val="0"/>
        </w:rPr>
      </w:pPr>
      <w:r>
        <w:rPr>
          <w:rFonts w:ascii="Times New Roman" w:hAnsi="Times New Roman" w:cs="Times New Roman" w:eastAsia="Times New Roman" w:hint="default"/>
        </w:rPr>
        <w:t>1</w:t>
      </w:r>
      <w:r>
        <w:rPr/>
        <w:t>、市场风险</w:t>
      </w:r>
      <w:r>
        <w:rPr>
          <w:b w:val="0"/>
          <w:bCs w:val="0"/>
        </w:rPr>
      </w:r>
    </w:p>
    <w:p>
      <w:pPr>
        <w:pStyle w:val="BodyText"/>
        <w:spacing w:line="300" w:lineRule="auto" w:before="63"/>
        <w:ind w:left="633" w:right="0"/>
        <w:jc w:val="left"/>
      </w:pPr>
      <w:r>
        <w:rPr/>
        <w:t>（</w:t>
      </w:r>
      <w:r>
        <w:rPr>
          <w:rFonts w:ascii="Times New Roman" w:hAnsi="Times New Roman" w:cs="Times New Roman" w:eastAsia="Times New Roman" w:hint="default"/>
        </w:rPr>
        <w:t>1</w:t>
      </w:r>
      <w:r>
        <w:rPr/>
        <w:t>）外汇风险 </w:t>
      </w:r>
      <w:r>
        <w:rPr>
          <w:spacing w:val="-1"/>
        </w:rPr>
        <w:t>外汇风险是因汇率变动产生的风险。本公司于中国内地经营，且活动以人民币计价。因此，本公司受到汇率变动风险</w:t>
      </w:r>
    </w:p>
    <w:p>
      <w:pPr>
        <w:pStyle w:val="BodyText"/>
        <w:spacing w:line="240" w:lineRule="auto" w:before="31"/>
        <w:ind w:left="153" w:right="0"/>
        <w:jc w:val="both"/>
      </w:pPr>
      <w:r>
        <w:rPr/>
        <w:t>的影响不大。</w:t>
      </w:r>
    </w:p>
    <w:p>
      <w:pPr>
        <w:pStyle w:val="BodyText"/>
        <w:spacing w:line="300" w:lineRule="auto" w:before="76"/>
        <w:ind w:left="633" w:right="0"/>
        <w:jc w:val="left"/>
      </w:pPr>
      <w:r>
        <w:rPr/>
        <w:t>（</w:t>
      </w:r>
      <w:r>
        <w:rPr>
          <w:rFonts w:ascii="Times New Roman" w:hAnsi="Times New Roman" w:cs="Times New Roman" w:eastAsia="Times New Roman" w:hint="default"/>
        </w:rPr>
        <w:t>2</w:t>
      </w:r>
      <w:r>
        <w:rPr/>
        <w:t>）利率风险－现金流量变动风险 </w:t>
      </w:r>
      <w:r>
        <w:rPr>
          <w:spacing w:val="-1"/>
        </w:rPr>
        <w:t>利率风险，是指金融工具的公允价值或未来现金流量因市场利率变动而发生波动的风险。本公司面临的市场利率变动</w:t>
      </w:r>
    </w:p>
    <w:p>
      <w:pPr>
        <w:pStyle w:val="BodyText"/>
        <w:spacing w:line="300" w:lineRule="auto" w:before="31"/>
        <w:ind w:left="153" w:right="136"/>
        <w:jc w:val="both"/>
      </w:pPr>
      <w:r>
        <w:rPr>
          <w:spacing w:val="11"/>
        </w:rPr>
        <w:t>的风险主要与本公司以浮动利率计息的借款有关。截至</w:t>
      </w:r>
      <w:r>
        <w:rPr>
          <w:rFonts w:ascii="Times New Roman" w:hAnsi="Times New Roman" w:cs="Times New Roman" w:eastAsia="Times New Roman" w:hint="default"/>
          <w:spacing w:val="11"/>
        </w:rPr>
        <w:t>2017</w:t>
      </w:r>
      <w:r>
        <w:rPr>
          <w:spacing w:val="11"/>
        </w:rPr>
        <w:t>年</w:t>
      </w:r>
      <w:r>
        <w:rPr>
          <w:rFonts w:ascii="Times New Roman" w:hAnsi="Times New Roman" w:cs="Times New Roman" w:eastAsia="Times New Roman" w:hint="default"/>
          <w:spacing w:val="11"/>
        </w:rPr>
        <w:t>12</w:t>
      </w:r>
      <w:r>
        <w:rPr>
          <w:spacing w:val="11"/>
        </w:rPr>
        <w:t>月</w:t>
      </w:r>
      <w:r>
        <w:rPr>
          <w:rFonts w:ascii="Times New Roman" w:hAnsi="Times New Roman" w:cs="Times New Roman" w:eastAsia="Times New Roman" w:hint="default"/>
          <w:spacing w:val="11"/>
        </w:rPr>
        <w:t>31</w:t>
      </w:r>
      <w:r>
        <w:rPr>
          <w:spacing w:val="11"/>
        </w:rPr>
        <w:t>日，本公司以浮动利率计息的银行借款人民币</w:t>
      </w:r>
      <w:r>
        <w:rPr>
          <w:spacing w:val="-44"/>
        </w:rPr>
        <w:t> </w:t>
      </w:r>
      <w:r>
        <w:rPr>
          <w:spacing w:val="-44"/>
        </w:rPr>
      </w:r>
      <w:r>
        <w:rPr>
          <w:rFonts w:ascii="Times New Roman" w:hAnsi="Times New Roman" w:cs="Times New Roman" w:eastAsia="Times New Roman" w:hint="default"/>
          <w:spacing w:val="-1"/>
        </w:rPr>
        <w:t>67,880,000.00</w:t>
      </w:r>
      <w:r>
        <w:rPr>
          <w:spacing w:val="-1"/>
        </w:rPr>
        <w:t>元（</w:t>
      </w:r>
      <w:r>
        <w:rPr>
          <w:rFonts w:ascii="Times New Roman" w:hAnsi="Times New Roman" w:cs="Times New Roman" w:eastAsia="Times New Roman" w:hint="default"/>
          <w:spacing w:val="-1"/>
        </w:rPr>
        <w:t>2016</w:t>
      </w:r>
      <w:r>
        <w:rPr>
          <w:spacing w:val="-1"/>
        </w:rPr>
        <w:t>年无），在其他变量不变的假设下，假定利率变动</w:t>
      </w:r>
      <w:r>
        <w:rPr>
          <w:rFonts w:ascii="Times New Roman" w:hAnsi="Times New Roman" w:cs="Times New Roman" w:eastAsia="Times New Roman" w:hint="default"/>
          <w:spacing w:val="-1"/>
        </w:rPr>
        <w:t>50</w:t>
      </w:r>
      <w:r>
        <w:rPr>
          <w:spacing w:val="-1"/>
        </w:rPr>
        <w:t>个基准点，不会对本公司的利润总额和股东权益</w:t>
      </w:r>
      <w:r>
        <w:rPr>
          <w:spacing w:val="-69"/>
        </w:rPr>
        <w:t> </w:t>
      </w:r>
      <w:r>
        <w:rPr>
          <w:spacing w:val="-69"/>
        </w:rPr>
      </w:r>
      <w:r>
        <w:rPr/>
        <w:t>产生重大影响。</w:t>
      </w:r>
    </w:p>
    <w:p>
      <w:pPr>
        <w:pStyle w:val="BodyText"/>
        <w:spacing w:line="309" w:lineRule="auto" w:before="31"/>
        <w:ind w:left="633" w:right="1011"/>
        <w:jc w:val="left"/>
        <w:rPr>
          <w:rFonts w:ascii="宋体" w:hAnsi="宋体" w:cs="宋体" w:eastAsia="宋体" w:hint="default"/>
        </w:rPr>
      </w:pPr>
      <w:r>
        <w:rPr/>
        <w:t>（</w:t>
      </w:r>
      <w:r>
        <w:rPr>
          <w:rFonts w:ascii="Times New Roman" w:hAnsi="Times New Roman" w:cs="Times New Roman" w:eastAsia="Times New Roman" w:hint="default"/>
        </w:rPr>
        <w:t>3</w:t>
      </w:r>
      <w:r>
        <w:rPr/>
        <w:t>）其他价格风险 本公司管理层认为金融资产、金融负债的摊余成本与公允价值无重大差异，市场价格风险是可以接受的。 </w:t>
      </w:r>
      <w:r>
        <w:rPr>
          <w:rFonts w:ascii="Times New Roman" w:hAnsi="Times New Roman" w:cs="Times New Roman" w:eastAsia="Times New Roman" w:hint="default"/>
          <w:b/>
          <w:bCs/>
        </w:rPr>
        <w:t>2</w:t>
      </w:r>
      <w:r>
        <w:rPr>
          <w:rFonts w:ascii="宋体" w:hAnsi="宋体" w:cs="宋体" w:eastAsia="宋体" w:hint="default"/>
          <w:b/>
          <w:bCs/>
        </w:rPr>
        <w:t>、信用风险</w:t>
      </w:r>
      <w:r>
        <w:rPr>
          <w:rFonts w:ascii="宋体" w:hAnsi="宋体" w:cs="宋体" w:eastAsia="宋体" w:hint="default"/>
        </w:rPr>
      </w:r>
    </w:p>
    <w:p>
      <w:pPr>
        <w:pStyle w:val="BodyText"/>
        <w:spacing w:line="300" w:lineRule="auto" w:before="5"/>
        <w:ind w:left="153" w:right="150" w:firstLine="48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日，可能引起本公司财务损失的最大信用风险敞口主要来自于合同另一方未能履行义务而导致本公司金</w:t>
      </w:r>
      <w:r>
        <w:rPr/>
        <w:t> 融资产产生的损失以及本公司承担的财务担保，具体包括：合并资产负债表中已确认的金融资产的账面金额。</w:t>
      </w:r>
    </w:p>
    <w:p>
      <w:pPr>
        <w:pStyle w:val="BodyText"/>
        <w:spacing w:line="316" w:lineRule="auto" w:before="31"/>
        <w:ind w:left="153" w:right="150" w:firstLine="480"/>
        <w:jc w:val="both"/>
      </w:pPr>
      <w:r>
        <w:rPr>
          <w:spacing w:val="-1"/>
        </w:rPr>
        <w:t>为降低信用风险，本公司有相应部门负责确定信用额度、进行信用审批，并执行其他监控程序以确保采取必要的措施</w:t>
      </w:r>
      <w:r>
        <w:rPr/>
        <w:t> </w:t>
      </w:r>
      <w:r>
        <w:rPr>
          <w:spacing w:val="-2"/>
        </w:rPr>
        <w:t>回收过期债权。此外，本公司于每个资产负债表日审核每一单项应收款的回收情况，以确保就无法回收的款项计提充分的坏</w:t>
      </w:r>
      <w:r>
        <w:rPr>
          <w:spacing w:val="-66"/>
        </w:rPr>
        <w:t> </w:t>
      </w:r>
      <w:r>
        <w:rPr>
          <w:spacing w:val="-66"/>
        </w:rPr>
      </w:r>
      <w:r>
        <w:rPr/>
        <w:t>账准备。因此，本公司管理层认为本公司所承担的信用风险已经大为降低。</w:t>
      </w:r>
    </w:p>
    <w:p>
      <w:pPr>
        <w:pStyle w:val="BodyText"/>
        <w:spacing w:line="316" w:lineRule="auto" w:before="19"/>
        <w:ind w:left="633" w:right="0"/>
        <w:jc w:val="left"/>
      </w:pPr>
      <w:r>
        <w:rPr/>
        <w:t>本公司的流动资金存放在信用评级较高的银行，故流动资金的信用风险较低。 已发生单项减值的金融资产的分析，包括判断该金融资产发生减值所考虑的因素。 </w:t>
      </w:r>
      <w:r>
        <w:rPr>
          <w:spacing w:val="-1"/>
        </w:rPr>
        <w:t>本公司采用了必要的政策确保所有销售客户均具有良好的信用记录。除下表所列项目外，本公司无其他重大信用集中</w:t>
      </w:r>
    </w:p>
    <w:p>
      <w:pPr>
        <w:pStyle w:val="BodyText"/>
        <w:spacing w:line="240" w:lineRule="auto" w:before="19"/>
        <w:ind w:left="153" w:right="0"/>
        <w:jc w:val="both"/>
      </w:pPr>
      <w:r>
        <w:rPr/>
        <w:t>风险。</w:t>
      </w:r>
    </w:p>
    <w:p>
      <w:pPr>
        <w:spacing w:line="240" w:lineRule="auto" w:before="5"/>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5292"/>
        <w:gridCol w:w="2183"/>
        <w:gridCol w:w="2183"/>
      </w:tblGrid>
      <w:tr>
        <w:trPr>
          <w:trHeight w:val="337" w:hRule="exact"/>
        </w:trPr>
        <w:tc>
          <w:tcPr>
            <w:tcW w:w="529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8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18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昆山永丰余广告印务有限公司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10,839,490.06</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10,839,490.06</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上海富行文化传播有限公司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1,345,279.80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1,345,279.80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上海逸领电子商务有限公司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1,283,963.73</w:t>
            </w:r>
          </w:p>
        </w:tc>
        <w:tc>
          <w:tcPr>
            <w:tcW w:w="21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5292"/>
        <w:gridCol w:w="2183"/>
        <w:gridCol w:w="2183"/>
      </w:tblGrid>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上海永丰余印务有限公司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983,890.80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983,890.80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上海恒泰书报刊发行有限公司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974,697.84</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上海馨恬邮购有限公司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827,404.00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上海山垦印业有限公司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670,000.00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670,000.00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上海尚居广告传播有限公司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495,680.00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上海优莎丽姬</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402,000.00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杭州诚耀速递有限公司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328,563.70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328,563.70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杭州百安锦图广告有限公司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319,000.00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319,000.00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浙江中意房地产开发有限公司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270,000.00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云墨文化传播有限公司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168,900.00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杭州国际旅行社有限公司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138,400.00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杭州合源房地产开发有限公司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137,375.00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金华华美整形医院有限责任公司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112,000.00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杭州汗城汤泉健康管理有限公司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104,250.00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杭州欣华置业有限公司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101,886.79</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浙江盛和居发展有限公司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80,000.00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乐视体育文化产业发展（北京）有限公司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65,000.00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天工艺苑股份有限公司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40,000.00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40,000.00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杭州慧力包装印刷有限公司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36,364.40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上海新熠实业有限公司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33,601.74</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乐视</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33,000.00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杭州市余杭区博文教育培训中心</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30,000.00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杭州金都水灵有限公司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25,000.00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浙江南奥文化创意有限公司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20,000.00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杭州桃花源度假村有限公司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20,000.00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浙江南奥文化创意有限公司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18,867.92</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湖北日报传媒集团</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14,980.00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杭州益文广告有限公司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14,200.00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杭州奕玥广告有限公司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11,900.00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其他个人</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6,168.00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德胜社区</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双荡弄社区</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石塘社区</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杭州龙禧硅谷酒店有限公司福朋喜来登酒店</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浙江信宇房地产开发有限公司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4,000.00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中国电信股份有限公司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300.00</w:t>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19,976,163.78</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14,541,224.36</w:t>
            </w:r>
          </w:p>
        </w:tc>
      </w:tr>
    </w:tbl>
    <w:p>
      <w:pPr>
        <w:pStyle w:val="BodyText"/>
        <w:spacing w:line="300" w:lineRule="auto" w:before="10"/>
        <w:ind w:left="634" w:right="0" w:firstLine="2"/>
        <w:jc w:val="left"/>
      </w:pP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spacing w:val="1"/>
          <w:w w:val="99"/>
        </w:rPr>
        <w:t> </w:t>
      </w:r>
      <w:r>
        <w:rPr>
          <w:spacing w:val="-1"/>
        </w:rPr>
        <w:t>管理流动风险时，本公司保持管理层认为充分的现金及现金等价物并对其进行监控，以满足本公司经营需要，并降低</w:t>
      </w:r>
    </w:p>
    <w:p>
      <w:pPr>
        <w:pStyle w:val="BodyText"/>
        <w:spacing w:line="316" w:lineRule="auto" w:before="31"/>
        <w:ind w:left="634" w:right="2570" w:hanging="480"/>
        <w:jc w:val="left"/>
      </w:pPr>
      <w:r>
        <w:rPr/>
        <w:t>现金流量波动的影响。本公司管理层对银行借款的使用情况进行监控并确保遵守借款协议。 本公司持有的金融负债按未折现剩余合同义务的到期期限分析如下：</w:t>
      </w:r>
    </w:p>
    <w:p>
      <w:pPr>
        <w:spacing w:after="0" w:line="316" w:lineRule="auto"/>
        <w:jc w:val="left"/>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00"/>
        <w:gridCol w:w="1536"/>
        <w:gridCol w:w="1427"/>
        <w:gridCol w:w="1447"/>
        <w:gridCol w:w="1442"/>
        <w:gridCol w:w="1369"/>
        <w:gridCol w:w="1404"/>
      </w:tblGrid>
      <w:tr>
        <w:trPr>
          <w:trHeight w:val="342" w:hRule="exact"/>
        </w:trPr>
        <w:tc>
          <w:tcPr>
            <w:tcW w:w="13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4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79"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44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4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36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4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2" w:hRule="exact"/>
        </w:trPr>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190,450,000.00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190,450,000.00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190,450,000.00</w:t>
            </w:r>
          </w:p>
        </w:tc>
        <w:tc>
          <w:tcPr>
            <w:tcW w:w="144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67,324,006.00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67,324,006.00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67,324,006.00</w:t>
            </w:r>
          </w:p>
        </w:tc>
        <w:tc>
          <w:tcPr>
            <w:tcW w:w="144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114,819,416.40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114,819,416.40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101,086,139.51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11,138,200.09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988,941.65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43" w:right="0"/>
              <w:jc w:val="left"/>
              <w:rPr>
                <w:rFonts w:ascii="Times New Roman" w:hAnsi="Times New Roman" w:cs="Times New Roman" w:eastAsia="Times New Roman" w:hint="default"/>
                <w:sz w:val="18"/>
                <w:szCs w:val="18"/>
              </w:rPr>
            </w:pPr>
            <w:r>
              <w:rPr>
                <w:rFonts w:ascii="Times New Roman"/>
                <w:sz w:val="18"/>
              </w:rPr>
              <w:t>1,606,135.15</w:t>
            </w:r>
          </w:p>
        </w:tc>
      </w:tr>
      <w:tr>
        <w:trPr>
          <w:trHeight w:val="342" w:hRule="exact"/>
        </w:trPr>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447,772.48</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447,772.48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447,772.48</w:t>
            </w:r>
          </w:p>
        </w:tc>
        <w:tc>
          <w:tcPr>
            <w:tcW w:w="144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340,034,922.29</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340,034,922.29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147,801,833.60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159,284,604.14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29,653,566.49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43" w:right="0"/>
              <w:jc w:val="left"/>
              <w:rPr>
                <w:rFonts w:ascii="Times New Roman" w:hAnsi="Times New Roman" w:cs="Times New Roman" w:eastAsia="Times New Roman" w:hint="default"/>
                <w:sz w:val="18"/>
                <w:szCs w:val="18"/>
              </w:rPr>
            </w:pPr>
            <w:r>
              <w:rPr>
                <w:rFonts w:ascii="Times New Roman"/>
                <w:sz w:val="18"/>
              </w:rPr>
              <w:t>3,294,918.06</w:t>
            </w:r>
          </w:p>
        </w:tc>
      </w:tr>
      <w:tr>
        <w:trPr>
          <w:trHeight w:val="654" w:hRule="exact"/>
        </w:trPr>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23"/>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20,250,000.00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20,250,000.00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20,250,000.00</w:t>
            </w:r>
          </w:p>
        </w:tc>
        <w:tc>
          <w:tcPr>
            <w:tcW w:w="144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47,630,000.00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47,630,000.00</w:t>
            </w:r>
          </w:p>
        </w:tc>
        <w:tc>
          <w:tcPr>
            <w:tcW w:w="144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30,250,000.00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17,380,000.00</w:t>
            </w:r>
          </w:p>
        </w:tc>
        <w:tc>
          <w:tcPr>
            <w:tcW w:w="1404" w:type="dxa"/>
            <w:tcBorders>
              <w:top w:val="single" w:sz="4" w:space="0" w:color="000000"/>
              <w:left w:val="single" w:sz="4" w:space="0" w:color="000000"/>
              <w:bottom w:val="single" w:sz="4" w:space="0" w:color="000000"/>
              <w:right w:val="single" w:sz="4" w:space="0" w:color="000000"/>
            </w:tcBorders>
          </w:tcPr>
          <w:p>
            <w:pPr/>
          </w:p>
        </w:tc>
      </w:tr>
    </w:tbl>
    <w:p>
      <w:pPr>
        <w:pStyle w:val="Heading5"/>
        <w:spacing w:line="316" w:lineRule="auto" w:before="10"/>
        <w:ind w:left="633" w:right="7923" w:firstLine="2"/>
        <w:jc w:val="left"/>
        <w:rPr>
          <w:rFonts w:ascii="宋体" w:hAnsi="宋体" w:cs="宋体" w:eastAsia="宋体" w:hint="default"/>
          <w:b w:val="0"/>
          <w:bCs w:val="0"/>
        </w:rPr>
      </w:pPr>
      <w:r>
        <w:rPr/>
        <w:t>（二）金融资产转移</w:t>
      </w:r>
      <w:r>
        <w:rPr>
          <w:spacing w:val="1"/>
          <w:w w:val="99"/>
        </w:rPr>
        <w:t> </w:t>
      </w:r>
      <w:r>
        <w:rPr>
          <w:rFonts w:ascii="宋体" w:hAnsi="宋体" w:cs="宋体" w:eastAsia="宋体" w:hint="default"/>
          <w:b w:val="0"/>
          <w:bCs w:val="0"/>
        </w:rPr>
        <w:t>无。</w:t>
      </w:r>
    </w:p>
    <w:p>
      <w:pPr>
        <w:pStyle w:val="Heading5"/>
        <w:spacing w:line="316" w:lineRule="auto"/>
        <w:ind w:left="633" w:right="6838" w:firstLine="2"/>
        <w:jc w:val="left"/>
        <w:rPr>
          <w:rFonts w:ascii="宋体" w:hAnsi="宋体" w:cs="宋体" w:eastAsia="宋体" w:hint="default"/>
          <w:b w:val="0"/>
          <w:bCs w:val="0"/>
        </w:rPr>
      </w:pPr>
      <w:r>
        <w:rPr/>
        <w:t>（三）金融资产与金融负债的抵销</w:t>
      </w:r>
      <w:r>
        <w:rPr>
          <w:spacing w:val="1"/>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20"/>
          <w:szCs w:val="20"/>
        </w:rPr>
      </w:pPr>
    </w:p>
    <w:p>
      <w:pPr>
        <w:pStyle w:val="Heading2"/>
        <w:spacing w:line="240" w:lineRule="auto"/>
        <w:ind w:right="6838"/>
        <w:jc w:val="left"/>
        <w:rPr>
          <w:b w:val="0"/>
          <w:bCs w:val="0"/>
        </w:rPr>
      </w:pP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41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2"/>
        <w:gridCol w:w="1826"/>
        <w:gridCol w:w="1925"/>
        <w:gridCol w:w="1913"/>
        <w:gridCol w:w="1913"/>
      </w:tblGrid>
      <w:tr>
        <w:trPr>
          <w:trHeight w:val="402" w:hRule="exact"/>
        </w:trPr>
        <w:tc>
          <w:tcPr>
            <w:tcW w:w="1982" w:type="dxa"/>
            <w:tcBorders>
              <w:top w:val="single" w:sz="4" w:space="0" w:color="000000"/>
              <w:left w:val="single" w:sz="4" w:space="0" w:color="000000"/>
              <w:bottom w:val="nil" w:sz="6" w:space="0" w:color="auto"/>
              <w:right w:val="single" w:sz="4" w:space="0" w:color="000000"/>
            </w:tcBorders>
            <w:shd w:val="clear" w:color="auto" w:fill="D3D3D3"/>
          </w:tcPr>
          <w:p>
            <w:pP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0" w:hRule="exact"/>
        </w:trPr>
        <w:tc>
          <w:tcPr>
            <w:tcW w:w="19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82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23" w:right="90"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25"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2" w:hRule="exact"/>
        </w:trPr>
        <w:tc>
          <w:tcPr>
            <w:tcW w:w="1982" w:type="dxa"/>
            <w:vMerge/>
            <w:tcBorders>
              <w:left w:val="single" w:sz="4" w:space="0" w:color="000000"/>
              <w:bottom w:val="nil" w:sz="6" w:space="0" w:color="auto"/>
              <w:right w:val="single" w:sz="4" w:space="0" w:color="000000"/>
            </w:tcBorders>
            <w:shd w:val="clear" w:color="auto" w:fill="D3D3D3"/>
          </w:tcPr>
          <w:p>
            <w:pPr/>
          </w:p>
        </w:tc>
        <w:tc>
          <w:tcPr>
            <w:tcW w:w="1826" w:type="dxa"/>
            <w:vMerge/>
            <w:tcBorders>
              <w:left w:val="single" w:sz="4" w:space="0" w:color="000000"/>
              <w:right w:val="single" w:sz="4" w:space="0" w:color="000000"/>
            </w:tcBorders>
            <w:shd w:val="clear" w:color="auto" w:fill="D3D3D3"/>
          </w:tcPr>
          <w:p>
            <w:pPr/>
          </w:p>
        </w:tc>
        <w:tc>
          <w:tcPr>
            <w:tcW w:w="192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82" w:type="dxa"/>
            <w:vMerge w:val="restart"/>
            <w:tcBorders>
              <w:top w:val="nil" w:sz="6" w:space="0" w:color="auto"/>
              <w:left w:val="single" w:sz="4" w:space="0" w:color="000000"/>
              <w:right w:val="single" w:sz="4" w:space="0" w:color="000000"/>
            </w:tcBorders>
            <w:shd w:val="clear" w:color="auto" w:fill="D3D3D3"/>
          </w:tcPr>
          <w:p>
            <w:pPr/>
          </w:p>
        </w:tc>
        <w:tc>
          <w:tcPr>
            <w:tcW w:w="1826" w:type="dxa"/>
            <w:vMerge/>
            <w:tcBorders>
              <w:left w:val="single" w:sz="4" w:space="0" w:color="000000"/>
              <w:right w:val="single" w:sz="4" w:space="0" w:color="000000"/>
            </w:tcBorders>
            <w:shd w:val="clear" w:color="auto" w:fill="D3D3D3"/>
          </w:tcPr>
          <w:p>
            <w:pPr/>
          </w:p>
        </w:tc>
        <w:tc>
          <w:tcPr>
            <w:tcW w:w="1925" w:type="dxa"/>
            <w:vMerge/>
            <w:tcBorders>
              <w:left w:val="single" w:sz="4" w:space="0" w:color="000000"/>
              <w:bottom w:val="nil" w:sz="6" w:space="0" w:color="auto"/>
              <w:right w:val="single" w:sz="4" w:space="0" w:color="000000"/>
            </w:tcBorders>
            <w:shd w:val="clear" w:color="auto" w:fill="D3D3D3"/>
          </w:tcPr>
          <w:p>
            <w:pPr/>
          </w:p>
        </w:tc>
        <w:tc>
          <w:tcPr>
            <w:tcW w:w="1913" w:type="dxa"/>
            <w:vMerge/>
            <w:tcBorders>
              <w:left w:val="single" w:sz="4" w:space="0" w:color="000000"/>
              <w:bottom w:val="nil" w:sz="6" w:space="0" w:color="auto"/>
              <w:right w:val="single" w:sz="4" w:space="0" w:color="000000"/>
            </w:tcBorders>
            <w:shd w:val="clear" w:color="auto" w:fill="D3D3D3"/>
          </w:tcPr>
          <w:p>
            <w:pPr/>
          </w:p>
        </w:tc>
        <w:tc>
          <w:tcPr>
            <w:tcW w:w="1913" w:type="dxa"/>
            <w:vMerge/>
            <w:tcBorders>
              <w:left w:val="single" w:sz="4" w:space="0" w:color="000000"/>
              <w:bottom w:val="nil" w:sz="6" w:space="0" w:color="auto"/>
              <w:right w:val="single" w:sz="4" w:space="0" w:color="000000"/>
            </w:tcBorders>
            <w:shd w:val="clear" w:color="auto" w:fill="D3D3D3"/>
          </w:tcPr>
          <w:p>
            <w:pPr/>
          </w:p>
        </w:tc>
      </w:tr>
      <w:tr>
        <w:trPr>
          <w:trHeight w:val="162" w:hRule="exact"/>
        </w:trPr>
        <w:tc>
          <w:tcPr>
            <w:tcW w:w="1982" w:type="dxa"/>
            <w:vMerge/>
            <w:tcBorders>
              <w:left w:val="single" w:sz="4" w:space="0" w:color="000000"/>
              <w:bottom w:val="single" w:sz="4" w:space="0" w:color="000000"/>
              <w:right w:val="single" w:sz="4" w:space="0" w:color="000000"/>
            </w:tcBorders>
            <w:shd w:val="clear" w:color="auto" w:fill="D3D3D3"/>
          </w:tcPr>
          <w:p>
            <w:pPr/>
          </w:p>
        </w:tc>
        <w:tc>
          <w:tcPr>
            <w:tcW w:w="1826" w:type="dxa"/>
            <w:vMerge/>
            <w:tcBorders>
              <w:left w:val="single" w:sz="4" w:space="0" w:color="000000"/>
              <w:bottom w:val="single" w:sz="4" w:space="0" w:color="000000"/>
              <w:right w:val="single" w:sz="4" w:space="0" w:color="000000"/>
            </w:tcBorders>
            <w:shd w:val="clear" w:color="auto" w:fill="D3D3D3"/>
          </w:tcPr>
          <w:p>
            <w:pPr/>
          </w:p>
        </w:tc>
        <w:tc>
          <w:tcPr>
            <w:tcW w:w="1925"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53" w:right="0"/>
              <w:jc w:val="left"/>
              <w:rPr>
                <w:rFonts w:ascii="Times New Roman" w:hAnsi="Times New Roman" w:cs="Times New Roman" w:eastAsia="Times New Roman" w:hint="default"/>
                <w:sz w:val="18"/>
                <w:szCs w:val="18"/>
              </w:rPr>
            </w:pPr>
            <w:r>
              <w:rPr>
                <w:rFonts w:ascii="Times New Roman"/>
                <w:sz w:val="18"/>
              </w:rPr>
              <w:t>--</w:t>
            </w: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1,744,298.06</w:t>
            </w:r>
          </w:p>
        </w:tc>
        <w:tc>
          <w:tcPr>
            <w:tcW w:w="19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1,744,298.06</w:t>
            </w:r>
          </w:p>
        </w:tc>
      </w:tr>
      <w:tr>
        <w:trPr>
          <w:trHeight w:val="160" w:hRule="exact"/>
        </w:trPr>
        <w:tc>
          <w:tcPr>
            <w:tcW w:w="198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925"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982" w:type="dxa"/>
            <w:vMerge/>
            <w:tcBorders>
              <w:left w:val="single" w:sz="4" w:space="0" w:color="000000"/>
              <w:right w:val="single" w:sz="4" w:space="0" w:color="000000"/>
            </w:tcBorders>
            <w:shd w:val="clear" w:color="auto" w:fill="D3D3D3"/>
          </w:tcPr>
          <w:p>
            <w:pPr/>
          </w:p>
        </w:tc>
        <w:tc>
          <w:tcPr>
            <w:tcW w:w="18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853" w:right="0"/>
              <w:jc w:val="left"/>
              <w:rPr>
                <w:rFonts w:ascii="Times New Roman" w:hAnsi="Times New Roman" w:cs="Times New Roman" w:eastAsia="Times New Roman" w:hint="default"/>
                <w:sz w:val="18"/>
                <w:szCs w:val="18"/>
              </w:rPr>
            </w:pPr>
            <w:r>
              <w:rPr>
                <w:rFonts w:ascii="Times New Roman"/>
                <w:sz w:val="18"/>
              </w:rPr>
              <w:t>--</w:t>
            </w:r>
          </w:p>
        </w:tc>
        <w:tc>
          <w:tcPr>
            <w:tcW w:w="192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82" w:type="dxa"/>
            <w:vMerge/>
            <w:tcBorders>
              <w:left w:val="single" w:sz="4" w:space="0" w:color="000000"/>
              <w:bottom w:val="single" w:sz="4" w:space="0" w:color="000000"/>
              <w:right w:val="single" w:sz="4" w:space="0" w:color="000000"/>
            </w:tcBorders>
            <w:shd w:val="clear" w:color="auto" w:fill="D3D3D3"/>
          </w:tcPr>
          <w:p>
            <w:pPr/>
          </w:p>
        </w:tc>
        <w:tc>
          <w:tcPr>
            <w:tcW w:w="18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5"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left="153" w:right="407" w:firstLine="480"/>
        <w:jc w:val="both"/>
      </w:pPr>
      <w:r>
        <w:rPr>
          <w:spacing w:val="2"/>
        </w:rPr>
        <w:t>本公司孙公司杭州萧山萧报教育咨询有限公司和杭州今日大江东传媒有限公司持有的交易性金融资产分别为开放式</w:t>
      </w:r>
      <w:r>
        <w:rPr>
          <w:spacing w:val="3"/>
        </w:rPr>
        <w:t> </w:t>
      </w:r>
      <w:r>
        <w:rPr>
          <w:spacing w:val="-1"/>
        </w:rPr>
        <w:t>基金</w:t>
      </w:r>
      <w:r>
        <w:rPr>
          <w:rFonts w:ascii="Times New Roman" w:hAnsi="Times New Roman" w:cs="Times New Roman" w:eastAsia="Times New Roman" w:hint="default"/>
          <w:spacing w:val="-1"/>
        </w:rPr>
        <w:t>-</w:t>
      </w:r>
      <w:r>
        <w:rPr>
          <w:spacing w:val="-1"/>
        </w:rPr>
        <w:t>月月鑫（代码</w:t>
      </w:r>
      <w:r>
        <w:rPr>
          <w:rFonts w:ascii="Times New Roman" w:hAnsi="Times New Roman" w:cs="Times New Roman" w:eastAsia="Times New Roman" w:hint="default"/>
          <w:spacing w:val="-1"/>
        </w:rPr>
        <w:t>851810/851830</w:t>
      </w:r>
      <w:r>
        <w:rPr>
          <w:spacing w:val="-1"/>
        </w:rPr>
        <w:t>），均在市流通，其市价能反应公允价值，</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日的公允价值以年末最新市价计</w:t>
      </w:r>
      <w:r>
        <w:rPr>
          <w:spacing w:val="-41"/>
        </w:rPr>
        <w:t> </w:t>
      </w:r>
      <w:r>
        <w:rPr>
          <w:spacing w:val="-1"/>
        </w:rPr>
        <w:t>量，市价分别为</w:t>
      </w:r>
      <w:r>
        <w:rPr>
          <w:rFonts w:ascii="Times New Roman" w:hAnsi="Times New Roman" w:cs="Times New Roman" w:eastAsia="Times New Roman" w:hint="default"/>
          <w:spacing w:val="-1"/>
        </w:rPr>
        <w:t>1,251,175.00</w:t>
      </w:r>
      <w:r>
        <w:rPr>
          <w:spacing w:val="-1"/>
        </w:rPr>
        <w:t>元和</w:t>
      </w:r>
      <w:r>
        <w:rPr>
          <w:rFonts w:ascii="Times New Roman" w:hAnsi="Times New Roman" w:cs="Times New Roman" w:eastAsia="Times New Roman" w:hint="default"/>
          <w:spacing w:val="-1"/>
        </w:rPr>
        <w:t>400,260.04</w:t>
      </w:r>
      <w:r>
        <w:rPr>
          <w:spacing w:val="-1"/>
        </w:rPr>
        <w:t>元。本公司的子公司杭州余杭晨报传媒有限公司购买的结构性存款，分类为交易</w:t>
      </w:r>
      <w:r>
        <w:rPr>
          <w:spacing w:val="-65"/>
        </w:rPr>
        <w:t> </w:t>
      </w:r>
      <w:r>
        <w:rPr>
          <w:spacing w:val="-65"/>
        </w:rPr>
      </w:r>
      <w:r>
        <w:rPr/>
        <w:t>性金融资产，按预计收益率作为公允价值估值基础。</w:t>
      </w:r>
    </w:p>
    <w:p>
      <w:pPr>
        <w:spacing w:after="0" w:line="307" w:lineRule="auto"/>
        <w:jc w:val="both"/>
        <w:sectPr>
          <w:pgSz w:w="11910" w:h="16840"/>
          <w:pgMar w:header="0" w:footer="982" w:top="1100" w:bottom="1180" w:left="980" w:right="720"/>
        </w:sectPr>
      </w:pPr>
    </w:p>
    <w:p>
      <w:pPr>
        <w:spacing w:line="240" w:lineRule="auto" w:before="10"/>
        <w:rPr>
          <w:rFonts w:ascii="宋体" w:hAnsi="宋体" w:cs="宋体" w:eastAsia="宋体" w:hint="default"/>
          <w:sz w:val="20"/>
          <w:szCs w:val="20"/>
        </w:rPr>
      </w:pPr>
    </w:p>
    <w:p>
      <w:pPr>
        <w:pStyle w:val="Heading3"/>
        <w:spacing w:line="240" w:lineRule="auto" w:before="35"/>
        <w:ind w:right="125"/>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1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21" w:type="dxa"/>
        <w:tblLayout w:type="fixed"/>
        <w:tblCellMar>
          <w:top w:w="0" w:type="dxa"/>
          <w:left w:w="0" w:type="dxa"/>
          <w:bottom w:w="0" w:type="dxa"/>
          <w:right w:w="0" w:type="dxa"/>
        </w:tblCellMar>
        <w:tblLook w:val="01E0"/>
      </w:tblPr>
      <w:tblGrid>
        <w:gridCol w:w="2288"/>
        <w:gridCol w:w="617"/>
        <w:gridCol w:w="803"/>
        <w:gridCol w:w="1219"/>
        <w:gridCol w:w="2291"/>
        <w:gridCol w:w="2476"/>
      </w:tblGrid>
      <w:tr>
        <w:trPr>
          <w:trHeight w:val="402" w:hRule="exact"/>
        </w:trPr>
        <w:tc>
          <w:tcPr>
            <w:tcW w:w="22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2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9"/>
              <w:jc w:val="right"/>
              <w:rPr>
                <w:rFonts w:ascii="宋体" w:hAnsi="宋体" w:cs="宋体" w:eastAsia="宋体" w:hint="default"/>
                <w:sz w:val="18"/>
                <w:szCs w:val="18"/>
              </w:rPr>
            </w:pPr>
            <w:r>
              <w:rPr>
                <w:rFonts w:ascii="宋体" w:hAnsi="宋体" w:cs="宋体" w:eastAsia="宋体" w:hint="default"/>
                <w:sz w:val="18"/>
                <w:szCs w:val="18"/>
              </w:rPr>
              <w:t>母公司对本企业的持股比例</w:t>
            </w:r>
          </w:p>
        </w:tc>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1"/>
              <w:jc w:val="right"/>
              <w:rPr>
                <w:rFonts w:ascii="宋体" w:hAnsi="宋体" w:cs="宋体" w:eastAsia="宋体" w:hint="default"/>
                <w:sz w:val="18"/>
                <w:szCs w:val="18"/>
              </w:rPr>
            </w:pPr>
            <w:r>
              <w:rPr>
                <w:rFonts w:ascii="宋体" w:hAnsi="宋体" w:cs="宋体" w:eastAsia="宋体" w:hint="default"/>
                <w:sz w:val="18"/>
                <w:szCs w:val="18"/>
              </w:rPr>
              <w:t>母公司对本企业的表决权比例</w:t>
            </w:r>
          </w:p>
        </w:tc>
      </w:tr>
      <w:tr>
        <w:trPr>
          <w:trHeight w:val="402" w:hRule="exact"/>
        </w:trPr>
        <w:tc>
          <w:tcPr>
            <w:tcW w:w="22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71"/>
              <w:jc w:val="center"/>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6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2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48.13%</w:t>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48.13%</w:t>
            </w:r>
          </w:p>
        </w:tc>
      </w:tr>
    </w:tbl>
    <w:p>
      <w:pPr>
        <w:pStyle w:val="BodyText"/>
        <w:spacing w:line="357" w:lineRule="auto" w:before="51"/>
        <w:ind w:left="634" w:right="83" w:hanging="480"/>
        <w:jc w:val="left"/>
      </w:pPr>
      <w:r>
        <w:rPr/>
        <w:t>本企业的母公司情况的说明 </w:t>
      </w:r>
      <w:r>
        <w:rPr>
          <w:spacing w:val="-3"/>
        </w:rPr>
        <w:t>注：本公司的最终控制方为杭州日报报业集团（杭州日报社），系事业单位，统一社会信用代码</w:t>
      </w:r>
      <w:r>
        <w:rPr>
          <w:rFonts w:ascii="Times New Roman" w:hAnsi="Times New Roman" w:cs="Times New Roman" w:eastAsia="Times New Roman" w:hint="default"/>
          <w:spacing w:val="-3"/>
        </w:rPr>
        <w:t>12330100470100014A</w:t>
      </w:r>
      <w:r>
        <w:rPr>
          <w:spacing w:val="-3"/>
        </w:rPr>
        <w:t>，</w:t>
      </w:r>
    </w:p>
    <w:p>
      <w:pPr>
        <w:pStyle w:val="BodyText"/>
        <w:spacing w:line="214" w:lineRule="exact"/>
        <w:ind w:left="153" w:right="125"/>
        <w:jc w:val="left"/>
      </w:pPr>
      <w:r>
        <w:rPr/>
        <w:t>注册地为浙江杭州，法人代表董悦，开办资金为</w:t>
      </w:r>
      <w:r>
        <w:rPr>
          <w:rFonts w:ascii="Times New Roman" w:hAnsi="Times New Roman" w:cs="Times New Roman" w:eastAsia="Times New Roman" w:hint="default"/>
        </w:rPr>
        <w:t>82,569.60</w:t>
      </w:r>
      <w:r>
        <w:rPr/>
        <w:t>万元。</w:t>
      </w:r>
    </w:p>
    <w:p>
      <w:pPr>
        <w:pStyle w:val="BodyText"/>
        <w:spacing w:line="357" w:lineRule="auto" w:before="103"/>
        <w:ind w:left="153" w:right="5411"/>
        <w:jc w:val="left"/>
      </w:pPr>
      <w:r>
        <w:rPr>
          <w:spacing w:val="-4"/>
        </w:rPr>
        <w:t>本企业最终控制方是杭州日报报业集团（杭州日报社）。</w:t>
      </w:r>
      <w:r>
        <w:rPr>
          <w:spacing w:val="-80"/>
        </w:rPr>
        <w:t> </w:t>
      </w:r>
      <w:r>
        <w:rPr>
          <w:spacing w:val="-80"/>
        </w:rPr>
      </w:r>
      <w:r>
        <w:rPr/>
        <w:t>其他说明：无</w:t>
      </w:r>
    </w:p>
    <w:p>
      <w:pPr>
        <w:spacing w:line="240" w:lineRule="auto" w:before="1"/>
        <w:rPr>
          <w:rFonts w:ascii="宋体" w:hAnsi="宋体" w:cs="宋体" w:eastAsia="宋体" w:hint="default"/>
          <w:sz w:val="20"/>
          <w:szCs w:val="20"/>
        </w:rPr>
      </w:pPr>
    </w:p>
    <w:p>
      <w:pPr>
        <w:spacing w:line="547" w:lineRule="auto" w:before="0"/>
        <w:ind w:left="154" w:right="43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本企业子公司的情况详见附注八、</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1"/>
        <w:ind w:left="153" w:right="1351"/>
        <w:jc w:val="left"/>
      </w:pPr>
      <w:r>
        <w:rPr/>
        <w:t>本企业重要的合营或联营企业详见附注八、</w:t>
      </w:r>
      <w:r>
        <w:rPr>
          <w:rFonts w:ascii="Times New Roman" w:hAnsi="Times New Roman" w:cs="Times New Roman" w:eastAsia="Times New Roman" w:hint="default"/>
        </w:rPr>
        <w:t>3</w:t>
      </w:r>
      <w:r>
        <w:rPr/>
        <w:t>、在合营企业或联营企业中的权益。 本期与本公司发生关联方交易，或前期与本公司发生关联方交易形成余额的其他合营或联营企业情况如下：</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北京精典博维文化传媒有限公司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北京中环盛元数字图文有限公司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上海合印科技股份有限公司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杭州今典博唯文化创意有限公司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联营企业的子公司</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9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杭州都快交通久一点吧传媒有限公司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杭州一鼓智讯网络科技有限公司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布朗睿智（北京）国际教育科技有限公司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北京市丰台区布朗幼儿园</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联营企业举办的幼儿园</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北京市海淀区布朗幼儿园</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联营企业举办的幼儿园</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广州市增城区新康小学</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联营企业举办的小学</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海口市布朗幼儿园</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联营企业举办的幼儿园</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天津开发区布朗幼儿园</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联营企业举办的幼儿园</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杭州十九楼电子商务有限公司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联营企业的子公司</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每日商报社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杭州网络新闻中心</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杭州日报报业集团假日宾馆有限公司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杭州地铁文化传媒有限公司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杭州汉书数字出版传播有限公司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浙江杭报金都创意产业发展有限公司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浙江华朗实业有限公司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杭州城市通媒体有限公司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杭州读报人电子商务有限公司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杭州日报报业集团出版传媒控股有限公司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浙江新旺财商贸有限公司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浙江都市艺术文化发展有限公司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余杭晨报社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杭州风茂房地产代理有限公司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杭州富阳闻达电子商务有限公司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杭州风和会展有限公司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杭州萧文置业有限公司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杭州日报国际旅行社有限公司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国教视讯（北京）文化传媒有限公司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受本公司高级管理人员重大影响</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江苏省盛世广宏无线科技传播有限公司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受本公司高级管理人员重大影响</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深圳宏天高科技有限公司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受本公司高级管理人员重大影响</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宁波高新区新愿景股权投资有限公司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吴井军</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杭州市余杭新闻传媒中心</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浙江国大集团有限责任公司商业管理分公司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子公司少数股东的分公司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杭州泰一指尚科技有限公司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r>
              <w:rPr>
                <w:rFonts w:ascii="Times New Roman" w:hAnsi="Times New Roman" w:cs="Times New Roman" w:eastAsia="Times New Roman" w:hint="default"/>
                <w:sz w:val="18"/>
                <w:szCs w:val="18"/>
              </w:rPr>
              <w:t>, 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月将股权转让给本公司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杨治国</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林鹭华</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韩锋</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蒋谢珍</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郑美月</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刘志英</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冯岚</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德清己任创汇投资合伙企业（有限合伙）</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西安时代尚优文化传媒集团有限公司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杨柳</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580"/>
        <w:gridCol w:w="1831"/>
        <w:gridCol w:w="1193"/>
        <w:gridCol w:w="1369"/>
        <w:gridCol w:w="1540"/>
        <w:gridCol w:w="1181"/>
      </w:tblGrid>
      <w:tr>
        <w:trPr>
          <w:trHeight w:val="401" w:hRule="exact"/>
        </w:trPr>
        <w:tc>
          <w:tcPr>
            <w:tcW w:w="2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5"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浙江新旺财商贸有限公司</w:t>
            </w:r>
          </w:p>
        </w:tc>
        <w:tc>
          <w:tcPr>
            <w:tcW w:w="18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购买商品、活动费等</w:t>
            </w:r>
          </w:p>
        </w:tc>
        <w:tc>
          <w:tcPr>
            <w:tcW w:w="11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103,920.12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139,949.09</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8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采编服务、版权分成</w:t>
            </w:r>
          </w:p>
        </w:tc>
        <w:tc>
          <w:tcPr>
            <w:tcW w:w="11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85,303,757.85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85,245,283.02</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33"/>
              <w:jc w:val="left"/>
              <w:rPr>
                <w:rFonts w:ascii="宋体" w:hAnsi="宋体" w:cs="宋体" w:eastAsia="宋体" w:hint="default"/>
                <w:sz w:val="18"/>
                <w:szCs w:val="18"/>
              </w:rPr>
            </w:pPr>
            <w:r>
              <w:rPr>
                <w:rFonts w:ascii="宋体" w:hAnsi="宋体" w:cs="宋体" w:eastAsia="宋体" w:hint="default"/>
                <w:sz w:val="18"/>
                <w:szCs w:val="18"/>
              </w:rPr>
              <w:t>杭州日报报业集</w:t>
            </w:r>
            <w:r>
              <w:rPr>
                <w:rFonts w:ascii="宋体" w:hAnsi="宋体" w:cs="宋体" w:eastAsia="宋体" w:hint="default"/>
                <w:spacing w:val="-87"/>
                <w:sz w:val="18"/>
                <w:szCs w:val="18"/>
              </w:rPr>
              <w:t>团</w:t>
            </w:r>
            <w:r>
              <w:rPr>
                <w:rFonts w:ascii="宋体" w:hAnsi="宋体" w:cs="宋体" w:eastAsia="宋体" w:hint="default"/>
                <w:sz w:val="18"/>
                <w:szCs w:val="18"/>
              </w:rPr>
              <w:t>（杭州日报社</w:t>
            </w:r>
            <w:r>
              <w:rPr>
                <w:rFonts w:ascii="宋体" w:hAnsi="宋体" w:cs="宋体" w:eastAsia="宋体" w:hint="default"/>
                <w:spacing w:val="-34"/>
                <w:sz w:val="18"/>
                <w:szCs w:val="18"/>
              </w:rPr>
              <w:t>）</w:t>
            </w:r>
            <w:r>
              <w:rPr>
                <w:rFonts w:ascii="宋体" w:hAnsi="宋体" w:cs="宋体" w:eastAsia="宋体" w:hint="default"/>
                <w:sz w:val="18"/>
                <w:szCs w:val="18"/>
              </w:rPr>
            </w:r>
          </w:p>
        </w:tc>
        <w:tc>
          <w:tcPr>
            <w:tcW w:w="18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采编服务、活动费等</w:t>
            </w:r>
          </w:p>
        </w:tc>
        <w:tc>
          <w:tcPr>
            <w:tcW w:w="11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64,246,478.25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67,570,248.62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每日商报社</w:t>
            </w:r>
          </w:p>
        </w:tc>
        <w:tc>
          <w:tcPr>
            <w:tcW w:w="18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11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16,509,433.96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16,509,433.51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2580"/>
        <w:gridCol w:w="1843"/>
        <w:gridCol w:w="1181"/>
        <w:gridCol w:w="1369"/>
        <w:gridCol w:w="1540"/>
        <w:gridCol w:w="1181"/>
      </w:tblGrid>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18,166,799.53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20,689,387.56</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余杭晨报社</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11,461,706.81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11,383,127.55</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10,339,014.88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10,945,554.62</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杭州富阳闻达电子商务有限公司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3,759,886.88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3,973,571.58</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杭州汉书数字出版传播有限公司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设计服务、活动费等</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96,081.93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141,509.44</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116,615.60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浙江国大集团有限责任公司商业 管理分公司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488,577.14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杭州地铁文化传媒有限公司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广告、订报费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180,860.37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116,924.52</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杭州风和会展有限公司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活动费</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12,036.65</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杭州风茂房地产代理有限公司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广告代理</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40,171.72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136,157.55</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场地使用费、活动费等</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1,765,898.89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2,392,824.84</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杭州城市通媒体有限公司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广告、服务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27,184.47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69,165.05</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上海合印科技股份有限公司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印刷、加工费</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90,888.89</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1,716,789.04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2,292,268.55</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浙江都市艺术文化发展有限公司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购买商品、活动费等</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246,893.98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412,841.41</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杭州读报人电子商务有限公司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广告、活动费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4,266.97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1,520.09</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广告、服务费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1,849,528.26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1,764,040.52</w:t>
            </w:r>
          </w:p>
        </w:tc>
      </w:tr>
      <w:tr>
        <w:trPr>
          <w:trHeight w:val="714"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江苏省盛世广宏无线科技传播有 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视频制作费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943,396.23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771,226.42</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北京精典博维文化传媒有限公司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2,320.00</w:t>
            </w:r>
          </w:p>
        </w:tc>
      </w:tr>
      <w:tr>
        <w:trPr>
          <w:trHeight w:val="714"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杭州都快交通久一点吧传媒有限 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339,851.22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1,217,481.63</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杭州泰一指尚科技有限公司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866,897.71</w:t>
            </w: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活动费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159,067.92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杭州日报报业集团假日宾馆有限 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业务费、差旅费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2,651.66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36,908.55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杭州一鼓智讯网络科技有限公司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设计制作费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970.87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西安时代尚优文化传媒集团有限 公司</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广告代理、咨询费等</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3,218,445.23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5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221,125,622.33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226,744,658.82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0"/>
        <w:rPr>
          <w:rFonts w:ascii="Times New Roman" w:hAnsi="Times New Roman" w:cs="Times New Roman" w:eastAsia="Times New Roman" w:hint="default"/>
          <w:sz w:val="25"/>
          <w:szCs w:val="25"/>
        </w:rPr>
      </w:pPr>
    </w:p>
    <w:p>
      <w:pPr>
        <w:pStyle w:val="BodyText"/>
        <w:spacing w:line="240" w:lineRule="auto" w:before="44"/>
        <w:ind w:left="153"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760"/>
        <w:gridCol w:w="3349"/>
        <w:gridCol w:w="1244"/>
        <w:gridCol w:w="1340"/>
      </w:tblGrid>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杭州萧文置业有限公司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28,358.49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42,826.70</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杭州风茂房地产代理有限公司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广告及发行收入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1,348,301.88</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杭州日报报业集团假日宾馆有限公司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14.15</w:t>
            </w: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杭州日报报业集团出版传媒控股有限公司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刊登广告、活动宣传收入</w:t>
            </w:r>
          </w:p>
        </w:tc>
        <w:tc>
          <w:tcPr>
            <w:tcW w:w="124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716,875.01</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杭州网络新闻中心</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广告、服务收入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849,056.60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3,773,584.89</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浙江杭报金都创意产业发展有限公司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广告及印刷收入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289,801.85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53,428.77</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杭州都快交通久一点吧传媒有限公司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广告及印刷收入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14,151.94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42,294.21</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杭州城市通媒体有限公司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广告及印刷收入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21,056.60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28,984.58</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广告、会务活动及发行收入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5,782,157.43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3,305,641.53</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广告及出售商品</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2,069,344.34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999,019.34</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杭州富阳闻达电子商务有限公司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物流配送、广告及发行收入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240,985.51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248,113.21</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浙江都市艺术文化发展有限公司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广告、印刷、销售商品等收入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71,527.44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3,987,570.66</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杭州地铁文化传媒有限公司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印刷、广告、投递、销售商品等收入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4,217,718.50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4,788,855.61</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浙江华朗实业有限公司都市快报社</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广告、印刷、销售商品等收入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506,357.57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2,746,626.56</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广告、印刷、销售商品等收入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97,324.29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510,226.12</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杭州读报人电子商务有限公司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广告、印刷等收入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34,667.36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8,767.93</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浙江新旺财商贸有限公司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广告、印刷、销售商品等收入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27,029.06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350,550.35</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广告、印刷等收入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4,672,824.05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37,709,067.53</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广告、印刷、活动等收入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283,976.61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453,438.99</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上海合印科技股份有限公司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3,716,979.98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32,683,855.24</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北京精典博维文化传媒有限公司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100,807.88</w:t>
            </w: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北京中环盛元数字图文有限公司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印刷收入</w:t>
            </w:r>
          </w:p>
        </w:tc>
        <w:tc>
          <w:tcPr>
            <w:tcW w:w="124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3,301.89</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印刷、服务及出售商品</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2,659,236.13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5,903,342.20</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杭州汉书数字出版传播有限公司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印刷及出售商品</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710.35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4,288.27</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国教视讯（北京）文化传媒有限公司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19,543,189.39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8,171,875.57</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江苏省盛世广宏无线科技传播有限公司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262,920.89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209,075.95</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深圳宏天高科技有限公司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248,669.26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318,197.13</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出售商品、发行及印刷收入</w:t>
            </w:r>
          </w:p>
        </w:tc>
        <w:tc>
          <w:tcPr>
            <w:tcW w:w="124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3,261,097.61</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每日商报社</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出售商品、广告及印刷等收入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256,598.89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494,285.87</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活动宣传收入、广告及策划收入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385,377.36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332,075.47</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杭州日报国际旅行社有限公司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24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17,025.64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760"/>
        <w:gridCol w:w="3349"/>
        <w:gridCol w:w="1244"/>
        <w:gridCol w:w="1340"/>
      </w:tblGrid>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广告、销售商品收入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3,704.27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13,238.60</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杭州一鼓智讯网络科技有限公司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广告、销售商品收入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1,224.78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15,330.19</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余杭晨报社</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广告、销售商品收入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1,090,516.29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1,132,075.44</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广告收入</w:t>
            </w:r>
          </w:p>
        </w:tc>
        <w:tc>
          <w:tcPr>
            <w:tcW w:w="124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36,792.45</w:t>
            </w: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北京市海淀区布朗幼儿园</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582,524.25</w:t>
            </w: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北京市丰台区布朗幼儿园</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582,524.25</w:t>
            </w: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天津开发区布朗幼儿园</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194,174.75</w:t>
            </w: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布朗睿智（北京）国际教育科技有限公司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13,333.33</w:t>
            </w: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广州市增城区新康小学</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388,349.51</w:t>
            </w: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海口市布朗幼儿园</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194,174.75</w:t>
            </w: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广告、报刊收入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4,269.59</w:t>
            </w: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杭州十九楼电子商务有限公司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549,056.61</w:t>
            </w: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西安时代尚优文化传媒集团有限公司</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140,604.81</w:t>
            </w: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34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50,128,719.11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113,710,031.39</w:t>
            </w:r>
          </w:p>
        </w:tc>
      </w:tr>
    </w:tbl>
    <w:p>
      <w:pPr>
        <w:pStyle w:val="BodyText"/>
        <w:spacing w:line="240" w:lineRule="auto" w:before="51"/>
        <w:ind w:right="0"/>
        <w:jc w:val="left"/>
      </w:pPr>
      <w:r>
        <w:rPr/>
        <w:t>购销商品、提供和接受劳务的关联交易说明：无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6"/>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946"/>
        <w:gridCol w:w="2393"/>
        <w:gridCol w:w="2393"/>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杭州富阳闻达电子商务有限公司</w:t>
            </w:r>
          </w:p>
        </w:tc>
        <w:tc>
          <w:tcPr>
            <w:tcW w:w="19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15,945.94</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杭州今典博唯文化创意有限公司</w:t>
            </w:r>
          </w:p>
        </w:tc>
        <w:tc>
          <w:tcPr>
            <w:tcW w:w="19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14,414.41</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本公司作为承租方：</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4"/>
        <w:gridCol w:w="1702"/>
        <w:gridCol w:w="1931"/>
        <w:gridCol w:w="2392"/>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5"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7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8,205,686.30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7,197,911.23</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7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1,092,924.82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860,708.25</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浙江杭报金都创意产业发展有限公司</w:t>
            </w:r>
          </w:p>
        </w:tc>
        <w:tc>
          <w:tcPr>
            <w:tcW w:w="17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482,176.71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589,778.59</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17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347,619.04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余杭晨报社</w:t>
            </w:r>
          </w:p>
        </w:tc>
        <w:tc>
          <w:tcPr>
            <w:tcW w:w="17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108,926.65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105,420.00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17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浙江都市艺术文化发展有限公司</w:t>
            </w:r>
          </w:p>
        </w:tc>
        <w:tc>
          <w:tcPr>
            <w:tcW w:w="17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181,371.68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7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广告牌</w:t>
            </w:r>
          </w:p>
        </w:tc>
        <w:tc>
          <w:tcPr>
            <w:tcW w:w="1931"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544"/>
        <w:gridCol w:w="1702"/>
        <w:gridCol w:w="1931"/>
        <w:gridCol w:w="2392"/>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浙江国大集团有限责任公司商业管理分公司</w:t>
            </w:r>
          </w:p>
        </w:tc>
        <w:tc>
          <w:tcPr>
            <w:tcW w:w="17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场地</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2,226,151.68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322,327.04</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12,704,856.88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9,551,145.11</w:t>
            </w:r>
          </w:p>
        </w:tc>
      </w:tr>
    </w:tbl>
    <w:p>
      <w:pPr>
        <w:pStyle w:val="BodyText"/>
        <w:spacing w:line="240" w:lineRule="auto" w:before="51"/>
        <w:ind w:right="0"/>
        <w:jc w:val="left"/>
      </w:pPr>
      <w:r>
        <w:rPr/>
        <w:t>关联租赁情况说明：无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893"/>
        <w:gridCol w:w="1241"/>
        <w:gridCol w:w="1736"/>
        <w:gridCol w:w="1732"/>
        <w:gridCol w:w="2092"/>
      </w:tblGrid>
      <w:tr>
        <w:trPr>
          <w:trHeight w:val="401" w:hRule="exact"/>
        </w:trPr>
        <w:tc>
          <w:tcPr>
            <w:tcW w:w="28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2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0"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2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28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北京精典博维文化传媒有限公司</w:t>
            </w:r>
          </w:p>
        </w:tc>
        <w:tc>
          <w:tcPr>
            <w:tcW w:w="1241"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left="160" w:right="0"/>
              <w:jc w:val="left"/>
              <w:rPr>
                <w:rFonts w:ascii="Times New Roman" w:hAnsi="Times New Roman" w:cs="Times New Roman" w:eastAsia="Times New Roman" w:hint="default"/>
                <w:sz w:val="18"/>
                <w:szCs w:val="18"/>
              </w:rPr>
            </w:pPr>
            <w:r>
              <w:rPr>
                <w:rFonts w:ascii="Times New Roman"/>
                <w:sz w:val="18"/>
              </w:rPr>
              <w:t>14,000,000.00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本公司作为被担保方</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165"/>
        <w:gridCol w:w="1192"/>
        <w:gridCol w:w="1664"/>
        <w:gridCol w:w="1666"/>
        <w:gridCol w:w="2006"/>
      </w:tblGrid>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20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1192"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1192"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1192"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宁波高新区新愿景股权投资有限公司</w:t>
            </w:r>
          </w:p>
        </w:tc>
        <w:tc>
          <w:tcPr>
            <w:tcW w:w="1192"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吴井军</w:t>
            </w:r>
          </w:p>
        </w:tc>
        <w:tc>
          <w:tcPr>
            <w:tcW w:w="1192"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9,429,749.35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关联担保情况说明：无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79"/>
        <w:gridCol w:w="1147"/>
        <w:gridCol w:w="1915"/>
        <w:gridCol w:w="1914"/>
        <w:gridCol w:w="1886"/>
      </w:tblGrid>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4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1147"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1147"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1147"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1147"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1147"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1147"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1147"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2" w:hRule="exact"/>
        </w:trPr>
        <w:tc>
          <w:tcPr>
            <w:tcW w:w="954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1147"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1147"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2" w:hRule="exact"/>
        </w:trPr>
        <w:tc>
          <w:tcPr>
            <w:tcW w:w="2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杭州萧山日报资本管理有限公司</w:t>
            </w:r>
          </w:p>
        </w:tc>
        <w:tc>
          <w:tcPr>
            <w:tcW w:w="1147"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83"/>
        <w:gridCol w:w="1144"/>
        <w:gridCol w:w="1915"/>
        <w:gridCol w:w="1914"/>
        <w:gridCol w:w="1903"/>
      </w:tblGrid>
      <w:tr>
        <w:trPr>
          <w:trHeight w:val="402" w:hRule="exact"/>
        </w:trPr>
        <w:tc>
          <w:tcPr>
            <w:tcW w:w="26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杭州萧山日报资本管理有限公司</w:t>
            </w:r>
          </w:p>
        </w:tc>
        <w:tc>
          <w:tcPr>
            <w:tcW w:w="1144"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1,000,000.00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1,039.17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679.61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浙江华朗实业有限公司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北京精典博维股权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杭州泰一指尚科技有限公司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华泰一媒股权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萧报教育股权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15,752,900.00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华媒企业管理股权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90,565,000.00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241,417,900.00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1,718.78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6,456,357.00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5,748,709.68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562"/>
        <w:gridCol w:w="3699"/>
        <w:gridCol w:w="1295"/>
        <w:gridCol w:w="920"/>
        <w:gridCol w:w="1296"/>
        <w:gridCol w:w="920"/>
      </w:tblGrid>
      <w:tr>
        <w:trPr>
          <w:trHeight w:val="402" w:hRule="exact"/>
        </w:trPr>
        <w:tc>
          <w:tcPr>
            <w:tcW w:w="1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6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62" w:type="dxa"/>
            <w:vMerge/>
            <w:tcBorders>
              <w:left w:val="single" w:sz="4" w:space="0" w:color="000000"/>
              <w:bottom w:val="single" w:sz="4" w:space="0" w:color="000000"/>
              <w:right w:val="single" w:sz="4" w:space="0" w:color="000000"/>
            </w:tcBorders>
            <w:shd w:val="clear" w:color="auto" w:fill="D3D3D3"/>
          </w:tcPr>
          <w:p>
            <w:pPr/>
          </w:p>
        </w:tc>
        <w:tc>
          <w:tcPr>
            <w:tcW w:w="3699" w:type="dxa"/>
            <w:vMerge/>
            <w:tcBorders>
              <w:left w:val="single" w:sz="4" w:space="0" w:color="000000"/>
              <w:bottom w:val="single" w:sz="4" w:space="0" w:color="000000"/>
              <w:right w:val="single" w:sz="4" w:space="0" w:color="000000"/>
            </w:tcBorders>
            <w:shd w:val="clear" w:color="auto" w:fill="D3D3D3"/>
          </w:tcPr>
          <w:p>
            <w:pPr/>
          </w:p>
        </w:tc>
        <w:tc>
          <w:tcPr>
            <w:tcW w:w="1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上海合印科技股份有限公司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15,372,361.98</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16,091,893.10</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浙江都市艺术文化发展有限公司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1,717,250.00</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139,925.00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15,831,208.26</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29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610.61</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59,645.60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浙江华朗实业有限公司</w:t>
            </w:r>
          </w:p>
        </w:tc>
        <w:tc>
          <w:tcPr>
            <w:tcW w:w="129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1,210,300.00</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杭州萧文置业有限公司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2,520.00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北京精典博维文化传媒有限公司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1,772,138.87</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1,654,193.65</w:t>
            </w:r>
          </w:p>
        </w:tc>
        <w:tc>
          <w:tcPr>
            <w:tcW w:w="9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562"/>
        <w:gridCol w:w="3699"/>
        <w:gridCol w:w="1295"/>
        <w:gridCol w:w="920"/>
        <w:gridCol w:w="1296"/>
        <w:gridCol w:w="920"/>
      </w:tblGrid>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杭州地铁文化传媒有限公司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720,435.97</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740,852.76</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浙江新旺财商贸有限公司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1,107.90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江苏省盛世广宏无线科技传播有限公司</w:t>
            </w:r>
          </w:p>
        </w:tc>
        <w:tc>
          <w:tcPr>
            <w:tcW w:w="129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131,691.13</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杭州城市通媒体有限公司</w:t>
            </w:r>
          </w:p>
        </w:tc>
        <w:tc>
          <w:tcPr>
            <w:tcW w:w="129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5,800.00</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深圳宏天高科技有限公司</w:t>
            </w:r>
          </w:p>
        </w:tc>
        <w:tc>
          <w:tcPr>
            <w:tcW w:w="129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160,292.81</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29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46,476.25</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杭州读报人电子商务有限公司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47,628.37</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19,560.00</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64.00</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杭州都快交通久一点吧传媒有限公司</w:t>
            </w:r>
          </w:p>
        </w:tc>
        <w:tc>
          <w:tcPr>
            <w:tcW w:w="129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37,800.00</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杭州日报国际旅行社有限公司</w:t>
            </w:r>
          </w:p>
        </w:tc>
        <w:tc>
          <w:tcPr>
            <w:tcW w:w="129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19,920.00</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杭州泰一指尚科技有限公司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32,778.88</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31,814.28</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杭州一鼓智讯网络科技有限公司</w:t>
            </w:r>
          </w:p>
        </w:tc>
        <w:tc>
          <w:tcPr>
            <w:tcW w:w="129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16,250.00</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每日商报社</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365,950.00</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杭州文化产权交易所有限公司</w:t>
            </w:r>
          </w:p>
        </w:tc>
        <w:tc>
          <w:tcPr>
            <w:tcW w:w="129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1,692.00</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杭州富阳闻达电子商务有限公司</w:t>
            </w:r>
          </w:p>
        </w:tc>
        <w:tc>
          <w:tcPr>
            <w:tcW w:w="129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16,902.70</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广州市增城区新康小学</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海口市布朗幼儿园</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西安时代尚优文化传媒集团有限公司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140,604.81</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3,459.12</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31"/>
              <w:jc w:val="center"/>
              <w:rPr>
                <w:rFonts w:ascii="宋体" w:hAnsi="宋体" w:cs="宋体" w:eastAsia="宋体" w:hint="default"/>
                <w:sz w:val="18"/>
                <w:szCs w:val="18"/>
              </w:rPr>
            </w:pPr>
            <w:r>
              <w:rPr>
                <w:rFonts w:ascii="宋体" w:hAnsi="宋体" w:cs="宋体" w:eastAsia="宋体" w:hint="default"/>
                <w:sz w:val="18"/>
                <w:szCs w:val="18"/>
              </w:rPr>
              <w:t>合 计</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19,467,706.50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38,100,521.55</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129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31"/>
              <w:jc w:val="center"/>
              <w:rPr>
                <w:rFonts w:ascii="宋体" w:hAnsi="宋体" w:cs="宋体" w:eastAsia="宋体" w:hint="default"/>
                <w:sz w:val="18"/>
                <w:szCs w:val="18"/>
              </w:rPr>
            </w:pPr>
            <w:r>
              <w:rPr>
                <w:rFonts w:ascii="宋体" w:hAnsi="宋体" w:cs="宋体" w:eastAsia="宋体" w:hint="default"/>
                <w:sz w:val="18"/>
                <w:szCs w:val="18"/>
              </w:rPr>
              <w:t>合 计</w:t>
            </w:r>
          </w:p>
        </w:tc>
        <w:tc>
          <w:tcPr>
            <w:tcW w:w="129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浙江杭报金都创意产业发展有限公司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7,575.48</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3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7,575.48</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西安时代尚优文化传媒集团有限公司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1,670,637.61</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67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1,670,637.61</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浙江杭报金都创意产业发展有限公司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175,000.00</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29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109,146.00</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562"/>
        <w:gridCol w:w="3699"/>
        <w:gridCol w:w="1295"/>
        <w:gridCol w:w="920"/>
        <w:gridCol w:w="1296"/>
        <w:gridCol w:w="920"/>
      </w:tblGrid>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西安时代尚优文化传媒集团有限公司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4,740,160.00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浙江华朗实业有限公司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65,100,000.00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6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41"/>
              <w:jc w:val="center"/>
              <w:rPr>
                <w:rFonts w:ascii="宋体" w:hAnsi="宋体" w:cs="宋体" w:eastAsia="宋体" w:hint="default"/>
                <w:sz w:val="18"/>
                <w:szCs w:val="18"/>
              </w:rPr>
            </w:pPr>
            <w:r>
              <w:rPr>
                <w:rFonts w:ascii="宋体" w:hAnsi="宋体" w:cs="宋体" w:eastAsia="宋体" w:hint="default"/>
                <w:sz w:val="18"/>
                <w:szCs w:val="18"/>
              </w:rPr>
              <w:t>合计</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80,060,160.00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2" w:right="0"/>
              <w:jc w:val="left"/>
              <w:rPr>
                <w:rFonts w:ascii="Times New Roman" w:hAnsi="Times New Roman" w:cs="Times New Roman" w:eastAsia="Times New Roman" w:hint="default"/>
                <w:sz w:val="18"/>
                <w:szCs w:val="18"/>
              </w:rPr>
            </w:pPr>
            <w:r>
              <w:rPr>
                <w:rFonts w:ascii="Times New Roman"/>
                <w:sz w:val="18"/>
              </w:rPr>
              <w:t>284,146.00</w:t>
            </w:r>
          </w:p>
        </w:tc>
        <w:tc>
          <w:tcPr>
            <w:tcW w:w="9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589"/>
        <w:gridCol w:w="4862"/>
        <w:gridCol w:w="1652"/>
        <w:gridCol w:w="1590"/>
      </w:tblGrid>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289,034.36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2,841,781.22</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1,875,648.70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8,045,400.94</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杭州富阳闻达电子商务有限公司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191,386.78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161,228.55</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339,437.39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209,068.73</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杭州读报人电子商务有限公司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38,786.74</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38,786.74</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1,400.68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3,438.52</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杭州泰一指尚科技有限公司</w:t>
            </w:r>
          </w:p>
        </w:tc>
        <w:tc>
          <w:tcPr>
            <w:tcW w:w="1652"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190,000.00</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杭州网络新闻中心</w:t>
            </w:r>
          </w:p>
        </w:tc>
        <w:tc>
          <w:tcPr>
            <w:tcW w:w="1652"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江苏省盛世广宏无线科技传播有限公司</w:t>
            </w:r>
          </w:p>
        </w:tc>
        <w:tc>
          <w:tcPr>
            <w:tcW w:w="1652"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66,037.74</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上海合印科技股份有限公司</w:t>
            </w:r>
          </w:p>
        </w:tc>
        <w:tc>
          <w:tcPr>
            <w:tcW w:w="1652"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39,800.00</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393,194.57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255,425.43</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浙江国大集团有限责任公司商业管理分公司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47,283.01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322,327.04</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杭州都快交通久一点吧传媒有限公司</w:t>
            </w:r>
          </w:p>
        </w:tc>
        <w:tc>
          <w:tcPr>
            <w:tcW w:w="1652"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余杭晨报社</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1,306,877.70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911,429.59</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39,088.00</w:t>
            </w: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168,612.00</w:t>
            </w: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4,690,749.93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15,284,724.50</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2,980.00</w:t>
            </w: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652"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133,831.81</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2,980.00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133,831.81</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杭州市余杭新闻传媒中心</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980,000.00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980,000.00</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德清己任创汇投资合伙企业（有限合伙）</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993,600.00</w:t>
            </w: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国大集团有限责任公司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1,752,720.00</w:t>
            </w:r>
          </w:p>
        </w:tc>
        <w:tc>
          <w:tcPr>
            <w:tcW w:w="15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589"/>
        <w:gridCol w:w="4862"/>
        <w:gridCol w:w="1652"/>
        <w:gridCol w:w="1590"/>
      </w:tblGrid>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3,726,320.00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980,000.00</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133,324.52</w:t>
            </w: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133,324.52</w:t>
            </w: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林鹭华</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17,425,256.50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34,849,206.17</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3,811,774.86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7,623,263.85</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杨治国</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3,811,774.86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7,623,263.85</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蒋谢珍</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1,270,591.62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2,541,087.95</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刘志英</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544,539.26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1,089,037.69</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1,995,538.12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1,212,052.26</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冯岚</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181,513.08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363,012.56</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郑美月</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181,513.08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363,012.56</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100,568,000.00</w:t>
            </w: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宁波高新区新愿景股权投资有限公司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46,284,000.00</w:t>
            </w: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杨柳</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400,000.00</w:t>
            </w: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74,662,627.08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274,061.07</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24,000.00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24,000.00</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杭州风茂房地产代理有限公司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w:t>
            </w: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251,201,128.46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55,961,997.96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7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25"/>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4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125"/>
        <w:jc w:val="left"/>
      </w:pPr>
      <w:r>
        <w:rPr/>
        <w:t>资产负债表日存在的重要承诺</w:t>
      </w:r>
    </w:p>
    <w:p>
      <w:pPr>
        <w:pStyle w:val="BodyText"/>
        <w:spacing w:line="300" w:lineRule="auto" w:before="116"/>
        <w:ind w:left="633" w:right="3391" w:firstLine="58"/>
        <w:jc w:val="left"/>
      </w:pPr>
      <w:r>
        <w:rPr/>
        <w:t>（</w:t>
      </w:r>
      <w:r>
        <w:rPr>
          <w:rFonts w:ascii="Times New Roman" w:hAnsi="Times New Roman" w:cs="Times New Roman" w:eastAsia="Times New Roman" w:hint="default"/>
        </w:rPr>
        <w:t>1</w:t>
      </w:r>
      <w:r>
        <w:rPr/>
        <w:t>）经营租赁承诺 至资产负债表日止，本公司对外签订的不可撤销的经营租赁合约情况如下：</w:t>
      </w:r>
    </w:p>
    <w:p>
      <w:pPr>
        <w:spacing w:line="240" w:lineRule="auto" w:before="0"/>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4477"/>
        <w:gridCol w:w="2488"/>
        <w:gridCol w:w="2693"/>
      </w:tblGrid>
      <w:tr>
        <w:trPr>
          <w:trHeight w:val="337" w:hRule="exact"/>
        </w:trPr>
        <w:tc>
          <w:tcPr>
            <w:tcW w:w="447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69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3" w:hRule="exact"/>
        </w:trPr>
        <w:tc>
          <w:tcPr>
            <w:tcW w:w="447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488"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143,111,180.35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16,506,399.67</w:t>
            </w:r>
          </w:p>
        </w:tc>
      </w:tr>
      <w:tr>
        <w:trPr>
          <w:trHeight w:val="342"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135,934,409.49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5,681,024.12</w:t>
            </w:r>
          </w:p>
        </w:tc>
      </w:tr>
      <w:tr>
        <w:trPr>
          <w:trHeight w:val="342"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130,807,251.65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3,483,797.30</w:t>
            </w:r>
          </w:p>
        </w:tc>
      </w:tr>
      <w:tr>
        <w:trPr>
          <w:trHeight w:val="342"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127,564,469.87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11,427,028.55</w:t>
            </w:r>
          </w:p>
        </w:tc>
      </w:tr>
      <w:tr>
        <w:trPr>
          <w:trHeight w:val="342"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537,417,311.36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37,098,249.64</w:t>
            </w:r>
          </w:p>
        </w:tc>
      </w:tr>
    </w:tbl>
    <w:p>
      <w:pPr>
        <w:spacing w:line="240" w:lineRule="auto" w:before="2"/>
        <w:rPr>
          <w:rFonts w:ascii="宋体" w:hAnsi="宋体" w:cs="宋体" w:eastAsia="宋体" w:hint="default"/>
          <w:sz w:val="19"/>
          <w:szCs w:val="19"/>
        </w:rPr>
      </w:pPr>
    </w:p>
    <w:p>
      <w:pPr>
        <w:pStyle w:val="Heading3"/>
        <w:spacing w:line="240" w:lineRule="auto" w:before="35"/>
        <w:ind w:right="125"/>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633" w:right="125"/>
        <w:jc w:val="left"/>
      </w:pPr>
      <w:r>
        <w:rPr/>
        <w:t>未决诉讼仲裁形成的或有负债及其财务影响 </w:t>
      </w:r>
      <w:r>
        <w:rPr>
          <w:spacing w:val="-1"/>
        </w:rPr>
        <w:t>本公司的子公司杭州日报报业集团盛元印务有限公司本期作为原告起诉被告一：香港朵朵股份有限公司，被告二：义</w:t>
      </w:r>
    </w:p>
    <w:p>
      <w:pPr>
        <w:pStyle w:val="BodyText"/>
        <w:spacing w:line="300" w:lineRule="auto" w:before="19"/>
        <w:ind w:right="90" w:hanging="1"/>
        <w:jc w:val="left"/>
      </w:pPr>
      <w:r>
        <w:rPr/>
        <w:t>乌市朵朵电子商务有限公司，请求</w:t>
      </w:r>
      <w:r>
        <w:rPr>
          <w:rFonts w:ascii="Times New Roman" w:hAnsi="Times New Roman" w:cs="Times New Roman" w:eastAsia="Times New Roman" w:hint="default"/>
        </w:rPr>
        <w:t>1</w:t>
      </w:r>
      <w:r>
        <w:rPr/>
        <w:t>、判令被告一立即支付原告印刷款</w:t>
      </w:r>
      <w:r>
        <w:rPr>
          <w:rFonts w:ascii="Times New Roman" w:hAnsi="Times New Roman" w:cs="Times New Roman" w:eastAsia="Times New Roman" w:hint="default"/>
        </w:rPr>
        <w:t>3,016,444.00</w:t>
      </w:r>
      <w:r>
        <w:rPr/>
        <w:t>元整</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rFonts w:ascii="Times New Roman" w:hAnsi="Times New Roman" w:cs="Times New Roman" w:eastAsia="Times New Roman" w:hint="default"/>
        </w:rPr>
        <w:t>2</w:t>
      </w:r>
      <w:r>
        <w:rPr/>
        <w:t>、判令被告二承担连带责任；</w:t>
      </w:r>
      <w:r>
        <w:rPr>
          <w:rFonts w:ascii="Times New Roman" w:hAnsi="Times New Roman" w:cs="Times New Roman" w:eastAsia="Times New Roman" w:hint="default"/>
        </w:rPr>
        <w:t>3</w:t>
      </w:r>
      <w:r>
        <w:rPr/>
        <w:t>、</w:t>
      </w:r>
      <w:r>
        <w:rPr>
          <w:spacing w:val="-83"/>
        </w:rPr>
        <w:t> </w:t>
      </w:r>
      <w:r>
        <w:rPr/>
        <w:t>本案诉讼费由两被告共同承担。截至本财务报表批准报出日，本案还未开庭，杭州市下城区人民法院未对该诉讼作出判决。</w:t>
      </w:r>
    </w:p>
    <w:p>
      <w:pPr>
        <w:spacing w:line="240" w:lineRule="auto" w:before="6"/>
        <w:rPr>
          <w:rFonts w:ascii="宋体" w:hAnsi="宋体" w:cs="宋体" w:eastAsia="宋体" w:hint="default"/>
          <w:sz w:val="23"/>
          <w:szCs w:val="23"/>
        </w:rPr>
      </w:pPr>
    </w:p>
    <w:p>
      <w:pPr>
        <w:pStyle w:val="Heading3"/>
        <w:spacing w:line="240" w:lineRule="auto"/>
        <w:ind w:right="125"/>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4" w:right="69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Heading3"/>
        <w:spacing w:line="240" w:lineRule="auto" w:before="83"/>
        <w:ind w:right="125"/>
        <w:jc w:val="left"/>
        <w:rPr>
          <w:b w:val="0"/>
          <w:bCs w:val="0"/>
        </w:rPr>
      </w:pPr>
      <w:r>
        <w:rPr>
          <w:rFonts w:ascii="Times New Roman" w:hAnsi="Times New Roman" w:cs="Times New Roman" w:eastAsia="Times New Roman" w:hint="default"/>
        </w:rPr>
        <w:t>2</w:t>
      </w:r>
      <w:r>
        <w:rPr/>
        <w:t>、利润分配情况</w:t>
      </w:r>
      <w:r>
        <w:rPr>
          <w:b w:val="0"/>
          <w:bCs w:val="0"/>
        </w:rPr>
      </w:r>
    </w:p>
    <w:p>
      <w:pPr>
        <w:spacing w:after="0" w:line="240" w:lineRule="auto"/>
        <w:jc w:val="left"/>
        <w:sectPr>
          <w:pgSz w:w="11910" w:h="16840"/>
          <w:pgMar w:header="0" w:footer="982" w:top="1100" w:bottom="1180" w:left="980" w:right="940"/>
        </w:sectPr>
      </w:pPr>
    </w:p>
    <w:p>
      <w:pPr>
        <w:spacing w:line="240" w:lineRule="auto" w:before="9"/>
        <w:rPr>
          <w:rFonts w:ascii="宋体" w:hAnsi="宋体" w:cs="宋体" w:eastAsia="宋体" w:hint="default"/>
          <w:b/>
          <w:bCs/>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47" w:firstLine="480"/>
        <w:jc w:val="both"/>
      </w:pPr>
      <w:r>
        <w:rPr>
          <w:rFonts w:ascii="Times New Roman" w:hAnsi="Times New Roman" w:cs="Times New Roman" w:eastAsia="Times New Roman" w:hint="default"/>
        </w:rPr>
        <w:t>1</w:t>
      </w:r>
      <w:r>
        <w:rPr/>
        <w:t>、浙江华媒控股股份有限公司（以下简称：本公司）之全资子公司浙江华媒投资有限公司拟与杭州祈晟实业有限公</w:t>
      </w:r>
      <w:r>
        <w:rPr>
          <w:spacing w:val="1"/>
        </w:rPr>
        <w:t> </w:t>
      </w:r>
      <w:r>
        <w:rPr>
          <w:spacing w:val="-2"/>
        </w:rPr>
        <w:t>司、杭州凌晟投资管理合伙企业（有限合伙）和安扬资产管理（杭州）有限公司签署《杭州杭实华媒投资管理合伙企业（有</w:t>
      </w:r>
      <w:r>
        <w:rPr>
          <w:spacing w:val="-65"/>
        </w:rPr>
        <w:t> </w:t>
      </w:r>
      <w:r>
        <w:rPr>
          <w:spacing w:val="-65"/>
        </w:rPr>
      </w:r>
      <w:r>
        <w:rPr>
          <w:spacing w:val="-2"/>
        </w:rPr>
        <w:t>限合伙）合伙协议》，共同投资设立杭州杭实华媒投资管理合伙企业（有限合伙）（暂定名，最终以工商登记部门核准名称</w:t>
      </w:r>
      <w:r>
        <w:rPr>
          <w:spacing w:val="-65"/>
        </w:rPr>
        <w:t> </w:t>
      </w:r>
      <w:r>
        <w:rPr>
          <w:spacing w:val="-65"/>
        </w:rPr>
      </w:r>
      <w:r>
        <w:rPr/>
        <w:t>为准），其中杭州祈晟实业有限公司作为</w:t>
      </w:r>
      <w:r>
        <w:rPr>
          <w:rFonts w:ascii="Times New Roman" w:hAnsi="Times New Roman" w:cs="Times New Roman" w:eastAsia="Times New Roman" w:hint="default"/>
        </w:rPr>
        <w:t>GP</w:t>
      </w:r>
      <w:r>
        <w:rPr/>
        <w:t>认缴</w:t>
      </w:r>
      <w:r>
        <w:rPr>
          <w:rFonts w:ascii="Times New Roman" w:hAnsi="Times New Roman" w:cs="Times New Roman" w:eastAsia="Times New Roman" w:hint="default"/>
        </w:rPr>
        <w:t>40</w:t>
      </w:r>
      <w:r>
        <w:rPr/>
        <w:t>万元，占总规模的</w:t>
      </w:r>
      <w:r>
        <w:rPr>
          <w:rFonts w:ascii="Times New Roman" w:hAnsi="Times New Roman" w:cs="Times New Roman" w:eastAsia="Times New Roman" w:hint="default"/>
        </w:rPr>
        <w:t>0.1%</w:t>
      </w:r>
      <w:r>
        <w:rPr/>
        <w:t>；杭州凌晟投资管理合伙企业（有限合伙）作为</w:t>
      </w:r>
      <w:r>
        <w:rPr>
          <w:spacing w:val="-66"/>
        </w:rPr>
        <w:t> </w:t>
      </w:r>
      <w:r>
        <w:rPr>
          <w:spacing w:val="-66"/>
        </w:rPr>
      </w:r>
      <w:r>
        <w:rPr>
          <w:rFonts w:ascii="Times New Roman" w:hAnsi="Times New Roman" w:cs="Times New Roman" w:eastAsia="Times New Roman" w:hint="default"/>
          <w:spacing w:val="-4"/>
        </w:rPr>
        <w:t>LP</w:t>
      </w:r>
      <w:r>
        <w:rPr>
          <w:spacing w:val="-4"/>
        </w:rPr>
        <w:t>出资</w:t>
      </w:r>
      <w:r>
        <w:rPr>
          <w:rFonts w:ascii="Times New Roman" w:hAnsi="Times New Roman" w:cs="Times New Roman" w:eastAsia="Times New Roman" w:hint="default"/>
          <w:spacing w:val="-4"/>
        </w:rPr>
        <w:t>19,800</w:t>
      </w:r>
      <w:r>
        <w:rPr>
          <w:spacing w:val="-4"/>
        </w:rPr>
        <w:t>万元，占总规模的</w:t>
      </w:r>
      <w:r>
        <w:rPr>
          <w:rFonts w:ascii="Times New Roman" w:hAnsi="Times New Roman" w:cs="Times New Roman" w:eastAsia="Times New Roman" w:hint="default"/>
          <w:spacing w:val="-4"/>
        </w:rPr>
        <w:t>49.5%</w:t>
      </w:r>
      <w:r>
        <w:rPr>
          <w:spacing w:val="-4"/>
        </w:rPr>
        <w:t>；浙江华媒投资有限公司作为</w:t>
      </w:r>
      <w:r>
        <w:rPr>
          <w:rFonts w:ascii="Times New Roman" w:hAnsi="Times New Roman" w:cs="Times New Roman" w:eastAsia="Times New Roman" w:hint="default"/>
          <w:spacing w:val="-4"/>
        </w:rPr>
        <w:t>LP</w:t>
      </w:r>
      <w:r>
        <w:rPr>
          <w:spacing w:val="-4"/>
        </w:rPr>
        <w:t>出资</w:t>
      </w:r>
      <w:r>
        <w:rPr>
          <w:rFonts w:ascii="Times New Roman" w:hAnsi="Times New Roman" w:cs="Times New Roman" w:eastAsia="Times New Roman" w:hint="default"/>
          <w:spacing w:val="-4"/>
        </w:rPr>
        <w:t>19,800</w:t>
      </w:r>
      <w:r>
        <w:rPr>
          <w:spacing w:val="-4"/>
        </w:rPr>
        <w:t>万元，占总规模的</w:t>
      </w:r>
      <w:r>
        <w:rPr>
          <w:rFonts w:ascii="Times New Roman" w:hAnsi="Times New Roman" w:cs="Times New Roman" w:eastAsia="Times New Roman" w:hint="default"/>
          <w:spacing w:val="-4"/>
        </w:rPr>
        <w:t>49.5%</w:t>
      </w:r>
      <w:r>
        <w:rPr>
          <w:spacing w:val="-4"/>
        </w:rPr>
        <w:t>；安扬资产管理（杭</w:t>
      </w:r>
      <w:r>
        <w:rPr>
          <w:spacing w:val="-87"/>
        </w:rPr>
        <w:t> </w:t>
      </w:r>
      <w:r>
        <w:rPr>
          <w:spacing w:val="-87"/>
        </w:rPr>
      </w:r>
      <w:r>
        <w:rPr/>
        <w:t>州）有限公司作为</w:t>
      </w:r>
      <w:r>
        <w:rPr>
          <w:rFonts w:ascii="Times New Roman" w:hAnsi="Times New Roman" w:cs="Times New Roman" w:eastAsia="Times New Roman" w:hint="default"/>
        </w:rPr>
        <w:t>LP</w:t>
      </w:r>
      <w:r>
        <w:rPr/>
        <w:t>出资</w:t>
      </w:r>
      <w:r>
        <w:rPr>
          <w:rFonts w:ascii="Times New Roman" w:hAnsi="Times New Roman" w:cs="Times New Roman" w:eastAsia="Times New Roman" w:hint="default"/>
        </w:rPr>
        <w:t>360</w:t>
      </w:r>
      <w:r>
        <w:rPr/>
        <w:t>万元，占总规模的</w:t>
      </w:r>
      <w:r>
        <w:rPr>
          <w:rFonts w:ascii="Times New Roman" w:hAnsi="Times New Roman" w:cs="Times New Roman" w:eastAsia="Times New Roman" w:hint="default"/>
        </w:rPr>
        <w:t>0.9%</w:t>
      </w:r>
      <w:r>
        <w:rPr/>
        <w:t>。</w:t>
      </w:r>
    </w:p>
    <w:p>
      <w:pPr>
        <w:pStyle w:val="BodyText"/>
        <w:spacing w:line="302" w:lineRule="auto" w:before="7"/>
        <w:ind w:right="137" w:firstLine="480"/>
        <w:jc w:val="left"/>
      </w:pPr>
      <w:r>
        <w:rPr>
          <w:rFonts w:ascii="Times New Roman" w:hAnsi="Times New Roman" w:cs="Times New Roman" w:eastAsia="Times New Roman" w:hint="default"/>
          <w:spacing w:val="-1"/>
        </w:rPr>
        <w:t>2</w:t>
      </w:r>
      <w:r>
        <w:rPr>
          <w:spacing w:val="-1"/>
        </w:rPr>
        <w:t>、根据孙公司浙江风盛传媒股份有限公司（以下简称：风盛传媒）</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25</w:t>
      </w:r>
      <w:r>
        <w:rPr>
          <w:spacing w:val="-1"/>
        </w:rPr>
        <w:t>日董事会决议，风盛传媒与西安时代</w:t>
      </w:r>
      <w:r>
        <w:rPr/>
        <w:t> </w:t>
      </w:r>
      <w:r>
        <w:rPr>
          <w:spacing w:val="-2"/>
        </w:rPr>
        <w:t>尚优文化传媒集团有限公司、陈美、游晶晶、赖琼玉、阮丽明、张兴忠共同出资设立子公司福州风盛传媒有限公司，注册地</w:t>
      </w:r>
      <w:r>
        <w:rPr>
          <w:spacing w:val="-69"/>
        </w:rPr>
        <w:t> </w:t>
      </w:r>
      <w:r>
        <w:rPr>
          <w:spacing w:val="-69"/>
        </w:rPr>
      </w:r>
      <w:r>
        <w:rPr>
          <w:spacing w:val="-2"/>
        </w:rPr>
        <w:t>为福州，注册资本为人民币</w:t>
      </w:r>
      <w:r>
        <w:rPr>
          <w:rFonts w:ascii="Times New Roman" w:hAnsi="Times New Roman" w:cs="Times New Roman" w:eastAsia="Times New Roman" w:hint="default"/>
          <w:spacing w:val="-2"/>
        </w:rPr>
        <w:t>300</w:t>
      </w:r>
      <w:r>
        <w:rPr>
          <w:spacing w:val="-2"/>
        </w:rPr>
        <w:t>万元，其中风盛传媒出资人民币</w:t>
      </w:r>
      <w:r>
        <w:rPr>
          <w:rFonts w:ascii="Times New Roman" w:hAnsi="Times New Roman" w:cs="Times New Roman" w:eastAsia="Times New Roman" w:hint="default"/>
          <w:spacing w:val="-2"/>
        </w:rPr>
        <w:t>1,050,000.00</w:t>
      </w:r>
      <w:r>
        <w:rPr>
          <w:rFonts w:ascii="Times New Roman" w:hAnsi="Times New Roman" w:cs="Times New Roman" w:eastAsia="Times New Roman" w:hint="default"/>
        </w:rPr>
        <w:t> </w:t>
      </w:r>
      <w:r>
        <w:rPr>
          <w:spacing w:val="-2"/>
        </w:rPr>
        <w:t>元，占注册资本的</w:t>
      </w:r>
      <w:r>
        <w:rPr>
          <w:rFonts w:ascii="Times New Roman" w:hAnsi="Times New Roman" w:cs="Times New Roman" w:eastAsia="Times New Roman" w:hint="default"/>
          <w:spacing w:val="-2"/>
        </w:rPr>
        <w:t>35%</w:t>
      </w:r>
      <w:r>
        <w:rPr>
          <w:spacing w:val="-2"/>
        </w:rPr>
        <w:t>；西安时代尚优文化传媒</w:t>
      </w:r>
      <w:r>
        <w:rPr>
          <w:spacing w:val="-71"/>
        </w:rPr>
        <w:t> </w:t>
      </w:r>
      <w:r>
        <w:rPr>
          <w:spacing w:val="-71"/>
        </w:rPr>
      </w:r>
      <w:r>
        <w:rPr/>
        <w:t>集团有限公司出资人民币</w:t>
      </w:r>
      <w:r>
        <w:rPr>
          <w:rFonts w:ascii="Times New Roman" w:hAnsi="Times New Roman" w:cs="Times New Roman" w:eastAsia="Times New Roman" w:hint="default"/>
        </w:rPr>
        <w:t>390,000.00</w:t>
      </w:r>
      <w:r>
        <w:rPr/>
        <w:t>元，占注册资本的</w:t>
      </w:r>
      <w:r>
        <w:rPr>
          <w:spacing w:val="-20"/>
        </w:rPr>
        <w:t> </w:t>
      </w:r>
      <w:r>
        <w:rPr>
          <w:rFonts w:ascii="Times New Roman" w:hAnsi="Times New Roman" w:cs="Times New Roman" w:eastAsia="Times New Roman" w:hint="default"/>
        </w:rPr>
        <w:t>13%</w:t>
      </w:r>
      <w:r>
        <w:rPr/>
        <w:t>；陈美出资人民币</w:t>
      </w:r>
      <w:r>
        <w:rPr>
          <w:rFonts w:ascii="Times New Roman" w:hAnsi="Times New Roman" w:cs="Times New Roman" w:eastAsia="Times New Roman" w:hint="default"/>
        </w:rPr>
        <w:t>600,000.00</w:t>
      </w:r>
      <w:r>
        <w:rPr/>
        <w:t>元，占注册资本的</w:t>
      </w:r>
      <w:r>
        <w:rPr>
          <w:rFonts w:ascii="Times New Roman" w:hAnsi="Times New Roman" w:cs="Times New Roman" w:eastAsia="Times New Roman" w:hint="default"/>
        </w:rPr>
        <w:t>20%</w:t>
      </w:r>
      <w:r>
        <w:rPr/>
        <w:t>；游晶晶出 </w:t>
      </w:r>
      <w:r>
        <w:rPr>
          <w:spacing w:val="-2"/>
        </w:rPr>
        <w:t>资人民币</w:t>
      </w:r>
      <w:r>
        <w:rPr>
          <w:rFonts w:ascii="Times New Roman" w:hAnsi="Times New Roman" w:cs="Times New Roman" w:eastAsia="Times New Roman" w:hint="default"/>
          <w:spacing w:val="-2"/>
        </w:rPr>
        <w:t>270,000.00</w:t>
      </w:r>
      <w:r>
        <w:rPr>
          <w:spacing w:val="-2"/>
        </w:rPr>
        <w:t>元，占注册资本的</w:t>
      </w:r>
      <w:r>
        <w:rPr>
          <w:rFonts w:ascii="Times New Roman" w:hAnsi="Times New Roman" w:cs="Times New Roman" w:eastAsia="Times New Roman" w:hint="default"/>
          <w:spacing w:val="-2"/>
        </w:rPr>
        <w:t>9%</w:t>
      </w:r>
      <w:r>
        <w:rPr>
          <w:spacing w:val="-2"/>
        </w:rPr>
        <w:t>；赖琼玉出资人民币</w:t>
      </w:r>
      <w:r>
        <w:rPr>
          <w:rFonts w:ascii="Times New Roman" w:hAnsi="Times New Roman" w:cs="Times New Roman" w:eastAsia="Times New Roman" w:hint="default"/>
          <w:spacing w:val="-2"/>
        </w:rPr>
        <w:t>210,000.00</w:t>
      </w:r>
      <w:r>
        <w:rPr>
          <w:spacing w:val="-2"/>
        </w:rPr>
        <w:t>元，占注册资本的</w:t>
      </w:r>
      <w:r>
        <w:rPr>
          <w:rFonts w:ascii="Times New Roman" w:hAnsi="Times New Roman" w:cs="Times New Roman" w:eastAsia="Times New Roman" w:hint="default"/>
          <w:spacing w:val="-2"/>
        </w:rPr>
        <w:t>7%</w:t>
      </w:r>
      <w:r>
        <w:rPr>
          <w:spacing w:val="-2"/>
        </w:rPr>
        <w:t>；阮丽明出资人民币</w:t>
      </w:r>
      <w:r>
        <w:rPr>
          <w:rFonts w:ascii="Times New Roman" w:hAnsi="Times New Roman" w:cs="Times New Roman" w:eastAsia="Times New Roman" w:hint="default"/>
          <w:spacing w:val="-2"/>
        </w:rPr>
        <w:t>240,000.00</w:t>
      </w:r>
      <w:r>
        <w:rPr>
          <w:rFonts w:ascii="Times New Roman" w:hAnsi="Times New Roman" w:cs="Times New Roman" w:eastAsia="Times New Roman" w:hint="default"/>
          <w:spacing w:val="-19"/>
        </w:rPr>
        <w:t> </w:t>
      </w:r>
      <w:r>
        <w:rPr/>
        <w:t>元，占注册资本的</w:t>
      </w:r>
      <w:r>
        <w:rPr>
          <w:rFonts w:ascii="Times New Roman" w:hAnsi="Times New Roman" w:cs="Times New Roman" w:eastAsia="Times New Roman" w:hint="default"/>
        </w:rPr>
        <w:t>8%</w:t>
      </w:r>
      <w:r>
        <w:rPr/>
        <w:t>；张兴忠出资人民币</w:t>
      </w:r>
      <w:r>
        <w:rPr>
          <w:rFonts w:ascii="Times New Roman" w:hAnsi="Times New Roman" w:cs="Times New Roman" w:eastAsia="Times New Roman" w:hint="default"/>
        </w:rPr>
        <w:t>240,000.00</w:t>
      </w:r>
      <w:r>
        <w:rPr>
          <w:rFonts w:ascii="Times New Roman" w:hAnsi="Times New Roman" w:cs="Times New Roman" w:eastAsia="Times New Roman" w:hint="default"/>
          <w:spacing w:val="18"/>
        </w:rPr>
        <w:t> </w:t>
      </w:r>
      <w:r>
        <w:rPr/>
        <w:t>元，占注册资本的</w:t>
      </w:r>
      <w:r>
        <w:rPr>
          <w:rFonts w:ascii="Times New Roman" w:hAnsi="Times New Roman" w:cs="Times New Roman" w:eastAsia="Times New Roman" w:hint="default"/>
        </w:rPr>
        <w:t>8%</w:t>
      </w:r>
      <w:r>
        <w:rPr/>
        <w:t>。其中，风盛传媒与西安时代尚优文化传媒集团 </w:t>
      </w:r>
      <w:r>
        <w:rPr>
          <w:spacing w:val="-2"/>
        </w:rPr>
        <w:t>有限公司、游晶晶、赖琼玉、阮丽明、张兴忠为一致行动人。福州风盛传媒有限公司于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w:t>
      </w:r>
      <w:r>
        <w:rPr>
          <w:spacing w:val="-2"/>
        </w:rPr>
        <w:t>日经福州市鼓楼区市场监</w:t>
      </w:r>
      <w:r>
        <w:rPr>
          <w:spacing w:val="-60"/>
        </w:rPr>
        <w:t> </w:t>
      </w:r>
      <w:r>
        <w:rPr/>
        <w:t>督管理局核准登记。企业法人统一社会信用代码：</w:t>
      </w:r>
      <w:r>
        <w:rPr>
          <w:rFonts w:ascii="Times New Roman" w:hAnsi="Times New Roman" w:cs="Times New Roman" w:eastAsia="Times New Roman" w:hint="default"/>
        </w:rPr>
        <w:t>91350102MA31GD8Y5C</w:t>
      </w:r>
      <w:r>
        <w:rPr/>
        <w:t>。注册地址为福建省福州市鼓楼区通湖路与道山 路交叉口则徐小学综合楼三楼西侧南区。经营范围为设计、制作、代理、发布国内各类广告。</w:t>
      </w:r>
    </w:p>
    <w:p>
      <w:pPr>
        <w:pStyle w:val="BodyText"/>
        <w:spacing w:line="300" w:lineRule="auto" w:before="29"/>
        <w:ind w:left="153" w:right="151" w:firstLine="480"/>
        <w:jc w:val="both"/>
      </w:pPr>
      <w:r>
        <w:rPr>
          <w:rFonts w:ascii="Times New Roman" w:hAnsi="Times New Roman" w:cs="Times New Roman" w:eastAsia="Times New Roman" w:hint="default"/>
          <w:spacing w:val="-1"/>
        </w:rPr>
        <w:t>3</w:t>
      </w:r>
      <w:r>
        <w:rPr>
          <w:spacing w:val="-1"/>
        </w:rPr>
        <w:t>、为满足浙江华媒控股股份有限公司经营和业务发展的需要，进一步拓宽融资渠道，降低融资成本，公司于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rFonts w:ascii="Times New Roman" w:hAnsi="Times New Roman" w:cs="Times New Roman" w:eastAsia="Times New Roman" w:hint="default"/>
        </w:rPr>
        <w:t> </w:t>
      </w:r>
      <w:r>
        <w:rPr/>
        <w:t>月</w:t>
      </w:r>
      <w:r>
        <w:rPr>
          <w:rFonts w:ascii="Times New Roman" w:hAnsi="Times New Roman" w:cs="Times New Roman" w:eastAsia="Times New Roman" w:hint="default"/>
        </w:rPr>
        <w:t>9</w:t>
      </w:r>
      <w:r>
        <w:rPr/>
        <w:t>日召开第八届董事会第二十七次会议，审议通过了《关于发行超短期融资券的议案》，公司拟向中国银行间市场交易商 协会申请注册发行总额不超过人民币</w:t>
      </w:r>
      <w:r>
        <w:rPr>
          <w:rFonts w:ascii="Times New Roman" w:hAnsi="Times New Roman" w:cs="Times New Roman" w:eastAsia="Times New Roman" w:hint="default"/>
        </w:rPr>
        <w:t>15</w:t>
      </w:r>
      <w:r>
        <w:rPr/>
        <w:t>亿元的超短期融资券。公司拟面向合格投资者公开发行不超过人民币</w:t>
      </w:r>
      <w:r>
        <w:rPr>
          <w:spacing w:val="-19"/>
        </w:rPr>
        <w:t> </w:t>
      </w:r>
      <w:r>
        <w:rPr>
          <w:rFonts w:ascii="Times New Roman" w:hAnsi="Times New Roman" w:cs="Times New Roman" w:eastAsia="Times New Roman" w:hint="default"/>
        </w:rPr>
        <w:t>7</w:t>
      </w:r>
      <w:r>
        <w:rPr/>
        <w:t>亿元（含</w:t>
      </w:r>
      <w:r>
        <w:rPr>
          <w:rFonts w:ascii="Times New Roman" w:hAnsi="Times New Roman" w:cs="Times New Roman" w:eastAsia="Times New Roman" w:hint="default"/>
        </w:rPr>
        <w:t>7</w:t>
      </w:r>
      <w:r>
        <w:rPr/>
        <w:t>亿 元）的公司债券，本次公司债期限不超过</w:t>
      </w:r>
      <w:r>
        <w:rPr>
          <w:rFonts w:ascii="Times New Roman" w:hAnsi="Times New Roman" w:cs="Times New Roman" w:eastAsia="Times New Roman" w:hint="default"/>
        </w:rPr>
        <w:t>5</w:t>
      </w:r>
      <w:r>
        <w:rPr/>
        <w:t>年（含</w:t>
      </w:r>
      <w:r>
        <w:rPr>
          <w:rFonts w:ascii="Times New Roman" w:hAnsi="Times New Roman" w:cs="Times New Roman" w:eastAsia="Times New Roman" w:hint="default"/>
        </w:rPr>
        <w:t>5</w:t>
      </w:r>
      <w:r>
        <w:rPr/>
        <w:t>年），可以为单一期限品种，也可以为多种期限的混合品种。</w:t>
      </w:r>
    </w:p>
    <w:p>
      <w:pPr>
        <w:pStyle w:val="BodyText"/>
        <w:spacing w:line="240" w:lineRule="auto" w:before="13"/>
        <w:ind w:left="634" w:right="0"/>
        <w:jc w:val="left"/>
      </w:pPr>
      <w:r>
        <w:rPr>
          <w:rFonts w:ascii="Times New Roman" w:hAnsi="Times New Roman" w:cs="Times New Roman" w:eastAsia="Times New Roman" w:hint="default"/>
          <w:spacing w:val="2"/>
        </w:rPr>
        <w:t>4</w:t>
      </w:r>
      <w:r>
        <w:rPr>
          <w:spacing w:val="2"/>
        </w:rPr>
        <w:t>、根据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日公司第八届董事会第二十八次会议通过的</w:t>
      </w:r>
      <w:r>
        <w:rPr>
          <w:rFonts w:ascii="Times New Roman" w:hAnsi="Times New Roman" w:cs="Times New Roman" w:eastAsia="Times New Roman" w:hint="default"/>
          <w:spacing w:val="2"/>
        </w:rPr>
        <w:t>2017</w:t>
      </w:r>
      <w:r>
        <w:rPr>
          <w:spacing w:val="2"/>
        </w:rPr>
        <w:t>年度利润分配方案，以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
    </w:p>
    <w:p>
      <w:pPr>
        <w:pStyle w:val="BodyText"/>
        <w:spacing w:line="300" w:lineRule="auto" w:before="63"/>
        <w:ind w:right="0"/>
        <w:jc w:val="left"/>
      </w:pPr>
      <w:r>
        <w:rPr>
          <w:rFonts w:ascii="Times New Roman" w:hAnsi="Times New Roman" w:cs="Times New Roman" w:eastAsia="Times New Roman" w:hint="default"/>
        </w:rPr>
        <w:t>1,017,698,410</w:t>
      </w:r>
      <w:r>
        <w:rPr/>
        <w:t>股为基数，每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0.15</w:t>
      </w:r>
      <w:r>
        <w:rPr/>
        <w:t>元（含税），合计</w:t>
      </w:r>
      <w:r>
        <w:rPr>
          <w:rFonts w:ascii="Times New Roman" w:hAnsi="Times New Roman" w:cs="Times New Roman" w:eastAsia="Times New Roman" w:hint="default"/>
        </w:rPr>
        <w:t>15,265,476.15</w:t>
      </w:r>
      <w:r>
        <w:rPr/>
        <w:t>元（含税），上述利润分配预案尚待股东</w:t>
      </w:r>
      <w:r>
        <w:rPr>
          <w:spacing w:val="-51"/>
        </w:rPr>
        <w:t> </w:t>
      </w:r>
      <w:r>
        <w:rPr>
          <w:spacing w:val="-51"/>
        </w:rPr>
      </w:r>
      <w:r>
        <w:rPr/>
        <w:t>大会审议批准。</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after="0" w:line="240" w:lineRule="auto"/>
        <w:jc w:val="left"/>
        <w:sectPr>
          <w:pgSz w:w="11910" w:h="16840"/>
          <w:pgMar w:header="0" w:footer="982" w:top="1100" w:bottom="1180" w:left="980" w:right="980"/>
        </w:sectPr>
      </w:pPr>
    </w:p>
    <w:p>
      <w:pPr>
        <w:spacing w:line="240" w:lineRule="auto" w:before="9"/>
        <w:rPr>
          <w:rFonts w:ascii="宋体" w:hAnsi="宋体" w:cs="宋体" w:eastAsia="宋体" w:hint="default"/>
          <w:b/>
          <w:bCs/>
          <w:sz w:val="20"/>
          <w:szCs w:val="20"/>
        </w:rPr>
      </w:pPr>
    </w:p>
    <w:p>
      <w:pPr>
        <w:pStyle w:val="Heading3"/>
        <w:spacing w:line="240" w:lineRule="auto" w:before="35"/>
        <w:ind w:right="125"/>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5"/>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left="153" w:right="188" w:firstLine="471"/>
        <w:jc w:val="both"/>
      </w:pPr>
      <w:r>
        <w:rPr/>
        <w:t>根据本公司的内部组织结构、管理要求及内部报告制度，本公司的经营业务划分为</w:t>
      </w:r>
      <w:r>
        <w:rPr>
          <w:rFonts w:ascii="Times New Roman" w:hAnsi="Times New Roman" w:cs="Times New Roman" w:eastAsia="Times New Roman" w:hint="default"/>
        </w:rPr>
        <w:t>3</w:t>
      </w:r>
      <w:r>
        <w:rPr/>
        <w:t>个经营分部，本公司的管理层定 期评价这些分部的经营成果，以决定向其分配资源及评价其业绩。在经营分部的基础上本公司确定了</w:t>
      </w:r>
      <w:r>
        <w:rPr>
          <w:rFonts w:ascii="Times New Roman" w:hAnsi="Times New Roman" w:cs="Times New Roman" w:eastAsia="Times New Roman" w:hint="default"/>
        </w:rPr>
        <w:t>3</w:t>
      </w:r>
      <w:r>
        <w:rPr/>
        <w:t>个报告分部，分别为</w:t>
      </w:r>
      <w:r>
        <w:rPr>
          <w:spacing w:val="-84"/>
        </w:rPr>
        <w:t> </w:t>
      </w:r>
      <w:r>
        <w:rPr>
          <w:spacing w:val="-84"/>
        </w:rPr>
      </w:r>
      <w:r>
        <w:rPr>
          <w:spacing w:val="-2"/>
        </w:rPr>
        <w:t>报刊发行业广告策划及印刷相关业务、信息服务业务、教育培训业务。这些报告分部是以主营业务收入的性质不同为基础确</w:t>
      </w:r>
      <w:r>
        <w:rPr>
          <w:spacing w:val="-66"/>
        </w:rPr>
        <w:t> </w:t>
      </w:r>
      <w:r>
        <w:rPr>
          <w:spacing w:val="-66"/>
        </w:rPr>
      </w:r>
      <w:r>
        <w:rPr>
          <w:spacing w:val="-2"/>
        </w:rPr>
        <w:t>定的。本公司的报刊发行业广告策划及印刷相关业务分部主要提供的主要产品及劳务为：设计、制作、代理、发布国内广告</w:t>
      </w:r>
    </w:p>
    <w:p>
      <w:pPr>
        <w:pStyle w:val="BodyText"/>
        <w:spacing w:line="316" w:lineRule="auto" w:before="26"/>
        <w:ind w:left="153" w:right="91"/>
        <w:jc w:val="left"/>
      </w:pPr>
      <w:r>
        <w:rPr>
          <w:spacing w:val="-4"/>
        </w:rPr>
        <w:t>（除网络广告发布），文化艺术交流活动策划、会展服务，出版物、包装装潢、其他印刷品印刷（限分支机构经营），批发、</w:t>
      </w:r>
      <w:r>
        <w:rPr>
          <w:spacing w:val="-50"/>
        </w:rPr>
        <w:t> </w:t>
      </w:r>
      <w:r>
        <w:rPr>
          <w:spacing w:val="-50"/>
        </w:rPr>
      </w:r>
      <w:r>
        <w:rPr/>
        <w:t>零售，印刷器材、印刷物资；信息服务业务分部主要提供的主要产品及劳务为：计算机网络领域内的技术开发、技术服务， </w:t>
      </w:r>
      <w:r>
        <w:rPr>
          <w:spacing w:val="-2"/>
        </w:rPr>
        <w:t>计算机网络领域内的技术开发、技术服务，中国手机视频业务的推广与运营；教育培训业务分部提供的主要产品和劳务为教</w:t>
      </w:r>
      <w:r>
        <w:rPr>
          <w:spacing w:val="-66"/>
        </w:rPr>
        <w:t> </w:t>
      </w:r>
      <w:r>
        <w:rPr>
          <w:spacing w:val="-66"/>
        </w:rPr>
      </w:r>
      <w:r>
        <w:rPr/>
        <w:t>育管理、教育咨询、声乐培训、舞蹈培训、技术开发、技术转让、技术咨询、技术服务、技术培训。</w:t>
      </w:r>
    </w:p>
    <w:p>
      <w:pPr>
        <w:pStyle w:val="BodyText"/>
        <w:spacing w:line="316" w:lineRule="auto" w:before="19"/>
        <w:ind w:left="153" w:right="191" w:firstLine="471"/>
        <w:jc w:val="both"/>
      </w:pPr>
      <w:r>
        <w:rPr>
          <w:spacing w:val="-1"/>
        </w:rPr>
        <w:t>分部报告信息根据各分部向管理层报告时采用的会计政策及计量标准披露，这些计量基础与编制财务报表时的会计与</w:t>
      </w:r>
      <w:r>
        <w:rPr/>
        <w:t> 计量基础保持一致。</w:t>
      </w:r>
    </w:p>
    <w:p>
      <w:pPr>
        <w:spacing w:line="240" w:lineRule="auto" w:before="7"/>
        <w:rPr>
          <w:rFonts w:ascii="宋体" w:hAnsi="宋体" w:cs="宋体" w:eastAsia="宋体" w:hint="default"/>
          <w:sz w:val="22"/>
          <w:szCs w:val="22"/>
        </w:rPr>
      </w:pPr>
    </w:p>
    <w:p>
      <w:pPr>
        <w:pStyle w:val="Heading3"/>
        <w:spacing w:line="240" w:lineRule="auto"/>
        <w:ind w:right="125"/>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6"/>
        <w:gridCol w:w="1594"/>
        <w:gridCol w:w="1594"/>
        <w:gridCol w:w="1595"/>
        <w:gridCol w:w="1594"/>
      </w:tblGrid>
      <w:tr>
        <w:trPr>
          <w:trHeight w:val="316" w:hRule="exact"/>
        </w:trPr>
        <w:tc>
          <w:tcPr>
            <w:tcW w:w="1571" w:type="dxa"/>
            <w:vMerge w:val="restart"/>
            <w:tcBorders>
              <w:top w:val="single" w:sz="4" w:space="0" w:color="000000"/>
              <w:left w:val="single" w:sz="4" w:space="0" w:color="000000"/>
              <w:right w:val="single" w:sz="13" w:space="0" w:color="E1FFFF"/>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vMerge w:val="restart"/>
            <w:tcBorders>
              <w:top w:val="single" w:sz="4" w:space="0" w:color="000000"/>
              <w:left w:val="single" w:sz="4" w:space="0" w:color="000000"/>
              <w:right w:val="single" w:sz="4" w:space="0" w:color="000000"/>
            </w:tcBorders>
            <w:shd w:val="clear" w:color="auto" w:fill="E1FFFF"/>
          </w:tcPr>
          <w:p>
            <w:pPr>
              <w:pStyle w:val="TableParagraph"/>
              <w:spacing w:line="316" w:lineRule="auto" w:before="51"/>
              <w:ind w:left="84" w:right="71"/>
              <w:jc w:val="center"/>
              <w:rPr>
                <w:rFonts w:ascii="宋体" w:hAnsi="宋体" w:cs="宋体" w:eastAsia="宋体" w:hint="default"/>
                <w:sz w:val="18"/>
                <w:szCs w:val="18"/>
              </w:rPr>
            </w:pPr>
            <w:r>
              <w:rPr>
                <w:rFonts w:ascii="宋体" w:hAnsi="宋体" w:cs="宋体" w:eastAsia="宋体" w:hint="default"/>
                <w:sz w:val="18"/>
                <w:szCs w:val="18"/>
              </w:rPr>
              <w:t>报刊发行业广告策 划及印刷相关业务 分部</w:t>
            </w:r>
          </w:p>
        </w:tc>
        <w:tc>
          <w:tcPr>
            <w:tcW w:w="1594" w:type="dxa"/>
            <w:tcBorders>
              <w:top w:val="single" w:sz="4" w:space="0" w:color="000000"/>
              <w:left w:val="single" w:sz="4" w:space="0" w:color="000000"/>
              <w:bottom w:val="nil" w:sz="6" w:space="0" w:color="auto"/>
              <w:right w:val="single" w:sz="4" w:space="0" w:color="000000"/>
            </w:tcBorders>
            <w:shd w:val="clear" w:color="auto" w:fill="E1FFFF"/>
          </w:tcPr>
          <w:p>
            <w:pPr/>
          </w:p>
        </w:tc>
        <w:tc>
          <w:tcPr>
            <w:tcW w:w="1594" w:type="dxa"/>
            <w:tcBorders>
              <w:top w:val="single" w:sz="4" w:space="0" w:color="000000"/>
              <w:left w:val="single" w:sz="4" w:space="0" w:color="000000"/>
              <w:bottom w:val="nil" w:sz="6" w:space="0" w:color="auto"/>
              <w:right w:val="single" w:sz="4" w:space="0" w:color="000000"/>
            </w:tcBorders>
            <w:shd w:val="clear" w:color="auto" w:fill="E1FFFF"/>
          </w:tcPr>
          <w:p>
            <w:pPr/>
          </w:p>
        </w:tc>
        <w:tc>
          <w:tcPr>
            <w:tcW w:w="1595" w:type="dxa"/>
            <w:vMerge w:val="restart"/>
            <w:tcBorders>
              <w:top w:val="single" w:sz="4" w:space="0" w:color="000000"/>
              <w:left w:val="single" w:sz="9" w:space="0" w:color="E1FFFF"/>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6"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1571" w:type="dxa"/>
            <w:vMerge/>
            <w:tcBorders>
              <w:left w:val="single" w:sz="4" w:space="0" w:color="000000"/>
              <w:right w:val="single" w:sz="13" w:space="0" w:color="E1FFFF"/>
            </w:tcBorders>
            <w:shd w:val="clear" w:color="auto" w:fill="D3D3D3"/>
          </w:tcPr>
          <w:p>
            <w:pPr/>
          </w:p>
        </w:tc>
        <w:tc>
          <w:tcPr>
            <w:tcW w:w="1606" w:type="dxa"/>
            <w:vMerge/>
            <w:tcBorders>
              <w:left w:val="single" w:sz="4" w:space="0" w:color="000000"/>
              <w:right w:val="single" w:sz="4" w:space="0" w:color="000000"/>
            </w:tcBorders>
            <w:shd w:val="clear" w:color="auto" w:fill="E1FFFF"/>
          </w:tcPr>
          <w:p>
            <w:pPr/>
          </w:p>
        </w:tc>
        <w:tc>
          <w:tcPr>
            <w:tcW w:w="1594" w:type="dxa"/>
            <w:tcBorders>
              <w:top w:val="nil" w:sz="6" w:space="0" w:color="auto"/>
              <w:left w:val="single" w:sz="4" w:space="0" w:color="000000"/>
              <w:bottom w:val="nil" w:sz="6" w:space="0" w:color="auto"/>
              <w:right w:val="single" w:sz="4" w:space="0" w:color="000000"/>
            </w:tcBorders>
            <w:shd w:val="clear" w:color="auto" w:fill="E1FFFF"/>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信息服务业务分部</w:t>
            </w:r>
          </w:p>
        </w:tc>
        <w:tc>
          <w:tcPr>
            <w:tcW w:w="1594" w:type="dxa"/>
            <w:tcBorders>
              <w:top w:val="nil" w:sz="6" w:space="0" w:color="auto"/>
              <w:left w:val="single" w:sz="4" w:space="0" w:color="000000"/>
              <w:bottom w:val="nil" w:sz="6" w:space="0" w:color="auto"/>
              <w:right w:val="single" w:sz="4" w:space="0" w:color="000000"/>
            </w:tcBorders>
            <w:shd w:val="clear" w:color="auto" w:fill="E1FFFF"/>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教育培训业务分部</w:t>
            </w:r>
          </w:p>
        </w:tc>
        <w:tc>
          <w:tcPr>
            <w:tcW w:w="1595" w:type="dxa"/>
            <w:vMerge/>
            <w:tcBorders>
              <w:left w:val="single" w:sz="9" w:space="0" w:color="E1FFFF"/>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r>
      <w:tr>
        <w:trPr>
          <w:trHeight w:val="318" w:hRule="exact"/>
        </w:trPr>
        <w:tc>
          <w:tcPr>
            <w:tcW w:w="1571" w:type="dxa"/>
            <w:vMerge/>
            <w:tcBorders>
              <w:left w:val="single" w:sz="4" w:space="0" w:color="000000"/>
              <w:bottom w:val="single" w:sz="4" w:space="0" w:color="000000"/>
              <w:right w:val="single" w:sz="13" w:space="0" w:color="E1FFFF"/>
            </w:tcBorders>
            <w:shd w:val="clear" w:color="auto" w:fill="D3D3D3"/>
          </w:tcPr>
          <w:p>
            <w:pPr/>
          </w:p>
        </w:tc>
        <w:tc>
          <w:tcPr>
            <w:tcW w:w="1606" w:type="dxa"/>
            <w:vMerge/>
            <w:tcBorders>
              <w:left w:val="single" w:sz="4" w:space="0" w:color="000000"/>
              <w:bottom w:val="single" w:sz="4" w:space="0" w:color="000000"/>
              <w:right w:val="single" w:sz="4" w:space="0" w:color="000000"/>
            </w:tcBorders>
            <w:shd w:val="clear" w:color="auto" w:fill="E1FFFF"/>
          </w:tcPr>
          <w:p>
            <w:pPr/>
          </w:p>
        </w:tc>
        <w:tc>
          <w:tcPr>
            <w:tcW w:w="1594" w:type="dxa"/>
            <w:tcBorders>
              <w:top w:val="nil" w:sz="6" w:space="0" w:color="auto"/>
              <w:left w:val="single" w:sz="4" w:space="0" w:color="000000"/>
              <w:bottom w:val="single" w:sz="4" w:space="0" w:color="000000"/>
              <w:right w:val="single" w:sz="4" w:space="0" w:color="000000"/>
            </w:tcBorders>
            <w:shd w:val="clear" w:color="auto" w:fill="E1FFFF"/>
          </w:tcPr>
          <w:p>
            <w:pPr/>
          </w:p>
        </w:tc>
        <w:tc>
          <w:tcPr>
            <w:tcW w:w="1594" w:type="dxa"/>
            <w:tcBorders>
              <w:top w:val="nil" w:sz="6" w:space="0" w:color="auto"/>
              <w:left w:val="single" w:sz="4" w:space="0" w:color="000000"/>
              <w:bottom w:val="single" w:sz="4" w:space="0" w:color="000000"/>
              <w:right w:val="single" w:sz="4" w:space="0" w:color="000000"/>
            </w:tcBorders>
            <w:shd w:val="clear" w:color="auto" w:fill="E1FFFF"/>
          </w:tcPr>
          <w:p>
            <w:pPr/>
          </w:p>
        </w:tc>
        <w:tc>
          <w:tcPr>
            <w:tcW w:w="1595" w:type="dxa"/>
            <w:vMerge/>
            <w:tcBorders>
              <w:left w:val="single" w:sz="9" w:space="0" w:color="E1FFFF"/>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06" w:type="dxa"/>
            <w:tcBorders>
              <w:top w:val="single" w:sz="4" w:space="0" w:color="000000"/>
              <w:left w:val="single" w:sz="13" w:space="0" w:color="E1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1,343,562,655.23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227,216,921.42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199,471,648.76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1,770,251,225.41</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06" w:type="dxa"/>
            <w:tcBorders>
              <w:top w:val="single" w:sz="4" w:space="0" w:color="000000"/>
              <w:left w:val="single" w:sz="13" w:space="0" w:color="E1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1,080,795,382.47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159,325,593.46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69,965,319.02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1,310,086,294.95</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06" w:type="dxa"/>
            <w:tcBorders>
              <w:top w:val="single" w:sz="4" w:space="0" w:color="000000"/>
              <w:left w:val="single" w:sz="13" w:space="0" w:color="E1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2,869,633,373.58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330,970,968.70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3,200,604,342.28</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06" w:type="dxa"/>
            <w:tcBorders>
              <w:top w:val="single" w:sz="4" w:space="0" w:color="000000"/>
              <w:left w:val="single" w:sz="13" w:space="0" w:color="E1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1,011,184,101.06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184,862,786.46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1,196,046,887.52</w:t>
            </w:r>
          </w:p>
        </w:tc>
      </w:tr>
    </w:tbl>
    <w:p>
      <w:pPr>
        <w:spacing w:line="240" w:lineRule="auto" w:before="2"/>
        <w:rPr>
          <w:rFonts w:ascii="宋体" w:hAnsi="宋体" w:cs="宋体" w:eastAsia="宋体" w:hint="default"/>
          <w:sz w:val="19"/>
          <w:szCs w:val="19"/>
        </w:rPr>
      </w:pPr>
    </w:p>
    <w:p>
      <w:pPr>
        <w:pStyle w:val="Heading3"/>
        <w:spacing w:line="240" w:lineRule="auto" w:before="35"/>
        <w:ind w:right="125"/>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06" w:firstLine="480"/>
        <w:jc w:val="left"/>
      </w:pPr>
      <w:r>
        <w:rPr/>
        <w:t>（</w:t>
      </w:r>
      <w:r>
        <w:rPr>
          <w:rFonts w:ascii="Times New Roman" w:hAnsi="Times New Roman" w:cs="Times New Roman" w:eastAsia="Times New Roman" w:hint="default"/>
        </w:rPr>
        <w:t>1</w:t>
      </w:r>
      <w:r>
        <w:rPr/>
        <w:t>）本公司之孙公司浙江风盛传媒股份有限公司因业务拓展、解决短期流动资金需要，向银行申请授信</w:t>
      </w:r>
      <w:r>
        <w:rPr>
          <w:rFonts w:ascii="Times New Roman" w:hAnsi="Times New Roman" w:cs="Times New Roman" w:eastAsia="Times New Roman" w:hint="default"/>
        </w:rPr>
        <w:t>14,000</w:t>
      </w:r>
      <w:r>
        <w:rPr/>
        <w:t>万元， 申请本公司为其提供相应持股比例的连带责任担保，本次担保的期限为</w:t>
      </w:r>
      <w:r>
        <w:rPr>
          <w:rFonts w:ascii="Times New Roman" w:hAnsi="Times New Roman" w:cs="Times New Roman" w:eastAsia="Times New Roman" w:hint="default"/>
        </w:rPr>
        <w:t>5</w:t>
      </w:r>
      <w:r>
        <w:rPr/>
        <w:t>年。浙江风盛传媒股份有限公司其他股东浙江国大</w:t>
      </w:r>
      <w:r>
        <w:rPr>
          <w:spacing w:val="-84"/>
        </w:rPr>
        <w:t> </w:t>
      </w:r>
      <w:r>
        <w:rPr>
          <w:spacing w:val="-84"/>
        </w:rPr>
      </w:r>
      <w:r>
        <w:rPr/>
        <w:t>集团有限责任公司同意提供相应持股比例的连带保证责任担保。</w:t>
      </w:r>
    </w:p>
    <w:p>
      <w:pPr>
        <w:pStyle w:val="BodyText"/>
        <w:spacing w:line="300" w:lineRule="auto" w:before="31"/>
        <w:ind w:right="187" w:firstLine="479"/>
        <w:jc w:val="both"/>
      </w:pPr>
      <w:r>
        <w:rPr/>
        <w:t>（</w:t>
      </w:r>
      <w:r>
        <w:rPr>
          <w:rFonts w:ascii="Times New Roman" w:hAnsi="Times New Roman" w:cs="Times New Roman" w:eastAsia="Times New Roman" w:hint="default"/>
        </w:rPr>
        <w:t>2</w:t>
      </w:r>
      <w:r>
        <w:rPr/>
        <w:t>）本公司之子公司中教未来国际教育科技（北京）有限公司于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日与杭州银行股份有限公司北京中关村</w:t>
      </w:r>
      <w:r>
        <w:rPr>
          <w:spacing w:val="1"/>
        </w:rPr>
        <w:t> </w:t>
      </w:r>
      <w:r>
        <w:rPr>
          <w:spacing w:val="-1"/>
        </w:rPr>
        <w:t>支行签订了编号为</w:t>
      </w:r>
      <w:r>
        <w:rPr>
          <w:rFonts w:ascii="Times New Roman" w:hAnsi="Times New Roman" w:cs="Times New Roman" w:eastAsia="Times New Roman" w:hint="default"/>
          <w:spacing w:val="-1"/>
        </w:rPr>
        <w:t>129C215201700006</w:t>
      </w:r>
      <w:r>
        <w:rPr>
          <w:spacing w:val="-1"/>
        </w:rPr>
        <w:t>的借款合同，借款金额人民币</w:t>
      </w:r>
      <w:r>
        <w:rPr>
          <w:rFonts w:ascii="Times New Roman" w:hAnsi="Times New Roman" w:cs="Times New Roman" w:eastAsia="Times New Roman" w:hint="default"/>
          <w:spacing w:val="-1"/>
        </w:rPr>
        <w:t>7,500.00</w:t>
      </w:r>
      <w:r>
        <w:rPr>
          <w:spacing w:val="-1"/>
        </w:rPr>
        <w:t>万元，借款期限自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8</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7</w:t>
      </w:r>
      <w:r>
        <w:rPr>
          <w:spacing w:val="-1"/>
        </w:rPr>
        <w:t>日</w:t>
      </w:r>
      <w:r>
        <w:rPr>
          <w:spacing w:val="-41"/>
        </w:rPr>
        <w:t> </w:t>
      </w:r>
      <w:r>
        <w:rPr>
          <w:spacing w:val="-1"/>
        </w:rPr>
        <w:t>止。同时，宁波高新区新愿景股权投资有限公司与杭州银行股份有限公司北京中关村支行签订了编号为</w:t>
      </w:r>
      <w:r>
        <w:rPr>
          <w:rFonts w:ascii="Times New Roman" w:hAnsi="Times New Roman" w:cs="Times New Roman" w:eastAsia="Times New Roman" w:hint="default"/>
          <w:spacing w:val="-1"/>
        </w:rPr>
        <w:t>129C2152017000061</w:t>
      </w:r>
      <w:r>
        <w:rPr>
          <w:rFonts w:ascii="Times New Roman" w:hAnsi="Times New Roman" w:cs="Times New Roman" w:eastAsia="Times New Roman" w:hint="default"/>
          <w:spacing w:val="-5"/>
        </w:rPr>
        <w:t> </w:t>
      </w:r>
      <w:r>
        <w:rPr/>
        <w:t>的保证合同，保证担保的主债权金额为人民币</w:t>
      </w:r>
      <w:r>
        <w:rPr>
          <w:rFonts w:ascii="Times New Roman" w:hAnsi="Times New Roman" w:cs="Times New Roman" w:eastAsia="Times New Roman" w:hint="default"/>
        </w:rPr>
        <w:t>7,500.00</w:t>
      </w:r>
      <w:r>
        <w:rPr/>
        <w:t>万元，保证期间为自借款发放之日起至借款到期后两年止。曲水华航</w:t>
      </w:r>
    </w:p>
    <w:p>
      <w:pPr>
        <w:spacing w:after="0" w:line="300" w:lineRule="auto"/>
        <w:jc w:val="both"/>
        <w:sectPr>
          <w:pgSz w:w="11910" w:h="16840"/>
          <w:pgMar w:header="0" w:footer="982" w:top="1100" w:bottom="1180" w:left="980" w:right="940"/>
        </w:sectPr>
      </w:pPr>
    </w:p>
    <w:p>
      <w:pPr>
        <w:spacing w:line="240" w:lineRule="auto" w:before="12"/>
        <w:rPr>
          <w:rFonts w:ascii="宋体" w:hAnsi="宋体" w:cs="宋体" w:eastAsia="宋体" w:hint="default"/>
          <w:sz w:val="21"/>
          <w:szCs w:val="21"/>
        </w:rPr>
      </w:pPr>
    </w:p>
    <w:p>
      <w:pPr>
        <w:pStyle w:val="BodyText"/>
        <w:spacing w:line="300" w:lineRule="auto" w:before="44"/>
        <w:ind w:left="153" w:right="140"/>
        <w:jc w:val="both"/>
      </w:pPr>
      <w:r>
        <w:rPr>
          <w:spacing w:val="-1"/>
        </w:rPr>
        <w:t>投资有限公司与杭州银行股份有限公司北京中关村支行签订了编号为</w:t>
      </w:r>
      <w:r>
        <w:rPr>
          <w:rFonts w:ascii="Times New Roman" w:hAnsi="Times New Roman" w:cs="Times New Roman" w:eastAsia="Times New Roman" w:hint="default"/>
          <w:spacing w:val="-1"/>
        </w:rPr>
        <w:t>129C2152017000062</w:t>
      </w:r>
      <w:r>
        <w:rPr>
          <w:spacing w:val="-1"/>
        </w:rPr>
        <w:t>的保证合同，保证担保的主债权金</w:t>
      </w:r>
      <w:r>
        <w:rPr>
          <w:spacing w:val="-51"/>
        </w:rPr>
        <w:t> </w:t>
      </w:r>
      <w:r>
        <w:rPr>
          <w:spacing w:val="-51"/>
        </w:rPr>
      </w:r>
      <w:r>
        <w:rPr/>
        <w:t>额为人民币</w:t>
      </w:r>
      <w:r>
        <w:rPr>
          <w:rFonts w:ascii="Times New Roman" w:hAnsi="Times New Roman" w:cs="Times New Roman" w:eastAsia="Times New Roman" w:hint="default"/>
        </w:rPr>
        <w:t>7,500.00</w:t>
      </w:r>
      <w:r>
        <w:rPr/>
        <w:t>万元，保证期间为自借款发放之日起至借款到期后两年止。吴井军与杭州银行股份有限公司北京中关村</w:t>
      </w:r>
      <w:r>
        <w:rPr>
          <w:spacing w:val="-85"/>
        </w:rPr>
        <w:t> </w:t>
      </w:r>
      <w:r>
        <w:rPr>
          <w:spacing w:val="-85"/>
        </w:rPr>
      </w:r>
      <w:r>
        <w:rPr/>
        <w:t>支行签订了编号为</w:t>
      </w:r>
      <w:r>
        <w:rPr>
          <w:rFonts w:ascii="Times New Roman" w:hAnsi="Times New Roman" w:cs="Times New Roman" w:eastAsia="Times New Roman" w:hint="default"/>
        </w:rPr>
        <w:t>129C2152017000063</w:t>
      </w:r>
      <w:r>
        <w:rPr/>
        <w:t>的抵押合同，抵押担保的主债权金额为人民币</w:t>
      </w:r>
      <w:r>
        <w:rPr>
          <w:rFonts w:ascii="Times New Roman" w:hAnsi="Times New Roman" w:cs="Times New Roman" w:eastAsia="Times New Roman" w:hint="default"/>
        </w:rPr>
        <w:t>7,500.00</w:t>
      </w:r>
      <w:r>
        <w:rPr/>
        <w:t>万元，抵押财产清单：普通住</w:t>
      </w:r>
      <w:r>
        <w:rPr>
          <w:spacing w:val="-35"/>
        </w:rPr>
        <w:t> </w:t>
      </w:r>
      <w:r>
        <w:rPr>
          <w:spacing w:val="-35"/>
        </w:rPr>
      </w:r>
      <w:r>
        <w:rPr>
          <w:spacing w:val="-1"/>
        </w:rPr>
        <w:t>宅（京房权证海私移字第</w:t>
      </w:r>
      <w:r>
        <w:rPr>
          <w:rFonts w:ascii="Times New Roman" w:hAnsi="Times New Roman" w:cs="Times New Roman" w:eastAsia="Times New Roman" w:hint="default"/>
          <w:spacing w:val="-1"/>
        </w:rPr>
        <w:t>0105318</w:t>
      </w:r>
      <w:r>
        <w:rPr>
          <w:spacing w:val="-1"/>
        </w:rPr>
        <w:t>号，协商认定评估价为人民币</w:t>
      </w:r>
      <w:r>
        <w:rPr>
          <w:rFonts w:ascii="Times New Roman" w:hAnsi="Times New Roman" w:cs="Times New Roman" w:eastAsia="Times New Roman" w:hint="default"/>
          <w:spacing w:val="-1"/>
        </w:rPr>
        <w:t>9,429,749.35</w:t>
      </w:r>
      <w:r>
        <w:rPr>
          <w:spacing w:val="-1"/>
        </w:rPr>
        <w:t>元）。本公司与杭州银行股份有限公司北京中关</w:t>
      </w:r>
      <w:r>
        <w:rPr>
          <w:spacing w:val="-68"/>
        </w:rPr>
        <w:t> </w:t>
      </w:r>
      <w:r>
        <w:rPr>
          <w:spacing w:val="-68"/>
        </w:rPr>
      </w:r>
      <w:r>
        <w:rPr>
          <w:spacing w:val="-1"/>
        </w:rPr>
        <w:t>村支行签订了编号为</w:t>
      </w:r>
      <w:r>
        <w:rPr>
          <w:rFonts w:ascii="Times New Roman" w:hAnsi="Times New Roman" w:cs="Times New Roman" w:eastAsia="Times New Roman" w:hint="default"/>
          <w:spacing w:val="-1"/>
        </w:rPr>
        <w:t>129C2152017000064</w:t>
      </w:r>
      <w:r>
        <w:rPr>
          <w:spacing w:val="-1"/>
        </w:rPr>
        <w:t>的最高额保证合同，本合同债权确认期间为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8</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7</w:t>
      </w:r>
      <w:r>
        <w:rPr>
          <w:spacing w:val="-1"/>
        </w:rPr>
        <w:t>日，最高融</w:t>
      </w:r>
      <w:r>
        <w:rPr>
          <w:spacing w:val="-45"/>
        </w:rPr>
        <w:t> </w:t>
      </w:r>
      <w:r>
        <w:rPr>
          <w:spacing w:val="-45"/>
        </w:rPr>
      </w:r>
      <w:r>
        <w:rPr/>
        <w:t>资余额为人民币</w:t>
      </w:r>
      <w:r>
        <w:rPr>
          <w:rFonts w:ascii="Times New Roman" w:hAnsi="Times New Roman" w:cs="Times New Roman" w:eastAsia="Times New Roman" w:hint="default"/>
        </w:rPr>
        <w:t>4,500.00</w:t>
      </w:r>
      <w:r>
        <w:rPr/>
        <w:t>万元。中教未来国际教育科技（北京）有限公司与杭州银行股份有限公司北京中关村支行签订了编</w:t>
      </w:r>
      <w:r>
        <w:rPr>
          <w:spacing w:val="-85"/>
        </w:rPr>
        <w:t> </w:t>
      </w:r>
      <w:r>
        <w:rPr>
          <w:spacing w:val="-85"/>
        </w:rPr>
      </w:r>
      <w:r>
        <w:rPr/>
        <w:t>号为</w:t>
      </w:r>
      <w:r>
        <w:rPr>
          <w:rFonts w:ascii="Times New Roman" w:hAnsi="Times New Roman" w:cs="Times New Roman" w:eastAsia="Times New Roman" w:hint="default"/>
        </w:rPr>
        <w:t>129C2152017000065</w:t>
      </w:r>
      <w:r>
        <w:rPr/>
        <w:t>的质押合同，质押担保的主债权金额为人民币</w:t>
      </w:r>
      <w:r>
        <w:rPr>
          <w:rFonts w:ascii="Times New Roman" w:hAnsi="Times New Roman" w:cs="Times New Roman" w:eastAsia="Times New Roman" w:hint="default"/>
        </w:rPr>
        <w:t>7,500.00</w:t>
      </w:r>
      <w:r>
        <w:rPr/>
        <w:t>万元，质押权利清单：中教未来国际教育科</w:t>
      </w:r>
      <w:r>
        <w:rPr>
          <w:spacing w:val="-35"/>
        </w:rPr>
        <w:t> </w:t>
      </w:r>
      <w:r>
        <w:rPr>
          <w:spacing w:val="-35"/>
        </w:rPr>
      </w:r>
      <w:r>
        <w:rPr>
          <w:spacing w:val="8"/>
        </w:rPr>
        <w:t>技（北京）有限公司持有的布朗睿智（北京）国际教育科技有限公司</w:t>
      </w:r>
      <w:r>
        <w:rPr>
          <w:rFonts w:ascii="Times New Roman" w:hAnsi="Times New Roman" w:cs="Times New Roman" w:eastAsia="Times New Roman" w:hint="default"/>
          <w:spacing w:val="8"/>
        </w:rPr>
        <w:t>30%</w:t>
      </w:r>
      <w:r>
        <w:rPr>
          <w:spacing w:val="8"/>
        </w:rPr>
        <w:t>的股权（质押股权协商认定评估价为人民币</w:t>
      </w:r>
      <w:r>
        <w:rPr>
          <w:spacing w:val="-42"/>
        </w:rPr>
        <w:t> </w:t>
      </w:r>
      <w:r>
        <w:rPr>
          <w:spacing w:val="-42"/>
        </w:rPr>
      </w:r>
      <w:r>
        <w:rPr>
          <w:rFonts w:ascii="Times New Roman" w:hAnsi="Times New Roman" w:cs="Times New Roman" w:eastAsia="Times New Roman" w:hint="default"/>
        </w:rPr>
        <w:t>104,929,600.00</w:t>
      </w:r>
      <w:r>
        <w:rPr/>
        <w:t>元）、中教未来国际教育科技（北京）有限公司持有的布朗时代（北京）教育投资有限公司</w:t>
      </w:r>
      <w:r>
        <w:rPr>
          <w:rFonts w:ascii="Times New Roman" w:hAnsi="Times New Roman" w:cs="Times New Roman" w:eastAsia="Times New Roman" w:hint="default"/>
        </w:rPr>
        <w:t>30%</w:t>
      </w:r>
      <w:r>
        <w:rPr/>
        <w:t>的股权（质</w:t>
      </w:r>
      <w:r>
        <w:rPr>
          <w:spacing w:val="-23"/>
        </w:rPr>
        <w:t> </w:t>
      </w:r>
      <w:r>
        <w:rPr>
          <w:spacing w:val="-23"/>
        </w:rPr>
      </w:r>
      <w:r>
        <w:rPr>
          <w:spacing w:val="-1"/>
        </w:rPr>
        <w:t>押股权协商认定评估价为人民币</w:t>
      </w:r>
      <w:r>
        <w:rPr>
          <w:rFonts w:ascii="Times New Roman" w:hAnsi="Times New Roman" w:cs="Times New Roman" w:eastAsia="Times New Roman" w:hint="default"/>
          <w:spacing w:val="-1"/>
        </w:rPr>
        <w:t>45,070,400.00</w:t>
      </w:r>
      <w:r>
        <w:rPr>
          <w:spacing w:val="-1"/>
        </w:rPr>
        <w:t>元）。截止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日，中教未来国际教育科技（北京）有限公司尚未使</w:t>
      </w:r>
      <w:r>
        <w:rPr>
          <w:spacing w:val="-67"/>
        </w:rPr>
        <w:t> </w:t>
      </w:r>
      <w:r>
        <w:rPr>
          <w:spacing w:val="-67"/>
        </w:rPr>
      </w:r>
      <w:r>
        <w:rPr/>
        <w:t>用的借款额度为人民币</w:t>
      </w:r>
      <w:r>
        <w:rPr>
          <w:rFonts w:ascii="Times New Roman" w:hAnsi="Times New Roman" w:cs="Times New Roman" w:eastAsia="Times New Roman" w:hint="default"/>
        </w:rPr>
        <w:t>1,917.00</w:t>
      </w:r>
      <w:r>
        <w:rPr/>
        <w:t>万元。</w:t>
      </w:r>
    </w:p>
    <w:p>
      <w:pPr>
        <w:pStyle w:val="BodyText"/>
        <w:spacing w:line="300" w:lineRule="auto" w:before="13"/>
        <w:ind w:right="0" w:firstLine="480"/>
        <w:jc w:val="left"/>
      </w:pPr>
      <w:r>
        <w:rPr>
          <w:spacing w:val="-1"/>
        </w:rPr>
        <w:t>（</w:t>
      </w:r>
      <w:r>
        <w:rPr>
          <w:rFonts w:ascii="Times New Roman" w:hAnsi="Times New Roman" w:cs="Times New Roman" w:eastAsia="Times New Roman" w:hint="default"/>
          <w:spacing w:val="-1"/>
        </w:rPr>
        <w:t>3</w:t>
      </w:r>
      <w:r>
        <w:rPr>
          <w:spacing w:val="-1"/>
        </w:rPr>
        <w:t>）本公司为子公司杭州日报报业集团盛元印务有限公司在</w:t>
      </w:r>
      <w:r>
        <w:rPr>
          <w:rFonts w:ascii="Times New Roman" w:hAnsi="Times New Roman" w:cs="Times New Roman" w:eastAsia="Times New Roman" w:hint="default"/>
          <w:spacing w:val="-1"/>
        </w:rPr>
        <w:t>8,000.00</w:t>
      </w:r>
      <w:r>
        <w:rPr>
          <w:spacing w:val="-1"/>
        </w:rPr>
        <w:t>万元的最高余额内提供连带责任担保，本次担保</w:t>
      </w:r>
      <w:r>
        <w:rPr/>
        <w:t> 的期限自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日止。</w:t>
      </w:r>
    </w:p>
    <w:p>
      <w:pPr>
        <w:spacing w:line="240" w:lineRule="auto" w:before="1"/>
        <w:rPr>
          <w:rFonts w:ascii="宋体" w:hAnsi="宋体" w:cs="宋体" w:eastAsia="宋体" w:hint="default"/>
          <w:sz w:val="22"/>
          <w:szCs w:val="22"/>
        </w:rPr>
      </w:pPr>
    </w:p>
    <w:p>
      <w:pPr>
        <w:spacing w:line="487" w:lineRule="auto" w:before="0"/>
        <w:ind w:left="154" w:right="59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03"/>
        <w:gridCol w:w="776"/>
        <w:gridCol w:w="712"/>
        <w:gridCol w:w="398"/>
        <w:gridCol w:w="742"/>
        <w:gridCol w:w="799"/>
        <w:gridCol w:w="398"/>
        <w:gridCol w:w="421"/>
        <w:gridCol w:w="397"/>
        <w:gridCol w:w="755"/>
        <w:gridCol w:w="754"/>
      </w:tblGrid>
      <w:tr>
        <w:trPr>
          <w:trHeight w:val="402" w:hRule="exact"/>
        </w:trPr>
        <w:tc>
          <w:tcPr>
            <w:tcW w:w="3503" w:type="dxa"/>
            <w:vMerge w:val="restart"/>
            <w:tcBorders>
              <w:top w:val="single" w:sz="4" w:space="0" w:color="000000"/>
              <w:left w:val="single" w:sz="4" w:space="0" w:color="000000"/>
              <w:right w:val="single" w:sz="4" w:space="0" w:color="000000"/>
            </w:tcBorders>
            <w:shd w:val="clear" w:color="auto" w:fill="D3D3D3"/>
          </w:tcPr>
          <w:p>
            <w:pPr/>
          </w:p>
        </w:tc>
        <w:tc>
          <w:tcPr>
            <w:tcW w:w="342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2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3" w:hRule="exact"/>
        </w:trPr>
        <w:tc>
          <w:tcPr>
            <w:tcW w:w="3503" w:type="dxa"/>
            <w:vMerge/>
            <w:tcBorders>
              <w:left w:val="single" w:sz="4" w:space="0" w:color="000000"/>
              <w:bottom w:val="nil" w:sz="6" w:space="0" w:color="auto"/>
              <w:right w:val="single" w:sz="4" w:space="0" w:color="000000"/>
            </w:tcBorders>
            <w:shd w:val="clear" w:color="auto" w:fill="D3D3D3"/>
          </w:tcPr>
          <w:p>
            <w:pPr/>
          </w:p>
        </w:tc>
        <w:tc>
          <w:tcPr>
            <w:tcW w:w="148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4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9" w:type="dxa"/>
            <w:vMerge w:val="restart"/>
            <w:tcBorders>
              <w:top w:val="single" w:sz="4" w:space="0" w:color="000000"/>
              <w:left w:val="single" w:sz="4" w:space="0" w:color="000000"/>
              <w:right w:val="single" w:sz="4" w:space="0" w:color="000000"/>
            </w:tcBorders>
            <w:shd w:val="clear" w:color="auto" w:fill="D3D3D3"/>
          </w:tcPr>
          <w:p>
            <w:pPr/>
          </w:p>
        </w:tc>
        <w:tc>
          <w:tcPr>
            <w:tcW w:w="81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5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5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19" w:hRule="exact"/>
        </w:trPr>
        <w:tc>
          <w:tcPr>
            <w:tcW w:w="350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1489" w:type="dxa"/>
            <w:gridSpan w:val="2"/>
            <w:vMerge/>
            <w:tcBorders>
              <w:left w:val="single" w:sz="4" w:space="0" w:color="000000"/>
              <w:bottom w:val="single" w:sz="4" w:space="0" w:color="000000"/>
              <w:right w:val="single" w:sz="4" w:space="0" w:color="000000"/>
            </w:tcBorders>
            <w:shd w:val="clear" w:color="auto" w:fill="D3D3D3"/>
          </w:tcPr>
          <w:p>
            <w:pPr/>
          </w:p>
        </w:tc>
        <w:tc>
          <w:tcPr>
            <w:tcW w:w="1140" w:type="dxa"/>
            <w:gridSpan w:val="2"/>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nil" w:sz="6" w:space="0" w:color="auto"/>
              <w:right w:val="single" w:sz="4" w:space="0" w:color="000000"/>
            </w:tcBorders>
            <w:shd w:val="clear" w:color="auto" w:fill="D3D3D3"/>
          </w:tcPr>
          <w:p>
            <w:pPr/>
          </w:p>
        </w:tc>
        <w:tc>
          <w:tcPr>
            <w:tcW w:w="818" w:type="dxa"/>
            <w:gridSpan w:val="2"/>
            <w:vMerge/>
            <w:tcBorders>
              <w:left w:val="single" w:sz="4" w:space="0" w:color="000000"/>
              <w:bottom w:val="single" w:sz="4" w:space="0" w:color="000000"/>
              <w:right w:val="single" w:sz="4" w:space="0" w:color="000000"/>
            </w:tcBorders>
            <w:shd w:val="clear" w:color="auto" w:fill="D3D3D3"/>
          </w:tcPr>
          <w:p>
            <w:pPr/>
          </w:p>
        </w:tc>
        <w:tc>
          <w:tcPr>
            <w:tcW w:w="1151" w:type="dxa"/>
            <w:gridSpan w:val="2"/>
            <w:vMerge/>
            <w:tcBorders>
              <w:left w:val="single" w:sz="4" w:space="0" w:color="000000"/>
              <w:bottom w:val="single" w:sz="4" w:space="0" w:color="000000"/>
              <w:right w:val="single" w:sz="4" w:space="0" w:color="000000"/>
            </w:tcBorders>
            <w:shd w:val="clear" w:color="auto" w:fill="D3D3D3"/>
          </w:tcPr>
          <w:p>
            <w:pPr/>
          </w:p>
        </w:tc>
        <w:tc>
          <w:tcPr>
            <w:tcW w:w="75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73"/>
              <w:ind w:left="282" w:right="10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151" w:hRule="exact"/>
        </w:trPr>
        <w:tc>
          <w:tcPr>
            <w:tcW w:w="3503" w:type="dxa"/>
            <w:vMerge/>
            <w:tcBorders>
              <w:left w:val="single" w:sz="4" w:space="0" w:color="000000"/>
              <w:bottom w:val="nil" w:sz="6" w:space="0" w:color="auto"/>
              <w:right w:val="single" w:sz="4" w:space="0" w:color="000000"/>
            </w:tcBorders>
            <w:shd w:val="clear" w:color="auto" w:fill="D3D3D3"/>
          </w:tcPr>
          <w:p>
            <w:pPr/>
          </w:p>
        </w:tc>
        <w:tc>
          <w:tcPr>
            <w:tcW w:w="776" w:type="dxa"/>
            <w:tcBorders>
              <w:top w:val="single" w:sz="4" w:space="0" w:color="000000"/>
              <w:left w:val="single" w:sz="4" w:space="0" w:color="000000"/>
              <w:bottom w:val="nil" w:sz="6" w:space="0" w:color="auto"/>
              <w:right w:val="single" w:sz="4" w:space="0" w:color="000000"/>
            </w:tcBorders>
            <w:shd w:val="clear" w:color="auto" w:fill="D3D3D3"/>
          </w:tcPr>
          <w:p>
            <w:pPr/>
          </w:p>
        </w:tc>
        <w:tc>
          <w:tcPr>
            <w:tcW w:w="712" w:type="dxa"/>
            <w:tcBorders>
              <w:top w:val="single" w:sz="4" w:space="0" w:color="000000"/>
              <w:left w:val="single" w:sz="4" w:space="0" w:color="000000"/>
              <w:bottom w:val="nil" w:sz="6" w:space="0" w:color="auto"/>
              <w:right w:val="single" w:sz="4" w:space="0" w:color="000000"/>
            </w:tcBorders>
            <w:shd w:val="clear" w:color="auto" w:fill="D3D3D3"/>
          </w:tcPr>
          <w:p>
            <w:pPr/>
          </w:p>
        </w:tc>
        <w:tc>
          <w:tcPr>
            <w:tcW w:w="3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97" w:right="108"/>
              <w:jc w:val="left"/>
              <w:rPr>
                <w:rFonts w:ascii="宋体" w:hAnsi="宋体" w:cs="宋体" w:eastAsia="宋体" w:hint="default"/>
                <w:sz w:val="18"/>
                <w:szCs w:val="18"/>
              </w:rPr>
            </w:pPr>
            <w:r>
              <w:rPr>
                <w:rFonts w:ascii="宋体" w:hAnsi="宋体" w:cs="宋体" w:eastAsia="宋体" w:hint="default"/>
                <w:sz w:val="18"/>
                <w:szCs w:val="18"/>
              </w:rPr>
              <w:t>金 额</w:t>
            </w:r>
          </w:p>
        </w:tc>
        <w:tc>
          <w:tcPr>
            <w:tcW w:w="74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2" w:right="88"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3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97" w:right="108"/>
              <w:jc w:val="left"/>
              <w:rPr>
                <w:rFonts w:ascii="宋体" w:hAnsi="宋体" w:cs="宋体" w:eastAsia="宋体" w:hint="default"/>
                <w:sz w:val="18"/>
                <w:szCs w:val="18"/>
              </w:rPr>
            </w:pPr>
            <w:r>
              <w:rPr>
                <w:rFonts w:ascii="宋体" w:hAnsi="宋体" w:cs="宋体" w:eastAsia="宋体" w:hint="default"/>
                <w:sz w:val="18"/>
                <w:szCs w:val="18"/>
              </w:rPr>
              <w:t>金 额</w:t>
            </w:r>
          </w:p>
        </w:tc>
        <w:tc>
          <w:tcPr>
            <w:tcW w:w="42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09" w:right="119"/>
              <w:jc w:val="left"/>
              <w:rPr>
                <w:rFonts w:ascii="宋体" w:hAnsi="宋体" w:cs="宋体" w:eastAsia="宋体" w:hint="default"/>
                <w:sz w:val="18"/>
                <w:szCs w:val="18"/>
              </w:rPr>
            </w:pPr>
            <w:r>
              <w:rPr>
                <w:rFonts w:ascii="宋体" w:hAnsi="宋体" w:cs="宋体" w:eastAsia="宋体" w:hint="default"/>
                <w:sz w:val="18"/>
                <w:szCs w:val="18"/>
              </w:rPr>
              <w:t>比 例</w:t>
            </w:r>
          </w:p>
        </w:tc>
        <w:tc>
          <w:tcPr>
            <w:tcW w:w="3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97" w:right="107"/>
              <w:jc w:val="left"/>
              <w:rPr>
                <w:rFonts w:ascii="宋体" w:hAnsi="宋体" w:cs="宋体" w:eastAsia="宋体" w:hint="default"/>
                <w:sz w:val="18"/>
                <w:szCs w:val="18"/>
              </w:rPr>
            </w:pPr>
            <w:r>
              <w:rPr>
                <w:rFonts w:ascii="宋体" w:hAnsi="宋体" w:cs="宋体" w:eastAsia="宋体" w:hint="default"/>
                <w:sz w:val="18"/>
                <w:szCs w:val="18"/>
              </w:rPr>
              <w:t>金 额</w:t>
            </w:r>
          </w:p>
        </w:tc>
        <w:tc>
          <w:tcPr>
            <w:tcW w:w="75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3"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54" w:type="dxa"/>
            <w:vMerge/>
            <w:tcBorders>
              <w:left w:val="single" w:sz="4" w:space="0" w:color="000000"/>
              <w:right w:val="single" w:sz="4" w:space="0" w:color="000000"/>
            </w:tcBorders>
            <w:shd w:val="clear" w:color="auto" w:fill="D3D3D3"/>
          </w:tcPr>
          <w:p>
            <w:pPr/>
          </w:p>
        </w:tc>
      </w:tr>
      <w:tr>
        <w:trPr>
          <w:trHeight w:val="200" w:hRule="exact"/>
        </w:trPr>
        <w:tc>
          <w:tcPr>
            <w:tcW w:w="3503" w:type="dxa"/>
            <w:vMerge w:val="restart"/>
            <w:tcBorders>
              <w:top w:val="nil" w:sz="6" w:space="0" w:color="auto"/>
              <w:left w:val="single" w:sz="4" w:space="0" w:color="000000"/>
              <w:right w:val="single" w:sz="4" w:space="0" w:color="000000"/>
            </w:tcBorders>
            <w:shd w:val="clear" w:color="auto" w:fill="D3D3D3"/>
          </w:tcPr>
          <w:p>
            <w:pPr/>
          </w:p>
        </w:tc>
        <w:tc>
          <w:tcPr>
            <w:tcW w:w="77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0"/>
              <w:ind w:left="2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0"/>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398" w:type="dxa"/>
            <w:vMerge/>
            <w:tcBorders>
              <w:left w:val="single" w:sz="4" w:space="0" w:color="000000"/>
              <w:right w:val="single" w:sz="4" w:space="0" w:color="000000"/>
            </w:tcBorders>
            <w:shd w:val="clear" w:color="auto" w:fill="D3D3D3"/>
          </w:tcPr>
          <w:p>
            <w:pPr/>
          </w:p>
        </w:tc>
        <w:tc>
          <w:tcPr>
            <w:tcW w:w="742" w:type="dxa"/>
            <w:vMerge/>
            <w:tcBorders>
              <w:left w:val="single" w:sz="4" w:space="0" w:color="000000"/>
              <w:right w:val="single" w:sz="4" w:space="0" w:color="000000"/>
            </w:tcBorders>
            <w:shd w:val="clear" w:color="auto" w:fill="D3D3D3"/>
          </w:tcPr>
          <w:p>
            <w:pPr/>
          </w:p>
        </w:tc>
        <w:tc>
          <w:tcPr>
            <w:tcW w:w="799" w:type="dxa"/>
            <w:vMerge/>
            <w:tcBorders>
              <w:left w:val="single" w:sz="4" w:space="0" w:color="000000"/>
              <w:bottom w:val="nil" w:sz="6" w:space="0" w:color="auto"/>
              <w:right w:val="single" w:sz="4" w:space="0" w:color="000000"/>
            </w:tcBorders>
            <w:shd w:val="clear" w:color="auto" w:fill="D3D3D3"/>
          </w:tcPr>
          <w:p>
            <w:pPr/>
          </w:p>
        </w:tc>
        <w:tc>
          <w:tcPr>
            <w:tcW w:w="398" w:type="dxa"/>
            <w:vMerge/>
            <w:tcBorders>
              <w:left w:val="single" w:sz="4" w:space="0" w:color="000000"/>
              <w:right w:val="single" w:sz="4" w:space="0" w:color="000000"/>
            </w:tcBorders>
            <w:shd w:val="clear" w:color="auto" w:fill="D3D3D3"/>
          </w:tcPr>
          <w:p>
            <w:pPr/>
          </w:p>
        </w:tc>
        <w:tc>
          <w:tcPr>
            <w:tcW w:w="421" w:type="dxa"/>
            <w:vMerge/>
            <w:tcBorders>
              <w:left w:val="single" w:sz="4" w:space="0" w:color="000000"/>
              <w:right w:val="single" w:sz="4" w:space="0" w:color="000000"/>
            </w:tcBorders>
            <w:shd w:val="clear" w:color="auto" w:fill="D3D3D3"/>
          </w:tcPr>
          <w:p>
            <w:pPr/>
          </w:p>
        </w:tc>
        <w:tc>
          <w:tcPr>
            <w:tcW w:w="397" w:type="dxa"/>
            <w:vMerge/>
            <w:tcBorders>
              <w:left w:val="single" w:sz="4" w:space="0" w:color="000000"/>
              <w:right w:val="single" w:sz="4" w:space="0" w:color="000000"/>
            </w:tcBorders>
            <w:shd w:val="clear" w:color="auto" w:fill="D3D3D3"/>
          </w:tcPr>
          <w:p>
            <w:pPr/>
          </w:p>
        </w:tc>
        <w:tc>
          <w:tcPr>
            <w:tcW w:w="755" w:type="dxa"/>
            <w:vMerge/>
            <w:tcBorders>
              <w:left w:val="single" w:sz="4" w:space="0" w:color="000000"/>
              <w:right w:val="single" w:sz="4" w:space="0" w:color="000000"/>
            </w:tcBorders>
            <w:shd w:val="clear" w:color="auto" w:fill="D3D3D3"/>
          </w:tcPr>
          <w:p>
            <w:pPr/>
          </w:p>
        </w:tc>
        <w:tc>
          <w:tcPr>
            <w:tcW w:w="754" w:type="dxa"/>
            <w:vMerge/>
            <w:tcBorders>
              <w:left w:val="single" w:sz="4" w:space="0" w:color="000000"/>
              <w:right w:val="single" w:sz="4" w:space="0" w:color="000000"/>
            </w:tcBorders>
            <w:shd w:val="clear" w:color="auto" w:fill="D3D3D3"/>
          </w:tcPr>
          <w:p>
            <w:pPr/>
          </w:p>
        </w:tc>
      </w:tr>
      <w:tr>
        <w:trPr>
          <w:trHeight w:val="179" w:hRule="exact"/>
        </w:trPr>
        <w:tc>
          <w:tcPr>
            <w:tcW w:w="3503" w:type="dxa"/>
            <w:vMerge/>
            <w:tcBorders>
              <w:left w:val="single" w:sz="4" w:space="0" w:color="000000"/>
              <w:right w:val="single" w:sz="4" w:space="0" w:color="000000"/>
            </w:tcBorders>
            <w:shd w:val="clear" w:color="auto" w:fill="D3D3D3"/>
          </w:tcPr>
          <w:p>
            <w:pPr/>
          </w:p>
        </w:tc>
        <w:tc>
          <w:tcPr>
            <w:tcW w:w="776" w:type="dxa"/>
            <w:vMerge/>
            <w:tcBorders>
              <w:left w:val="single" w:sz="4" w:space="0" w:color="000000"/>
              <w:bottom w:val="nil" w:sz="6" w:space="0" w:color="auto"/>
              <w:right w:val="single" w:sz="4" w:space="0" w:color="000000"/>
            </w:tcBorders>
            <w:shd w:val="clear" w:color="auto" w:fill="D3D3D3"/>
          </w:tcPr>
          <w:p>
            <w:pPr/>
          </w:p>
        </w:tc>
        <w:tc>
          <w:tcPr>
            <w:tcW w:w="712" w:type="dxa"/>
            <w:vMerge/>
            <w:tcBorders>
              <w:left w:val="single" w:sz="4" w:space="0" w:color="000000"/>
              <w:bottom w:val="nil" w:sz="6" w:space="0" w:color="auto"/>
              <w:right w:val="single" w:sz="4" w:space="0" w:color="000000"/>
            </w:tcBorders>
            <w:shd w:val="clear" w:color="auto" w:fill="D3D3D3"/>
          </w:tcPr>
          <w:p>
            <w:pPr/>
          </w:p>
        </w:tc>
        <w:tc>
          <w:tcPr>
            <w:tcW w:w="398" w:type="dxa"/>
            <w:vMerge/>
            <w:tcBorders>
              <w:left w:val="single" w:sz="4" w:space="0" w:color="000000"/>
              <w:right w:val="single" w:sz="4" w:space="0" w:color="000000"/>
            </w:tcBorders>
            <w:shd w:val="clear" w:color="auto" w:fill="D3D3D3"/>
          </w:tcPr>
          <w:p>
            <w:pPr/>
          </w:p>
        </w:tc>
        <w:tc>
          <w:tcPr>
            <w:tcW w:w="742" w:type="dxa"/>
            <w:vMerge/>
            <w:tcBorders>
              <w:left w:val="single" w:sz="4" w:space="0" w:color="000000"/>
              <w:right w:val="single" w:sz="4" w:space="0" w:color="000000"/>
            </w:tcBorders>
            <w:shd w:val="clear" w:color="auto" w:fill="D3D3D3"/>
          </w:tcPr>
          <w:p>
            <w:pPr/>
          </w:p>
        </w:tc>
        <w:tc>
          <w:tcPr>
            <w:tcW w:w="799" w:type="dxa"/>
            <w:vMerge w:val="restart"/>
            <w:tcBorders>
              <w:top w:val="nil" w:sz="6" w:space="0" w:color="auto"/>
              <w:left w:val="single" w:sz="4" w:space="0" w:color="000000"/>
              <w:right w:val="single" w:sz="4" w:space="0" w:color="000000"/>
            </w:tcBorders>
            <w:shd w:val="clear" w:color="auto" w:fill="D3D3D3"/>
          </w:tcPr>
          <w:p>
            <w:pPr/>
          </w:p>
        </w:tc>
        <w:tc>
          <w:tcPr>
            <w:tcW w:w="398" w:type="dxa"/>
            <w:vMerge/>
            <w:tcBorders>
              <w:left w:val="single" w:sz="4" w:space="0" w:color="000000"/>
              <w:right w:val="single" w:sz="4" w:space="0" w:color="000000"/>
            </w:tcBorders>
            <w:shd w:val="clear" w:color="auto" w:fill="D3D3D3"/>
          </w:tcPr>
          <w:p>
            <w:pPr/>
          </w:p>
        </w:tc>
        <w:tc>
          <w:tcPr>
            <w:tcW w:w="421" w:type="dxa"/>
            <w:vMerge/>
            <w:tcBorders>
              <w:left w:val="single" w:sz="4" w:space="0" w:color="000000"/>
              <w:right w:val="single" w:sz="4" w:space="0" w:color="000000"/>
            </w:tcBorders>
            <w:shd w:val="clear" w:color="auto" w:fill="D3D3D3"/>
          </w:tcPr>
          <w:p>
            <w:pPr/>
          </w:p>
        </w:tc>
        <w:tc>
          <w:tcPr>
            <w:tcW w:w="397" w:type="dxa"/>
            <w:vMerge/>
            <w:tcBorders>
              <w:left w:val="single" w:sz="4" w:space="0" w:color="000000"/>
              <w:right w:val="single" w:sz="4" w:space="0" w:color="000000"/>
            </w:tcBorders>
            <w:shd w:val="clear" w:color="auto" w:fill="D3D3D3"/>
          </w:tcPr>
          <w:p>
            <w:pPr/>
          </w:p>
        </w:tc>
        <w:tc>
          <w:tcPr>
            <w:tcW w:w="755" w:type="dxa"/>
            <w:vMerge/>
            <w:tcBorders>
              <w:left w:val="single" w:sz="4" w:space="0" w:color="000000"/>
              <w:right w:val="single" w:sz="4" w:space="0" w:color="000000"/>
            </w:tcBorders>
            <w:shd w:val="clear" w:color="auto" w:fill="D3D3D3"/>
          </w:tcPr>
          <w:p>
            <w:pPr/>
          </w:p>
        </w:tc>
        <w:tc>
          <w:tcPr>
            <w:tcW w:w="754" w:type="dxa"/>
            <w:vMerge/>
            <w:tcBorders>
              <w:left w:val="single" w:sz="4" w:space="0" w:color="000000"/>
              <w:bottom w:val="nil" w:sz="6" w:space="0" w:color="auto"/>
              <w:right w:val="single" w:sz="4" w:space="0" w:color="000000"/>
            </w:tcBorders>
            <w:shd w:val="clear" w:color="auto" w:fill="D3D3D3"/>
          </w:tcPr>
          <w:p>
            <w:pPr/>
          </w:p>
        </w:tc>
      </w:tr>
      <w:tr>
        <w:trPr>
          <w:trHeight w:val="183" w:hRule="exact"/>
        </w:trPr>
        <w:tc>
          <w:tcPr>
            <w:tcW w:w="3503" w:type="dxa"/>
            <w:vMerge/>
            <w:tcBorders>
              <w:left w:val="single" w:sz="4" w:space="0" w:color="000000"/>
              <w:bottom w:val="single" w:sz="4" w:space="0" w:color="000000"/>
              <w:right w:val="single" w:sz="4" w:space="0" w:color="000000"/>
            </w:tcBorders>
            <w:shd w:val="clear" w:color="auto" w:fill="D3D3D3"/>
          </w:tcPr>
          <w:p>
            <w:pPr/>
          </w:p>
        </w:tc>
        <w:tc>
          <w:tcPr>
            <w:tcW w:w="776" w:type="dxa"/>
            <w:tcBorders>
              <w:top w:val="nil" w:sz="6" w:space="0" w:color="auto"/>
              <w:left w:val="single" w:sz="4" w:space="0" w:color="000000"/>
              <w:bottom w:val="single" w:sz="4" w:space="0" w:color="000000"/>
              <w:right w:val="single" w:sz="4" w:space="0" w:color="000000"/>
            </w:tcBorders>
            <w:shd w:val="clear" w:color="auto" w:fill="D3D3D3"/>
          </w:tcPr>
          <w:p>
            <w:pPr/>
          </w:p>
        </w:tc>
        <w:tc>
          <w:tcPr>
            <w:tcW w:w="712" w:type="dxa"/>
            <w:tcBorders>
              <w:top w:val="nil" w:sz="6" w:space="0" w:color="auto"/>
              <w:left w:val="single" w:sz="4" w:space="0" w:color="000000"/>
              <w:bottom w:val="single" w:sz="4" w:space="0" w:color="000000"/>
              <w:right w:val="single" w:sz="4" w:space="0" w:color="000000"/>
            </w:tcBorders>
            <w:shd w:val="clear" w:color="auto" w:fill="D3D3D3"/>
          </w:tcPr>
          <w:p>
            <w:pPr/>
          </w:p>
        </w:tc>
        <w:tc>
          <w:tcPr>
            <w:tcW w:w="398" w:type="dxa"/>
            <w:vMerge/>
            <w:tcBorders>
              <w:left w:val="single" w:sz="4" w:space="0" w:color="000000"/>
              <w:bottom w:val="single" w:sz="4" w:space="0" w:color="000000"/>
              <w:right w:val="single" w:sz="4" w:space="0" w:color="000000"/>
            </w:tcBorders>
            <w:shd w:val="clear" w:color="auto" w:fill="D3D3D3"/>
          </w:tcPr>
          <w:p>
            <w:pPr/>
          </w:p>
        </w:tc>
        <w:tc>
          <w:tcPr>
            <w:tcW w:w="742"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398" w:type="dxa"/>
            <w:vMerge/>
            <w:tcBorders>
              <w:left w:val="single" w:sz="4" w:space="0" w:color="000000"/>
              <w:bottom w:val="single" w:sz="4" w:space="0" w:color="000000"/>
              <w:right w:val="single" w:sz="4" w:space="0" w:color="000000"/>
            </w:tcBorders>
            <w:shd w:val="clear" w:color="auto" w:fill="D3D3D3"/>
          </w:tcPr>
          <w:p>
            <w:pPr/>
          </w:p>
        </w:tc>
        <w:tc>
          <w:tcPr>
            <w:tcW w:w="421" w:type="dxa"/>
            <w:vMerge/>
            <w:tcBorders>
              <w:left w:val="single" w:sz="4" w:space="0" w:color="000000"/>
              <w:bottom w:val="single" w:sz="4" w:space="0" w:color="000000"/>
              <w:right w:val="single" w:sz="4" w:space="0" w:color="000000"/>
            </w:tcBorders>
            <w:shd w:val="clear" w:color="auto" w:fill="D3D3D3"/>
          </w:tcPr>
          <w:p>
            <w:pPr/>
          </w:p>
        </w:tc>
        <w:tc>
          <w:tcPr>
            <w:tcW w:w="397" w:type="dxa"/>
            <w:vMerge/>
            <w:tcBorders>
              <w:left w:val="single" w:sz="4" w:space="0" w:color="000000"/>
              <w:bottom w:val="single" w:sz="4" w:space="0" w:color="000000"/>
              <w:right w:val="single" w:sz="4" w:space="0" w:color="000000"/>
            </w:tcBorders>
            <w:shd w:val="clear" w:color="auto" w:fill="D3D3D3"/>
          </w:tcPr>
          <w:p>
            <w:pPr/>
          </w:p>
        </w:tc>
        <w:tc>
          <w:tcPr>
            <w:tcW w:w="755" w:type="dxa"/>
            <w:vMerge/>
            <w:tcBorders>
              <w:left w:val="single" w:sz="4" w:space="0" w:color="000000"/>
              <w:bottom w:val="single" w:sz="4" w:space="0" w:color="000000"/>
              <w:right w:val="single" w:sz="4" w:space="0" w:color="000000"/>
            </w:tcBorders>
            <w:shd w:val="clear" w:color="auto" w:fill="D3D3D3"/>
          </w:tcPr>
          <w:p>
            <w:pPr/>
          </w:p>
        </w:tc>
        <w:tc>
          <w:tcPr>
            <w:tcW w:w="75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3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按信用风险特征组合计提坏账准备的应收账 款</w:t>
            </w:r>
          </w:p>
        </w:tc>
        <w:tc>
          <w:tcPr>
            <w:tcW w:w="77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56,986.30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w:t>
            </w:r>
          </w:p>
        </w:tc>
        <w:tc>
          <w:tcPr>
            <w:tcW w:w="398"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56,986.30</w:t>
            </w:r>
          </w:p>
        </w:tc>
        <w:tc>
          <w:tcPr>
            <w:tcW w:w="398"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56,986.30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100.00%</w:t>
            </w:r>
          </w:p>
        </w:tc>
        <w:tc>
          <w:tcPr>
            <w:tcW w:w="398"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56,986.30</w:t>
            </w:r>
          </w:p>
        </w:tc>
        <w:tc>
          <w:tcPr>
            <w:tcW w:w="398"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期末单项金额重大并单项计提坏账准备的应收账款：</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40" w:lineRule="auto" w:before="42"/>
        <w:ind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338" w:lineRule="auto" w:before="40"/>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4104"/>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其中本期坏账准备收回或转回金额重要的：无</w:t>
      </w:r>
    </w:p>
    <w:p>
      <w:pPr>
        <w:spacing w:after="0" w:line="340" w:lineRule="auto"/>
        <w:jc w:val="left"/>
        <w:sectPr>
          <w:pgSz w:w="11910" w:h="16840"/>
          <w:pgMar w:header="0"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0"/>
        <w:jc w:val="left"/>
      </w:pPr>
      <w:r>
        <w:rPr>
          <w:spacing w:val="-1"/>
        </w:rPr>
        <w:t>本公司本年按欠款方归集的年末余额前五名应收账款汇总金额</w:t>
      </w:r>
      <w:r>
        <w:rPr>
          <w:rFonts w:ascii="Times New Roman" w:hAnsi="Times New Roman" w:cs="Times New Roman" w:eastAsia="Times New Roman" w:hint="default"/>
          <w:spacing w:val="-1"/>
        </w:rPr>
        <w:t>56,986.30</w:t>
      </w:r>
      <w:r>
        <w:rPr>
          <w:spacing w:val="-1"/>
        </w:rPr>
        <w:t>元，占应收账款年末余额合计数的比例</w:t>
      </w:r>
      <w:r>
        <w:rPr>
          <w:rFonts w:ascii="Times New Roman" w:hAnsi="Times New Roman" w:cs="Times New Roman" w:eastAsia="Times New Roman" w:hint="default"/>
          <w:spacing w:val="-1"/>
        </w:rPr>
        <w:t>100.00%</w:t>
      </w:r>
      <w:r>
        <w:rPr>
          <w:spacing w:val="-1"/>
        </w:rPr>
        <w:t>，相</w:t>
      </w:r>
      <w:r>
        <w:rPr>
          <w:spacing w:val="-48"/>
        </w:rPr>
        <w:t> </w:t>
      </w:r>
      <w:r>
        <w:rPr/>
        <w:t>应计提的坏账准备年末余额汇总金额</w:t>
      </w:r>
      <w:r>
        <w:rPr>
          <w:rFonts w:ascii="Times New Roman" w:hAnsi="Times New Roman" w:cs="Times New Roman" w:eastAsia="Times New Roman" w:hint="default"/>
        </w:rPr>
        <w:t>0.00</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1"/>
        <w:gridCol w:w="1169"/>
        <w:gridCol w:w="701"/>
        <w:gridCol w:w="551"/>
        <w:gridCol w:w="608"/>
        <w:gridCol w:w="1204"/>
        <w:gridCol w:w="1170"/>
        <w:gridCol w:w="712"/>
        <w:gridCol w:w="293"/>
        <w:gridCol w:w="432"/>
        <w:gridCol w:w="1193"/>
      </w:tblGrid>
      <w:tr>
        <w:trPr>
          <w:trHeight w:val="402" w:hRule="exact"/>
        </w:trPr>
        <w:tc>
          <w:tcPr>
            <w:tcW w:w="1621" w:type="dxa"/>
            <w:vMerge w:val="restart"/>
            <w:tcBorders>
              <w:top w:val="single" w:sz="4" w:space="0" w:color="000000"/>
              <w:left w:val="single" w:sz="4" w:space="0" w:color="000000"/>
              <w:right w:val="single" w:sz="4" w:space="0" w:color="000000"/>
            </w:tcBorders>
            <w:shd w:val="clear" w:color="auto" w:fill="D3D3D3"/>
          </w:tcPr>
          <w:p>
            <w:pPr/>
          </w:p>
        </w:tc>
        <w:tc>
          <w:tcPr>
            <w:tcW w:w="423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0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1" w:type="dxa"/>
            <w:vMerge/>
            <w:tcBorders>
              <w:left w:val="single" w:sz="4" w:space="0" w:color="000000"/>
              <w:right w:val="single" w:sz="4" w:space="0" w:color="000000"/>
            </w:tcBorders>
            <w:shd w:val="clear" w:color="auto" w:fill="D3D3D3"/>
          </w:tcPr>
          <w:p>
            <w:pPr/>
          </w:p>
        </w:tc>
        <w:tc>
          <w:tcPr>
            <w:tcW w:w="187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159"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204" w:type="dxa"/>
            <w:vMerge w:val="restart"/>
            <w:tcBorders>
              <w:top w:val="single" w:sz="4" w:space="0" w:color="000000"/>
              <w:left w:val="single" w:sz="4" w:space="0" w:color="000000"/>
              <w:right w:val="single" w:sz="4" w:space="0" w:color="000000"/>
            </w:tcBorders>
            <w:shd w:val="clear" w:color="auto" w:fill="D3D3D3"/>
          </w:tcPr>
          <w:p>
            <w:pPr/>
          </w:p>
        </w:tc>
        <w:tc>
          <w:tcPr>
            <w:tcW w:w="1882"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72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66" w:right="86" w:hanging="180"/>
              <w:jc w:val="left"/>
              <w:rPr>
                <w:rFonts w:ascii="宋体" w:hAnsi="宋体" w:cs="宋体" w:eastAsia="宋体" w:hint="default"/>
                <w:sz w:val="18"/>
                <w:szCs w:val="18"/>
              </w:rPr>
            </w:pPr>
            <w:r>
              <w:rPr>
                <w:rFonts w:ascii="宋体" w:hAnsi="宋体" w:cs="宋体" w:eastAsia="宋体" w:hint="default"/>
                <w:sz w:val="18"/>
                <w:szCs w:val="18"/>
              </w:rPr>
              <w:t>坏账准 备</w:t>
            </w:r>
          </w:p>
        </w:tc>
        <w:tc>
          <w:tcPr>
            <w:tcW w:w="1193" w:type="dxa"/>
            <w:vMerge w:val="restart"/>
            <w:tcBorders>
              <w:top w:val="single" w:sz="4" w:space="0" w:color="000000"/>
              <w:left w:val="single" w:sz="4" w:space="0" w:color="000000"/>
              <w:right w:val="single" w:sz="4" w:space="0" w:color="000000"/>
            </w:tcBorders>
            <w:shd w:val="clear" w:color="auto" w:fill="D3D3D3"/>
          </w:tcPr>
          <w:p>
            <w:pPr/>
          </w:p>
        </w:tc>
      </w:tr>
      <w:tr>
        <w:trPr>
          <w:trHeight w:val="156" w:hRule="exact"/>
        </w:trPr>
        <w:tc>
          <w:tcPr>
            <w:tcW w:w="1621" w:type="dxa"/>
            <w:vMerge/>
            <w:tcBorders>
              <w:left w:val="single" w:sz="4" w:space="0" w:color="000000"/>
              <w:bottom w:val="nil" w:sz="6" w:space="0" w:color="auto"/>
              <w:right w:val="single" w:sz="4" w:space="0" w:color="000000"/>
            </w:tcBorders>
            <w:shd w:val="clear" w:color="auto" w:fill="D3D3D3"/>
          </w:tcPr>
          <w:p>
            <w:pPr/>
          </w:p>
        </w:tc>
        <w:tc>
          <w:tcPr>
            <w:tcW w:w="187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59"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04" w:type="dxa"/>
            <w:vMerge/>
            <w:tcBorders>
              <w:left w:val="single" w:sz="4" w:space="0" w:color="000000"/>
              <w:right w:val="single" w:sz="4" w:space="0" w:color="000000"/>
            </w:tcBorders>
            <w:shd w:val="clear" w:color="auto" w:fill="D3D3D3"/>
          </w:tcPr>
          <w:p>
            <w:pPr/>
          </w:p>
        </w:tc>
        <w:tc>
          <w:tcPr>
            <w:tcW w:w="188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25" w:type="dxa"/>
            <w:gridSpan w:val="2"/>
            <w:vMerge/>
            <w:tcBorders>
              <w:left w:val="single" w:sz="4" w:space="0" w:color="000000"/>
              <w:right w:val="single" w:sz="4" w:space="0" w:color="000000"/>
            </w:tcBorders>
            <w:shd w:val="clear" w:color="auto" w:fill="D3D3D3"/>
          </w:tcPr>
          <w:p>
            <w:pPr/>
          </w:p>
        </w:tc>
        <w:tc>
          <w:tcPr>
            <w:tcW w:w="1193" w:type="dxa"/>
            <w:vMerge/>
            <w:tcBorders>
              <w:left w:val="single" w:sz="4" w:space="0" w:color="000000"/>
              <w:right w:val="single" w:sz="4" w:space="0" w:color="000000"/>
            </w:tcBorders>
            <w:shd w:val="clear" w:color="auto" w:fill="D3D3D3"/>
          </w:tcPr>
          <w:p>
            <w:pPr/>
          </w:p>
        </w:tc>
      </w:tr>
      <w:tr>
        <w:trPr>
          <w:trHeight w:val="219" w:hRule="exact"/>
        </w:trPr>
        <w:tc>
          <w:tcPr>
            <w:tcW w:w="162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类别</w:t>
            </w:r>
          </w:p>
        </w:tc>
        <w:tc>
          <w:tcPr>
            <w:tcW w:w="1870" w:type="dxa"/>
            <w:gridSpan w:val="2"/>
            <w:vMerge/>
            <w:tcBorders>
              <w:left w:val="single" w:sz="4" w:space="0" w:color="000000"/>
              <w:bottom w:val="nil" w:sz="6" w:space="0" w:color="auto"/>
              <w:right w:val="single" w:sz="4" w:space="0" w:color="000000"/>
            </w:tcBorders>
            <w:shd w:val="clear" w:color="auto" w:fill="D3D3D3"/>
          </w:tcPr>
          <w:p>
            <w:pPr/>
          </w:p>
        </w:tc>
        <w:tc>
          <w:tcPr>
            <w:tcW w:w="1159" w:type="dxa"/>
            <w:gridSpan w:val="2"/>
            <w:vMerge/>
            <w:tcBorders>
              <w:left w:val="single" w:sz="4" w:space="0" w:color="000000"/>
              <w:bottom w:val="nil" w:sz="6" w:space="0" w:color="auto"/>
              <w:right w:val="single" w:sz="4" w:space="0" w:color="000000"/>
            </w:tcBorders>
            <w:shd w:val="clear" w:color="auto" w:fill="D3D3D3"/>
          </w:tcPr>
          <w:p>
            <w:pPr/>
          </w:p>
        </w:tc>
        <w:tc>
          <w:tcPr>
            <w:tcW w:w="1204" w:type="dxa"/>
            <w:vMerge/>
            <w:tcBorders>
              <w:left w:val="single" w:sz="4" w:space="0" w:color="000000"/>
              <w:bottom w:val="nil" w:sz="6" w:space="0" w:color="auto"/>
              <w:right w:val="single" w:sz="4" w:space="0" w:color="000000"/>
            </w:tcBorders>
            <w:shd w:val="clear" w:color="auto" w:fill="D3D3D3"/>
          </w:tcPr>
          <w:p>
            <w:pPr/>
          </w:p>
        </w:tc>
        <w:tc>
          <w:tcPr>
            <w:tcW w:w="1882" w:type="dxa"/>
            <w:gridSpan w:val="2"/>
            <w:vMerge/>
            <w:tcBorders>
              <w:left w:val="single" w:sz="4" w:space="0" w:color="000000"/>
              <w:bottom w:val="nil" w:sz="6" w:space="0" w:color="auto"/>
              <w:right w:val="single" w:sz="4" w:space="0" w:color="000000"/>
            </w:tcBorders>
            <w:shd w:val="clear" w:color="auto" w:fill="D3D3D3"/>
          </w:tcPr>
          <w:p>
            <w:pPr/>
          </w:p>
        </w:tc>
        <w:tc>
          <w:tcPr>
            <w:tcW w:w="725" w:type="dxa"/>
            <w:gridSpan w:val="2"/>
            <w:vMerge/>
            <w:tcBorders>
              <w:left w:val="single" w:sz="4" w:space="0" w:color="000000"/>
              <w:right w:val="single" w:sz="4" w:space="0" w:color="000000"/>
            </w:tcBorders>
            <w:shd w:val="clear" w:color="auto" w:fill="D3D3D3"/>
          </w:tcPr>
          <w:p>
            <w:pPr/>
          </w:p>
        </w:tc>
        <w:tc>
          <w:tcPr>
            <w:tcW w:w="1193" w:type="dxa"/>
            <w:vMerge/>
            <w:tcBorders>
              <w:left w:val="single" w:sz="4" w:space="0" w:color="000000"/>
              <w:bottom w:val="nil" w:sz="6" w:space="0" w:color="auto"/>
              <w:right w:val="single" w:sz="4" w:space="0" w:color="000000"/>
            </w:tcBorders>
            <w:shd w:val="clear" w:color="auto" w:fill="D3D3D3"/>
          </w:tcPr>
          <w:p>
            <w:pPr/>
          </w:p>
        </w:tc>
      </w:tr>
      <w:tr>
        <w:trPr>
          <w:trHeight w:val="178" w:hRule="exact"/>
        </w:trPr>
        <w:tc>
          <w:tcPr>
            <w:tcW w:w="1621" w:type="dxa"/>
            <w:vMerge/>
            <w:tcBorders>
              <w:left w:val="single" w:sz="4" w:space="0" w:color="000000"/>
              <w:bottom w:val="nil" w:sz="6" w:space="0" w:color="auto"/>
              <w:right w:val="single" w:sz="4" w:space="0" w:color="000000"/>
            </w:tcBorders>
            <w:shd w:val="clear" w:color="auto" w:fill="D3D3D3"/>
          </w:tcPr>
          <w:p>
            <w:pPr/>
          </w:p>
        </w:tc>
        <w:tc>
          <w:tcPr>
            <w:tcW w:w="187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159"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20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3"/>
              <w:ind w:left="23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82"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725" w:type="dxa"/>
            <w:gridSpan w:val="2"/>
            <w:vMerge/>
            <w:tcBorders>
              <w:left w:val="single" w:sz="4" w:space="0" w:color="000000"/>
              <w:bottom w:val="single" w:sz="4" w:space="0" w:color="000000"/>
              <w:right w:val="single" w:sz="4" w:space="0" w:color="000000"/>
            </w:tcBorders>
            <w:shd w:val="clear" w:color="auto" w:fill="D3D3D3"/>
          </w:tcPr>
          <w:p>
            <w:pPr/>
          </w:p>
        </w:tc>
        <w:tc>
          <w:tcPr>
            <w:tcW w:w="119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3"/>
              <w:ind w:left="23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70" w:hRule="exact"/>
        </w:trPr>
        <w:tc>
          <w:tcPr>
            <w:tcW w:w="1621" w:type="dxa"/>
            <w:vMerge w:val="restart"/>
            <w:tcBorders>
              <w:top w:val="nil" w:sz="6" w:space="0" w:color="auto"/>
              <w:left w:val="single" w:sz="4" w:space="0" w:color="000000"/>
              <w:right w:val="single" w:sz="4" w:space="0" w:color="000000"/>
            </w:tcBorders>
            <w:shd w:val="clear" w:color="auto" w:fill="D3D3D3"/>
          </w:tcPr>
          <w:p>
            <w:pPr/>
          </w:p>
        </w:tc>
        <w:tc>
          <w:tcPr>
            <w:tcW w:w="1169" w:type="dxa"/>
            <w:tcBorders>
              <w:top w:val="single" w:sz="4" w:space="0" w:color="000000"/>
              <w:left w:val="single" w:sz="4" w:space="0" w:color="000000"/>
              <w:bottom w:val="nil" w:sz="6" w:space="0" w:color="auto"/>
              <w:right w:val="single" w:sz="4" w:space="0" w:color="000000"/>
            </w:tcBorders>
            <w:shd w:val="clear" w:color="auto" w:fill="D3D3D3"/>
          </w:tcPr>
          <w:p>
            <w:pPr/>
          </w:p>
        </w:tc>
        <w:tc>
          <w:tcPr>
            <w:tcW w:w="701" w:type="dxa"/>
            <w:tcBorders>
              <w:top w:val="single" w:sz="4" w:space="0" w:color="000000"/>
              <w:left w:val="single" w:sz="4" w:space="0" w:color="000000"/>
              <w:bottom w:val="nil" w:sz="6" w:space="0" w:color="auto"/>
              <w:right w:val="single" w:sz="4" w:space="0" w:color="000000"/>
            </w:tcBorders>
            <w:shd w:val="clear" w:color="auto" w:fill="D3D3D3"/>
          </w:tcPr>
          <w:p>
            <w:pPr/>
          </w:p>
        </w:tc>
        <w:tc>
          <w:tcPr>
            <w:tcW w:w="551" w:type="dxa"/>
            <w:tcBorders>
              <w:top w:val="single" w:sz="4" w:space="0" w:color="000000"/>
              <w:left w:val="single" w:sz="4" w:space="0" w:color="000000"/>
              <w:bottom w:val="nil" w:sz="6" w:space="0" w:color="auto"/>
              <w:right w:val="single" w:sz="4" w:space="0" w:color="000000"/>
            </w:tcBorders>
            <w:shd w:val="clear" w:color="auto" w:fill="D3D3D3"/>
          </w:tcPr>
          <w:p>
            <w:pPr/>
          </w:p>
        </w:tc>
        <w:tc>
          <w:tcPr>
            <w:tcW w:w="60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14" w:right="2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04" w:type="dxa"/>
            <w:vMerge/>
            <w:tcBorders>
              <w:left w:val="single" w:sz="4" w:space="0" w:color="000000"/>
              <w:bottom w:val="single" w:sz="14" w:space="0" w:color="FFFFFF"/>
              <w:right w:val="single" w:sz="4" w:space="0" w:color="000000"/>
            </w:tcBorders>
            <w:shd w:val="clear" w:color="auto" w:fill="D3D3D3"/>
          </w:tcPr>
          <w:p>
            <w:pPr/>
          </w:p>
        </w:tc>
        <w:tc>
          <w:tcPr>
            <w:tcW w:w="1170" w:type="dxa"/>
            <w:tcBorders>
              <w:top w:val="single" w:sz="4" w:space="0" w:color="000000"/>
              <w:left w:val="single" w:sz="4" w:space="0" w:color="000000"/>
              <w:bottom w:val="single" w:sz="14" w:space="0" w:color="FFFFFF"/>
              <w:right w:val="single" w:sz="4" w:space="0" w:color="000000"/>
            </w:tcBorders>
            <w:shd w:val="clear" w:color="auto" w:fill="D3D3D3"/>
          </w:tcPr>
          <w:p>
            <w:pPr/>
          </w:p>
        </w:tc>
        <w:tc>
          <w:tcPr>
            <w:tcW w:w="712" w:type="dxa"/>
            <w:tcBorders>
              <w:top w:val="single" w:sz="4" w:space="0" w:color="000000"/>
              <w:left w:val="single" w:sz="4" w:space="0" w:color="000000"/>
              <w:bottom w:val="single" w:sz="14" w:space="0" w:color="FFFFFF"/>
              <w:right w:val="single" w:sz="4" w:space="0" w:color="000000"/>
            </w:tcBorders>
            <w:shd w:val="clear" w:color="auto" w:fill="D3D3D3"/>
          </w:tcPr>
          <w:p>
            <w:pPr/>
          </w:p>
        </w:tc>
        <w:tc>
          <w:tcPr>
            <w:tcW w:w="2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4" w:right="56"/>
              <w:jc w:val="left"/>
              <w:rPr>
                <w:rFonts w:ascii="宋体" w:hAnsi="宋体" w:cs="宋体" w:eastAsia="宋体" w:hint="default"/>
                <w:sz w:val="18"/>
                <w:szCs w:val="18"/>
              </w:rPr>
            </w:pPr>
            <w:r>
              <w:rPr>
                <w:rFonts w:ascii="宋体" w:hAnsi="宋体" w:cs="宋体" w:eastAsia="宋体" w:hint="default"/>
                <w:sz w:val="18"/>
                <w:szCs w:val="18"/>
              </w:rPr>
              <w:t>金 额</w:t>
            </w:r>
          </w:p>
        </w:tc>
        <w:tc>
          <w:tcPr>
            <w:tcW w:w="43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5" w:right="24"/>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93" w:type="dxa"/>
            <w:vMerge/>
            <w:tcBorders>
              <w:left w:val="single" w:sz="4" w:space="0" w:color="000000"/>
              <w:bottom w:val="nil" w:sz="6" w:space="0" w:color="auto"/>
              <w:right w:val="single" w:sz="4" w:space="0" w:color="000000"/>
            </w:tcBorders>
            <w:shd w:val="clear" w:color="auto" w:fill="D3D3D3"/>
          </w:tcPr>
          <w:p>
            <w:pPr/>
          </w:p>
        </w:tc>
      </w:tr>
      <w:tr>
        <w:trPr>
          <w:trHeight w:val="371" w:hRule="exact"/>
        </w:trPr>
        <w:tc>
          <w:tcPr>
            <w:tcW w:w="1621" w:type="dxa"/>
            <w:vMerge/>
            <w:tcBorders>
              <w:left w:val="single" w:sz="4" w:space="0" w:color="000000"/>
              <w:right w:val="single" w:sz="4" w:space="0" w:color="000000"/>
            </w:tcBorders>
            <w:shd w:val="clear" w:color="auto" w:fill="D3D3D3"/>
          </w:tcPr>
          <w:p>
            <w:pPr/>
          </w:p>
        </w:tc>
        <w:tc>
          <w:tcPr>
            <w:tcW w:w="11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2"/>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5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08" w:type="dxa"/>
            <w:vMerge/>
            <w:tcBorders>
              <w:left w:val="single" w:sz="4" w:space="0" w:color="000000"/>
              <w:right w:val="single" w:sz="4" w:space="0" w:color="000000"/>
            </w:tcBorders>
            <w:shd w:val="clear" w:color="auto" w:fill="D3D3D3"/>
          </w:tcPr>
          <w:p>
            <w:pPr/>
          </w:p>
        </w:tc>
        <w:tc>
          <w:tcPr>
            <w:tcW w:w="1204" w:type="dxa"/>
            <w:vMerge w:val="restart"/>
            <w:tcBorders>
              <w:top w:val="single" w:sz="14" w:space="0" w:color="FFFFFF"/>
              <w:left w:val="single" w:sz="4" w:space="0" w:color="000000"/>
              <w:right w:val="single" w:sz="4" w:space="0" w:color="000000"/>
            </w:tcBorders>
            <w:shd w:val="clear" w:color="auto" w:fill="D3D3D3"/>
          </w:tcPr>
          <w:p>
            <w:pPr/>
          </w:p>
        </w:tc>
        <w:tc>
          <w:tcPr>
            <w:tcW w:w="1170" w:type="dxa"/>
            <w:tcBorders>
              <w:top w:val="single" w:sz="14" w:space="0" w:color="FFFFFF"/>
              <w:left w:val="single" w:sz="4" w:space="0" w:color="000000"/>
              <w:bottom w:val="nil" w:sz="6" w:space="0" w:color="auto"/>
              <w:right w:val="single" w:sz="4" w:space="0" w:color="000000"/>
            </w:tcBorders>
            <w:shd w:val="clear" w:color="auto" w:fill="D3D3D3"/>
          </w:tcPr>
          <w:p>
            <w:pPr>
              <w:pStyle w:val="TableParagraph"/>
              <w:spacing w:line="240" w:lineRule="auto" w:before="12"/>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712" w:type="dxa"/>
            <w:tcBorders>
              <w:top w:val="single" w:sz="14" w:space="0" w:color="FFFFFF"/>
              <w:left w:val="single" w:sz="4" w:space="0" w:color="000000"/>
              <w:bottom w:val="nil" w:sz="6" w:space="0" w:color="auto"/>
              <w:right w:val="single" w:sz="4" w:space="0" w:color="000000"/>
            </w:tcBorders>
            <w:shd w:val="clear" w:color="auto" w:fill="D3D3D3"/>
          </w:tcPr>
          <w:p>
            <w:pPr>
              <w:pStyle w:val="TableParagraph"/>
              <w:spacing w:line="240" w:lineRule="auto" w:before="12"/>
              <w:ind w:right="9"/>
              <w:jc w:val="center"/>
              <w:rPr>
                <w:rFonts w:ascii="宋体" w:hAnsi="宋体" w:cs="宋体" w:eastAsia="宋体" w:hint="default"/>
                <w:sz w:val="18"/>
                <w:szCs w:val="18"/>
              </w:rPr>
            </w:pPr>
            <w:r>
              <w:rPr>
                <w:rFonts w:ascii="宋体" w:hAnsi="宋体" w:cs="宋体" w:eastAsia="宋体" w:hint="default"/>
                <w:sz w:val="18"/>
                <w:szCs w:val="18"/>
              </w:rPr>
              <w:t>比例</w:t>
            </w:r>
          </w:p>
        </w:tc>
        <w:tc>
          <w:tcPr>
            <w:tcW w:w="293" w:type="dxa"/>
            <w:vMerge/>
            <w:tcBorders>
              <w:left w:val="single" w:sz="4" w:space="0" w:color="000000"/>
              <w:right w:val="single" w:sz="4" w:space="0" w:color="000000"/>
            </w:tcBorders>
            <w:shd w:val="clear" w:color="auto" w:fill="D3D3D3"/>
          </w:tcPr>
          <w:p>
            <w:pPr/>
          </w:p>
        </w:tc>
        <w:tc>
          <w:tcPr>
            <w:tcW w:w="432" w:type="dxa"/>
            <w:vMerge/>
            <w:tcBorders>
              <w:left w:val="single" w:sz="4" w:space="0" w:color="000000"/>
              <w:right w:val="single" w:sz="4" w:space="0" w:color="000000"/>
            </w:tcBorders>
            <w:shd w:val="clear" w:color="auto" w:fill="D3D3D3"/>
          </w:tcPr>
          <w:p>
            <w:pPr/>
          </w:p>
        </w:tc>
        <w:tc>
          <w:tcPr>
            <w:tcW w:w="1193"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621" w:type="dxa"/>
            <w:vMerge/>
            <w:tcBorders>
              <w:left w:val="single" w:sz="4" w:space="0" w:color="000000"/>
              <w:bottom w:val="single" w:sz="4" w:space="0" w:color="000000"/>
              <w:right w:val="single" w:sz="4" w:space="0" w:color="000000"/>
            </w:tcBorders>
            <w:shd w:val="clear" w:color="auto" w:fill="D3D3D3"/>
          </w:tcPr>
          <w:p>
            <w:pPr/>
          </w:p>
        </w:tc>
        <w:tc>
          <w:tcPr>
            <w:tcW w:w="1169" w:type="dxa"/>
            <w:tcBorders>
              <w:top w:val="nil" w:sz="6" w:space="0" w:color="auto"/>
              <w:left w:val="single" w:sz="4" w:space="0" w:color="000000"/>
              <w:bottom w:val="single" w:sz="4" w:space="0" w:color="000000"/>
              <w:right w:val="single" w:sz="4" w:space="0" w:color="000000"/>
            </w:tcBorders>
            <w:shd w:val="clear" w:color="auto" w:fill="D3D3D3"/>
          </w:tcPr>
          <w:p>
            <w:pPr/>
          </w:p>
        </w:tc>
        <w:tc>
          <w:tcPr>
            <w:tcW w:w="701" w:type="dxa"/>
            <w:tcBorders>
              <w:top w:val="nil" w:sz="6" w:space="0" w:color="auto"/>
              <w:left w:val="single" w:sz="4" w:space="0" w:color="000000"/>
              <w:bottom w:val="single" w:sz="4" w:space="0" w:color="000000"/>
              <w:right w:val="single" w:sz="4" w:space="0" w:color="000000"/>
            </w:tcBorders>
            <w:shd w:val="clear" w:color="auto" w:fill="D3D3D3"/>
          </w:tcPr>
          <w:p>
            <w:pPr/>
          </w:p>
        </w:tc>
        <w:tc>
          <w:tcPr>
            <w:tcW w:w="551" w:type="dxa"/>
            <w:tcBorders>
              <w:top w:val="nil" w:sz="6" w:space="0" w:color="auto"/>
              <w:left w:val="single" w:sz="4" w:space="0" w:color="000000"/>
              <w:bottom w:val="single" w:sz="4" w:space="0" w:color="000000"/>
              <w:right w:val="single" w:sz="4" w:space="0" w:color="000000"/>
            </w:tcBorders>
            <w:shd w:val="clear" w:color="auto" w:fill="D3D3D3"/>
          </w:tcPr>
          <w:p>
            <w:pPr/>
          </w:p>
        </w:tc>
        <w:tc>
          <w:tcPr>
            <w:tcW w:w="608" w:type="dxa"/>
            <w:vMerge/>
            <w:tcBorders>
              <w:left w:val="single" w:sz="4" w:space="0" w:color="000000"/>
              <w:bottom w:val="single" w:sz="4" w:space="0" w:color="000000"/>
              <w:right w:val="single" w:sz="4" w:space="0" w:color="000000"/>
            </w:tcBorders>
            <w:shd w:val="clear" w:color="auto" w:fill="D3D3D3"/>
          </w:tcPr>
          <w:p>
            <w:pPr/>
          </w:p>
        </w:tc>
        <w:tc>
          <w:tcPr>
            <w:tcW w:w="1204" w:type="dxa"/>
            <w:vMerge/>
            <w:tcBorders>
              <w:left w:val="single" w:sz="4" w:space="0" w:color="000000"/>
              <w:bottom w:val="single" w:sz="4" w:space="0" w:color="000000"/>
              <w:right w:val="single" w:sz="4" w:space="0" w:color="000000"/>
            </w:tcBorders>
            <w:shd w:val="clear" w:color="auto" w:fill="D3D3D3"/>
          </w:tcPr>
          <w:p>
            <w:pPr/>
          </w:p>
        </w:tc>
        <w:tc>
          <w:tcPr>
            <w:tcW w:w="1170" w:type="dxa"/>
            <w:tcBorders>
              <w:top w:val="nil" w:sz="6" w:space="0" w:color="auto"/>
              <w:left w:val="single" w:sz="4" w:space="0" w:color="000000"/>
              <w:bottom w:val="single" w:sz="4" w:space="0" w:color="000000"/>
              <w:right w:val="single" w:sz="4" w:space="0" w:color="000000"/>
            </w:tcBorders>
            <w:shd w:val="clear" w:color="auto" w:fill="D3D3D3"/>
          </w:tcPr>
          <w:p>
            <w:pPr/>
          </w:p>
        </w:tc>
        <w:tc>
          <w:tcPr>
            <w:tcW w:w="712" w:type="dxa"/>
            <w:tcBorders>
              <w:top w:val="nil" w:sz="6" w:space="0" w:color="auto"/>
              <w:left w:val="single" w:sz="4" w:space="0" w:color="000000"/>
              <w:bottom w:val="single" w:sz="4" w:space="0" w:color="000000"/>
              <w:right w:val="single" w:sz="4" w:space="0" w:color="000000"/>
            </w:tcBorders>
            <w:shd w:val="clear" w:color="auto" w:fill="D3D3D3"/>
          </w:tcPr>
          <w:p>
            <w:pPr/>
          </w:p>
        </w:tc>
        <w:tc>
          <w:tcPr>
            <w:tcW w:w="293" w:type="dxa"/>
            <w:vMerge/>
            <w:tcBorders>
              <w:left w:val="single" w:sz="4" w:space="0" w:color="000000"/>
              <w:bottom w:val="single" w:sz="4" w:space="0" w:color="000000"/>
              <w:right w:val="single" w:sz="4" w:space="0" w:color="000000"/>
            </w:tcBorders>
            <w:shd w:val="clear" w:color="auto" w:fill="D3D3D3"/>
          </w:tcPr>
          <w:p>
            <w:pPr/>
          </w:p>
        </w:tc>
        <w:tc>
          <w:tcPr>
            <w:tcW w:w="432" w:type="dxa"/>
            <w:vMerge/>
            <w:tcBorders>
              <w:left w:val="single" w:sz="4" w:space="0" w:color="000000"/>
              <w:bottom w:val="single" w:sz="4" w:space="0" w:color="000000"/>
              <w:right w:val="single" w:sz="4" w:space="0" w:color="000000"/>
            </w:tcBorders>
            <w:shd w:val="clear" w:color="auto" w:fill="D3D3D3"/>
          </w:tcPr>
          <w:p>
            <w:pPr/>
          </w:p>
        </w:tc>
        <w:tc>
          <w:tcPr>
            <w:tcW w:w="1193"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11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309,493,439.67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210.50</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309,493,229.17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167,779,164.35</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100.00%</w:t>
            </w:r>
          </w:p>
        </w:tc>
        <w:tc>
          <w:tcPr>
            <w:tcW w:w="293"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167,779,164.35</w:t>
            </w:r>
          </w:p>
        </w:tc>
      </w:tr>
      <w:tr>
        <w:trPr>
          <w:trHeight w:val="402" w:hRule="exact"/>
        </w:trPr>
        <w:tc>
          <w:tcPr>
            <w:tcW w:w="1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4"/>
              <w:jc w:val="center"/>
              <w:rPr>
                <w:rFonts w:ascii="Times New Roman" w:hAnsi="Times New Roman" w:cs="Times New Roman" w:eastAsia="Times New Roman" w:hint="default"/>
                <w:sz w:val="18"/>
                <w:szCs w:val="18"/>
              </w:rPr>
            </w:pPr>
            <w:r>
              <w:rPr>
                <w:rFonts w:ascii="Times New Roman"/>
                <w:sz w:val="18"/>
              </w:rPr>
              <w:t>309,493,439.67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210.50</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309,493,229.17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167,779,164.35</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100.00%</w:t>
            </w:r>
          </w:p>
        </w:tc>
        <w:tc>
          <w:tcPr>
            <w:tcW w:w="293"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167,779,164.35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0"/>
        <w:gridCol w:w="2390"/>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3D3D3"/>
          </w:tcPr>
          <w:p>
            <w:pPr/>
          </w:p>
        </w:tc>
        <w:tc>
          <w:tcPr>
            <w:tcW w:w="2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r>
              <w:rPr>
                <w:rFonts w:ascii="Times New Roman" w:hAnsi="Times New Roman" w:cs="Times New Roman" w:eastAsia="Times New Roman" w:hint="default"/>
                <w:sz w:val="18"/>
                <w:szCs w:val="18"/>
              </w:rPr>
              <w:t>]</w:t>
            </w:r>
          </w:p>
        </w:tc>
        <w:tc>
          <w:tcPr>
            <w:tcW w:w="230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5,005,161.30</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9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p>
        </w:tc>
        <w:tc>
          <w:tcPr>
            <w:tcW w:w="230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5,009,371.30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5,009,371.30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left="634" w:right="0" w:hanging="480"/>
        <w:jc w:val="left"/>
      </w:pPr>
      <w:r>
        <w:rPr/>
        <w:t>确定该组合依据的说明： </w:t>
      </w:r>
      <w:r>
        <w:rPr>
          <w:spacing w:val="-1"/>
        </w:rPr>
        <w:t>注：公司根据以前年度与之相同或相类似的、按账龄段划分的具有类似信用风险特征的应收账款组合的实际损失率为</w:t>
      </w:r>
    </w:p>
    <w:p>
      <w:pPr>
        <w:pStyle w:val="BodyText"/>
        <w:spacing w:line="224" w:lineRule="exact"/>
        <w:ind w:right="0"/>
        <w:jc w:val="left"/>
      </w:pPr>
      <w:r>
        <w:rPr/>
        <w:t>基础，结合现时情况分析法确定坏账准备计提的比例。</w:t>
      </w:r>
    </w:p>
    <w:p>
      <w:pPr>
        <w:spacing w:after="0" w:line="224" w:lineRule="exact"/>
        <w:jc w:val="left"/>
        <w:sectPr>
          <w:type w:val="continuous"/>
          <w:pgSz w:w="11910" w:h="16840"/>
          <w:pgMar w:top="1060" w:bottom="11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t>组合中，采用余额百分比法计提坏账准备的其他应收款：</w:t>
      </w:r>
    </w:p>
    <w:p>
      <w:pPr>
        <w:pStyle w:val="BodyText"/>
        <w:spacing w:line="340" w:lineRule="auto" w:before="116"/>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3924"/>
        <w:jc w:val="left"/>
      </w:pPr>
      <w:r>
        <w:rPr/>
        <w:t>本期计提坏账准备金额</w:t>
      </w:r>
      <w:r>
        <w:rPr>
          <w:spacing w:val="-46"/>
        </w:rPr>
        <w:t> </w:t>
      </w:r>
      <w:r>
        <w:rPr>
          <w:rFonts w:ascii="Times New Roman" w:hAnsi="Times New Roman" w:cs="Times New Roman" w:eastAsia="Times New Roman" w:hint="default"/>
        </w:rPr>
        <w:t>210.50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其中本期坏账准备转回或收回金额重要的：无</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239,384,068.37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167,740,130.37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65,100,000.00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3,867.30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4,823.98</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5,005,304.00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309,493,439.67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167,779,164.35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816"/>
        <w:gridCol w:w="764"/>
        <w:gridCol w:w="1418"/>
        <w:gridCol w:w="3102"/>
        <w:gridCol w:w="1745"/>
        <w:gridCol w:w="850"/>
      </w:tblGrid>
      <w:tr>
        <w:trPr>
          <w:trHeight w:val="714" w:hRule="exact"/>
        </w:trPr>
        <w:tc>
          <w:tcPr>
            <w:tcW w:w="18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96" w:right="105" w:hanging="90"/>
              <w:jc w:val="left"/>
              <w:rPr>
                <w:rFonts w:ascii="宋体" w:hAnsi="宋体" w:cs="宋体" w:eastAsia="宋体" w:hint="default"/>
                <w:sz w:val="18"/>
                <w:szCs w:val="18"/>
              </w:rPr>
            </w:pPr>
            <w:r>
              <w:rPr>
                <w:rFonts w:ascii="宋体" w:hAnsi="宋体" w:cs="宋体" w:eastAsia="宋体" w:hint="default"/>
                <w:sz w:val="18"/>
                <w:szCs w:val="18"/>
              </w:rPr>
              <w:t>款项的 性质</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7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7" w:right="55" w:hanging="180"/>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 w:right="58"/>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714" w:hRule="exact"/>
        </w:trPr>
        <w:tc>
          <w:tcPr>
            <w:tcW w:w="1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杭州网络传媒有限公 司</w:t>
            </w:r>
          </w:p>
        </w:tc>
        <w:tc>
          <w:tcPr>
            <w:tcW w:w="7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112,965,732.37</w:t>
            </w:r>
          </w:p>
        </w:tc>
        <w:tc>
          <w:tcPr>
            <w:tcW w:w="31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Times New Roman" w:hAnsi="Times New Roman" w:cs="Times New Roman" w:eastAsia="Times New Roman" w:hint="default"/>
                <w:sz w:val="18"/>
                <w:szCs w:val="18"/>
              </w:rPr>
              <w:t>27,225,602.00</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27,224,921.37</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58,515,209.00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浙江华朗实业有限公 司</w:t>
            </w:r>
          </w:p>
        </w:tc>
        <w:tc>
          <w:tcPr>
            <w:tcW w:w="7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股权转 让款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65,100,000.00</w:t>
            </w:r>
          </w:p>
        </w:tc>
        <w:tc>
          <w:tcPr>
            <w:tcW w:w="31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个月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65,100,000.00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21.03%</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宁波华杭投资有限公 司</w:t>
            </w:r>
          </w:p>
        </w:tc>
        <w:tc>
          <w:tcPr>
            <w:tcW w:w="7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31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个月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19.39%</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杭州日报报业集团盛 元印务有限公司</w:t>
            </w:r>
          </w:p>
        </w:tc>
        <w:tc>
          <w:tcPr>
            <w:tcW w:w="7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37,000,000.00</w:t>
            </w:r>
          </w:p>
        </w:tc>
        <w:tc>
          <w:tcPr>
            <w:tcW w:w="31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15,000,000.00</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22,000,000.00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11.96%</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杭州日报报业集团每 日送电子商务有限公 司</w:t>
            </w:r>
          </w:p>
        </w:tc>
        <w:tc>
          <w:tcPr>
            <w:tcW w:w="7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19,000,000.00</w:t>
            </w:r>
          </w:p>
        </w:tc>
        <w:tc>
          <w:tcPr>
            <w:tcW w:w="31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5,000,000.00</w:t>
            </w:r>
            <w:r>
              <w:rPr>
                <w:rFonts w:ascii="宋体" w:hAnsi="宋体" w:cs="宋体" w:eastAsia="宋体" w:hint="default"/>
                <w:sz w:val="18"/>
                <w:szCs w:val="18"/>
              </w:rPr>
              <w:t>，</w:t>
            </w: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3,000,000.00</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至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11,000,000.00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6.14%</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294,065,732.37</w:t>
            </w:r>
          </w:p>
        </w:tc>
        <w:tc>
          <w:tcPr>
            <w:tcW w:w="3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4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95.02%</w:t>
            </w: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062"/>
        <w:gridCol w:w="1471"/>
        <w:gridCol w:w="866"/>
        <w:gridCol w:w="1471"/>
        <w:gridCol w:w="1472"/>
        <w:gridCol w:w="866"/>
        <w:gridCol w:w="1472"/>
      </w:tblGrid>
      <w:tr>
        <w:trPr>
          <w:trHeight w:val="205" w:hRule="exact"/>
        </w:trPr>
        <w:tc>
          <w:tcPr>
            <w:tcW w:w="20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80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20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809" w:type="dxa"/>
            <w:gridSpan w:val="3"/>
            <w:vMerge/>
            <w:tcBorders>
              <w:left w:val="single" w:sz="4" w:space="0" w:color="000000"/>
              <w:bottom w:val="single" w:sz="4" w:space="0" w:color="000000"/>
              <w:right w:val="single" w:sz="4" w:space="0" w:color="000000"/>
            </w:tcBorders>
            <w:shd w:val="clear" w:color="auto" w:fill="D3D3D3"/>
          </w:tcPr>
          <w:p>
            <w:pPr/>
          </w:p>
        </w:tc>
        <w:tc>
          <w:tcPr>
            <w:tcW w:w="3811"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062" w:type="dxa"/>
            <w:vMerge/>
            <w:tcBorders>
              <w:left w:val="single" w:sz="4" w:space="0" w:color="000000"/>
              <w:bottom w:val="nil" w:sz="6" w:space="0" w:color="auto"/>
              <w:right w:val="single" w:sz="4" w:space="0" w:color="000000"/>
            </w:tcBorders>
            <w:shd w:val="clear" w:color="auto" w:fill="D3D3D3"/>
          </w:tcPr>
          <w:p>
            <w:pPr/>
          </w:p>
        </w:tc>
        <w:tc>
          <w:tcPr>
            <w:tcW w:w="14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471" w:type="dxa"/>
            <w:vMerge/>
            <w:tcBorders>
              <w:left w:val="single" w:sz="4" w:space="0" w:color="000000"/>
              <w:bottom w:val="single" w:sz="4" w:space="0" w:color="000000"/>
              <w:right w:val="single" w:sz="4" w:space="0" w:color="000000"/>
            </w:tcBorders>
            <w:shd w:val="clear" w:color="auto" w:fill="D3D3D3"/>
          </w:tcPr>
          <w:p>
            <w:pPr/>
          </w:p>
        </w:tc>
        <w:tc>
          <w:tcPr>
            <w:tcW w:w="866" w:type="dxa"/>
            <w:vMerge/>
            <w:tcBorders>
              <w:left w:val="single" w:sz="4" w:space="0" w:color="000000"/>
              <w:bottom w:val="single" w:sz="4" w:space="0" w:color="000000"/>
              <w:right w:val="single" w:sz="4" w:space="0" w:color="000000"/>
            </w:tcBorders>
            <w:shd w:val="clear" w:color="auto" w:fill="D3D3D3"/>
          </w:tcPr>
          <w:p>
            <w:pPr/>
          </w:p>
        </w:tc>
        <w:tc>
          <w:tcPr>
            <w:tcW w:w="1471" w:type="dxa"/>
            <w:vMerge/>
            <w:tcBorders>
              <w:left w:val="single" w:sz="4" w:space="0" w:color="000000"/>
              <w:bottom w:val="single" w:sz="4" w:space="0" w:color="000000"/>
              <w:right w:val="single" w:sz="4" w:space="0" w:color="000000"/>
            </w:tcBorders>
            <w:shd w:val="clear" w:color="auto" w:fill="D3D3D3"/>
          </w:tcPr>
          <w:p>
            <w:pPr/>
          </w:p>
        </w:tc>
        <w:tc>
          <w:tcPr>
            <w:tcW w:w="1472" w:type="dxa"/>
            <w:vMerge/>
            <w:tcBorders>
              <w:left w:val="single" w:sz="4" w:space="0" w:color="000000"/>
              <w:bottom w:val="single" w:sz="4" w:space="0" w:color="000000"/>
              <w:right w:val="single" w:sz="4" w:space="0" w:color="000000"/>
            </w:tcBorders>
            <w:shd w:val="clear" w:color="auto" w:fill="D3D3D3"/>
          </w:tcPr>
          <w:p>
            <w:pPr/>
          </w:p>
        </w:tc>
        <w:tc>
          <w:tcPr>
            <w:tcW w:w="866" w:type="dxa"/>
            <w:vMerge/>
            <w:tcBorders>
              <w:left w:val="single" w:sz="4" w:space="0" w:color="000000"/>
              <w:bottom w:val="single" w:sz="4" w:space="0" w:color="000000"/>
              <w:right w:val="single" w:sz="4" w:space="0" w:color="000000"/>
            </w:tcBorders>
            <w:shd w:val="clear" w:color="auto" w:fill="D3D3D3"/>
          </w:tcPr>
          <w:p>
            <w:pPr/>
          </w:p>
        </w:tc>
        <w:tc>
          <w:tcPr>
            <w:tcW w:w="147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2,704,736,000.00</w:t>
            </w:r>
          </w:p>
        </w:tc>
        <w:tc>
          <w:tcPr>
            <w:tcW w:w="866"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2,704,736,000.00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2,665,836,000.00</w:t>
            </w:r>
          </w:p>
        </w:tc>
        <w:tc>
          <w:tcPr>
            <w:tcW w:w="866"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2,665,836,000.00</w:t>
            </w:r>
          </w:p>
        </w:tc>
      </w:tr>
      <w:tr>
        <w:trPr>
          <w:trHeight w:val="402" w:hRule="exact"/>
        </w:trPr>
        <w:tc>
          <w:tcPr>
            <w:tcW w:w="2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4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135,625,875.12</w:t>
            </w:r>
          </w:p>
        </w:tc>
        <w:tc>
          <w:tcPr>
            <w:tcW w:w="866"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135,625,875.12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264,826,257.99</w:t>
            </w:r>
          </w:p>
        </w:tc>
        <w:tc>
          <w:tcPr>
            <w:tcW w:w="866"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264,826,257.99</w:t>
            </w:r>
          </w:p>
        </w:tc>
      </w:tr>
      <w:tr>
        <w:trPr>
          <w:trHeight w:val="402" w:hRule="exact"/>
        </w:trPr>
        <w:tc>
          <w:tcPr>
            <w:tcW w:w="2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2,840,361,875.12</w:t>
            </w:r>
          </w:p>
        </w:tc>
        <w:tc>
          <w:tcPr>
            <w:tcW w:w="866"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2,840,361,875.12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2,930,662,257.99</w:t>
            </w:r>
          </w:p>
        </w:tc>
        <w:tc>
          <w:tcPr>
            <w:tcW w:w="866"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2,930,662,257.99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41"/>
        <w:gridCol w:w="1328"/>
        <w:gridCol w:w="1091"/>
        <w:gridCol w:w="674"/>
        <w:gridCol w:w="1315"/>
        <w:gridCol w:w="1259"/>
        <w:gridCol w:w="1258"/>
      </w:tblGrid>
      <w:tr>
        <w:trPr>
          <w:trHeight w:val="714"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2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1" w:right="61"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45" w:right="83" w:hanging="360"/>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43" w:right="83"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2" w:hRule="exact"/>
        </w:trPr>
        <w:tc>
          <w:tcPr>
            <w:tcW w:w="2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13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972,051,681.49</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972,051,681.49</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杭州网络传媒有限公司</w:t>
            </w:r>
          </w:p>
        </w:tc>
        <w:tc>
          <w:tcPr>
            <w:tcW w:w="13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38,467,000.00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38,467,000.00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杭州日报传媒有限公司</w:t>
            </w:r>
          </w:p>
        </w:tc>
        <w:tc>
          <w:tcPr>
            <w:tcW w:w="13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415,813,905.56</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415,813,905.56</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杭州富阳日报传媒有限公司</w:t>
            </w:r>
          </w:p>
        </w:tc>
        <w:tc>
          <w:tcPr>
            <w:tcW w:w="13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69,773,700.00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69,773,700.00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杭州萧山日报传媒有限公司</w:t>
            </w:r>
          </w:p>
        </w:tc>
        <w:tc>
          <w:tcPr>
            <w:tcW w:w="13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140,938,900.00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140,938,900.00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c>
          <w:tcPr>
            <w:tcW w:w="13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23,640,412.95</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23,640,412.95</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88"/>
              <w:jc w:val="left"/>
              <w:rPr>
                <w:rFonts w:ascii="宋体" w:hAnsi="宋体" w:cs="宋体" w:eastAsia="宋体" w:hint="default"/>
                <w:sz w:val="18"/>
                <w:szCs w:val="18"/>
              </w:rPr>
            </w:pPr>
            <w:r>
              <w:rPr>
                <w:rFonts w:ascii="宋体" w:hAnsi="宋体" w:cs="宋体" w:eastAsia="宋体" w:hint="default"/>
                <w:sz w:val="18"/>
                <w:szCs w:val="18"/>
              </w:rPr>
              <w:t>杭州日报报业集团盛元印务有限 公司</w:t>
            </w:r>
          </w:p>
        </w:tc>
        <w:tc>
          <w:tcPr>
            <w:tcW w:w="13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325,190,800.00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325,190,800.00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c>
          <w:tcPr>
            <w:tcW w:w="13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76,063,600.00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76,063,600.00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杭州都市周报传媒有限公司</w:t>
            </w:r>
          </w:p>
        </w:tc>
        <w:tc>
          <w:tcPr>
            <w:tcW w:w="13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11,096,000.00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11,096,000.00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杭州华泰一媒文化传媒有限公司</w:t>
            </w:r>
          </w:p>
        </w:tc>
        <w:tc>
          <w:tcPr>
            <w:tcW w:w="13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4,900,000.00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13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35,700,000.00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35,700,000.00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3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9"/>
              <w:jc w:val="left"/>
              <w:rPr>
                <w:rFonts w:ascii="宋体" w:hAnsi="宋体" w:cs="宋体" w:eastAsia="宋体" w:hint="default"/>
                <w:sz w:val="18"/>
                <w:szCs w:val="18"/>
              </w:rPr>
            </w:pPr>
            <w:r>
              <w:rPr>
                <w:rFonts w:ascii="宋体" w:hAnsi="宋体" w:cs="宋体" w:eastAsia="宋体" w:hint="default"/>
                <w:sz w:val="18"/>
                <w:szCs w:val="18"/>
              </w:rPr>
              <w:t>中教未来国际教育科技（北京）有 限公司</w:t>
            </w:r>
          </w:p>
        </w:tc>
        <w:tc>
          <w:tcPr>
            <w:tcW w:w="13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522,000,000.00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522,000,000.00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浙江华媒教育科技有限公司</w:t>
            </w:r>
          </w:p>
        </w:tc>
        <w:tc>
          <w:tcPr>
            <w:tcW w:w="1328" w:type="dxa"/>
            <w:tcBorders>
              <w:top w:val="single" w:sz="4" w:space="0" w:color="000000"/>
              <w:left w:val="single" w:sz="9" w:space="0" w:color="C7EDCC"/>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34,000,000.00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34,000,000.00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2,665,836,000.00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38,900,000.00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2,704,736,000.00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left="334"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30"/>
        <w:jc w:val="right"/>
      </w:pPr>
      <w:r>
        <w:rPr/>
        <w:t>单位： 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137"/>
        <w:gridCol w:w="1062"/>
        <w:gridCol w:w="496"/>
        <w:gridCol w:w="1056"/>
        <w:gridCol w:w="1199"/>
        <w:gridCol w:w="1056"/>
        <w:gridCol w:w="475"/>
        <w:gridCol w:w="1199"/>
        <w:gridCol w:w="475"/>
        <w:gridCol w:w="283"/>
        <w:gridCol w:w="1056"/>
        <w:gridCol w:w="571"/>
      </w:tblGrid>
      <w:tr>
        <w:trPr>
          <w:trHeight w:val="402" w:hRule="exact"/>
        </w:trPr>
        <w:tc>
          <w:tcPr>
            <w:tcW w:w="11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239"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7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6"/>
              <w:ind w:left="100" w:right="98"/>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025" w:hRule="exact"/>
        </w:trPr>
        <w:tc>
          <w:tcPr>
            <w:tcW w:w="1137"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 w:right="61"/>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4" w:right="53"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1" w:right="72"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4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1" w:right="53"/>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3" w:right="53"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4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1" w:right="53"/>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6" w:right="44"/>
              <w:jc w:val="left"/>
              <w:rPr>
                <w:rFonts w:ascii="宋体" w:hAnsi="宋体" w:cs="宋体" w:eastAsia="宋体" w:hint="default"/>
                <w:sz w:val="18"/>
                <w:szCs w:val="18"/>
              </w:rPr>
            </w:pPr>
            <w:r>
              <w:rPr>
                <w:rFonts w:ascii="宋体" w:hAnsi="宋体" w:cs="宋体" w:eastAsia="宋体" w:hint="default"/>
                <w:sz w:val="18"/>
                <w:szCs w:val="18"/>
              </w:rPr>
              <w:t>其 他</w:t>
            </w:r>
          </w:p>
        </w:tc>
        <w:tc>
          <w:tcPr>
            <w:tcW w:w="1056" w:type="dxa"/>
            <w:vMerge/>
            <w:tcBorders>
              <w:left w:val="single" w:sz="4" w:space="0" w:color="000000"/>
              <w:bottom w:val="single" w:sz="4" w:space="0" w:color="000000"/>
              <w:right w:val="single" w:sz="4" w:space="0" w:color="000000"/>
            </w:tcBorders>
            <w:shd w:val="clear" w:color="auto" w:fill="D3D3D3"/>
          </w:tcPr>
          <w:p>
            <w:pPr/>
          </w:p>
        </w:tc>
        <w:tc>
          <w:tcPr>
            <w:tcW w:w="57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0064"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10064"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11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杭州文化产权 交易所有限公 司</w:t>
            </w:r>
          </w:p>
        </w:tc>
        <w:tc>
          <w:tcPr>
            <w:tcW w:w="106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21,119,516.02</w:t>
            </w:r>
          </w:p>
        </w:tc>
        <w:tc>
          <w:tcPr>
            <w:tcW w:w="49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1,107,879.85</w:t>
            </w:r>
          </w:p>
        </w:tc>
        <w:tc>
          <w:tcPr>
            <w:tcW w:w="10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1" w:right="0"/>
              <w:jc w:val="center"/>
              <w:rPr>
                <w:rFonts w:ascii="Times New Roman" w:hAnsi="Times New Roman" w:cs="Times New Roman" w:eastAsia="Times New Roman" w:hint="default"/>
                <w:sz w:val="16"/>
                <w:szCs w:val="16"/>
              </w:rPr>
            </w:pPr>
            <w:r>
              <w:rPr>
                <w:rFonts w:ascii="Times New Roman"/>
                <w:sz w:val="16"/>
              </w:rPr>
              <w:t>22,227,395.87</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十九楼网络股 份有限公司</w:t>
            </w:r>
          </w:p>
        </w:tc>
        <w:tc>
          <w:tcPr>
            <w:tcW w:w="106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82,479,927.65</w:t>
            </w:r>
          </w:p>
        </w:tc>
        <w:tc>
          <w:tcPr>
            <w:tcW w:w="49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1,142,267.83</w:t>
            </w:r>
          </w:p>
        </w:tc>
        <w:tc>
          <w:tcPr>
            <w:tcW w:w="10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4,189,500.00</w:t>
            </w:r>
          </w:p>
        </w:tc>
        <w:tc>
          <w:tcPr>
            <w:tcW w:w="4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6"/>
                <w:szCs w:val="16"/>
              </w:rPr>
            </w:pPr>
            <w:r>
              <w:rPr>
                <w:rFonts w:ascii="Times New Roman"/>
                <w:sz w:val="16"/>
              </w:rPr>
              <w:t>79,432,695.48</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北京精典博维 文化传媒有限 公司</w:t>
            </w:r>
          </w:p>
        </w:tc>
        <w:tc>
          <w:tcPr>
            <w:tcW w:w="106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129,182,104.43</w:t>
            </w:r>
          </w:p>
        </w:tc>
        <w:tc>
          <w:tcPr>
            <w:tcW w:w="49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133,274,948.54</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w w:val="95"/>
                <w:sz w:val="16"/>
              </w:rPr>
              <w:t>4,092,844.11</w:t>
            </w:r>
            <w:r>
              <w:rPr>
                <w:rFonts w:ascii="Times New Roman"/>
                <w:spacing w:val="-1"/>
                <w:sz w:val="16"/>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杭州华媒科创 园区管理有限 公司</w:t>
            </w:r>
          </w:p>
        </w:tc>
        <w:tc>
          <w:tcPr>
            <w:tcW w:w="106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2,896,250.48</w:t>
            </w:r>
          </w:p>
        </w:tc>
        <w:tc>
          <w:tcPr>
            <w:tcW w:w="49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259,702.73</w:t>
            </w:r>
          </w:p>
        </w:tc>
        <w:tc>
          <w:tcPr>
            <w:tcW w:w="10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2" w:right="0"/>
              <w:jc w:val="center"/>
              <w:rPr>
                <w:rFonts w:ascii="Times New Roman" w:hAnsi="Times New Roman" w:cs="Times New Roman" w:eastAsia="Times New Roman" w:hint="default"/>
                <w:sz w:val="16"/>
                <w:szCs w:val="16"/>
              </w:rPr>
            </w:pPr>
            <w:r>
              <w:rPr>
                <w:rFonts w:ascii="Times New Roman"/>
                <w:sz w:val="16"/>
              </w:rPr>
              <w:t>3,155,953.21</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杭州华媒泽商 创业投资合伙 企业</w:t>
            </w:r>
          </w:p>
        </w:tc>
        <w:tc>
          <w:tcPr>
            <w:tcW w:w="106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29,148,459.41</w:t>
            </w:r>
          </w:p>
        </w:tc>
        <w:tc>
          <w:tcPr>
            <w:tcW w:w="49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-528,750.29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2,190,121.44</w:t>
            </w:r>
          </w:p>
        </w:tc>
        <w:tc>
          <w:tcPr>
            <w:tcW w:w="475"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1" w:right="0"/>
              <w:jc w:val="center"/>
              <w:rPr>
                <w:rFonts w:ascii="Times New Roman" w:hAnsi="Times New Roman" w:cs="Times New Roman" w:eastAsia="Times New Roman" w:hint="default"/>
                <w:sz w:val="16"/>
                <w:szCs w:val="16"/>
              </w:rPr>
            </w:pPr>
            <w:r>
              <w:rPr>
                <w:rFonts w:ascii="Times New Roman"/>
                <w:sz w:val="16"/>
              </w:rPr>
              <w:t>30,809,830.56</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6"/>
                <w:szCs w:val="16"/>
              </w:rPr>
            </w:pPr>
            <w:r>
              <w:rPr>
                <w:rFonts w:ascii="Times New Roman"/>
                <w:spacing w:val="-1"/>
                <w:sz w:val="16"/>
              </w:rPr>
              <w:t>264,826,257.99</w:t>
            </w:r>
          </w:p>
        </w:tc>
        <w:tc>
          <w:tcPr>
            <w:tcW w:w="49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16"/>
                <w:szCs w:val="16"/>
              </w:rPr>
            </w:pPr>
            <w:r>
              <w:rPr>
                <w:rFonts w:ascii="Times New Roman"/>
                <w:sz w:val="16"/>
              </w:rPr>
              <w:t>133,274,948.54</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6"/>
                <w:szCs w:val="16"/>
              </w:rPr>
            </w:pPr>
            <w:r>
              <w:rPr>
                <w:rFonts w:ascii="Times New Roman"/>
                <w:spacing w:val="-1"/>
                <w:sz w:val="16"/>
              </w:rPr>
              <w:t>6,073,944.23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6"/>
                <w:szCs w:val="16"/>
              </w:rPr>
            </w:pPr>
            <w:r>
              <w:rPr>
                <w:rFonts w:ascii="Times New Roman"/>
                <w:spacing w:val="-1"/>
                <w:sz w:val="16"/>
              </w:rPr>
              <w:t>2,190,121.44</w:t>
            </w:r>
          </w:p>
        </w:tc>
        <w:tc>
          <w:tcPr>
            <w:tcW w:w="475"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6"/>
                <w:szCs w:val="16"/>
              </w:rPr>
            </w:pPr>
            <w:r>
              <w:rPr>
                <w:rFonts w:ascii="Times New Roman"/>
                <w:spacing w:val="-1"/>
                <w:sz w:val="16"/>
              </w:rPr>
              <w:t>4,189,500.00</w:t>
            </w:r>
          </w:p>
        </w:tc>
        <w:tc>
          <w:tcPr>
            <w:tcW w:w="4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16"/>
                <w:szCs w:val="16"/>
              </w:rPr>
            </w:pPr>
            <w:r>
              <w:rPr>
                <w:rFonts w:ascii="Times New Roman"/>
                <w:sz w:val="16"/>
              </w:rPr>
              <w:t>135,625,875.12</w:t>
            </w: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6"/>
                <w:szCs w:val="16"/>
              </w:rPr>
            </w:pPr>
            <w:r>
              <w:rPr>
                <w:rFonts w:ascii="Times New Roman"/>
                <w:spacing w:val="-1"/>
                <w:sz w:val="16"/>
              </w:rPr>
              <w:t>264,826,257.99</w:t>
            </w:r>
          </w:p>
        </w:tc>
        <w:tc>
          <w:tcPr>
            <w:tcW w:w="49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16"/>
                <w:szCs w:val="16"/>
              </w:rPr>
            </w:pPr>
            <w:r>
              <w:rPr>
                <w:rFonts w:ascii="Times New Roman"/>
                <w:sz w:val="16"/>
              </w:rPr>
              <w:t>133,274,948.54</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6"/>
                <w:szCs w:val="16"/>
              </w:rPr>
            </w:pPr>
            <w:r>
              <w:rPr>
                <w:rFonts w:ascii="Times New Roman"/>
                <w:spacing w:val="-1"/>
                <w:sz w:val="16"/>
              </w:rPr>
              <w:t>6,073,944.23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6"/>
                <w:szCs w:val="16"/>
              </w:rPr>
            </w:pPr>
            <w:r>
              <w:rPr>
                <w:rFonts w:ascii="Times New Roman"/>
                <w:spacing w:val="-1"/>
                <w:sz w:val="16"/>
              </w:rPr>
              <w:t>2,190,121.44</w:t>
            </w:r>
          </w:p>
        </w:tc>
        <w:tc>
          <w:tcPr>
            <w:tcW w:w="475"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6"/>
                <w:szCs w:val="16"/>
              </w:rPr>
            </w:pPr>
            <w:r>
              <w:rPr>
                <w:rFonts w:ascii="Times New Roman"/>
                <w:spacing w:val="-1"/>
                <w:sz w:val="16"/>
              </w:rPr>
              <w:t>4,189,500.00</w:t>
            </w:r>
          </w:p>
        </w:tc>
        <w:tc>
          <w:tcPr>
            <w:tcW w:w="4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16"/>
                <w:szCs w:val="16"/>
              </w:rPr>
            </w:pPr>
            <w:r>
              <w:rPr>
                <w:rFonts w:ascii="Times New Roman"/>
                <w:sz w:val="16"/>
              </w:rPr>
              <w:t>135,625,875.12</w:t>
            </w:r>
          </w:p>
        </w:tc>
        <w:tc>
          <w:tcPr>
            <w:tcW w:w="5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334"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34"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30"/>
        <w:jc w:val="right"/>
      </w:pPr>
      <w:r>
        <w:rPr/>
        <w:t>单位： 元</w:t>
      </w:r>
    </w:p>
    <w:p>
      <w:pPr>
        <w:spacing w:line="240" w:lineRule="auto" w:before="13"/>
        <w:rPr>
          <w:rFonts w:ascii="宋体" w:hAnsi="宋体" w:cs="宋体" w:eastAsia="宋体" w:hint="default"/>
          <w:sz w:val="7"/>
          <w:szCs w:val="7"/>
        </w:rPr>
      </w:pPr>
    </w:p>
    <w:tbl>
      <w:tblPr>
        <w:tblW w:w="0" w:type="auto"/>
        <w:jc w:val="left"/>
        <w:tblInd w:w="340" w:type="dxa"/>
        <w:tblLayout w:type="fixed"/>
        <w:tblCellMar>
          <w:top w:w="0" w:type="dxa"/>
          <w:left w:w="0" w:type="dxa"/>
          <w:bottom w:w="0" w:type="dxa"/>
          <w:right w:w="0" w:type="dxa"/>
        </w:tblCellMar>
        <w:tblLook w:val="01E0"/>
      </w:tblPr>
      <w:tblGrid>
        <w:gridCol w:w="1982"/>
        <w:gridCol w:w="1838"/>
        <w:gridCol w:w="1912"/>
        <w:gridCol w:w="1913"/>
        <w:gridCol w:w="1913"/>
      </w:tblGrid>
      <w:tr>
        <w:trPr>
          <w:trHeight w:val="206" w:hRule="exact"/>
        </w:trPr>
        <w:tc>
          <w:tcPr>
            <w:tcW w:w="1982" w:type="dxa"/>
            <w:tcBorders>
              <w:top w:val="single" w:sz="4" w:space="0" w:color="000000"/>
              <w:left w:val="single" w:sz="4" w:space="0" w:color="000000"/>
              <w:bottom w:val="nil" w:sz="6" w:space="0" w:color="auto"/>
              <w:right w:val="single" w:sz="4" w:space="0" w:color="000000"/>
            </w:tcBorders>
            <w:shd w:val="clear" w:color="auto" w:fill="D3D3D3"/>
          </w:tcPr>
          <w:p>
            <w:pPr/>
          </w:p>
        </w:tc>
        <w:tc>
          <w:tcPr>
            <w:tcW w:w="375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3D3D3"/>
          </w:tcPr>
          <w:p>
            <w:pP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82" w:type="dxa"/>
            <w:vMerge/>
            <w:tcBorders>
              <w:left w:val="single" w:sz="4" w:space="0" w:color="000000"/>
              <w:bottom w:val="nil" w:sz="6" w:space="0" w:color="auto"/>
              <w:right w:val="single" w:sz="4" w:space="0" w:color="000000"/>
            </w:tcBorders>
            <w:shd w:val="clear" w:color="auto" w:fill="D3D3D3"/>
          </w:tcPr>
          <w:p>
            <w:pPr/>
          </w:p>
        </w:tc>
        <w:tc>
          <w:tcPr>
            <w:tcW w:w="18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2" w:type="dxa"/>
            <w:tcBorders>
              <w:top w:val="nil" w:sz="6" w:space="0" w:color="auto"/>
              <w:left w:val="single" w:sz="4" w:space="0" w:color="000000"/>
              <w:bottom w:val="single" w:sz="4" w:space="0" w:color="000000"/>
              <w:right w:val="single" w:sz="4" w:space="0" w:color="000000"/>
            </w:tcBorders>
            <w:shd w:val="clear" w:color="auto" w:fill="D3D3D3"/>
          </w:tcPr>
          <w:p>
            <w:pPr/>
          </w:p>
        </w:tc>
        <w:tc>
          <w:tcPr>
            <w:tcW w:w="1838" w:type="dxa"/>
            <w:vMerge/>
            <w:tcBorders>
              <w:left w:val="single" w:sz="4" w:space="0" w:color="000000"/>
              <w:bottom w:val="single" w:sz="4" w:space="0" w:color="000000"/>
              <w:right w:val="single" w:sz="4" w:space="0" w:color="000000"/>
            </w:tcBorders>
            <w:shd w:val="clear" w:color="auto" w:fill="D3D3D3"/>
          </w:tcPr>
          <w:p>
            <w:pPr/>
          </w:p>
        </w:tc>
        <w:tc>
          <w:tcPr>
            <w:tcW w:w="1912"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3D3D3"/>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3,690,849.02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149,753.44</w:t>
            </w:r>
          </w:p>
        </w:tc>
      </w:tr>
      <w:tr>
        <w:trPr>
          <w:trHeight w:val="402" w:hRule="exact"/>
        </w:trPr>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214,219.02</w:t>
            </w:r>
          </w:p>
        </w:tc>
        <w:tc>
          <w:tcPr>
            <w:tcW w:w="19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123,838.79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214,219.02</w:t>
            </w:r>
          </w:p>
        </w:tc>
        <w:tc>
          <w:tcPr>
            <w:tcW w:w="19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3,814,687.81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149,753.44</w:t>
            </w:r>
          </w:p>
        </w:tc>
      </w:tr>
    </w:tbl>
    <w:p>
      <w:pPr>
        <w:pStyle w:val="BodyText"/>
        <w:spacing w:line="240" w:lineRule="auto" w:before="51"/>
        <w:ind w:left="334" w:right="0"/>
        <w:jc w:val="left"/>
      </w:pPr>
      <w:r>
        <w:rPr/>
        <w:t>其他说明：无</w:t>
      </w:r>
    </w:p>
    <w:p>
      <w:pPr>
        <w:spacing w:after="0" w:line="240" w:lineRule="auto"/>
        <w:jc w:val="left"/>
        <w:sectPr>
          <w:pgSz w:w="11910" w:h="16840"/>
          <w:pgMar w:header="0" w:footer="982" w:top="1100" w:bottom="1180" w:left="800" w:right="80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1"/>
        <w:gridCol w:w="3070"/>
        <w:gridCol w:w="318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0" w:type="dxa"/>
            <w:tcBorders>
              <w:top w:val="single" w:sz="4" w:space="0" w:color="000000"/>
              <w:left w:val="single" w:sz="9" w:space="0" w:color="D3D3D3"/>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547,000,000.00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6,073,944.23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13,316,053.62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-3,074,948.54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2,998,995.69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560,316,053.62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80"/>
        <w:gridCol w:w="2138"/>
        <w:gridCol w:w="2339"/>
      </w:tblGrid>
      <w:tr>
        <w:trPr>
          <w:trHeight w:val="402" w:hRule="exact"/>
        </w:trPr>
        <w:tc>
          <w:tcPr>
            <w:tcW w:w="5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5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1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2,864,346.65</w:t>
            </w:r>
          </w:p>
        </w:tc>
        <w:tc>
          <w:tcPr>
            <w:tcW w:w="233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5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7"/>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 标准定额或定量享受的政府补助除外）</w:t>
            </w:r>
          </w:p>
        </w:tc>
        <w:tc>
          <w:tcPr>
            <w:tcW w:w="21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11,744,389.08</w:t>
            </w:r>
          </w:p>
        </w:tc>
        <w:tc>
          <w:tcPr>
            <w:tcW w:w="233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5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1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3,150,291.09</w:t>
            </w:r>
          </w:p>
        </w:tc>
        <w:tc>
          <w:tcPr>
            <w:tcW w:w="233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5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1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1,911,929.63</w:t>
            </w:r>
          </w:p>
        </w:tc>
        <w:tc>
          <w:tcPr>
            <w:tcW w:w="233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338" w:hRule="exact"/>
        </w:trPr>
        <w:tc>
          <w:tcPr>
            <w:tcW w:w="5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 金融资产、交易性金融负债产生的公允价值变动损益，以及处置 交易性金融资产、交易性金融负债和可供出售金融资产取得的投 资收益</w:t>
            </w:r>
          </w:p>
        </w:tc>
        <w:tc>
          <w:tcPr>
            <w:tcW w:w="21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144,458.11</w:t>
            </w:r>
          </w:p>
        </w:tc>
        <w:tc>
          <w:tcPr>
            <w:tcW w:w="233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5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1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-2,005,986.35</w:t>
            </w:r>
          </w:p>
        </w:tc>
        <w:tc>
          <w:tcPr>
            <w:tcW w:w="233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5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1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49,714,019.43</w:t>
            </w:r>
          </w:p>
        </w:tc>
        <w:tc>
          <w:tcPr>
            <w:tcW w:w="233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5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1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222,851.41</w:t>
            </w:r>
          </w:p>
        </w:tc>
        <w:tc>
          <w:tcPr>
            <w:tcW w:w="233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5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1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780,370.56</w:t>
            </w:r>
          </w:p>
        </w:tc>
        <w:tc>
          <w:tcPr>
            <w:tcW w:w="233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5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38"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66,520,225.67</w:t>
            </w:r>
          </w:p>
        </w:tc>
        <w:tc>
          <w:tcPr>
            <w:tcW w:w="2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958"/>
        <w:gridCol w:w="1955"/>
        <w:gridCol w:w="1871"/>
        <w:gridCol w:w="1871"/>
      </w:tblGrid>
      <w:tr>
        <w:trPr>
          <w:trHeight w:val="206" w:hRule="exact"/>
        </w:trPr>
        <w:tc>
          <w:tcPr>
            <w:tcW w:w="3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1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374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395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95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742"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3958" w:type="dxa"/>
            <w:vMerge/>
            <w:tcBorders>
              <w:left w:val="single" w:sz="4" w:space="0" w:color="000000"/>
              <w:bottom w:val="nil" w:sz="6" w:space="0" w:color="auto"/>
              <w:right w:val="single" w:sz="4" w:space="0" w:color="000000"/>
            </w:tcBorders>
            <w:shd w:val="clear" w:color="auto" w:fill="D3D3D3"/>
          </w:tcPr>
          <w:p>
            <w:pPr/>
          </w:p>
        </w:tc>
        <w:tc>
          <w:tcPr>
            <w:tcW w:w="1955" w:type="dxa"/>
            <w:vMerge/>
            <w:tcBorders>
              <w:left w:val="single" w:sz="4" w:space="0" w:color="000000"/>
              <w:bottom w:val="nil" w:sz="6" w:space="0" w:color="auto"/>
              <w:right w:val="single" w:sz="4" w:space="0" w:color="000000"/>
            </w:tcBorders>
            <w:shd w:val="clear" w:color="auto" w:fill="D3D3D3"/>
          </w:tcPr>
          <w:p>
            <w:pPr/>
          </w:p>
        </w:tc>
        <w:tc>
          <w:tcPr>
            <w:tcW w:w="18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8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3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1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1871" w:type="dxa"/>
            <w:vMerge/>
            <w:tcBorders>
              <w:left w:val="single" w:sz="4" w:space="0" w:color="000000"/>
              <w:bottom w:val="single" w:sz="4" w:space="0" w:color="000000"/>
              <w:right w:val="single" w:sz="4" w:space="0" w:color="000000"/>
            </w:tcBorders>
            <w:shd w:val="clear" w:color="auto" w:fill="D3D3D3"/>
          </w:tcPr>
          <w:p>
            <w:pPr/>
          </w:p>
        </w:tc>
        <w:tc>
          <w:tcPr>
            <w:tcW w:w="187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9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r>
      <w:tr>
        <w:trPr>
          <w:trHeight w:val="714" w:hRule="exact"/>
        </w:trPr>
        <w:tc>
          <w:tcPr>
            <w:tcW w:w="3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5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 利润</w:t>
            </w:r>
          </w:p>
        </w:tc>
        <w:tc>
          <w:tcPr>
            <w:tcW w:w="19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0" w:footer="982" w:top="1100" w:bottom="1180" w:left="980" w:right="9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3286" w:right="0"/>
        <w:jc w:val="left"/>
        <w:rPr>
          <w:b w:val="0"/>
          <w:bCs w:val="0"/>
        </w:rPr>
      </w:pPr>
      <w:bookmarkStart w:name="_TOC_250000" w:id="12"/>
      <w:r>
        <w:rPr/>
        <w:t>第十二节</w:t>
      </w:r>
      <w:r>
        <w:rPr>
          <w:spacing w:val="-9"/>
        </w:rPr>
        <w:t> </w:t>
      </w:r>
      <w:r>
        <w:rPr/>
        <w:t>备查文件目录</w:t>
      </w:r>
      <w:bookmarkEnd w:id="12"/>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rFonts w:ascii="Times New Roman" w:hAnsi="Times New Roman" w:cs="Times New Roman" w:eastAsia="Times New Roman" w:hint="default"/>
        </w:rPr>
        <w:t>1</w:t>
      </w:r>
      <w:r>
        <w:rPr/>
        <w:t>、经公司法定代表人、主管会计工作的负责人、会计机构负责人签字并盖章的财务报表；</w:t>
      </w:r>
    </w:p>
    <w:p>
      <w:pPr>
        <w:pStyle w:val="BodyText"/>
        <w:spacing w:line="240" w:lineRule="auto" w:before="63"/>
        <w:ind w:left="153" w:right="0"/>
        <w:jc w:val="left"/>
      </w:pPr>
      <w:r>
        <w:rPr>
          <w:rFonts w:ascii="Times New Roman" w:hAnsi="Times New Roman" w:cs="Times New Roman" w:eastAsia="Times New Roman" w:hint="default"/>
        </w:rPr>
        <w:t>2</w:t>
      </w:r>
      <w:r>
        <w:rPr/>
        <w:t>、经瑞华会计师事务所（特殊普通合伙）盖章、注册会计师签名并盖章的审计报告原件。</w:t>
      </w:r>
    </w:p>
    <w:p>
      <w:pPr>
        <w:pStyle w:val="BodyText"/>
        <w:spacing w:line="240" w:lineRule="auto" w:before="63"/>
        <w:ind w:left="153" w:right="0"/>
        <w:jc w:val="left"/>
      </w:pPr>
      <w:r>
        <w:rPr>
          <w:rFonts w:ascii="Times New Roman" w:hAnsi="Times New Roman" w:cs="Times New Roman" w:eastAsia="Times New Roman" w:hint="default"/>
        </w:rPr>
        <w:t>3</w:t>
      </w:r>
      <w:r>
        <w:rPr/>
        <w:t>、报告期内在巨潮资讯网上公开披露过的所有公司文件的正本及公告的原稿。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4"/>
        <w:spacing w:line="571" w:lineRule="auto"/>
        <w:ind w:left="7492" w:right="131"/>
        <w:jc w:val="left"/>
      </w:pPr>
      <w:r>
        <w:rPr/>
        <w:t>浙江华媒控股股份有限公司</w:t>
      </w:r>
      <w:r>
        <w:rPr>
          <w:w w:val="100"/>
        </w:rPr>
        <w:t> </w:t>
      </w:r>
      <w:r>
        <w:rPr/>
        <w:t>法定代表人：董悦</w:t>
      </w:r>
      <w:r>
        <w:rPr>
          <w:w w:val="100"/>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w:t>
      </w:r>
    </w:p>
    <w:sectPr>
      <w:pgSz w:w="11910" w:h="16840"/>
      <w:pgMar w:header="0" w:footer="982" w:top="110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11693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1.897522pt;width:11pt;height:11pt;mso-position-horizontal-relative:page;mso-position-vertical-relative:page;z-index:-11691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83</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59.717957pt;width:13pt;height:11pt;mso-position-horizontal-relative:page;mso-position-vertical-relative:page;z-index:-1169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59.717957pt;width:13pt;height:18.1pt;mso-position-horizontal-relative:page;mso-position-vertical-relative:page;z-index:-1169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85</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910522pt;margin-top:559.717957pt;width:11pt;height:11pt;mso-position-horizontal-relative:page;mso-position-vertical-relative:page;z-index:-11690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87</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69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88</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68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10522pt;margin-top:535.297913pt;width:17.5pt;height:11pt;mso-position-horizontal-relative:page;mso-position-vertical-relative:page;z-index:-1168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68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68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69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69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69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807.637634pt;width:13pt;height:11pt;mso-position-horizontal-relative:page;mso-position-vertical-relative:page;z-index:-1169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69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1.897522pt;width:11pt;height:11pt;mso-position-horizontal-relative:page;mso-position-vertical-relative:page;z-index:-11692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81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821.797607pt;width:11pt;height:11pt;mso-position-horizontal-relative:page;mso-position-vertical-relative:page;z-index:-11692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82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179993pt;margin-top:36.325325pt;width:195.45pt;height:11.5pt;mso-position-horizontal-relative:page;mso-position-vertical-relative:page;z-index:-1169392"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7052pt;margin-top:42.865623pt;width:195.45pt;height:11.5pt;mso-position-horizontal-relative:page;mso-position-vertical-relative:page;z-index:-1169152"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169056"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44.179993pt;margin-top:42.865326pt;width:195.45pt;height:11.5pt;mso-position-horizontal-relative:page;mso-position-vertical-relative:page;z-index:-1169032"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7052pt;margin-top:42.865623pt;width:195.45pt;height:11.5pt;mso-position-horizontal-relative:page;mso-position-vertical-relative:page;z-index:-1168960"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168912"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44.179993pt;margin-top:42.865326pt;width:195.45pt;height:11.5pt;mso-position-horizontal-relative:page;mso-position-vertical-relative:page;z-index:-1168888"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11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38"/>
      <w:ind w:left="154" w:hanging="99"/>
      <w:outlineLvl w:val="4"/>
    </w:pPr>
    <w:rPr>
      <w:rFonts w:ascii="宋体" w:hAnsi="宋体" w:eastAsia="宋体"/>
      <w:sz w:val="20"/>
      <w:szCs w:val="20"/>
    </w:rPr>
  </w:style>
  <w:style w:styleId="Heading5" w:type="paragraph">
    <w:name w:val="Heading 5"/>
    <w:basedOn w:val="Normal"/>
    <w:uiPriority w:val="1"/>
    <w:qFormat/>
    <w:pPr>
      <w:spacing w:before="19"/>
      <w:ind w:left="636"/>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000607.cn/" TargetMode="External"/><Relationship Id="rId10" Type="http://schemas.openxmlformats.org/officeDocument/2006/relationships/hyperlink" Target="mailto:ir000607@000607.cn"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yperlink" Target="http://www.cninfo.com.cn&#25259;&#38706;&#30340;2017&#24180;&#24230;&#31038;&#20250;&#36131;&#20219;&#25253;&#21578;/"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footer" Target="footer5.xml"/><Relationship Id="rId25" Type="http://schemas.openxmlformats.org/officeDocument/2006/relationships/footer" Target="footer6.xml"/><Relationship Id="rId26" Type="http://schemas.openxmlformats.org/officeDocument/2006/relationships/header" Target="header2.xml"/><Relationship Id="rId27" Type="http://schemas.openxmlformats.org/officeDocument/2006/relationships/footer" Target="footer7.xml"/><Relationship Id="rId28" Type="http://schemas.openxmlformats.org/officeDocument/2006/relationships/header" Target="header3.xml"/><Relationship Id="rId29" Type="http://schemas.openxmlformats.org/officeDocument/2006/relationships/footer" Target="footer8.xml"/><Relationship Id="rId30" Type="http://schemas.openxmlformats.org/officeDocument/2006/relationships/header" Target="header4.xml"/><Relationship Id="rId31" Type="http://schemas.openxmlformats.org/officeDocument/2006/relationships/footer" Target="footer9.xml"/><Relationship Id="rId32" Type="http://schemas.openxmlformats.org/officeDocument/2006/relationships/header" Target="header5.xml"/><Relationship Id="rId33" Type="http://schemas.openxmlformats.org/officeDocument/2006/relationships/footer" Target="footer10.xml"/><Relationship Id="rId34" Type="http://schemas.openxmlformats.org/officeDocument/2006/relationships/header" Target="header6.xml"/><Relationship Id="rId35" Type="http://schemas.openxmlformats.org/officeDocument/2006/relationships/footer" Target="footer11.xml"/><Relationship Id="rId36" Type="http://schemas.openxmlformats.org/officeDocument/2006/relationships/footer" Target="footer12.xml"/><Relationship Id="rId37" Type="http://schemas.openxmlformats.org/officeDocument/2006/relationships/footer" Target="footer13.xml"/><Relationship Id="rId38" Type="http://schemas.openxmlformats.org/officeDocument/2006/relationships/header" Target="header7.xml"/><Relationship Id="rId39" Type="http://schemas.openxmlformats.org/officeDocument/2006/relationships/footer" Target="footer14.xml"/><Relationship Id="rId40" Type="http://schemas.openxmlformats.org/officeDocument/2006/relationships/footer" Target="footer15.xml"/><Relationship Id="rId41" Type="http://schemas.openxmlformats.org/officeDocument/2006/relationships/header" Target="header8.xml"/><Relationship Id="rId42" Type="http://schemas.openxmlformats.org/officeDocument/2006/relationships/footer" Target="footer16.xml"/><Relationship Id="rId43" Type="http://schemas.openxmlformats.org/officeDocument/2006/relationships/header" Target="header9.xml"/><Relationship Id="rId44" Type="http://schemas.openxmlformats.org/officeDocument/2006/relationships/footer" Target="footer17.xml"/><Relationship Id="rId45" Type="http://schemas.openxmlformats.org/officeDocument/2006/relationships/header" Target="header10.xml"/><Relationship Id="rId46" Type="http://schemas.openxmlformats.org/officeDocument/2006/relationships/footer" Target="footer18.xml"/><Relationship Id="rId4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hmzjj</dc:creator>
  <dc:title>Microsoft Word - 2018-016  2017年年度报告全文.doc</dc:title>
  <dcterms:created xsi:type="dcterms:W3CDTF">2020-05-02T19:47:34Z</dcterms:created>
  <dcterms:modified xsi:type="dcterms:W3CDTF">2020-05-02T19:47:34Z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PScript5.dll Version 5.2.2</vt:lpwstr>
  </property>
  <property fmtid="{D5CDD505-2E9C-101B-9397-08002B2CF9AE}" pid="4" name="LastSaved">
    <vt:filetime>2020-05-02T00:00:00Z</vt:filetime>
  </property>
</Properties>
</file>