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header9.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10.xml" ContentType="application/vnd.openxmlformats-officedocument.wordprocessingml.header+xml"/>
  <Override PartName="/word/footer17.xml" ContentType="application/vnd.openxmlformats-officedocument.wordprocessingml.footer+xml"/>
  <Override PartName="/word/header11.xml" ContentType="application/vnd.openxmlformats-officedocument.wordprocessingml.header+xml"/>
  <Override PartName="/word/footer18.xml" ContentType="application/vnd.openxmlformats-officedocument.wordprocessingml.footer+xml"/>
  <Override PartName="/word/header12.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3.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80013pt;width:484.95pt;height:.1pt;mso-position-horizontal-relative:page;mso-position-vertical-relative:page;z-index:0" coordorigin="1104,982" coordsize="9699,2">
            <v:shape style="position:absolute;left:1104;top:982;width:9699;height:2" coordorigin="1104,982" coordsize="9699,0" path="m1104,982l10802,982e" filled="false" stroked="true" strokeweight=".71997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p>
      <w:pPr>
        <w:spacing w:line="1483" w:lineRule="exact"/>
        <w:ind w:left="424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9"/>
          <w:sz w:val="20"/>
          <w:szCs w:val="20"/>
        </w:rPr>
        <w:drawing>
          <wp:inline distT="0" distB="0" distL="0" distR="0">
            <wp:extent cx="931917" cy="941831"/>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931917" cy="941831"/>
                    </a:xfrm>
                    <a:prstGeom prst="rect">
                      <a:avLst/>
                    </a:prstGeom>
                  </pic:spPr>
                </pic:pic>
              </a:graphicData>
            </a:graphic>
          </wp:inline>
        </w:drawing>
      </w:r>
      <w:r>
        <w:rPr>
          <w:rFonts w:ascii="Times New Roman" w:hAnsi="Times New Roman" w:cs="Times New Roman" w:eastAsia="Times New Roman" w:hint="default"/>
          <w:position w:val="-29"/>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p>
      <w:pPr>
        <w:spacing w:line="460" w:lineRule="exact" w:before="0"/>
        <w:ind w:left="561" w:right="1537" w:firstLine="0"/>
        <w:jc w:val="center"/>
        <w:rPr>
          <w:rFonts w:ascii="宋体" w:hAnsi="宋体" w:cs="宋体" w:eastAsia="宋体" w:hint="default"/>
          <w:sz w:val="36"/>
          <w:szCs w:val="36"/>
        </w:rPr>
      </w:pPr>
      <w:r>
        <w:rPr>
          <w:rFonts w:ascii="宋体" w:hAnsi="宋体" w:cs="宋体" w:eastAsia="宋体" w:hint="default"/>
          <w:b/>
          <w:bCs/>
          <w:sz w:val="36"/>
          <w:szCs w:val="36"/>
        </w:rPr>
        <w:t>浙江华媒控股股份有限公司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561" w:right="153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6"/>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6"/>
        <w:rPr>
          <w:rFonts w:ascii="宋体" w:hAnsi="宋体" w:cs="宋体" w:eastAsia="宋体" w:hint="default"/>
          <w:b/>
          <w:bCs/>
          <w:sz w:val="32"/>
          <w:szCs w:val="32"/>
        </w:rPr>
      </w:pPr>
    </w:p>
    <w:p>
      <w:pPr>
        <w:spacing w:before="0"/>
        <w:ind w:left="561" w:right="1537" w:firstLine="0"/>
        <w:jc w:val="center"/>
        <w:rPr>
          <w:rFonts w:ascii="Times New Roman" w:hAnsi="Times New Roman" w:cs="Times New Roman" w:eastAsia="Times New Roman" w:hint="default"/>
          <w:sz w:val="22"/>
          <w:szCs w:val="22"/>
        </w:rPr>
      </w:pPr>
      <w:r>
        <w:rPr>
          <w:rFonts w:ascii="Times New Roman"/>
          <w:b/>
          <w:sz w:val="22"/>
        </w:rPr>
        <w:t>2019-008</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8"/>
        <w:ind w:left="561" w:right="1537"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82" w:top="1060" w:bottom="118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4" w:right="0"/>
        <w:jc w:val="left"/>
        <w:rPr>
          <w:b w:val="0"/>
          <w:bCs w:val="0"/>
        </w:rPr>
      </w:pPr>
      <w:bookmarkStart w:name="_TOC_250011" w:id="1"/>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2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公司董事会、监事会及董事、监事、高级管理人员保证年度报告内容的真</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131"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公司负责人董悦、主管会计工作负责人郭勤勇及会计机构负责人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王健声明：保证年度报告中财务报告的真实、准确、完整。</w:t>
      </w:r>
      <w:r>
        <w:rPr>
          <w:rFonts w:ascii="宋体" w:hAnsi="宋体" w:cs="宋体" w:eastAsia="宋体" w:hint="default"/>
          <w:sz w:val="28"/>
          <w:szCs w:val="28"/>
        </w:rPr>
      </w:r>
    </w:p>
    <w:p>
      <w:pPr>
        <w:spacing w:line="472" w:lineRule="auto" w:before="147"/>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spacing w:val="1"/>
          <w:w w:val="99"/>
          <w:sz w:val="28"/>
          <w:szCs w:val="28"/>
        </w:rPr>
        <w:t> </w:t>
      </w:r>
      <w:r>
        <w:rPr>
          <w:rFonts w:ascii="宋体" w:hAnsi="宋体" w:cs="宋体" w:eastAsia="宋体" w:hint="default"/>
          <w:b/>
          <w:bCs/>
          <w:spacing w:val="4"/>
          <w:w w:val="95"/>
          <w:sz w:val="28"/>
          <w:szCs w:val="28"/>
        </w:rPr>
        <w:t>本年度报告内容涉及的未来计划、规划等前瞻性陈述，存在不确定性，不</w:t>
      </w:r>
      <w:r>
        <w:rPr>
          <w:rFonts w:ascii="宋体" w:hAnsi="宋体" w:cs="宋体" w:eastAsia="宋体" w:hint="default"/>
          <w:sz w:val="28"/>
          <w:szCs w:val="28"/>
        </w:rPr>
      </w:r>
    </w:p>
    <w:p>
      <w:pPr>
        <w:spacing w:line="475" w:lineRule="auto" w:before="0"/>
        <w:ind w:left="715" w:right="3724" w:hanging="562"/>
        <w:jc w:val="left"/>
        <w:rPr>
          <w:rFonts w:ascii="宋体" w:hAnsi="宋体" w:cs="宋体" w:eastAsia="宋体" w:hint="default"/>
          <w:sz w:val="28"/>
          <w:szCs w:val="28"/>
        </w:rPr>
      </w:pPr>
      <w:r>
        <w:rPr>
          <w:rFonts w:ascii="宋体" w:hAnsi="宋体" w:cs="宋体" w:eastAsia="宋体" w:hint="default"/>
          <w:b/>
          <w:bCs/>
          <w:sz w:val="28"/>
          <w:szCs w:val="28"/>
        </w:rPr>
        <w:t>构成公司对投资者的实质承诺。请投资者注意投资风险。</w:t>
      </w:r>
      <w:r>
        <w:rPr>
          <w:rFonts w:ascii="宋体" w:hAnsi="宋体" w:cs="宋体" w:eastAsia="宋体" w:hint="default"/>
          <w:b/>
          <w:bCs/>
          <w:spacing w:val="1"/>
          <w:w w:val="99"/>
          <w:sz w:val="28"/>
          <w:szCs w:val="28"/>
        </w:rPr>
        <w:t> </w:t>
      </w:r>
      <w:r>
        <w:rPr>
          <w:rFonts w:ascii="宋体" w:hAnsi="宋体" w:cs="宋体" w:eastAsia="宋体" w:hint="default"/>
          <w:b/>
          <w:bCs/>
          <w:sz w:val="28"/>
          <w:szCs w:val="28"/>
        </w:rPr>
        <w:t>一、</w:t>
      </w:r>
      <w:r>
        <w:rPr>
          <w:rFonts w:ascii="宋体" w:hAnsi="宋体" w:cs="宋体" w:eastAsia="宋体" w:hint="default"/>
          <w:b/>
          <w:bCs/>
          <w:spacing w:val="-12"/>
          <w:sz w:val="28"/>
          <w:szCs w:val="28"/>
        </w:rPr>
        <w:t> </w:t>
      </w:r>
      <w:r>
        <w:rPr>
          <w:rFonts w:ascii="宋体" w:hAnsi="宋体" w:cs="宋体" w:eastAsia="宋体" w:hint="default"/>
          <w:b/>
          <w:bCs/>
          <w:sz w:val="28"/>
          <w:szCs w:val="28"/>
        </w:rPr>
        <w:t>采编与经营“两分开”的风险。</w:t>
      </w:r>
      <w:r>
        <w:rPr>
          <w:rFonts w:ascii="宋体" w:hAnsi="宋体" w:cs="宋体" w:eastAsia="宋体" w:hint="default"/>
          <w:sz w:val="28"/>
          <w:szCs w:val="28"/>
        </w:rPr>
      </w:r>
    </w:p>
    <w:p>
      <w:pPr>
        <w:spacing w:line="408" w:lineRule="auto" w:before="81"/>
        <w:ind w:left="153" w:right="1127" w:firstLine="555"/>
        <w:jc w:val="both"/>
        <w:rPr>
          <w:rFonts w:ascii="宋体" w:hAnsi="宋体" w:cs="宋体" w:eastAsia="宋体" w:hint="default"/>
          <w:sz w:val="28"/>
          <w:szCs w:val="28"/>
        </w:rPr>
      </w:pPr>
      <w:r>
        <w:rPr>
          <w:rFonts w:ascii="宋体" w:hAnsi="宋体" w:cs="宋体" w:eastAsia="宋体" w:hint="default"/>
          <w:b/>
          <w:bCs/>
          <w:spacing w:val="4"/>
          <w:w w:val="95"/>
          <w:sz w:val="28"/>
          <w:szCs w:val="28"/>
        </w:rPr>
        <w:t>根据报刊行业采编与经营“两分开”的政策，公司重组后收购的资产不包</w:t>
      </w:r>
      <w:r>
        <w:rPr>
          <w:rFonts w:ascii="宋体" w:hAnsi="宋体" w:cs="宋体" w:eastAsia="宋体" w:hint="default"/>
          <w:b/>
          <w:bCs/>
          <w:spacing w:val="4"/>
          <w:w w:val="99"/>
          <w:sz w:val="28"/>
          <w:szCs w:val="28"/>
        </w:rPr>
        <w:t> </w:t>
      </w:r>
      <w:r>
        <w:rPr>
          <w:rFonts w:ascii="宋体" w:hAnsi="宋体" w:cs="宋体" w:eastAsia="宋体" w:hint="default"/>
          <w:b/>
          <w:bCs/>
          <w:spacing w:val="-5"/>
          <w:w w:val="99"/>
          <w:sz w:val="28"/>
          <w:szCs w:val="28"/>
        </w:rPr>
        <w:t>括报纸采编类资产。《杭州日报》社及其他相关报社，与公司购买资产范围内各</w:t>
      </w:r>
      <w:r>
        <w:rPr>
          <w:rFonts w:ascii="宋体" w:hAnsi="宋体" w:cs="宋体" w:eastAsia="宋体" w:hint="default"/>
          <w:b/>
          <w:bCs/>
          <w:spacing w:val="-132"/>
          <w:w w:val="99"/>
          <w:sz w:val="28"/>
          <w:szCs w:val="28"/>
        </w:rPr>
        <w:t> </w:t>
      </w:r>
      <w:r>
        <w:rPr>
          <w:rFonts w:ascii="宋体" w:hAnsi="宋体" w:cs="宋体" w:eastAsia="宋体" w:hint="default"/>
          <w:b/>
          <w:bCs/>
          <w:spacing w:val="-132"/>
          <w:w w:val="99"/>
          <w:sz w:val="28"/>
          <w:szCs w:val="28"/>
        </w:rPr>
      </w:r>
      <w:r>
        <w:rPr>
          <w:rFonts w:ascii="宋体" w:hAnsi="宋体" w:cs="宋体" w:eastAsia="宋体" w:hint="default"/>
          <w:b/>
          <w:bCs/>
          <w:spacing w:val="3"/>
          <w:w w:val="95"/>
          <w:sz w:val="28"/>
          <w:szCs w:val="28"/>
        </w:rPr>
        <w:t>相关报刊经营公司签订了《授权经营协议》和《收入分成协议》及《收入分成</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5"/>
          <w:w w:val="99"/>
          <w:sz w:val="28"/>
          <w:szCs w:val="28"/>
        </w:rPr>
        <w:t>协议之补充协议》。上市公司负责传媒经营类业务，《杭州日报》社及其他相关</w:t>
      </w:r>
      <w:r>
        <w:rPr>
          <w:rFonts w:ascii="宋体" w:hAnsi="宋体" w:cs="宋体" w:eastAsia="宋体" w:hint="default"/>
          <w:b/>
          <w:bCs/>
          <w:spacing w:val="3"/>
          <w:w w:val="99"/>
          <w:sz w:val="28"/>
          <w:szCs w:val="28"/>
        </w:rPr>
        <w:t> </w:t>
      </w:r>
      <w:r>
        <w:rPr>
          <w:rFonts w:ascii="宋体" w:hAnsi="宋体" w:cs="宋体" w:eastAsia="宋体" w:hint="default"/>
          <w:b/>
          <w:bCs/>
          <w:spacing w:val="3"/>
          <w:w w:val="95"/>
          <w:sz w:val="28"/>
          <w:szCs w:val="28"/>
        </w:rPr>
        <w:t>报社负责新闻采编业务。各报刊经营公司与《杭州日报》社及其他相关报社存</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在持续关联交易。新闻采编业务现阶段不在上市公司内运营，提请投资者关注</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可能产生的对公司广告经营、报刊发行等业务发展带来的经营风险。</w:t>
      </w:r>
      <w:r>
        <w:rPr>
          <w:rFonts w:ascii="宋体" w:hAnsi="宋体" w:cs="宋体" w:eastAsia="宋体" w:hint="default"/>
          <w:sz w:val="28"/>
          <w:szCs w:val="28"/>
        </w:rPr>
      </w:r>
    </w:p>
    <w:p>
      <w:pPr>
        <w:spacing w:line="472" w:lineRule="auto" w:before="161"/>
        <w:ind w:left="709" w:right="0" w:firstLine="6"/>
        <w:jc w:val="left"/>
        <w:rPr>
          <w:rFonts w:ascii="宋体" w:hAnsi="宋体" w:cs="宋体" w:eastAsia="宋体" w:hint="default"/>
          <w:sz w:val="28"/>
          <w:szCs w:val="28"/>
        </w:rPr>
      </w:pPr>
      <w:r>
        <w:rPr>
          <w:rFonts w:ascii="宋体" w:hAnsi="宋体" w:cs="宋体" w:eastAsia="宋体" w:hint="default"/>
          <w:b/>
          <w:bCs/>
          <w:sz w:val="28"/>
          <w:szCs w:val="28"/>
        </w:rPr>
        <w:t>二、</w:t>
      </w:r>
      <w:r>
        <w:rPr>
          <w:rFonts w:ascii="宋体" w:hAnsi="宋体" w:cs="宋体" w:eastAsia="宋体" w:hint="default"/>
          <w:b/>
          <w:bCs/>
          <w:spacing w:val="-4"/>
          <w:sz w:val="28"/>
          <w:szCs w:val="28"/>
        </w:rPr>
        <w:t> </w:t>
      </w:r>
      <w:r>
        <w:rPr>
          <w:rFonts w:ascii="宋体" w:hAnsi="宋体" w:cs="宋体" w:eastAsia="宋体" w:hint="default"/>
          <w:b/>
          <w:bCs/>
          <w:sz w:val="28"/>
          <w:szCs w:val="28"/>
        </w:rPr>
        <w:t>经营业绩波动风险。</w:t>
      </w:r>
      <w:r>
        <w:rPr>
          <w:rFonts w:ascii="宋体" w:hAnsi="宋体" w:cs="宋体" w:eastAsia="宋体" w:hint="default"/>
          <w:b/>
          <w:bCs/>
          <w:spacing w:val="1"/>
          <w:w w:val="99"/>
          <w:sz w:val="28"/>
          <w:szCs w:val="28"/>
        </w:rPr>
        <w:t> </w:t>
      </w:r>
      <w:r>
        <w:rPr>
          <w:rFonts w:ascii="宋体" w:hAnsi="宋体" w:cs="宋体" w:eastAsia="宋体" w:hint="default"/>
          <w:b/>
          <w:bCs/>
          <w:spacing w:val="4"/>
          <w:w w:val="95"/>
          <w:sz w:val="28"/>
          <w:szCs w:val="28"/>
        </w:rPr>
        <w:t>根据以往年度经营情况及行业惯例，公司广告与策划、报刊发行业务，营</w:t>
      </w:r>
      <w:r>
        <w:rPr>
          <w:rFonts w:ascii="宋体" w:hAnsi="宋体" w:cs="宋体" w:eastAsia="宋体" w:hint="default"/>
          <w:sz w:val="28"/>
          <w:szCs w:val="28"/>
        </w:rPr>
      </w:r>
    </w:p>
    <w:p>
      <w:pPr>
        <w:spacing w:line="352" w:lineRule="exact" w:before="0"/>
        <w:ind w:left="153" w:right="0" w:firstLine="0"/>
        <w:jc w:val="left"/>
        <w:rPr>
          <w:rFonts w:ascii="宋体" w:hAnsi="宋体" w:cs="宋体" w:eastAsia="宋体" w:hint="default"/>
          <w:sz w:val="28"/>
          <w:szCs w:val="28"/>
        </w:rPr>
      </w:pPr>
      <w:r>
        <w:rPr>
          <w:rFonts w:ascii="宋体" w:hAnsi="宋体" w:cs="宋体" w:eastAsia="宋体" w:hint="default"/>
          <w:b/>
          <w:bCs/>
          <w:spacing w:val="3"/>
          <w:sz w:val="28"/>
          <w:szCs w:val="28"/>
        </w:rPr>
        <w:t>业收入存在波动现象，盈利主要体现在下半年。公司经营的互联网和移动互联</w:t>
      </w:r>
      <w:r>
        <w:rPr>
          <w:rFonts w:ascii="宋体" w:hAnsi="宋体" w:cs="宋体" w:eastAsia="宋体" w:hint="default"/>
          <w:sz w:val="28"/>
          <w:szCs w:val="28"/>
        </w:rPr>
      </w:r>
    </w:p>
    <w:p>
      <w:pPr>
        <w:spacing w:after="0" w:line="352" w:lineRule="exact"/>
        <w:jc w:val="left"/>
        <w:rPr>
          <w:rFonts w:ascii="宋体" w:hAnsi="宋体" w:cs="宋体" w:eastAsia="宋体" w:hint="default"/>
          <w:sz w:val="28"/>
          <w:szCs w:val="28"/>
        </w:rPr>
        <w:sectPr>
          <w:footerReference w:type="default" r:id="rId8"/>
          <w:pgSz w:w="11910" w:h="16840"/>
          <w:pgMar w:footer="982" w:header="747" w:top="1060" w:bottom="118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9"/>
          <w:szCs w:val="29"/>
        </w:rPr>
      </w:pPr>
    </w:p>
    <w:p>
      <w:pPr>
        <w:spacing w:line="408" w:lineRule="auto" w:before="13"/>
        <w:ind w:left="153" w:right="990" w:firstLine="0"/>
        <w:jc w:val="both"/>
        <w:rPr>
          <w:rFonts w:ascii="宋体" w:hAnsi="宋体" w:cs="宋体" w:eastAsia="宋体" w:hint="default"/>
          <w:sz w:val="28"/>
          <w:szCs w:val="28"/>
        </w:rPr>
      </w:pPr>
      <w:r>
        <w:rPr>
          <w:rFonts w:ascii="宋体" w:hAnsi="宋体" w:cs="宋体" w:eastAsia="宋体" w:hint="default"/>
          <w:b/>
          <w:bCs/>
          <w:spacing w:val="3"/>
          <w:sz w:val="28"/>
          <w:szCs w:val="28"/>
        </w:rPr>
        <w:t>网业务，营业收入占比有限，且易受互联网发展进程和相关行业政策调控的影</w:t>
      </w:r>
      <w:r>
        <w:rPr>
          <w:rFonts w:ascii="宋体" w:hAnsi="宋体" w:cs="宋体" w:eastAsia="宋体" w:hint="default"/>
          <w:b/>
          <w:bCs/>
          <w:spacing w:val="3"/>
          <w:w w:val="99"/>
          <w:sz w:val="28"/>
          <w:szCs w:val="28"/>
        </w:rPr>
        <w:t> </w:t>
      </w:r>
      <w:r>
        <w:rPr>
          <w:rFonts w:ascii="宋体" w:hAnsi="宋体" w:cs="宋体" w:eastAsia="宋体" w:hint="default"/>
          <w:b/>
          <w:bCs/>
          <w:spacing w:val="3"/>
          <w:sz w:val="28"/>
          <w:szCs w:val="28"/>
        </w:rPr>
        <w:t>响，新媒体业务的发展和盈利能力等方面，存在一定的不确定性。教育业务营</w:t>
      </w:r>
      <w:r>
        <w:rPr>
          <w:rFonts w:ascii="宋体" w:hAnsi="宋体" w:cs="宋体" w:eastAsia="宋体" w:hint="default"/>
          <w:b/>
          <w:bCs/>
          <w:spacing w:val="3"/>
          <w:w w:val="99"/>
          <w:sz w:val="28"/>
          <w:szCs w:val="28"/>
        </w:rPr>
        <w:t> </w:t>
      </w:r>
      <w:r>
        <w:rPr>
          <w:rFonts w:ascii="宋体" w:hAnsi="宋体" w:cs="宋体" w:eastAsia="宋体" w:hint="default"/>
          <w:b/>
          <w:bCs/>
          <w:spacing w:val="3"/>
          <w:sz w:val="28"/>
          <w:szCs w:val="28"/>
        </w:rPr>
        <w:t>业收入集中在新生入学和大专院校各学期开学前后。相关行业有可能受行业政</w:t>
      </w:r>
      <w:r>
        <w:rPr>
          <w:rFonts w:ascii="宋体" w:hAnsi="宋体" w:cs="宋体" w:eastAsia="宋体" w:hint="default"/>
          <w:b/>
          <w:bCs/>
          <w:spacing w:val="3"/>
          <w:w w:val="99"/>
          <w:sz w:val="28"/>
          <w:szCs w:val="28"/>
        </w:rPr>
        <w:t> </w:t>
      </w:r>
      <w:r>
        <w:rPr>
          <w:rFonts w:ascii="宋体" w:hAnsi="宋体" w:cs="宋体" w:eastAsia="宋体" w:hint="default"/>
          <w:b/>
          <w:bCs/>
          <w:spacing w:val="-1"/>
          <w:w w:val="95"/>
          <w:sz w:val="28"/>
          <w:szCs w:val="28"/>
        </w:rPr>
        <w:t>策调控和阶段性区域经营环境变化的影响，经营业绩存在波动甚至下滑的可能。</w:t>
      </w:r>
      <w:r>
        <w:rPr>
          <w:rFonts w:ascii="宋体" w:hAnsi="宋体" w:cs="宋体" w:eastAsia="宋体" w:hint="default"/>
          <w:sz w:val="28"/>
          <w:szCs w:val="28"/>
        </w:rPr>
      </w:r>
    </w:p>
    <w:p>
      <w:pPr>
        <w:spacing w:line="472" w:lineRule="auto" w:before="161"/>
        <w:ind w:left="709" w:right="0" w:firstLine="6"/>
        <w:jc w:val="left"/>
        <w:rPr>
          <w:rFonts w:ascii="宋体" w:hAnsi="宋体" w:cs="宋体" w:eastAsia="宋体" w:hint="default"/>
          <w:sz w:val="28"/>
          <w:szCs w:val="28"/>
        </w:rPr>
      </w:pPr>
      <w:r>
        <w:rPr>
          <w:rFonts w:ascii="宋体" w:hAnsi="宋体" w:cs="宋体" w:eastAsia="宋体" w:hint="default"/>
          <w:b/>
          <w:bCs/>
          <w:sz w:val="28"/>
          <w:szCs w:val="28"/>
        </w:rPr>
        <w:t>三、</w:t>
      </w:r>
      <w:r>
        <w:rPr>
          <w:rFonts w:ascii="宋体" w:hAnsi="宋体" w:cs="宋体" w:eastAsia="宋体" w:hint="default"/>
          <w:b/>
          <w:bCs/>
          <w:spacing w:val="-4"/>
          <w:sz w:val="28"/>
          <w:szCs w:val="28"/>
        </w:rPr>
        <w:t> </w:t>
      </w:r>
      <w:r>
        <w:rPr>
          <w:rFonts w:ascii="宋体" w:hAnsi="宋体" w:cs="宋体" w:eastAsia="宋体" w:hint="default"/>
          <w:b/>
          <w:bCs/>
          <w:sz w:val="28"/>
          <w:szCs w:val="28"/>
        </w:rPr>
        <w:t>长期股权投资和商誉减值的风险。</w:t>
      </w:r>
      <w:r>
        <w:rPr>
          <w:rFonts w:ascii="宋体" w:hAnsi="宋体" w:cs="宋体" w:eastAsia="宋体" w:hint="default"/>
          <w:b/>
          <w:bCs/>
          <w:spacing w:val="1"/>
          <w:w w:val="99"/>
          <w:sz w:val="28"/>
          <w:szCs w:val="28"/>
        </w:rPr>
        <w:t> </w:t>
      </w:r>
      <w:r>
        <w:rPr>
          <w:rFonts w:ascii="宋体" w:hAnsi="宋体" w:cs="宋体" w:eastAsia="宋体" w:hint="default"/>
          <w:b/>
          <w:bCs/>
          <w:spacing w:val="4"/>
          <w:w w:val="95"/>
          <w:sz w:val="28"/>
          <w:szCs w:val="28"/>
        </w:rPr>
        <w:t>公司收购和投资的项目运营情况正常，因市场竞争环境变化或政策因素影</w:t>
      </w:r>
      <w:r>
        <w:rPr>
          <w:rFonts w:ascii="宋体" w:hAnsi="宋体" w:cs="宋体" w:eastAsia="宋体" w:hint="default"/>
          <w:sz w:val="28"/>
          <w:szCs w:val="28"/>
        </w:rPr>
      </w:r>
    </w:p>
    <w:p>
      <w:pPr>
        <w:spacing w:line="410" w:lineRule="auto" w:before="0"/>
        <w:ind w:left="153" w:right="1130"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响，发展存在不确定性，可能存在商誉减值或长期股权投资减值、进而耗减公</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司利润的风险。</w:t>
      </w:r>
      <w:r>
        <w:rPr>
          <w:rFonts w:ascii="宋体" w:hAnsi="宋体" w:cs="宋体" w:eastAsia="宋体" w:hint="default"/>
          <w:sz w:val="28"/>
          <w:szCs w:val="28"/>
        </w:rPr>
      </w:r>
    </w:p>
    <w:p>
      <w:pPr>
        <w:spacing w:line="472" w:lineRule="auto" w:before="158"/>
        <w:ind w:left="709" w:right="0" w:firstLine="6"/>
        <w:jc w:val="left"/>
        <w:rPr>
          <w:rFonts w:ascii="宋体" w:hAnsi="宋体" w:cs="宋体" w:eastAsia="宋体" w:hint="default"/>
          <w:sz w:val="28"/>
          <w:szCs w:val="28"/>
        </w:rPr>
      </w:pPr>
      <w:r>
        <w:rPr>
          <w:rFonts w:ascii="宋体" w:hAnsi="宋体" w:cs="宋体" w:eastAsia="宋体" w:hint="default"/>
          <w:b/>
          <w:bCs/>
          <w:sz w:val="28"/>
          <w:szCs w:val="28"/>
        </w:rPr>
        <w:t>四、</w:t>
      </w:r>
      <w:r>
        <w:rPr>
          <w:rFonts w:ascii="宋体" w:hAnsi="宋体" w:cs="宋体" w:eastAsia="宋体" w:hint="default"/>
          <w:b/>
          <w:bCs/>
          <w:spacing w:val="-4"/>
          <w:sz w:val="28"/>
          <w:szCs w:val="28"/>
        </w:rPr>
        <w:t> </w:t>
      </w:r>
      <w:r>
        <w:rPr>
          <w:rFonts w:ascii="宋体" w:hAnsi="宋体" w:cs="宋体" w:eastAsia="宋体" w:hint="default"/>
          <w:b/>
          <w:bCs/>
          <w:sz w:val="28"/>
          <w:szCs w:val="28"/>
        </w:rPr>
        <w:t>融资事项不确定性风险。</w:t>
      </w:r>
      <w:r>
        <w:rPr>
          <w:rFonts w:ascii="宋体" w:hAnsi="宋体" w:cs="宋体" w:eastAsia="宋体" w:hint="default"/>
          <w:b/>
          <w:bCs/>
          <w:spacing w:val="1"/>
          <w:w w:val="99"/>
          <w:sz w:val="28"/>
          <w:szCs w:val="28"/>
        </w:rPr>
        <w:t> </w:t>
      </w:r>
      <w:r>
        <w:rPr>
          <w:rFonts w:ascii="宋体" w:hAnsi="宋体" w:cs="宋体" w:eastAsia="宋体" w:hint="default"/>
          <w:b/>
          <w:bCs/>
          <w:spacing w:val="4"/>
          <w:w w:val="95"/>
          <w:sz w:val="28"/>
          <w:szCs w:val="28"/>
        </w:rPr>
        <w:t>公司已被核准发行公司债和超短期融资券，目前第一期超短期融资券已经</w:t>
      </w:r>
      <w:r>
        <w:rPr>
          <w:rFonts w:ascii="宋体" w:hAnsi="宋体" w:cs="宋体" w:eastAsia="宋体" w:hint="default"/>
          <w:sz w:val="28"/>
          <w:szCs w:val="28"/>
        </w:rPr>
      </w:r>
    </w:p>
    <w:p>
      <w:pPr>
        <w:spacing w:line="408" w:lineRule="auto" w:before="0"/>
        <w:ind w:left="153" w:right="1130"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发行。受相关行业政策、利率波动、募投项目等的影响，未来融资事项发行规</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模、发行价格、债券期限、债券利率等存在不确定性。已发行债券的募投项目</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进程</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收益能否达到预期存在不确定性。公司未来可能面临到期偿债压力。</w:t>
      </w:r>
      <w:r>
        <w:rPr>
          <w:rFonts w:ascii="宋体" w:hAnsi="宋体" w:cs="宋体" w:eastAsia="宋体" w:hint="default"/>
          <w:sz w:val="28"/>
          <w:szCs w:val="28"/>
        </w:rPr>
      </w:r>
    </w:p>
    <w:p>
      <w:pPr>
        <w:spacing w:line="472" w:lineRule="auto" w:before="120"/>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五、</w:t>
      </w:r>
      <w:r>
        <w:rPr>
          <w:rFonts w:ascii="宋体" w:hAnsi="宋体" w:cs="宋体" w:eastAsia="宋体" w:hint="default"/>
          <w:b/>
          <w:bCs/>
          <w:spacing w:val="-4"/>
          <w:sz w:val="28"/>
          <w:szCs w:val="28"/>
        </w:rPr>
        <w:t> </w:t>
      </w:r>
      <w:r>
        <w:rPr>
          <w:rFonts w:ascii="宋体" w:hAnsi="宋体" w:cs="宋体" w:eastAsia="宋体" w:hint="default"/>
          <w:b/>
          <w:bCs/>
          <w:sz w:val="28"/>
          <w:szCs w:val="28"/>
        </w:rPr>
        <w:t>税收优惠政策变化的风险。</w:t>
      </w:r>
      <w:r>
        <w:rPr>
          <w:rFonts w:ascii="宋体" w:hAnsi="宋体" w:cs="宋体" w:eastAsia="宋体" w:hint="default"/>
          <w:b/>
          <w:bCs/>
          <w:spacing w:val="1"/>
          <w:w w:val="99"/>
          <w:sz w:val="28"/>
          <w:szCs w:val="28"/>
        </w:rPr>
        <w:t> </w:t>
      </w:r>
      <w:r>
        <w:rPr>
          <w:rFonts w:ascii="宋体" w:hAnsi="宋体" w:cs="宋体" w:eastAsia="宋体" w:hint="default"/>
          <w:b/>
          <w:bCs/>
          <w:spacing w:val="4"/>
          <w:w w:val="95"/>
          <w:sz w:val="28"/>
          <w:szCs w:val="28"/>
        </w:rPr>
        <w:t>根据杭州市财政局、杭州市国家税务局、杭州市地方税务局、中共杭州市</w:t>
      </w:r>
      <w:r>
        <w:rPr>
          <w:rFonts w:ascii="宋体" w:hAnsi="宋体" w:cs="宋体" w:eastAsia="宋体" w:hint="default"/>
          <w:sz w:val="28"/>
          <w:szCs w:val="28"/>
        </w:rPr>
      </w:r>
    </w:p>
    <w:p>
      <w:pPr>
        <w:spacing w:line="398" w:lineRule="auto" w:before="0"/>
        <w:ind w:left="153" w:right="1129" w:firstLine="0"/>
        <w:jc w:val="both"/>
        <w:rPr>
          <w:rFonts w:ascii="宋体" w:hAnsi="宋体" w:cs="宋体" w:eastAsia="宋体" w:hint="default"/>
          <w:sz w:val="28"/>
          <w:szCs w:val="28"/>
        </w:rPr>
      </w:pPr>
      <w:r>
        <w:rPr>
          <w:rFonts w:ascii="宋体" w:hAnsi="宋体" w:cs="宋体" w:eastAsia="宋体" w:hint="default"/>
          <w:b/>
          <w:bCs/>
          <w:sz w:val="28"/>
          <w:szCs w:val="28"/>
        </w:rPr>
        <w:t>宣传部发布的《关于明确杭州日报传媒有限公司等</w:t>
      </w:r>
      <w:r>
        <w:rPr>
          <w:rFonts w:ascii="宋体" w:hAnsi="宋体" w:cs="宋体" w:eastAsia="宋体" w:hint="default"/>
          <w:b/>
          <w:bCs/>
          <w:spacing w:val="-102"/>
          <w:sz w:val="28"/>
          <w:szCs w:val="28"/>
        </w:rPr>
        <w:t> </w:t>
      </w:r>
      <w:r>
        <w:rPr>
          <w:rFonts w:ascii="Times New Roman" w:hAnsi="Times New Roman" w:cs="Times New Roman" w:eastAsia="Times New Roman" w:hint="default"/>
          <w:b/>
          <w:bCs/>
          <w:sz w:val="28"/>
          <w:szCs w:val="28"/>
        </w:rPr>
        <w:t>20</w:t>
      </w:r>
      <w:r>
        <w:rPr>
          <w:rFonts w:ascii="Times New Roman" w:hAnsi="Times New Roman" w:cs="Times New Roman" w:eastAsia="Times New Roman" w:hint="default"/>
          <w:b/>
          <w:bCs/>
          <w:spacing w:val="-32"/>
          <w:sz w:val="28"/>
          <w:szCs w:val="28"/>
        </w:rPr>
        <w:t> </w:t>
      </w:r>
      <w:r>
        <w:rPr>
          <w:rFonts w:ascii="宋体" w:hAnsi="宋体" w:cs="宋体" w:eastAsia="宋体" w:hint="default"/>
          <w:b/>
          <w:bCs/>
          <w:sz w:val="28"/>
          <w:szCs w:val="28"/>
        </w:rPr>
        <w:t>家企业可继续享受文化体</w:t>
      </w:r>
      <w:r>
        <w:rPr>
          <w:rFonts w:ascii="宋体" w:hAnsi="宋体" w:cs="宋体" w:eastAsia="宋体" w:hint="default"/>
          <w:b/>
          <w:bCs/>
          <w:spacing w:val="1"/>
          <w:w w:val="99"/>
          <w:sz w:val="28"/>
          <w:szCs w:val="28"/>
        </w:rPr>
        <w:t> </w:t>
      </w:r>
      <w:r>
        <w:rPr>
          <w:rFonts w:ascii="宋体" w:hAnsi="宋体" w:cs="宋体" w:eastAsia="宋体" w:hint="default"/>
          <w:b/>
          <w:bCs/>
          <w:spacing w:val="-5"/>
          <w:w w:val="99"/>
          <w:sz w:val="28"/>
          <w:szCs w:val="28"/>
        </w:rPr>
        <w:t>制改革税收优惠政策的通知》，经营性文化事业单位转制为企业后，免征企业所</w:t>
      </w:r>
      <w:r>
        <w:rPr>
          <w:rFonts w:ascii="宋体" w:hAnsi="宋体" w:cs="宋体" w:eastAsia="宋体" w:hint="default"/>
          <w:b/>
          <w:bCs/>
          <w:spacing w:val="-132"/>
          <w:w w:val="99"/>
          <w:sz w:val="28"/>
          <w:szCs w:val="28"/>
        </w:rPr>
        <w:t> </w:t>
      </w:r>
      <w:r>
        <w:rPr>
          <w:rFonts w:ascii="宋体" w:hAnsi="宋体" w:cs="宋体" w:eastAsia="宋体" w:hint="default"/>
          <w:b/>
          <w:bCs/>
          <w:spacing w:val="-132"/>
          <w:w w:val="99"/>
          <w:sz w:val="28"/>
          <w:szCs w:val="28"/>
        </w:rPr>
      </w:r>
      <w:r>
        <w:rPr>
          <w:rFonts w:ascii="宋体" w:hAnsi="宋体" w:cs="宋体" w:eastAsia="宋体" w:hint="default"/>
          <w:b/>
          <w:bCs/>
          <w:sz w:val="28"/>
          <w:szCs w:val="28"/>
        </w:rPr>
        <w:t>得税，执行期限为</w:t>
      </w:r>
      <w:r>
        <w:rPr>
          <w:rFonts w:ascii="宋体" w:hAnsi="宋体" w:cs="宋体" w:eastAsia="宋体" w:hint="default"/>
          <w:b/>
          <w:bCs/>
          <w:spacing w:val="-63"/>
          <w:sz w:val="28"/>
          <w:szCs w:val="28"/>
        </w:rPr>
        <w:t> </w:t>
      </w:r>
      <w:r>
        <w:rPr>
          <w:rFonts w:ascii="Times New Roman" w:hAnsi="Times New Roman" w:cs="Times New Roman" w:eastAsia="Times New Roman" w:hint="default"/>
          <w:b/>
          <w:bCs/>
          <w:sz w:val="28"/>
          <w:szCs w:val="28"/>
        </w:rPr>
        <w:t>2014</w:t>
      </w:r>
      <w:r>
        <w:rPr>
          <w:rFonts w:ascii="Times New Roman" w:hAnsi="Times New Roman" w:cs="Times New Roman" w:eastAsia="Times New Roman" w:hint="default"/>
          <w:b/>
          <w:bCs/>
          <w:spacing w:val="6"/>
          <w:sz w:val="28"/>
          <w:szCs w:val="28"/>
        </w:rPr>
        <w:t> </w:t>
      </w:r>
      <w:r>
        <w:rPr>
          <w:rFonts w:ascii="宋体" w:hAnsi="宋体" w:cs="宋体" w:eastAsia="宋体" w:hint="default"/>
          <w:b/>
          <w:bCs/>
          <w:sz w:val="28"/>
          <w:szCs w:val="28"/>
        </w:rPr>
        <w:t>年</w:t>
      </w:r>
      <w:r>
        <w:rPr>
          <w:rFonts w:ascii="宋体" w:hAnsi="宋体" w:cs="宋体" w:eastAsia="宋体" w:hint="default"/>
          <w:b/>
          <w:bCs/>
          <w:spacing w:val="-64"/>
          <w:sz w:val="28"/>
          <w:szCs w:val="28"/>
        </w:rPr>
        <w:t> </w:t>
      </w:r>
      <w:r>
        <w:rPr>
          <w:rFonts w:ascii="Times New Roman" w:hAnsi="Times New Roman" w:cs="Times New Roman" w:eastAsia="Times New Roman" w:hint="default"/>
          <w:b/>
          <w:bCs/>
          <w:sz w:val="28"/>
          <w:szCs w:val="28"/>
        </w:rPr>
        <w:t>1</w:t>
      </w:r>
      <w:r>
        <w:rPr>
          <w:rFonts w:ascii="Times New Roman" w:hAnsi="Times New Roman" w:cs="Times New Roman" w:eastAsia="Times New Roman" w:hint="default"/>
          <w:b/>
          <w:bCs/>
          <w:spacing w:val="5"/>
          <w:sz w:val="28"/>
          <w:szCs w:val="28"/>
        </w:rPr>
        <w:t> </w:t>
      </w:r>
      <w:r>
        <w:rPr>
          <w:rFonts w:ascii="宋体" w:hAnsi="宋体" w:cs="宋体" w:eastAsia="宋体" w:hint="default"/>
          <w:b/>
          <w:bCs/>
          <w:sz w:val="28"/>
          <w:szCs w:val="28"/>
        </w:rPr>
        <w:t>月</w:t>
      </w:r>
      <w:r>
        <w:rPr>
          <w:rFonts w:ascii="宋体" w:hAnsi="宋体" w:cs="宋体" w:eastAsia="宋体" w:hint="default"/>
          <w:b/>
          <w:bCs/>
          <w:spacing w:val="-64"/>
          <w:sz w:val="28"/>
          <w:szCs w:val="28"/>
        </w:rPr>
        <w:t> </w:t>
      </w:r>
      <w:r>
        <w:rPr>
          <w:rFonts w:ascii="Times New Roman" w:hAnsi="Times New Roman" w:cs="Times New Roman" w:eastAsia="Times New Roman" w:hint="default"/>
          <w:b/>
          <w:bCs/>
          <w:sz w:val="28"/>
          <w:szCs w:val="28"/>
        </w:rPr>
        <w:t>1</w:t>
      </w:r>
      <w:r>
        <w:rPr>
          <w:rFonts w:ascii="Times New Roman" w:hAnsi="Times New Roman" w:cs="Times New Roman" w:eastAsia="Times New Roman" w:hint="default"/>
          <w:b/>
          <w:bCs/>
          <w:spacing w:val="6"/>
          <w:sz w:val="28"/>
          <w:szCs w:val="28"/>
        </w:rPr>
        <w:t> </w:t>
      </w:r>
      <w:r>
        <w:rPr>
          <w:rFonts w:ascii="宋体" w:hAnsi="宋体" w:cs="宋体" w:eastAsia="宋体" w:hint="default"/>
          <w:b/>
          <w:bCs/>
          <w:sz w:val="28"/>
          <w:szCs w:val="28"/>
        </w:rPr>
        <w:t>日至</w:t>
      </w:r>
      <w:r>
        <w:rPr>
          <w:rFonts w:ascii="宋体" w:hAnsi="宋体" w:cs="宋体" w:eastAsia="宋体" w:hint="default"/>
          <w:b/>
          <w:bCs/>
          <w:spacing w:val="-66"/>
          <w:sz w:val="28"/>
          <w:szCs w:val="28"/>
        </w:rPr>
        <w:t> </w:t>
      </w:r>
      <w:r>
        <w:rPr>
          <w:rFonts w:ascii="Times New Roman" w:hAnsi="Times New Roman" w:cs="Times New Roman" w:eastAsia="Times New Roman" w:hint="default"/>
          <w:b/>
          <w:bCs/>
          <w:sz w:val="28"/>
          <w:szCs w:val="28"/>
        </w:rPr>
        <w:t>2018</w:t>
      </w:r>
      <w:r>
        <w:rPr>
          <w:rFonts w:ascii="Times New Roman" w:hAnsi="Times New Roman" w:cs="Times New Roman" w:eastAsia="Times New Roman" w:hint="default"/>
          <w:b/>
          <w:bCs/>
          <w:spacing w:val="6"/>
          <w:sz w:val="28"/>
          <w:szCs w:val="28"/>
        </w:rPr>
        <w:t> </w:t>
      </w:r>
      <w:r>
        <w:rPr>
          <w:rFonts w:ascii="宋体" w:hAnsi="宋体" w:cs="宋体" w:eastAsia="宋体" w:hint="default"/>
          <w:b/>
          <w:bCs/>
          <w:sz w:val="28"/>
          <w:szCs w:val="28"/>
        </w:rPr>
        <w:t>年</w:t>
      </w:r>
      <w:r>
        <w:rPr>
          <w:rFonts w:ascii="宋体" w:hAnsi="宋体" w:cs="宋体" w:eastAsia="宋体" w:hint="default"/>
          <w:b/>
          <w:bCs/>
          <w:spacing w:val="-64"/>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6"/>
          <w:sz w:val="28"/>
          <w:szCs w:val="28"/>
        </w:rPr>
        <w:t> </w:t>
      </w:r>
      <w:r>
        <w:rPr>
          <w:rFonts w:ascii="宋体" w:hAnsi="宋体" w:cs="宋体" w:eastAsia="宋体" w:hint="default"/>
          <w:b/>
          <w:bCs/>
          <w:sz w:val="28"/>
          <w:szCs w:val="28"/>
        </w:rPr>
        <w:t>月</w:t>
      </w:r>
      <w:r>
        <w:rPr>
          <w:rFonts w:ascii="宋体" w:hAnsi="宋体" w:cs="宋体" w:eastAsia="宋体" w:hint="default"/>
          <w:b/>
          <w:bCs/>
          <w:spacing w:val="-64"/>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6"/>
          <w:sz w:val="28"/>
          <w:szCs w:val="28"/>
        </w:rPr>
        <w:t> </w:t>
      </w:r>
      <w:r>
        <w:rPr>
          <w:rFonts w:ascii="宋体" w:hAnsi="宋体" w:cs="宋体" w:eastAsia="宋体" w:hint="default"/>
          <w:b/>
          <w:bCs/>
          <w:sz w:val="28"/>
          <w:szCs w:val="28"/>
        </w:rPr>
        <w:t>日。子公司杭州日报传</w:t>
      </w:r>
      <w:r>
        <w:rPr>
          <w:rFonts w:ascii="宋体" w:hAnsi="宋体" w:cs="宋体" w:eastAsia="宋体" w:hint="default"/>
          <w:sz w:val="28"/>
          <w:szCs w:val="28"/>
        </w:rPr>
      </w:r>
    </w:p>
    <w:p>
      <w:pPr>
        <w:spacing w:line="398" w:lineRule="auto" w:before="31"/>
        <w:ind w:left="154" w:right="1072" w:firstLine="0"/>
        <w:jc w:val="both"/>
        <w:rPr>
          <w:rFonts w:ascii="宋体" w:hAnsi="宋体" w:cs="宋体" w:eastAsia="宋体" w:hint="default"/>
          <w:sz w:val="28"/>
          <w:szCs w:val="28"/>
        </w:rPr>
      </w:pPr>
      <w:r>
        <w:rPr>
          <w:rFonts w:ascii="宋体" w:hAnsi="宋体" w:cs="宋体" w:eastAsia="宋体" w:hint="default"/>
          <w:b/>
          <w:bCs/>
          <w:sz w:val="28"/>
          <w:szCs w:val="28"/>
        </w:rPr>
        <w:t>媒有限公司、浙江都市快报控股有限公司、杭州每日传媒有限公司等</w:t>
      </w:r>
      <w:r>
        <w:rPr>
          <w:rFonts w:ascii="宋体" w:hAnsi="宋体" w:cs="宋体" w:eastAsia="宋体" w:hint="default"/>
          <w:b/>
          <w:bCs/>
          <w:spacing w:val="-94"/>
          <w:sz w:val="28"/>
          <w:szCs w:val="28"/>
        </w:rPr>
        <w:t> </w:t>
      </w:r>
      <w:r>
        <w:rPr>
          <w:rFonts w:ascii="Times New Roman" w:hAnsi="Times New Roman" w:cs="Times New Roman" w:eastAsia="Times New Roman" w:hint="default"/>
          <w:b/>
          <w:bCs/>
          <w:sz w:val="28"/>
          <w:szCs w:val="28"/>
        </w:rPr>
        <w:t>20</w:t>
      </w:r>
      <w:r>
        <w:rPr>
          <w:rFonts w:ascii="Times New Roman" w:hAnsi="Times New Roman" w:cs="Times New Roman" w:eastAsia="Times New Roman" w:hint="default"/>
          <w:b/>
          <w:bCs/>
          <w:spacing w:val="-24"/>
          <w:sz w:val="28"/>
          <w:szCs w:val="28"/>
        </w:rPr>
        <w:t> </w:t>
      </w:r>
      <w:r>
        <w:rPr>
          <w:rFonts w:ascii="宋体" w:hAnsi="宋体" w:cs="宋体" w:eastAsia="宋体" w:hint="default"/>
          <w:b/>
          <w:bCs/>
          <w:sz w:val="28"/>
          <w:szCs w:val="28"/>
        </w:rPr>
        <w:t>家公司</w:t>
      </w:r>
      <w:r>
        <w:rPr>
          <w:rFonts w:ascii="宋体" w:hAnsi="宋体" w:cs="宋体" w:eastAsia="宋体" w:hint="default"/>
          <w:b/>
          <w:bCs/>
          <w:spacing w:val="1"/>
          <w:w w:val="99"/>
          <w:sz w:val="28"/>
          <w:szCs w:val="28"/>
        </w:rPr>
        <w:t> </w:t>
      </w:r>
      <w:r>
        <w:rPr>
          <w:rFonts w:ascii="宋体" w:hAnsi="宋体" w:cs="宋体" w:eastAsia="宋体" w:hint="default"/>
          <w:b/>
          <w:bCs/>
          <w:spacing w:val="3"/>
          <w:sz w:val="28"/>
          <w:szCs w:val="28"/>
        </w:rPr>
        <w:t>享受上述优惠。根据《国务院办公厅关于印发文化体制改革中经营性文化事业</w:t>
      </w:r>
      <w:r>
        <w:rPr>
          <w:rFonts w:ascii="宋体" w:hAnsi="宋体" w:cs="宋体" w:eastAsia="宋体" w:hint="default"/>
          <w:b/>
          <w:bCs/>
          <w:spacing w:val="3"/>
          <w:w w:val="99"/>
          <w:sz w:val="28"/>
          <w:szCs w:val="28"/>
        </w:rPr>
        <w:t> </w:t>
      </w:r>
      <w:r>
        <w:rPr>
          <w:rFonts w:ascii="宋体" w:hAnsi="宋体" w:cs="宋体" w:eastAsia="宋体" w:hint="default"/>
          <w:b/>
          <w:bCs/>
          <w:spacing w:val="-3"/>
          <w:w w:val="99"/>
          <w:sz w:val="28"/>
          <w:szCs w:val="28"/>
        </w:rPr>
        <w:t>单位转制为企业和进一步支持文化企业发展两个规定的通知》（国办发〔</w:t>
      </w:r>
      <w:r>
        <w:rPr>
          <w:rFonts w:ascii="Times New Roman" w:hAnsi="Times New Roman" w:cs="Times New Roman" w:eastAsia="Times New Roman" w:hint="default"/>
          <w:b/>
          <w:bCs/>
          <w:spacing w:val="-3"/>
          <w:w w:val="99"/>
          <w:sz w:val="28"/>
          <w:szCs w:val="28"/>
        </w:rPr>
        <w:t>2018</w:t>
      </w:r>
      <w:r>
        <w:rPr>
          <w:rFonts w:ascii="宋体" w:hAnsi="宋体" w:cs="宋体" w:eastAsia="宋体" w:hint="default"/>
          <w:b/>
          <w:bCs/>
          <w:spacing w:val="-3"/>
          <w:w w:val="99"/>
          <w:sz w:val="28"/>
          <w:szCs w:val="28"/>
        </w:rPr>
        <w:t>〕</w:t>
      </w:r>
      <w:r>
        <w:rPr>
          <w:rFonts w:ascii="宋体" w:hAnsi="宋体" w:cs="宋体" w:eastAsia="宋体" w:hint="default"/>
          <w:spacing w:val="-3"/>
          <w:sz w:val="28"/>
          <w:szCs w:val="28"/>
        </w:rPr>
      </w:r>
    </w:p>
    <w:p>
      <w:pPr>
        <w:spacing w:after="0" w:line="398" w:lineRule="auto"/>
        <w:jc w:val="both"/>
        <w:rPr>
          <w:rFonts w:ascii="宋体" w:hAnsi="宋体" w:cs="宋体" w:eastAsia="宋体" w:hint="default"/>
          <w:sz w:val="28"/>
          <w:szCs w:val="28"/>
        </w:rPr>
        <w:sectPr>
          <w:pgSz w:w="11910" w:h="16840"/>
          <w:pgMar w:header="747" w:footer="982" w:top="1060" w:bottom="1180" w:left="980" w:right="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spacing w:line="391" w:lineRule="auto" w:before="13"/>
        <w:ind w:left="153" w:right="1074" w:firstLine="0"/>
        <w:jc w:val="both"/>
        <w:rPr>
          <w:rFonts w:ascii="宋体" w:hAnsi="宋体" w:cs="宋体" w:eastAsia="宋体" w:hint="default"/>
          <w:sz w:val="28"/>
          <w:szCs w:val="28"/>
        </w:rPr>
      </w:pPr>
      <w:r>
        <w:rPr>
          <w:rFonts w:ascii="Times New Roman" w:hAnsi="Times New Roman" w:cs="Times New Roman" w:eastAsia="Times New Roman" w:hint="default"/>
          <w:b/>
          <w:bCs/>
          <w:sz w:val="28"/>
          <w:szCs w:val="28"/>
        </w:rPr>
        <w:t>124</w:t>
      </w:r>
      <w:r>
        <w:rPr>
          <w:rFonts w:ascii="Times New Roman" w:hAnsi="Times New Roman" w:cs="Times New Roman" w:eastAsia="Times New Roman" w:hint="default"/>
          <w:b/>
          <w:bCs/>
          <w:spacing w:val="-21"/>
          <w:sz w:val="28"/>
          <w:szCs w:val="28"/>
        </w:rPr>
        <w:t> </w:t>
      </w:r>
      <w:r>
        <w:rPr>
          <w:rFonts w:ascii="宋体" w:hAnsi="宋体" w:cs="宋体" w:eastAsia="宋体" w:hint="default"/>
          <w:b/>
          <w:bCs/>
          <w:spacing w:val="-3"/>
          <w:sz w:val="28"/>
          <w:szCs w:val="28"/>
        </w:rPr>
        <w:t>号）和《关于继续实施文化体制改革中经营性文化事业单位转制为企业若干</w:t>
      </w:r>
      <w:r>
        <w:rPr>
          <w:rFonts w:ascii="宋体" w:hAnsi="宋体" w:cs="宋体" w:eastAsia="宋体" w:hint="default"/>
          <w:b/>
          <w:bCs/>
          <w:spacing w:val="1"/>
          <w:w w:val="99"/>
          <w:sz w:val="28"/>
          <w:szCs w:val="28"/>
        </w:rPr>
        <w:t> </w:t>
      </w:r>
      <w:r>
        <w:rPr>
          <w:rFonts w:ascii="宋体" w:hAnsi="宋体" w:cs="宋体" w:eastAsia="宋体" w:hint="default"/>
          <w:b/>
          <w:bCs/>
          <w:spacing w:val="-9"/>
          <w:w w:val="99"/>
          <w:sz w:val="28"/>
          <w:szCs w:val="28"/>
        </w:rPr>
        <w:t>税收政策的通知》（财税〔</w:t>
      </w:r>
      <w:r>
        <w:rPr>
          <w:rFonts w:ascii="Times New Roman" w:hAnsi="Times New Roman" w:cs="Times New Roman" w:eastAsia="Times New Roman" w:hint="default"/>
          <w:b/>
          <w:bCs/>
          <w:spacing w:val="-9"/>
          <w:w w:val="99"/>
          <w:sz w:val="28"/>
          <w:szCs w:val="28"/>
        </w:rPr>
        <w:t>2019</w:t>
      </w:r>
      <w:r>
        <w:rPr>
          <w:rFonts w:ascii="宋体" w:hAnsi="宋体" w:cs="宋体" w:eastAsia="宋体" w:hint="default"/>
          <w:b/>
          <w:bCs/>
          <w:spacing w:val="-9"/>
          <w:w w:val="99"/>
          <w:sz w:val="28"/>
          <w:szCs w:val="28"/>
        </w:rPr>
        <w:t>〕</w:t>
      </w:r>
      <w:r>
        <w:rPr>
          <w:rFonts w:ascii="Times New Roman" w:hAnsi="Times New Roman" w:cs="Times New Roman" w:eastAsia="Times New Roman" w:hint="default"/>
          <w:b/>
          <w:bCs/>
          <w:spacing w:val="-9"/>
          <w:w w:val="99"/>
          <w:sz w:val="28"/>
          <w:szCs w:val="28"/>
        </w:rPr>
        <w:t>16</w:t>
      </w:r>
      <w:r>
        <w:rPr>
          <w:rFonts w:ascii="Times New Roman" w:hAnsi="Times New Roman" w:cs="Times New Roman" w:eastAsia="Times New Roman" w:hint="default"/>
          <w:b/>
          <w:bCs/>
          <w:spacing w:val="1"/>
          <w:w w:val="99"/>
          <w:sz w:val="28"/>
          <w:szCs w:val="28"/>
        </w:rPr>
        <w:t> </w:t>
      </w:r>
      <w:r>
        <w:rPr>
          <w:rFonts w:ascii="宋体" w:hAnsi="宋体" w:cs="宋体" w:eastAsia="宋体" w:hint="default"/>
          <w:b/>
          <w:bCs/>
          <w:spacing w:val="-22"/>
          <w:w w:val="99"/>
          <w:sz w:val="28"/>
          <w:szCs w:val="28"/>
        </w:rPr>
        <w:t>号），</w:t>
      </w:r>
      <w:r>
        <w:rPr>
          <w:rFonts w:ascii="Times New Roman" w:hAnsi="Times New Roman" w:cs="Times New Roman" w:eastAsia="Times New Roman" w:hint="default"/>
          <w:b/>
          <w:bCs/>
          <w:spacing w:val="-22"/>
          <w:w w:val="99"/>
          <w:sz w:val="28"/>
          <w:szCs w:val="28"/>
        </w:rPr>
        <w:t>2018</w:t>
      </w:r>
      <w:r>
        <w:rPr>
          <w:rFonts w:ascii="Times New Roman" w:hAnsi="Times New Roman" w:cs="Times New Roman" w:eastAsia="Times New Roman" w:hint="default"/>
          <w:b/>
          <w:bCs/>
          <w:spacing w:val="2"/>
          <w:w w:val="99"/>
          <w:sz w:val="28"/>
          <w:szCs w:val="28"/>
        </w:rPr>
        <w:t> </w:t>
      </w:r>
      <w:r>
        <w:rPr>
          <w:rFonts w:ascii="宋体" w:hAnsi="宋体" w:cs="宋体" w:eastAsia="宋体" w:hint="default"/>
          <w:b/>
          <w:bCs/>
          <w:w w:val="99"/>
          <w:sz w:val="28"/>
          <w:szCs w:val="28"/>
        </w:rPr>
        <w:t>年</w:t>
      </w:r>
      <w:r>
        <w:rPr>
          <w:rFonts w:ascii="宋体" w:hAnsi="宋体" w:cs="宋体" w:eastAsia="宋体" w:hint="default"/>
          <w:b/>
          <w:bCs/>
          <w:spacing w:val="-69"/>
          <w:w w:val="99"/>
          <w:sz w:val="28"/>
          <w:szCs w:val="28"/>
        </w:rPr>
        <w:t> </w:t>
      </w:r>
      <w:r>
        <w:rPr>
          <w:rFonts w:ascii="Times New Roman" w:hAnsi="Times New Roman" w:cs="Times New Roman" w:eastAsia="Times New Roman" w:hint="default"/>
          <w:b/>
          <w:bCs/>
          <w:spacing w:val="-1"/>
          <w:w w:val="99"/>
          <w:sz w:val="28"/>
          <w:szCs w:val="28"/>
        </w:rPr>
        <w:t>12</w:t>
      </w:r>
      <w:r>
        <w:rPr>
          <w:rFonts w:ascii="Times New Roman" w:hAnsi="Times New Roman" w:cs="Times New Roman" w:eastAsia="Times New Roman" w:hint="default"/>
          <w:b/>
          <w:bCs/>
          <w:spacing w:val="1"/>
          <w:w w:val="99"/>
          <w:sz w:val="28"/>
          <w:szCs w:val="28"/>
        </w:rPr>
        <w:t> </w:t>
      </w:r>
      <w:r>
        <w:rPr>
          <w:rFonts w:ascii="宋体" w:hAnsi="宋体" w:cs="宋体" w:eastAsia="宋体" w:hint="default"/>
          <w:b/>
          <w:bCs/>
          <w:w w:val="99"/>
          <w:sz w:val="28"/>
          <w:szCs w:val="28"/>
        </w:rPr>
        <w:t>月</w:t>
      </w:r>
      <w:r>
        <w:rPr>
          <w:rFonts w:ascii="宋体" w:hAnsi="宋体" w:cs="宋体" w:eastAsia="宋体" w:hint="default"/>
          <w:b/>
          <w:bCs/>
          <w:spacing w:val="-69"/>
          <w:w w:val="99"/>
          <w:sz w:val="28"/>
          <w:szCs w:val="28"/>
        </w:rPr>
        <w:t> </w:t>
      </w:r>
      <w:r>
        <w:rPr>
          <w:rFonts w:ascii="Times New Roman" w:hAnsi="Times New Roman" w:cs="Times New Roman" w:eastAsia="Times New Roman" w:hint="default"/>
          <w:b/>
          <w:bCs/>
          <w:w w:val="99"/>
          <w:sz w:val="28"/>
          <w:szCs w:val="28"/>
        </w:rPr>
        <w:t>31</w:t>
      </w:r>
      <w:r>
        <w:rPr>
          <w:rFonts w:ascii="Times New Roman" w:hAnsi="Times New Roman" w:cs="Times New Roman" w:eastAsia="Times New Roman" w:hint="default"/>
          <w:b/>
          <w:bCs/>
          <w:spacing w:val="2"/>
          <w:w w:val="99"/>
          <w:sz w:val="28"/>
          <w:szCs w:val="28"/>
        </w:rPr>
        <w:t> </w:t>
      </w:r>
      <w:r>
        <w:rPr>
          <w:rFonts w:ascii="宋体" w:hAnsi="宋体" w:cs="宋体" w:eastAsia="宋体" w:hint="default"/>
          <w:b/>
          <w:bCs/>
          <w:spacing w:val="1"/>
          <w:w w:val="99"/>
          <w:sz w:val="28"/>
          <w:szCs w:val="28"/>
        </w:rPr>
        <w:t>日之前已完成转制的 </w:t>
      </w:r>
      <w:r>
        <w:rPr>
          <w:rFonts w:ascii="宋体" w:hAnsi="宋体" w:cs="宋体" w:eastAsia="宋体" w:hint="default"/>
          <w:b/>
          <w:bCs/>
          <w:sz w:val="28"/>
          <w:szCs w:val="28"/>
        </w:rPr>
        <w:t>企业，自</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2019</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年</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1</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月</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1</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日起可继续免征五年企业所得税。但至本报告披露日，</w:t>
      </w:r>
      <w:r>
        <w:rPr>
          <w:rFonts w:ascii="宋体" w:hAnsi="宋体" w:cs="宋体" w:eastAsia="宋体" w:hint="default"/>
          <w:b/>
          <w:bCs/>
          <w:spacing w:val="1"/>
          <w:w w:val="99"/>
          <w:sz w:val="28"/>
          <w:szCs w:val="28"/>
        </w:rPr>
        <w:t> </w:t>
      </w:r>
      <w:r>
        <w:rPr>
          <w:rFonts w:ascii="宋体" w:hAnsi="宋体" w:cs="宋体" w:eastAsia="宋体" w:hint="default"/>
          <w:b/>
          <w:bCs/>
          <w:spacing w:val="3"/>
          <w:sz w:val="28"/>
          <w:szCs w:val="28"/>
        </w:rPr>
        <w:t>公司尚未收到地方政府部门相关批复文件，公司是否继续和如何享受税收优惠</w:t>
      </w:r>
      <w:r>
        <w:rPr>
          <w:rFonts w:ascii="宋体" w:hAnsi="宋体" w:cs="宋体" w:eastAsia="宋体" w:hint="default"/>
          <w:b/>
          <w:bCs/>
          <w:spacing w:val="3"/>
          <w:w w:val="99"/>
          <w:sz w:val="28"/>
          <w:szCs w:val="28"/>
        </w:rPr>
        <w:t> </w:t>
      </w:r>
      <w:r>
        <w:rPr>
          <w:rFonts w:ascii="宋体" w:hAnsi="宋体" w:cs="宋体" w:eastAsia="宋体" w:hint="default"/>
          <w:b/>
          <w:bCs/>
          <w:sz w:val="28"/>
          <w:szCs w:val="28"/>
        </w:rPr>
        <w:t>政策尚存在不确定性。</w:t>
      </w:r>
      <w:r>
        <w:rPr>
          <w:rFonts w:ascii="宋体" w:hAnsi="宋体" w:cs="宋体" w:eastAsia="宋体" w:hint="default"/>
          <w:sz w:val="28"/>
          <w:szCs w:val="28"/>
        </w:rPr>
      </w:r>
    </w:p>
    <w:p>
      <w:pPr>
        <w:spacing w:before="179"/>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1,017,698,410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为基数，</w:t>
      </w:r>
      <w:r>
        <w:rPr>
          <w:rFonts w:ascii="宋体" w:hAnsi="宋体" w:cs="宋体" w:eastAsia="宋体" w:hint="default"/>
          <w:sz w:val="28"/>
          <w:szCs w:val="28"/>
        </w:rPr>
      </w:r>
    </w:p>
    <w:p>
      <w:pPr>
        <w:spacing w:line="386" w:lineRule="auto" w:before="236"/>
        <w:ind w:left="153" w:right="1131" w:hanging="1"/>
        <w:jc w:val="both"/>
        <w:rPr>
          <w:rFonts w:ascii="宋体" w:hAnsi="宋体" w:cs="宋体" w:eastAsia="宋体" w:hint="default"/>
          <w:sz w:val="28"/>
          <w:szCs w:val="28"/>
        </w:rPr>
      </w:pPr>
      <w:r>
        <w:rPr>
          <w:rFonts w:ascii="宋体" w:hAnsi="宋体" w:cs="宋体" w:eastAsia="宋体" w:hint="default"/>
          <w:b/>
          <w:bCs/>
          <w:w w:val="99"/>
          <w:sz w:val="28"/>
          <w:szCs w:val="28"/>
        </w:rPr>
        <w:t>向全体股东每</w:t>
      </w:r>
      <w:r>
        <w:rPr>
          <w:rFonts w:ascii="宋体" w:hAnsi="宋体" w:cs="宋体" w:eastAsia="宋体" w:hint="default"/>
          <w:b/>
          <w:bCs/>
          <w:spacing w:val="-66"/>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2"/>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6"/>
          <w:w w:val="99"/>
          <w:sz w:val="28"/>
          <w:szCs w:val="28"/>
        </w:rPr>
        <w:t> </w:t>
      </w:r>
      <w:r>
        <w:rPr>
          <w:rFonts w:ascii="Times New Roman" w:hAnsi="Times New Roman" w:cs="Times New Roman" w:eastAsia="Times New Roman" w:hint="default"/>
          <w:b/>
          <w:bCs/>
          <w:spacing w:val="-4"/>
          <w:w w:val="99"/>
          <w:sz w:val="28"/>
          <w:szCs w:val="28"/>
        </w:rPr>
        <w:t>0.11</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21"/>
          <w:w w:val="99"/>
          <w:sz w:val="28"/>
          <w:szCs w:val="28"/>
        </w:rPr>
        <w:t>元（含税），送红股</w:t>
      </w:r>
      <w:r>
        <w:rPr>
          <w:rFonts w:ascii="宋体" w:hAnsi="宋体" w:cs="宋体" w:eastAsia="宋体" w:hint="default"/>
          <w:b/>
          <w:bCs/>
          <w:spacing w:val="-68"/>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21"/>
          <w:w w:val="99"/>
          <w:sz w:val="28"/>
          <w:szCs w:val="28"/>
        </w:rPr>
        <w:t>股（含税），不以公</w:t>
      </w:r>
      <w:r>
        <w:rPr>
          <w:rFonts w:ascii="宋体" w:hAnsi="宋体" w:cs="宋体" w:eastAsia="宋体" w:hint="default"/>
          <w:b/>
          <w:bCs/>
          <w:spacing w:val="1"/>
          <w:w w:val="99"/>
          <w:sz w:val="28"/>
          <w:szCs w:val="28"/>
        </w:rPr>
        <w:t> </w:t>
      </w:r>
      <w:r>
        <w:rPr>
          <w:rFonts w:ascii="宋体" w:hAnsi="宋体" w:cs="宋体" w:eastAsia="宋体" w:hint="default"/>
          <w:b/>
          <w:bCs/>
          <w:sz w:val="28"/>
          <w:szCs w:val="28"/>
        </w:rPr>
        <w:t>积金转增股本。</w:t>
      </w:r>
      <w:r>
        <w:rPr>
          <w:rFonts w:ascii="宋体" w:hAnsi="宋体" w:cs="宋体" w:eastAsia="宋体" w:hint="default"/>
          <w:sz w:val="28"/>
          <w:szCs w:val="28"/>
        </w:rPr>
      </w:r>
    </w:p>
    <w:p>
      <w:pPr>
        <w:spacing w:after="0" w:line="386" w:lineRule="auto"/>
        <w:jc w:val="both"/>
        <w:rPr>
          <w:rFonts w:ascii="宋体" w:hAnsi="宋体" w:cs="宋体" w:eastAsia="宋体" w:hint="default"/>
          <w:sz w:val="28"/>
          <w:szCs w:val="28"/>
        </w:rPr>
        <w:sectPr>
          <w:pgSz w:w="11910" w:h="16840"/>
          <w:pgMar w:header="747" w:footer="982" w:top="1060" w:bottom="118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3"/>
        <w:ind w:left="561" w:right="1537"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1" w:val="right" w:leader="dot"/>
            </w:tabs>
            <w:spacing w:line="240" w:lineRule="auto" w:before="0"/>
            <w:ind w:left="154"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19"/>
              </w:rPr>
              <w:t> </w:t>
            </w:r>
            <w:r>
              <w:rPr/>
              <w:t>重要提示、目录和释义</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8"/>
              </w:rPr>
              <w:t> </w:t>
            </w:r>
            <w:r>
              <w:rPr/>
              <w:t>公司简介和主要财务指标</w:t>
            </w:r>
            <w:r>
              <w:rPr>
                <w:rFonts w:ascii="Times New Roman" w:hAnsi="Times New Roman" w:cs="Times New Roman" w:eastAsia="Times New Roman" w:hint="default"/>
              </w:rPr>
              <w:tab/>
            </w:r>
            <w:r>
              <w:rPr>
                <w:rFonts w:ascii="Times New Roman" w:hAnsi="Times New Roman" w:cs="Times New Roman" w:eastAsia="Times New Roman" w:hint="default"/>
                <w:spacing w:val="-7"/>
              </w:rPr>
              <w:t>11</w:t>
            </w:r>
            <w:r>
              <w:rPr>
                <w:rFonts w:ascii="Times New Roman" w:hAnsi="Times New Roman" w:cs="Times New Roman" w:eastAsia="Times New Roman" w:hint="default"/>
                <w:b w:val="0"/>
                <w:bCs w:val="0"/>
                <w:spacing w:val="-7"/>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8"/>
              </w:rPr>
              <w:t> </w:t>
            </w:r>
            <w:r>
              <w:rPr/>
              <w:t>公司业务概要</w:t>
            </w:r>
            <w:r>
              <w:rPr>
                <w:rFonts w:ascii="Times New Roman" w:hAnsi="Times New Roman" w:cs="Times New Roman" w:eastAsia="Times New Roman" w:hint="default"/>
              </w:rPr>
              <w:tab/>
              <w:t>16</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9"/>
              </w:rPr>
              <w:t> </w:t>
            </w:r>
            <w:r>
              <w:rPr/>
              <w:t>经营情况讨论与分析</w:t>
            </w:r>
            <w:r>
              <w:rPr>
                <w:rFonts w:ascii="Times New Roman" w:hAnsi="Times New Roman" w:cs="Times New Roman" w:eastAsia="Times New Roman" w:hint="default"/>
              </w:rPr>
              <w:tab/>
              <w:t>31</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9"/>
              </w:rPr>
              <w:t> </w:t>
            </w:r>
            <w:r>
              <w:rPr/>
              <w:t>重要事项</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9"/>
              </w:rPr>
              <w:t> </w:t>
            </w:r>
            <w:r>
              <w:rPr/>
              <w:t>股份变动及股东情况</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19"/>
              </w:rPr>
              <w:t> </w:t>
            </w:r>
            <w:r>
              <w:rPr/>
              <w:t>优先股相关情况</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第八节</w:t>
            </w:r>
            <w:r>
              <w:rPr>
                <w:spacing w:val="-19"/>
              </w:rPr>
              <w:t> </w:t>
            </w:r>
            <w:r>
              <w:rPr/>
              <w:t>董事、监事、高级管理人员和员工情况</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9"/>
              </w:rPr>
              <w:t> </w:t>
            </w:r>
            <w:r>
              <w:rPr/>
              <w:t>公司治理</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9"/>
              </w:rPr>
              <w:t> </w:t>
            </w:r>
            <w:r>
              <w:rPr/>
              <w:t>公司债券相关情况</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9"/>
              </w:rPr>
              <w:t> </w:t>
            </w:r>
            <w:r>
              <w:rPr/>
              <w:t>财务报告</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20"/>
              </w:rPr>
              <w:t> </w:t>
            </w:r>
            <w:r>
              <w:rPr/>
              <w:t>备查文件目录</w:t>
            </w:r>
            <w:r>
              <w:rPr>
                <w:rFonts w:ascii="Times New Roman" w:hAnsi="Times New Roman" w:cs="Times New Roman" w:eastAsia="Times New Roman" w:hint="default"/>
              </w:rPr>
              <w:tab/>
              <w:t>181</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82" w:top="1060" w:bottom="1180" w:left="980" w:right="0"/>
        </w:sectPr>
      </w:pPr>
    </w:p>
    <w:p>
      <w:pPr>
        <w:spacing w:before="946"/>
        <w:ind w:left="561" w:right="1537"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5"/>
        <w:gridCol w:w="598"/>
        <w:gridCol w:w="5435"/>
      </w:tblGrid>
      <w:tr>
        <w:trPr>
          <w:trHeight w:val="402" w:hRule="exact"/>
        </w:trPr>
        <w:tc>
          <w:tcPr>
            <w:tcW w:w="3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浙江华媒控股股份有限公司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杭报集团</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杭报集团有限公司、杭报集团公司</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杭报传媒</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杭州日报传媒有限公司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每日传媒</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杭州每日传媒有限公司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都快控股</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浙江都市快报控股有限公司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杭州网络传媒、杭州网</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杭州网络传媒有限公司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萧报传媒</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萧山日报传媒有限公司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富报传媒</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杭州富阳日报传媒有限公司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晨报传媒、余杭晨报</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杭州余杭晨报传媒有限公司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每日送、每日送电子商务</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杭州日报报业集团每日送电子商务有限公司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盛元印务</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杭州日报报业集团盛元印务有限公司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风盛公司、风盛股份</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浙江风盛传媒股份有限公司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十九楼、</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十九楼网络股份有限公司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都市周报传媒、周报传媒</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杭州都市周报传媒有限公司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久一点吧</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杭州都快交通久一点吧传媒有限公司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快房网</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杭州快房传媒有限公司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华媒投资</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浙江华媒投资有限公司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华媒科创园</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杭州华媒科创园区管理有限公司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华媒传播</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浙江华媒信息传播有限公司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中教未来、中教国际</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中教未来国际教育科技（北京）有限公司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萧文置业</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杭州萧文置业有限公司</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_TOC_250010" w:id="2"/>
      <w:r>
        <w:rPr/>
        <w:t>第二节</w:t>
      </w:r>
      <w:r>
        <w:rPr>
          <w:spacing w:val="-11"/>
        </w:rPr>
        <w:t> </w:t>
      </w:r>
      <w:r>
        <w:rPr/>
        <w:t>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61"/>
        <w:gridCol w:w="2965"/>
        <w:gridCol w:w="2144"/>
        <w:gridCol w:w="2188"/>
      </w:tblGrid>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13" w:space="0" w:color="D3D3D3"/>
              <w:bottom w:val="single" w:sz="4" w:space="0" w:color="000000"/>
              <w:right w:val="single" w:sz="13" w:space="0" w:color="D3D3D3"/>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华媒控股</w:t>
            </w:r>
          </w:p>
        </w:tc>
        <w:tc>
          <w:tcPr>
            <w:tcW w:w="2144" w:type="dxa"/>
            <w:tcBorders>
              <w:top w:val="single" w:sz="4" w:space="0" w:color="000000"/>
              <w:left w:val="single" w:sz="9" w:space="0" w:color="C7EDCC"/>
              <w:bottom w:val="single" w:sz="4" w:space="0" w:color="000000"/>
              <w:right w:val="single" w:sz="4" w:space="0" w:color="000000"/>
            </w:tcBorders>
            <w:shd w:val="clear" w:color="auto" w:fill="D3D3D3"/>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000607</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浙江华媒控股股份有限公司</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华媒控股</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Zhejiang Huamei Holding CO.,</w:t>
            </w:r>
            <w:r>
              <w:rPr>
                <w:rFonts w:ascii="Times New Roman"/>
                <w:spacing w:val="-20"/>
                <w:sz w:val="18"/>
              </w:rPr>
              <w:t> </w:t>
            </w:r>
            <w:r>
              <w:rPr>
                <w:rFonts w:ascii="Times New Roman"/>
                <w:spacing w:val="-5"/>
                <w:sz w:val="18"/>
              </w:rPr>
              <w:t>LTD.</w:t>
            </w:r>
            <w:r>
              <w:rPr>
                <w:rFonts w:ascii="Times New Roman"/>
                <w:sz w:val="18"/>
              </w:rPr>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HUAMEI</w:t>
            </w:r>
            <w:r>
              <w:rPr>
                <w:rFonts w:ascii="Times New Roman"/>
                <w:spacing w:val="-10"/>
                <w:sz w:val="18"/>
              </w:rPr>
              <w:t> </w:t>
            </w:r>
            <w:r>
              <w:rPr>
                <w:rFonts w:ascii="Times New Roman"/>
                <w:sz w:val="18"/>
              </w:rPr>
              <w:t>HOLDING</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董悦</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杭州市下城区体育场路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218 </w:t>
            </w:r>
            <w:r>
              <w:rPr>
                <w:rFonts w:ascii="宋体" w:hAnsi="宋体" w:cs="宋体" w:eastAsia="宋体" w:hint="default"/>
                <w:sz w:val="18"/>
                <w:szCs w:val="18"/>
              </w:rPr>
              <w:t>号</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310041</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杭州市下城区体育场路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218 </w:t>
            </w:r>
            <w:r>
              <w:rPr>
                <w:rFonts w:ascii="宋体" w:hAnsi="宋体" w:cs="宋体" w:eastAsia="宋体" w:hint="default"/>
                <w:sz w:val="18"/>
                <w:szCs w:val="18"/>
              </w:rPr>
              <w:t>号</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310041</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http://www.000607.cn/</w:t>
              </w:r>
            </w:hyperlink>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ir000607@000607.cn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高坚强</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张江瑾</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杭州市下城区体育场路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218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杭州市下城区体育场路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218 </w:t>
            </w:r>
            <w:r>
              <w:rPr>
                <w:rFonts w:ascii="宋体" w:hAnsi="宋体" w:cs="宋体" w:eastAsia="宋体" w:hint="default"/>
                <w:sz w:val="18"/>
                <w:szCs w:val="18"/>
              </w:rPr>
              <w:t>号</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0571-85098807</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0571-85098807</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0571-85155005-8807</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0571-85155005-8807</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ir000607@000607.cn</w:t>
              </w:r>
            </w:hyperlink>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ir000607@000607.cn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2"/>
        <w:gridCol w:w="5575"/>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中国证券报、证券时报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6"/>
                <w:sz w:val="18"/>
                <w:szCs w:val="18"/>
              </w:rPr>
              <w:t> </w:t>
            </w:r>
            <w:hyperlink r:id="rId11">
              <w:r>
                <w:rPr>
                  <w:rFonts w:ascii="Times New Roman" w:hAnsi="Times New Roman" w:cs="Times New Roman" w:eastAsia="Times New Roman" w:hint="default"/>
                  <w:sz w:val="18"/>
                  <w:szCs w:val="18"/>
                </w:rPr>
                <w:t>http://www.cninfo.com.cn</w:t>
              </w:r>
            </w:hyperlink>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20282349-4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w:t>
            </w:r>
          </w:p>
        </w:tc>
        <w:tc>
          <w:tcPr>
            <w:tcW w:w="63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除公司重组后收购的传媒经营类业务外，新增教育培训为主营业务。</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w:t>
            </w:r>
          </w:p>
        </w:tc>
        <w:tc>
          <w:tcPr>
            <w:tcW w:w="63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报告期内无变更。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1"/>
        <w:gridCol w:w="6917"/>
      </w:tblGrid>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7"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7"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北京市东城区永定门西滨河路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号楼中海地产广场西塔</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层</w:t>
            </w: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17"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徐殷鹏、秦松涛</w:t>
            </w:r>
          </w:p>
        </w:tc>
      </w:tr>
    </w:tbl>
    <w:p>
      <w:pPr>
        <w:pStyle w:val="BodyText"/>
        <w:spacing w:line="240" w:lineRule="auto" w:before="51"/>
        <w:ind w:right="0"/>
        <w:jc w:val="left"/>
      </w:pPr>
      <w:r>
        <w:rPr/>
        <w:t>公司聘请的报告期内履行持续督导职责的保荐机构</w:t>
      </w:r>
    </w:p>
    <w:p>
      <w:pPr>
        <w:pStyle w:val="BodyText"/>
        <w:spacing w:line="338" w:lineRule="auto" w:before="117"/>
        <w:ind w:right="67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954"/>
        <w:gridCol w:w="1394"/>
        <w:gridCol w:w="1736"/>
        <w:gridCol w:w="1738"/>
        <w:gridCol w:w="1735"/>
      </w:tblGrid>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3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1,749,518,996.88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1,832,268,001.47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1,832,144,605.06</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3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105,180,270.19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146,809,823.33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-28.36%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225,115,501.44</w:t>
            </w: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5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 损益的净利润（元）</w:t>
            </w:r>
          </w:p>
        </w:tc>
        <w:tc>
          <w:tcPr>
            <w:tcW w:w="13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76,490,901.07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80,289,597.66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218,050,779.08</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3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263,810,621.42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185,245,508.64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42.41%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289,956,687.05</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0.10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-28.57%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0.22</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0.10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-28.57%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0.22</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3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13.60%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3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3,248,604,010.44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3,200,604,342.28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2,969,856,120.79</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3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1,890,548,489.59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1,800,160,138.37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1,770,778,488.81</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公司报告期不存在按照国际会计准则与按照中国会计准则披露的财务报告中净利润和净资产差异情况。</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八、分季度主要财务指标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333,143,484.04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419,243,666.80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422,187,804.65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574,944,041.39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-13,092,852.81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47,237,381.06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26,936,681.76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44,099,060.18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5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-13,566,587.98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45,712,399.06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23,987,524.06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20,357,565.93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-72,112,736.77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3,399,308.79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-26,583,378.86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359,107,428.26</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7"/>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九、非经常性损益项目及金额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6125"/>
        <w:gridCol w:w="1102"/>
        <w:gridCol w:w="1091"/>
        <w:gridCol w:w="1062"/>
        <w:gridCol w:w="302"/>
      </w:tblGrid>
      <w:tr>
        <w:trPr>
          <w:trHeight w:val="161" w:hRule="exact"/>
        </w:trPr>
        <w:tc>
          <w:tcPr>
            <w:tcW w:w="6125" w:type="dxa"/>
            <w:tcBorders>
              <w:top w:val="single" w:sz="4" w:space="0" w:color="000000"/>
              <w:left w:val="single" w:sz="4" w:space="0" w:color="000000"/>
              <w:bottom w:val="nil" w:sz="6" w:space="0" w:color="auto"/>
              <w:right w:val="single" w:sz="4" w:space="0" w:color="000000"/>
            </w:tcBorders>
            <w:shd w:val="clear" w:color="auto" w:fill="D3D3D3"/>
          </w:tcPr>
          <w:p>
            <w:pPr/>
          </w:p>
        </w:tc>
        <w:tc>
          <w:tcPr>
            <w:tcW w:w="1102" w:type="dxa"/>
            <w:tcBorders>
              <w:top w:val="single" w:sz="4" w:space="0" w:color="000000"/>
              <w:left w:val="single" w:sz="4" w:space="0" w:color="000000"/>
              <w:bottom w:val="nil" w:sz="6" w:space="0" w:color="auto"/>
              <w:right w:val="single" w:sz="4" w:space="0" w:color="000000"/>
            </w:tcBorders>
            <w:shd w:val="clear" w:color="auto" w:fill="D3D3D3"/>
          </w:tcPr>
          <w:p>
            <w:pPr/>
          </w:p>
        </w:tc>
        <w:tc>
          <w:tcPr>
            <w:tcW w:w="1091"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2" w:type="dxa"/>
            <w:tcBorders>
              <w:top w:val="single" w:sz="4" w:space="0" w:color="000000"/>
              <w:left w:val="single" w:sz="4" w:space="0" w:color="000000"/>
              <w:bottom w:val="nil" w:sz="6" w:space="0" w:color="auto"/>
              <w:right w:val="single" w:sz="4" w:space="0" w:color="000000"/>
            </w:tcBorders>
            <w:shd w:val="clear" w:color="auto" w:fill="D3D3D3"/>
          </w:tcPr>
          <w:p>
            <w:pPr/>
          </w:p>
        </w:tc>
        <w:tc>
          <w:tcPr>
            <w:tcW w:w="30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56" w:right="54"/>
              <w:jc w:val="left"/>
              <w:rPr>
                <w:rFonts w:ascii="宋体" w:hAnsi="宋体" w:cs="宋体" w:eastAsia="宋体" w:hint="default"/>
                <w:sz w:val="18"/>
                <w:szCs w:val="18"/>
              </w:rPr>
            </w:pPr>
            <w:r>
              <w:rPr>
                <w:rFonts w:ascii="宋体" w:hAnsi="宋体" w:cs="宋体" w:eastAsia="宋体" w:hint="default"/>
                <w:sz w:val="18"/>
                <w:szCs w:val="18"/>
              </w:rPr>
              <w:t>说 明</w:t>
            </w:r>
          </w:p>
        </w:tc>
      </w:tr>
      <w:tr>
        <w:trPr>
          <w:trHeight w:val="392" w:hRule="exact"/>
        </w:trPr>
        <w:tc>
          <w:tcPr>
            <w:tcW w:w="612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0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09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06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302" w:type="dxa"/>
            <w:vMerge/>
            <w:tcBorders>
              <w:left w:val="single" w:sz="4" w:space="0" w:color="000000"/>
              <w:right w:val="single" w:sz="4" w:space="0" w:color="000000"/>
            </w:tcBorders>
            <w:shd w:val="clear" w:color="auto" w:fill="D3D3D3"/>
          </w:tcPr>
          <w:p>
            <w:pPr/>
          </w:p>
        </w:tc>
      </w:tr>
      <w:tr>
        <w:trPr>
          <w:trHeight w:val="161" w:hRule="exact"/>
        </w:trPr>
        <w:tc>
          <w:tcPr>
            <w:tcW w:w="6125" w:type="dxa"/>
            <w:tcBorders>
              <w:top w:val="nil" w:sz="6" w:space="0" w:color="auto"/>
              <w:left w:val="single" w:sz="4" w:space="0" w:color="000000"/>
              <w:bottom w:val="single" w:sz="4" w:space="0" w:color="000000"/>
              <w:right w:val="single" w:sz="4" w:space="0" w:color="000000"/>
            </w:tcBorders>
            <w:shd w:val="clear" w:color="auto" w:fill="D3D3D3"/>
          </w:tcPr>
          <w:p>
            <w:pPr/>
          </w:p>
        </w:tc>
        <w:tc>
          <w:tcPr>
            <w:tcW w:w="1102" w:type="dxa"/>
            <w:tcBorders>
              <w:top w:val="nil" w:sz="6" w:space="0" w:color="auto"/>
              <w:left w:val="single" w:sz="4" w:space="0" w:color="000000"/>
              <w:bottom w:val="single" w:sz="4" w:space="0" w:color="000000"/>
              <w:right w:val="single" w:sz="4" w:space="0" w:color="000000"/>
            </w:tcBorders>
            <w:shd w:val="clear" w:color="auto" w:fill="D3D3D3"/>
          </w:tcPr>
          <w:p>
            <w:pPr/>
          </w:p>
        </w:tc>
        <w:tc>
          <w:tcPr>
            <w:tcW w:w="1091"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2" w:type="dxa"/>
            <w:tcBorders>
              <w:top w:val="nil" w:sz="6" w:space="0" w:color="auto"/>
              <w:left w:val="single" w:sz="4" w:space="0" w:color="000000"/>
              <w:bottom w:val="single" w:sz="4" w:space="0" w:color="000000"/>
              <w:right w:val="single" w:sz="4" w:space="0" w:color="000000"/>
            </w:tcBorders>
            <w:shd w:val="clear" w:color="auto" w:fill="D3D3D3"/>
          </w:tcPr>
          <w:p>
            <w:pPr/>
          </w:p>
        </w:tc>
        <w:tc>
          <w:tcPr>
            <w:tcW w:w="30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6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非流动资产处置损益（包括已计提资产减值准备的冲销部分）</w:t>
            </w:r>
          </w:p>
        </w:tc>
        <w:tc>
          <w:tcPr>
            <w:tcW w:w="11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4,460,237.49</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2,864,346.65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-1,937,010.31</w:t>
            </w:r>
          </w:p>
        </w:tc>
        <w:tc>
          <w:tcPr>
            <w:tcW w:w="3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1"/>
                <w:sz w:val="18"/>
                <w:szCs w:val="18"/>
              </w:rPr>
              <w:t>计入当期损益的政府补助（与企业业务密切相关，按照国家统一标准定额或定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量享受的政府补助除外）</w:t>
            </w:r>
          </w:p>
        </w:tc>
        <w:tc>
          <w:tcPr>
            <w:tcW w:w="11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11,041,751.95</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11,744,389.08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6,242,227.45</w:t>
            </w:r>
          </w:p>
        </w:tc>
        <w:tc>
          <w:tcPr>
            <w:tcW w:w="3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1"/>
                <w:sz w:val="18"/>
                <w:szCs w:val="18"/>
              </w:rPr>
              <w:t>企业取得子公司、联营企业及合营企业的投资成本小于取得投资时应享有被投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资单位可辨认净资产公允价值产生的收益</w:t>
            </w:r>
          </w:p>
        </w:tc>
        <w:tc>
          <w:tcPr>
            <w:tcW w:w="11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14,350.80</w:t>
            </w:r>
          </w:p>
        </w:tc>
        <w:tc>
          <w:tcPr>
            <w:tcW w:w="109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1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9,249,014.47</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3,150,291.09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128,376.44</w:t>
            </w:r>
          </w:p>
        </w:tc>
        <w:tc>
          <w:tcPr>
            <w:tcW w:w="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102" w:type="dxa"/>
            <w:tcBorders>
              <w:top w:val="single" w:sz="4" w:space="0" w:color="000000"/>
              <w:left w:val="single" w:sz="13" w:space="0" w:color="D3D3D3"/>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1,911,929.63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2,051,514.18</w:t>
            </w:r>
          </w:p>
        </w:tc>
        <w:tc>
          <w:tcPr>
            <w:tcW w:w="30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pacing w:val="-1"/>
                <w:sz w:val="18"/>
                <w:szCs w:val="18"/>
              </w:rPr>
              <w:t>除同公司正常经营业务相关的有效套期保值业务外，持有交易性金融资产、交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易性金融负债产生的公允价值变动损益，以及处置交易性金融资产、交易性金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融负债和可供出售金融资产取得的投资收益</w:t>
            </w:r>
          </w:p>
        </w:tc>
        <w:tc>
          <w:tcPr>
            <w:tcW w:w="11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11,267.77</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144,458.11</w:t>
            </w:r>
          </w:p>
        </w:tc>
        <w:tc>
          <w:tcPr>
            <w:tcW w:w="1062"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1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389,622.52</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-2,005,986.35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-696,030.91</w:t>
            </w:r>
          </w:p>
        </w:tc>
        <w:tc>
          <w:tcPr>
            <w:tcW w:w="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1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6,910,515.31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49,714,019.43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2,254,456.25</w:t>
            </w:r>
          </w:p>
        </w:tc>
        <w:tc>
          <w:tcPr>
            <w:tcW w:w="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1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348,425.06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222,851.41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69,455.84</w:t>
            </w:r>
          </w:p>
        </w:tc>
        <w:tc>
          <w:tcPr>
            <w:tcW w:w="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1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3,038,966.13</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780,370.56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909,354.90</w:t>
            </w:r>
          </w:p>
        </w:tc>
        <w:tc>
          <w:tcPr>
            <w:tcW w:w="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6148"/>
        <w:gridCol w:w="1091"/>
        <w:gridCol w:w="1091"/>
        <w:gridCol w:w="1062"/>
        <w:gridCol w:w="291"/>
      </w:tblGrid>
      <w:tr>
        <w:trPr>
          <w:trHeight w:val="402" w:hRule="exact"/>
        </w:trPr>
        <w:tc>
          <w:tcPr>
            <w:tcW w:w="61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28,689,369.12</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66,520,225.67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7,064,722.36</w:t>
            </w:r>
          </w:p>
        </w:tc>
        <w:tc>
          <w:tcPr>
            <w:tcW w:w="2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2" w:lineRule="auto" w:before="63"/>
        <w:ind w:right="111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4"/>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6" w:right="0"/>
        <w:jc w:val="left"/>
        <w:rPr>
          <w:b w:val="0"/>
          <w:bCs w:val="0"/>
        </w:rPr>
      </w:pPr>
      <w:bookmarkStart w:name="_TOC_250009" w:id="3"/>
      <w:r>
        <w:rPr/>
        <w:t>第三节</w:t>
      </w:r>
      <w:r>
        <w:rPr>
          <w:spacing w:val="-1"/>
        </w:rPr>
        <w:t> </w:t>
      </w:r>
      <w:r>
        <w:rPr/>
        <w:t>公司业务概要</w:t>
      </w:r>
      <w:bookmarkEnd w:id="3"/>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both"/>
        <w:rPr>
          <w:b w:val="0"/>
          <w:bCs w:val="0"/>
        </w:rPr>
      </w:pP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3" w:right="7691"/>
        <w:jc w:val="left"/>
      </w:pPr>
      <w:r>
        <w:rPr/>
        <w:t>公司是否需要遵守特殊行业的披露要求 否</w:t>
      </w:r>
    </w:p>
    <w:p>
      <w:pPr>
        <w:spacing w:line="468" w:lineRule="auto" w:before="103"/>
        <w:ind w:left="578" w:right="1146" w:firstLine="1"/>
        <w:jc w:val="left"/>
        <w:rPr>
          <w:rFonts w:ascii="宋体" w:hAnsi="宋体" w:cs="宋体" w:eastAsia="宋体" w:hint="default"/>
          <w:sz w:val="18"/>
          <w:szCs w:val="18"/>
        </w:rPr>
      </w:pPr>
      <w:r>
        <w:rPr>
          <w:rFonts w:ascii="宋体" w:hAnsi="宋体" w:cs="宋体" w:eastAsia="宋体" w:hint="default"/>
          <w:b/>
          <w:bCs/>
          <w:sz w:val="18"/>
          <w:szCs w:val="18"/>
        </w:rPr>
        <w:t>（一）报告期内公司所从事的主要业务、主要产品及用途、经营模式、主要的业绩驱动因素</w:t>
      </w:r>
      <w:r>
        <w:rPr>
          <w:rFonts w:ascii="宋体" w:hAnsi="宋体" w:cs="宋体" w:eastAsia="宋体" w:hint="default"/>
          <w:b/>
          <w:bCs/>
          <w:w w:val="99"/>
          <w:sz w:val="18"/>
          <w:szCs w:val="18"/>
        </w:rPr>
        <w:t> </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、公司所从事的主要业务</w:t>
      </w:r>
      <w:r>
        <w:rPr>
          <w:rFonts w:ascii="宋体" w:hAnsi="宋体" w:cs="宋体" w:eastAsia="宋体" w:hint="default"/>
          <w:b/>
          <w:bCs/>
          <w:spacing w:val="1"/>
          <w:w w:val="99"/>
          <w:sz w:val="18"/>
          <w:szCs w:val="18"/>
        </w:rPr>
        <w:t> </w:t>
      </w:r>
      <w:r>
        <w:rPr>
          <w:rFonts w:ascii="宋体" w:hAnsi="宋体" w:cs="宋体" w:eastAsia="宋体" w:hint="default"/>
          <w:sz w:val="18"/>
          <w:szCs w:val="18"/>
        </w:rPr>
        <w:t>公司经营范围为：设计制作代理发布各类广告；新媒体技术开发；实业投资；会展服务和进出口业务经营。 报告期内，公司主要从事广告策划发布、报刊发行与印刷、教育等业务，涵盖平面媒体、网络媒体、移动新媒体、户</w:t>
      </w:r>
    </w:p>
    <w:p>
      <w:pPr>
        <w:pStyle w:val="BodyText"/>
        <w:spacing w:line="477" w:lineRule="auto" w:before="61"/>
        <w:ind w:left="153" w:right="1131"/>
        <w:jc w:val="both"/>
      </w:pPr>
      <w:r>
        <w:rPr>
          <w:spacing w:val="-2"/>
        </w:rPr>
        <w:t>外媒体包括地铁媒体的广告承揽发布、企事业单位宣传公关的全案策划和实施，各种会展和活动的策划承办；报刊发行与印</w:t>
      </w:r>
      <w:r>
        <w:rPr>
          <w:spacing w:val="-66"/>
        </w:rPr>
        <w:t> </w:t>
      </w:r>
      <w:r>
        <w:rPr>
          <w:spacing w:val="-66"/>
        </w:rPr>
      </w:r>
      <w:r>
        <w:rPr>
          <w:spacing w:val="-2"/>
        </w:rPr>
        <w:t>刷、包装和书籍印刷；覆盖多个省区与多个大专院校合作举办职业教育、成人教育、在线教育，以及教育信息咨询服务和技</w:t>
      </w:r>
      <w:r>
        <w:rPr>
          <w:spacing w:val="-66"/>
        </w:rPr>
        <w:t> </w:t>
      </w:r>
      <w:r>
        <w:rPr>
          <w:spacing w:val="-66"/>
        </w:rPr>
      </w:r>
      <w:r>
        <w:rPr/>
        <w:t>能培训等。</w:t>
      </w:r>
    </w:p>
    <w:p>
      <w:pPr>
        <w:spacing w:line="451" w:lineRule="auto" w:before="54"/>
        <w:ind w:left="578"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、公司的主要产品、用途和经营模式</w:t>
      </w:r>
      <w:r>
        <w:rPr>
          <w:rFonts w:ascii="宋体" w:hAnsi="宋体" w:cs="宋体" w:eastAsia="宋体" w:hint="default"/>
          <w:b/>
          <w:bCs/>
          <w:w w:val="99"/>
          <w:sz w:val="18"/>
          <w:szCs w:val="18"/>
        </w:rPr>
        <w:t> </w:t>
      </w:r>
      <w:r>
        <w:rPr>
          <w:rFonts w:ascii="宋体" w:hAnsi="宋体" w:cs="宋体" w:eastAsia="宋体" w:hint="default"/>
          <w:spacing w:val="-2"/>
          <w:sz w:val="18"/>
          <w:szCs w:val="18"/>
        </w:rPr>
        <w:t>广告及策划：</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）报纸广告、网络广告、户外广告（含地铁站内、车厢和围挡广告）、电台广播等多种形式的广告。企</w:t>
      </w:r>
    </w:p>
    <w:p>
      <w:pPr>
        <w:pStyle w:val="BodyText"/>
        <w:spacing w:line="240" w:lineRule="auto" w:before="43"/>
        <w:ind w:left="153" w:right="0"/>
        <w:jc w:val="both"/>
      </w:pPr>
      <w:r>
        <w:rPr/>
        <w:t>事业单位根据自身宣传需要，可以购买公司各类广告服务用以达到扩大影响、增加销售等目的。</w:t>
      </w:r>
    </w:p>
    <w:p>
      <w:pPr>
        <w:spacing w:line="240" w:lineRule="auto" w:before="10"/>
        <w:rPr>
          <w:rFonts w:ascii="宋体" w:hAnsi="宋体" w:cs="宋体" w:eastAsia="宋体" w:hint="default"/>
          <w:sz w:val="17"/>
          <w:szCs w:val="17"/>
        </w:rPr>
      </w:pPr>
    </w:p>
    <w:p>
      <w:pPr>
        <w:pStyle w:val="BodyText"/>
        <w:spacing w:line="451" w:lineRule="auto"/>
        <w:ind w:left="153" w:right="0" w:firstLine="424"/>
        <w:jc w:val="left"/>
      </w:pPr>
      <w:r>
        <w:rPr>
          <w:rFonts w:ascii="Times New Roman" w:hAnsi="Times New Roman" w:cs="Times New Roman" w:eastAsia="Times New Roman" w:hint="default"/>
          <w:spacing w:val="-1"/>
        </w:rPr>
        <w:t>2</w:t>
      </w:r>
      <w:r>
        <w:rPr>
          <w:spacing w:val="-1"/>
        </w:rPr>
        <w:t>）移动新媒体自建自营和代为维护。公司移动新媒体涵盖微信公众号、微博官方账号、手机</w:t>
      </w:r>
      <w:r>
        <w:rPr>
          <w:rFonts w:ascii="Times New Roman" w:hAnsi="Times New Roman" w:cs="Times New Roman" w:eastAsia="Times New Roman" w:hint="default"/>
          <w:spacing w:val="-1"/>
        </w:rPr>
        <w:t>APP</w:t>
      </w:r>
      <w:r>
        <w:rPr>
          <w:spacing w:val="-1"/>
        </w:rPr>
        <w:t>等，为扩大媒体影响</w:t>
      </w:r>
      <w:r>
        <w:rPr/>
        <w:t> 力建设了系列新媒体产品，既可以为公司自身的宣传和营销活动造势，也为其他企事业单位提供新媒体平台服务。</w:t>
      </w:r>
    </w:p>
    <w:p>
      <w:pPr>
        <w:pStyle w:val="BodyText"/>
        <w:spacing w:line="240" w:lineRule="auto" w:before="74"/>
        <w:ind w:left="578" w:right="0"/>
        <w:jc w:val="left"/>
      </w:pPr>
      <w:r>
        <w:rPr>
          <w:rFonts w:ascii="Times New Roman" w:hAnsi="Times New Roman" w:cs="Times New Roman" w:eastAsia="Times New Roman" w:hint="default"/>
        </w:rPr>
        <w:t>3</w:t>
      </w:r>
      <w:r>
        <w:rPr/>
        <w:t>）可供移动端发布的视频信息、彩信手机报等。用以提供给电信运营商，满足手机使用者对于文字和音视频信息的需</w:t>
      </w:r>
    </w:p>
    <w:p>
      <w:pPr>
        <w:spacing w:line="240" w:lineRule="auto" w:before="9"/>
        <w:rPr>
          <w:rFonts w:ascii="宋体" w:hAnsi="宋体" w:cs="宋体" w:eastAsia="宋体" w:hint="default"/>
          <w:sz w:val="16"/>
          <w:szCs w:val="16"/>
        </w:rPr>
      </w:pPr>
    </w:p>
    <w:p>
      <w:pPr>
        <w:pStyle w:val="BodyText"/>
        <w:spacing w:line="240" w:lineRule="auto"/>
        <w:ind w:left="153" w:right="0"/>
        <w:jc w:val="both"/>
      </w:pPr>
      <w:r>
        <w:rPr/>
        <w:t>求。</w:t>
      </w:r>
    </w:p>
    <w:p>
      <w:pPr>
        <w:spacing w:line="240" w:lineRule="auto" w:before="10"/>
        <w:rPr>
          <w:rFonts w:ascii="宋体" w:hAnsi="宋体" w:cs="宋体" w:eastAsia="宋体" w:hint="default"/>
          <w:sz w:val="17"/>
          <w:szCs w:val="17"/>
        </w:rPr>
      </w:pPr>
    </w:p>
    <w:p>
      <w:pPr>
        <w:pStyle w:val="BodyText"/>
        <w:spacing w:line="451" w:lineRule="auto"/>
        <w:ind w:left="153" w:right="0" w:firstLine="424"/>
        <w:jc w:val="left"/>
      </w:pPr>
      <w:r>
        <w:rPr>
          <w:rFonts w:ascii="Times New Roman" w:hAnsi="Times New Roman" w:cs="Times New Roman" w:eastAsia="Times New Roman" w:hint="default"/>
          <w:spacing w:val="-2"/>
        </w:rPr>
        <w:t>4</w:t>
      </w:r>
      <w:r>
        <w:rPr>
          <w:spacing w:val="-2"/>
        </w:rPr>
        <w:t>）主办和承办的各种大型会展和营销活动。承接地方政府和有关部门委托的大型会展，全程负责场地租用、招商和参</w:t>
      </w:r>
      <w:r>
        <w:rPr/>
        <w:t> 展厂商的宣传、参观或消费客户的组织和管理，服务地方经济，兼顾社会效益和经济效益。</w:t>
      </w:r>
    </w:p>
    <w:p>
      <w:pPr>
        <w:pStyle w:val="BodyText"/>
        <w:spacing w:line="477" w:lineRule="auto" w:before="74"/>
        <w:ind w:left="153" w:right="1147" w:firstLine="424"/>
        <w:jc w:val="left"/>
      </w:pPr>
      <w:r>
        <w:rPr/>
        <w:t>报刊发行及印刷：报刊印刷和商业包装印刷、报刊投递。为杭报集团出版的报纸和杂志提供印刷服务，承接其他机关 企事业单位书报刊和包装用品的印刷业务。</w:t>
      </w:r>
    </w:p>
    <w:p>
      <w:pPr>
        <w:pStyle w:val="BodyText"/>
        <w:spacing w:line="477" w:lineRule="auto" w:before="54"/>
        <w:ind w:left="153" w:right="1147" w:firstLine="424"/>
        <w:jc w:val="left"/>
      </w:pPr>
      <w:r>
        <w:rPr/>
        <w:t>教育：主要包括成人教育、职业教育、互联网在线教育、教育信息咨询服务和技能培训等。经教育部门批准，与大专 院校合办或参与管理、面向全国符合要求的生源招生，提供大专或大学培训教育服务。</w:t>
      </w:r>
    </w:p>
    <w:p>
      <w:pPr>
        <w:pStyle w:val="BodyText"/>
        <w:spacing w:line="240" w:lineRule="auto" w:before="54"/>
        <w:ind w:left="578" w:right="0"/>
        <w:jc w:val="left"/>
      </w:pPr>
      <w:r>
        <w:rPr/>
        <w:t>其他：主要包括杭州市轻物流配送服务，包括为网络销售平台提供货物投送入户服务等。</w:t>
      </w:r>
    </w:p>
    <w:p>
      <w:pPr>
        <w:spacing w:line="240" w:lineRule="auto" w:before="10"/>
        <w:rPr>
          <w:rFonts w:ascii="宋体" w:hAnsi="宋体" w:cs="宋体" w:eastAsia="宋体" w:hint="default"/>
          <w:sz w:val="17"/>
          <w:szCs w:val="17"/>
        </w:rPr>
      </w:pPr>
    </w:p>
    <w:p>
      <w:pPr>
        <w:pStyle w:val="Heading4"/>
        <w:spacing w:line="240" w:lineRule="auto"/>
        <w:ind w:right="0"/>
        <w:jc w:val="left"/>
        <w:rPr>
          <w:b w:val="0"/>
          <w:bCs w:val="0"/>
        </w:rPr>
      </w:pPr>
      <w:r>
        <w:rPr/>
        <w:t>（二）报告期内公司所属行业的发展阶段、周期性特点以及公司所处的行业地位</w:t>
      </w:r>
      <w:r>
        <w:rPr>
          <w:b w:val="0"/>
          <w:bCs w:val="0"/>
        </w:rPr>
      </w:r>
    </w:p>
    <w:p>
      <w:pPr>
        <w:spacing w:line="240" w:lineRule="auto" w:before="10"/>
        <w:rPr>
          <w:rFonts w:ascii="宋体" w:hAnsi="宋体" w:cs="宋体" w:eastAsia="宋体" w:hint="default"/>
          <w:b/>
          <w:bCs/>
          <w:sz w:val="17"/>
          <w:szCs w:val="17"/>
        </w:rPr>
      </w:pPr>
    </w:p>
    <w:p>
      <w:pPr>
        <w:pStyle w:val="BodyText"/>
        <w:spacing w:line="451" w:lineRule="auto"/>
        <w:ind w:left="578" w:right="1141" w:firstLine="1"/>
        <w:jc w:val="left"/>
      </w:pPr>
      <w:r>
        <w:rPr>
          <w:rFonts w:ascii="Times New Roman" w:hAnsi="Times New Roman" w:cs="Times New Roman" w:eastAsia="Times New Roman" w:hint="default"/>
          <w:b/>
          <w:bCs/>
        </w:rPr>
        <w:t>1</w:t>
      </w:r>
      <w:r>
        <w:rPr>
          <w:rFonts w:ascii="宋体" w:hAnsi="宋体" w:cs="宋体" w:eastAsia="宋体" w:hint="default"/>
          <w:b/>
          <w:bCs/>
        </w:rPr>
        <w:t>、广告及策划</w:t>
      </w:r>
      <w:r>
        <w:rPr>
          <w:rFonts w:ascii="宋体" w:hAnsi="宋体" w:cs="宋体" w:eastAsia="宋体" w:hint="default"/>
          <w:b/>
          <w:bCs/>
          <w:w w:val="99"/>
        </w:rPr>
        <w:t> </w:t>
      </w:r>
      <w:r>
        <w:rPr/>
        <w:t>根据</w:t>
      </w:r>
      <w:r>
        <w:rPr>
          <w:rFonts w:ascii="Times New Roman" w:hAnsi="Times New Roman" w:cs="Times New Roman" w:eastAsia="Times New Roman" w:hint="default"/>
        </w:rPr>
        <w:t>CTR</w:t>
      </w:r>
      <w:r>
        <w:rPr/>
        <w:t>广告监测数据，</w:t>
      </w:r>
      <w:r>
        <w:rPr>
          <w:rFonts w:ascii="Times New Roman" w:hAnsi="Times New Roman" w:cs="Times New Roman" w:eastAsia="Times New Roman" w:hint="default"/>
        </w:rPr>
        <w:t>2018</w:t>
      </w:r>
      <w:r>
        <w:rPr/>
        <w:t>年中国广告市场增速呈现前高后低的走势，全年同比增长</w:t>
      </w:r>
      <w:r>
        <w:rPr>
          <w:rFonts w:ascii="Times New Roman" w:hAnsi="Times New Roman" w:cs="Times New Roman" w:eastAsia="Times New Roman" w:hint="default"/>
        </w:rPr>
        <w:t>2.8%</w:t>
      </w:r>
      <w:r>
        <w:rPr/>
        <w:t>。中国广告市场自</w:t>
      </w:r>
      <w:r>
        <w:rPr>
          <w:rFonts w:ascii="Times New Roman" w:hAnsi="Times New Roman" w:cs="Times New Roman" w:eastAsia="Times New Roman" w:hint="default"/>
        </w:rPr>
        <w:t>2017</w:t>
      </w:r>
      <w:r>
        <w:rPr/>
        <w:t>年</w:t>
      </w:r>
    </w:p>
    <w:p>
      <w:pPr>
        <w:spacing w:after="0" w:line="451"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8" w:lineRule="auto"/>
        <w:ind w:left="153" w:right="1131"/>
        <w:jc w:val="left"/>
      </w:pPr>
      <w:r>
        <w:rPr>
          <w:spacing w:val="-2"/>
        </w:rPr>
        <w:t>起开始复苏，</w:t>
      </w:r>
      <w:r>
        <w:rPr>
          <w:rFonts w:ascii="Times New Roman" w:hAnsi="Times New Roman" w:cs="Times New Roman" w:eastAsia="Times New Roman" w:hint="default"/>
          <w:spacing w:val="-2"/>
        </w:rPr>
        <w:t>2016-2018</w:t>
      </w:r>
      <w:r>
        <w:rPr>
          <w:spacing w:val="-2"/>
        </w:rPr>
        <w:t>中国广告市场刊例收入同比增速分别为</w:t>
      </w:r>
      <w:r>
        <w:rPr>
          <w:rFonts w:ascii="Times New Roman" w:hAnsi="Times New Roman" w:cs="Times New Roman" w:eastAsia="Times New Roman" w:hint="default"/>
          <w:spacing w:val="-2"/>
        </w:rPr>
        <w:t>-0.6%</w:t>
      </w:r>
      <w:r>
        <w:rPr>
          <w:spacing w:val="-2"/>
        </w:rPr>
        <w:t>、</w:t>
      </w:r>
      <w:r>
        <w:rPr>
          <w:rFonts w:ascii="Times New Roman" w:hAnsi="Times New Roman" w:cs="Times New Roman" w:eastAsia="Times New Roman" w:hint="default"/>
          <w:spacing w:val="-2"/>
        </w:rPr>
        <w:t>4.3%</w:t>
      </w:r>
      <w:r>
        <w:rPr>
          <w:spacing w:val="-2"/>
        </w:rPr>
        <w:t>、</w:t>
      </w:r>
      <w:r>
        <w:rPr>
          <w:rFonts w:ascii="Times New Roman" w:hAnsi="Times New Roman" w:cs="Times New Roman" w:eastAsia="Times New Roman" w:hint="default"/>
          <w:spacing w:val="-2"/>
        </w:rPr>
        <w:t>2.9%</w:t>
      </w:r>
      <w:r>
        <w:rPr>
          <w:spacing w:val="-2"/>
        </w:rPr>
        <w:t>，但其中传统广告市场刊例收入增速分别</w:t>
      </w:r>
      <w:r>
        <w:rPr>
          <w:spacing w:val="-32"/>
        </w:rPr>
        <w:t> </w:t>
      </w:r>
      <w:r>
        <w:rPr>
          <w:spacing w:val="-32"/>
        </w:rPr>
      </w:r>
      <w:r>
        <w:rPr/>
        <w:t>为</w:t>
      </w:r>
      <w:r>
        <w:rPr>
          <w:rFonts w:ascii="Times New Roman" w:hAnsi="Times New Roman" w:cs="Times New Roman" w:eastAsia="Times New Roman" w:hint="default"/>
        </w:rPr>
        <w:t>-6.0%</w:t>
      </w:r>
      <w:r>
        <w:rPr/>
        <w:t>、</w:t>
      </w:r>
      <w:r>
        <w:rPr>
          <w:rFonts w:ascii="Times New Roman" w:hAnsi="Times New Roman" w:cs="Times New Roman" w:eastAsia="Times New Roman" w:hint="default"/>
        </w:rPr>
        <w:t>0.2%</w:t>
      </w:r>
      <w:r>
        <w:rPr/>
        <w:t>、</w:t>
      </w:r>
      <w:r>
        <w:rPr>
          <w:rFonts w:ascii="Times New Roman" w:hAnsi="Times New Roman" w:cs="Times New Roman" w:eastAsia="Times New Roman" w:hint="default"/>
        </w:rPr>
        <w:t>-1.5%</w:t>
      </w:r>
      <w:r>
        <w:rPr/>
        <w:t>。</w:t>
      </w:r>
      <w:r>
        <w:rPr>
          <w:rFonts w:ascii="Times New Roman" w:hAnsi="Times New Roman" w:cs="Times New Roman" w:eastAsia="Times New Roman" w:hint="default"/>
        </w:rPr>
        <w:t>2018</w:t>
      </w:r>
      <w:r>
        <w:rPr/>
        <w:t>年报纸、杂志、传统户外的刊例花费分别同比</w:t>
      </w:r>
      <w:r>
        <w:rPr>
          <w:rFonts w:ascii="Times New Roman" w:hAnsi="Times New Roman" w:cs="Times New Roman" w:eastAsia="Times New Roman" w:hint="default"/>
        </w:rPr>
        <w:t>-30.3%</w:t>
      </w:r>
      <w:r>
        <w:rPr/>
        <w:t>、</w:t>
      </w:r>
      <w:r>
        <w:rPr>
          <w:rFonts w:ascii="Times New Roman" w:hAnsi="Times New Roman" w:cs="Times New Roman" w:eastAsia="Times New Roman" w:hint="default"/>
        </w:rPr>
        <w:t>-8.6%</w:t>
      </w:r>
      <w:r>
        <w:rPr/>
        <w:t>、</w:t>
      </w:r>
      <w:r>
        <w:rPr>
          <w:rFonts w:ascii="Times New Roman" w:hAnsi="Times New Roman" w:cs="Times New Roman" w:eastAsia="Times New Roman" w:hint="default"/>
        </w:rPr>
        <w:t>-14.2%</w:t>
      </w:r>
      <w:r>
        <w:rPr/>
        <w:t>。广告整体市场持续保 </w:t>
      </w:r>
      <w:r>
        <w:rPr>
          <w:spacing w:val="-2"/>
        </w:rPr>
        <w:t>持较为良好的生命力。产业上下游的配合和合作深度不断加强，精细化特征明显。互联网新兴产业广告主类型增加，传统媒</w:t>
      </w:r>
      <w:r>
        <w:rPr>
          <w:spacing w:val="-66"/>
        </w:rPr>
        <w:t> </w:t>
      </w:r>
      <w:r>
        <w:rPr>
          <w:spacing w:val="-66"/>
        </w:rPr>
      </w:r>
      <w:r>
        <w:rPr/>
        <w:t>体定义被打破，营销服务商服务链不断延伸。</w:t>
      </w:r>
    </w:p>
    <w:p>
      <w:pPr>
        <w:pStyle w:val="BodyText"/>
        <w:spacing w:line="477" w:lineRule="auto" w:before="68"/>
        <w:ind w:left="153" w:right="1163" w:firstLine="424"/>
        <w:jc w:val="both"/>
      </w:pPr>
      <w:r>
        <w:rPr/>
        <w:t>国家社科基金课题《提高主流媒体新闻供给质量的扶持路径研究》显示，报业广告仍然保持惯性下滑局面，但党报广 告有所增长。</w:t>
      </w:r>
    </w:p>
    <w:p>
      <w:pPr>
        <w:pStyle w:val="BodyText"/>
        <w:spacing w:line="470" w:lineRule="auto" w:before="54"/>
        <w:ind w:left="153" w:right="1128" w:firstLine="424"/>
        <w:jc w:val="both"/>
      </w:pPr>
      <w:r>
        <w:rPr/>
        <w:t>报告期内，公司依靠品牌效应，持续推动广告及策划业务现有资源的有效整合，以平台思维运作媒体，依托集报刊、 </w:t>
      </w:r>
      <w:r>
        <w:rPr>
          <w:spacing w:val="-2"/>
        </w:rPr>
        <w:t>网站、微博、微信、</w:t>
      </w:r>
      <w:r>
        <w:rPr>
          <w:rFonts w:ascii="Times New Roman" w:hAnsi="Times New Roman" w:cs="Times New Roman" w:eastAsia="Times New Roman" w:hint="default"/>
          <w:spacing w:val="-2"/>
        </w:rPr>
        <w:t>APP</w:t>
      </w:r>
      <w:r>
        <w:rPr>
          <w:spacing w:val="-2"/>
        </w:rPr>
        <w:t>、户外媒体、会展平台等协同驱动的“报网端屏楼”全媒体矩阵，实现媒体深度互融，有效支持纸</w:t>
      </w:r>
      <w:r>
        <w:rPr>
          <w:spacing w:val="-38"/>
        </w:rPr>
        <w:t> </w:t>
      </w:r>
      <w:r>
        <w:rPr>
          <w:spacing w:val="-38"/>
        </w:rPr>
      </w:r>
      <w:r>
        <w:rPr>
          <w:spacing w:val="-2"/>
        </w:rPr>
        <w:t>端、网端、手机端和户外端在重大主题、重要活动的联动配合，充分发挥各业务的综合协同效应，确保广告和会展活动策划</w:t>
      </w:r>
      <w:r>
        <w:rPr>
          <w:spacing w:val="-66"/>
        </w:rPr>
        <w:t> </w:t>
      </w:r>
      <w:r>
        <w:rPr>
          <w:spacing w:val="-66"/>
        </w:rPr>
      </w:r>
      <w:r>
        <w:rPr>
          <w:spacing w:val="-2"/>
        </w:rPr>
        <w:t>业务整体保持平稳。杭州日报继续稳居全省市域党报龙头、全国省会城市和副省级城市党报前列地位。都市快报的市场影响</w:t>
      </w:r>
      <w:r>
        <w:rPr>
          <w:spacing w:val="-66"/>
        </w:rPr>
        <w:t> </w:t>
      </w:r>
      <w:r>
        <w:rPr>
          <w:spacing w:val="-66"/>
        </w:rPr>
      </w:r>
      <w:r>
        <w:rPr/>
        <w:t>力、市场占有份额等方面，继续名列全省主流媒体前茅。</w:t>
      </w:r>
    </w:p>
    <w:p>
      <w:pPr>
        <w:pStyle w:val="BodyText"/>
        <w:spacing w:line="451" w:lineRule="auto" w:before="59"/>
        <w:ind w:left="578" w:right="1146" w:firstLine="1"/>
        <w:jc w:val="left"/>
      </w:pPr>
      <w:r>
        <w:rPr>
          <w:rFonts w:ascii="Times New Roman" w:hAnsi="Times New Roman" w:cs="Times New Roman" w:eastAsia="Times New Roman" w:hint="default"/>
          <w:b/>
          <w:bCs/>
        </w:rPr>
        <w:t>2</w:t>
      </w:r>
      <w:r>
        <w:rPr>
          <w:rFonts w:ascii="宋体" w:hAnsi="宋体" w:cs="宋体" w:eastAsia="宋体" w:hint="default"/>
          <w:b/>
          <w:bCs/>
        </w:rPr>
        <w:t>、报刊发行及印刷</w:t>
      </w:r>
      <w:r>
        <w:rPr>
          <w:rFonts w:ascii="宋体" w:hAnsi="宋体" w:cs="宋体" w:eastAsia="宋体" w:hint="default"/>
          <w:b/>
          <w:bCs/>
          <w:w w:val="99"/>
        </w:rPr>
        <w:t> </w:t>
      </w:r>
      <w:r>
        <w:rPr/>
        <w:t>前述《提高主流媒体新闻供给质量的扶持路径研究》显示，</w:t>
      </w:r>
      <w:r>
        <w:rPr>
          <w:rFonts w:ascii="Times New Roman" w:hAnsi="Times New Roman" w:cs="Times New Roman" w:eastAsia="Times New Roman" w:hint="default"/>
        </w:rPr>
        <w:t>2018</w:t>
      </w:r>
      <w:r>
        <w:rPr/>
        <w:t>年年初到年底，新闻纸出厂价多次提价，新闻纸采购</w:t>
      </w:r>
    </w:p>
    <w:p>
      <w:pPr>
        <w:pStyle w:val="BodyText"/>
        <w:spacing w:line="451" w:lineRule="auto" w:before="43"/>
        <w:ind w:left="578" w:right="1146" w:hanging="425"/>
        <w:jc w:val="left"/>
      </w:pPr>
      <w:r>
        <w:rPr/>
        <w:t>平均价格从</w:t>
      </w:r>
      <w:r>
        <w:rPr>
          <w:rFonts w:ascii="Times New Roman" w:hAnsi="Times New Roman" w:cs="Times New Roman" w:eastAsia="Times New Roman" w:hint="default"/>
        </w:rPr>
        <w:t>2017</w:t>
      </w:r>
      <w:r>
        <w:rPr/>
        <w:t>年年底的</w:t>
      </w:r>
      <w:r>
        <w:rPr>
          <w:rFonts w:ascii="Times New Roman" w:hAnsi="Times New Roman" w:cs="Times New Roman" w:eastAsia="Times New Roman" w:hint="default"/>
        </w:rPr>
        <w:t>5,500</w:t>
      </w:r>
      <w:r>
        <w:rPr/>
        <w:t>元</w:t>
      </w:r>
      <w:r>
        <w:rPr>
          <w:rFonts w:ascii="Times New Roman" w:hAnsi="Times New Roman" w:cs="Times New Roman" w:eastAsia="Times New Roman" w:hint="default"/>
        </w:rPr>
        <w:t>/</w:t>
      </w:r>
      <w:r>
        <w:rPr/>
        <w:t>吨上涨到</w:t>
      </w:r>
      <w:r>
        <w:rPr>
          <w:rFonts w:ascii="Times New Roman" w:hAnsi="Times New Roman" w:cs="Times New Roman" w:eastAsia="Times New Roman" w:hint="default"/>
        </w:rPr>
        <w:t>6,350</w:t>
      </w:r>
      <w:r>
        <w:rPr/>
        <w:t>元</w:t>
      </w:r>
      <w:r>
        <w:rPr>
          <w:rFonts w:ascii="Times New Roman" w:hAnsi="Times New Roman" w:cs="Times New Roman" w:eastAsia="Times New Roman" w:hint="default"/>
        </w:rPr>
        <w:t>/</w:t>
      </w:r>
      <w:r>
        <w:rPr/>
        <w:t>吨。 报告期内，公司在承担集团内部报纸、杂志的印刷任务的同时，积极拓展商业印刷，已成为家乐福、欧尚和华东师范</w:t>
      </w:r>
    </w:p>
    <w:p>
      <w:pPr>
        <w:pStyle w:val="BodyText"/>
        <w:spacing w:line="477" w:lineRule="auto" w:before="74"/>
        <w:ind w:right="0"/>
        <w:jc w:val="left"/>
      </w:pPr>
      <w:r>
        <w:rPr>
          <w:spacing w:val="-2"/>
        </w:rPr>
        <w:t>大学出版社等多家大型企业的合作伙伴。公司的印刷发行业务受到上述原材料供给和成本提高的压力，但通过适当提高报纸</w:t>
      </w:r>
      <w:r>
        <w:rPr>
          <w:spacing w:val="-64"/>
        </w:rPr>
        <w:t> </w:t>
      </w:r>
      <w:r>
        <w:rPr>
          <w:spacing w:val="-64"/>
        </w:rPr>
      </w:r>
      <w:r>
        <w:rPr/>
        <w:t>订阅价格，积极拓展征订数量，确保了报刊发行业务收入有所增长。</w:t>
      </w:r>
    </w:p>
    <w:p>
      <w:pPr>
        <w:pStyle w:val="Heading4"/>
        <w:spacing w:line="240" w:lineRule="auto" w:before="54"/>
        <w:ind w:right="0"/>
        <w:jc w:val="left"/>
        <w:rPr>
          <w:b w:val="0"/>
          <w:bCs w:val="0"/>
        </w:rPr>
      </w:pPr>
      <w:r>
        <w:rPr>
          <w:rFonts w:ascii="Times New Roman" w:hAnsi="Times New Roman" w:cs="Times New Roman" w:eastAsia="Times New Roman" w:hint="default"/>
        </w:rPr>
        <w:t>3</w:t>
      </w:r>
      <w:r>
        <w:rPr/>
        <w:t>、教育</w:t>
      </w:r>
      <w:r>
        <w:rPr>
          <w:b w:val="0"/>
          <w:bCs w:val="0"/>
        </w:rPr>
      </w:r>
    </w:p>
    <w:p>
      <w:pPr>
        <w:spacing w:line="240" w:lineRule="auto" w:before="9"/>
        <w:rPr>
          <w:rFonts w:ascii="宋体" w:hAnsi="宋体" w:cs="宋体" w:eastAsia="宋体" w:hint="default"/>
          <w:b/>
          <w:bCs/>
          <w:sz w:val="16"/>
          <w:szCs w:val="16"/>
        </w:rPr>
      </w:pPr>
    </w:p>
    <w:p>
      <w:pPr>
        <w:pStyle w:val="BodyText"/>
        <w:spacing w:line="463" w:lineRule="auto"/>
        <w:ind w:right="1129" w:firstLine="424"/>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13</w:t>
      </w:r>
      <w:r>
        <w:rPr>
          <w:spacing w:val="-2"/>
        </w:rPr>
        <w:t>日，国务院印发《国家职业教育改革实施方案》，指出总体要求与目标：坚持以习近平新时代中国特色社</w:t>
      </w:r>
      <w:r>
        <w:rPr/>
        <w:t> 会主义思想为指导，把职业教育摆在教育改革创新和经济社会发展中更加突出的位置。经过</w:t>
      </w:r>
      <w:r>
        <w:rPr>
          <w:rFonts w:ascii="Times New Roman" w:hAnsi="Times New Roman" w:cs="Times New Roman" w:eastAsia="Times New Roman" w:hint="default"/>
        </w:rPr>
        <w:t>5-10</w:t>
      </w:r>
      <w:r>
        <w:rPr/>
        <w:t>年，完成</w:t>
      </w:r>
      <w:r>
        <w:rPr>
          <w:rFonts w:ascii="Times New Roman" w:hAnsi="Times New Roman" w:cs="Times New Roman" w:eastAsia="Times New Roman" w:hint="default"/>
        </w:rPr>
        <w:t>3</w:t>
      </w:r>
      <w:r>
        <w:rPr/>
        <w:t>个转变：由政府 </w:t>
      </w:r>
      <w:r>
        <w:rPr>
          <w:spacing w:val="-2"/>
        </w:rPr>
        <w:t>举办为主向政府统筹管理、社会多元办学的格局转变；由追求规模扩张向提高质量转变；由参照普通教育办学模式向企业社</w:t>
      </w:r>
      <w:r>
        <w:rPr>
          <w:spacing w:val="-66"/>
        </w:rPr>
        <w:t> </w:t>
      </w:r>
      <w:r>
        <w:rPr>
          <w:spacing w:val="-66"/>
        </w:rPr>
      </w:r>
      <w:r>
        <w:rPr>
          <w:spacing w:val="-2"/>
        </w:rPr>
        <w:t>会参与、专业特色鲜明的类型教育转变。方案强调要把职业教育摆在更加突出的位置，完善职业教育和培训体系，特别鼓励</w:t>
      </w:r>
      <w:r>
        <w:rPr>
          <w:spacing w:val="-66"/>
        </w:rPr>
        <w:t> </w:t>
      </w:r>
      <w:r>
        <w:rPr>
          <w:spacing w:val="-66"/>
        </w:rPr>
      </w:r>
      <w:r>
        <w:rPr/>
        <w:t>企业支持职业教育发展。</w:t>
      </w:r>
    </w:p>
    <w:p>
      <w:pPr>
        <w:pStyle w:val="BodyText"/>
        <w:spacing w:line="470" w:lineRule="auto" w:before="65"/>
        <w:ind w:right="1028" w:firstLine="424"/>
        <w:jc w:val="left"/>
      </w:pPr>
      <w:r>
        <w:rPr/>
        <w:t>随着我国进入新的发展阶段，产业升级和经济结构调整不断加快，各行各业对技术技能人才的需求越来越紧迫，职业 </w:t>
      </w:r>
      <w:r>
        <w:rPr>
          <w:spacing w:val="-2"/>
        </w:rPr>
        <w:t>教育重要地位和作用越来越凸显。产教融合、校企合作、支持和规范社会力量兴办教育将是大势所趋，民办教育行业将迎来</w:t>
      </w:r>
      <w:r>
        <w:rPr>
          <w:spacing w:val="-66"/>
        </w:rPr>
        <w:t> </w:t>
      </w:r>
      <w:r>
        <w:rPr>
          <w:spacing w:val="-66"/>
        </w:rPr>
      </w:r>
      <w:r>
        <w:rPr>
          <w:spacing w:val="-2"/>
        </w:rPr>
        <w:t>更好的发展期。公司所属北京中教未来公司依托于以北京为中心的全国运营和教学管理中心，对布点校区和项目提供专业化</w:t>
      </w:r>
      <w:r>
        <w:rPr>
          <w:spacing w:val="-64"/>
        </w:rPr>
        <w:t> </w:t>
      </w:r>
      <w:r>
        <w:rPr>
          <w:spacing w:val="-64"/>
        </w:rPr>
      </w:r>
      <w:r>
        <w:rPr>
          <w:spacing w:val="-3"/>
        </w:rPr>
        <w:t>运营和管理支持，涵盖职业、国际、</w:t>
      </w:r>
      <w:r>
        <w:rPr>
          <w:rFonts w:ascii="Times New Roman" w:hAnsi="Times New Roman" w:cs="Times New Roman" w:eastAsia="Times New Roman" w:hint="default"/>
          <w:spacing w:val="-3"/>
        </w:rPr>
        <w:t>IT</w:t>
      </w:r>
      <w:r>
        <w:rPr>
          <w:spacing w:val="-3"/>
        </w:rPr>
        <w:t>、艺术、在线、基础六大教育板块，已形成立足北京，辐射全国的华北、华南、西南、</w:t>
      </w:r>
      <w:r>
        <w:rPr/>
        <w:t> 华东、华中、东北、西北七大业务区域。同时，公司积极拓展浙江本地教育培训业务。</w:t>
      </w:r>
    </w:p>
    <w:p>
      <w:pPr>
        <w:spacing w:after="0" w:line="470" w:lineRule="auto"/>
        <w:jc w:val="left"/>
        <w:sectPr>
          <w:pgSz w:w="11910" w:h="16840"/>
          <w:pgMar w:header="747" w:footer="982" w:top="1060" w:bottom="118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60"/>
        <w:gridCol w:w="8008"/>
      </w:tblGrid>
      <w:tr>
        <w:trPr>
          <w:trHeight w:val="186" w:hRule="exact"/>
        </w:trPr>
        <w:tc>
          <w:tcPr>
            <w:tcW w:w="1560" w:type="dxa"/>
            <w:tcBorders>
              <w:top w:val="single" w:sz="4" w:space="0" w:color="000000"/>
              <w:left w:val="single" w:sz="4" w:space="0" w:color="000000"/>
              <w:bottom w:val="nil" w:sz="6" w:space="0" w:color="auto"/>
              <w:right w:val="single" w:sz="4" w:space="0" w:color="000000"/>
            </w:tcBorders>
            <w:shd w:val="clear" w:color="auto" w:fill="D3D3D3"/>
          </w:tcPr>
          <w:p>
            <w:pPr/>
          </w:p>
        </w:tc>
        <w:tc>
          <w:tcPr>
            <w:tcW w:w="800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15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800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1560" w:type="dxa"/>
            <w:tcBorders>
              <w:top w:val="nil" w:sz="6" w:space="0" w:color="auto"/>
              <w:left w:val="single" w:sz="4" w:space="0" w:color="000000"/>
              <w:bottom w:val="single" w:sz="4" w:space="0" w:color="000000"/>
              <w:right w:val="single" w:sz="4" w:space="0" w:color="000000"/>
            </w:tcBorders>
            <w:shd w:val="clear" w:color="auto" w:fill="D3D3D3"/>
          </w:tcPr>
          <w:p>
            <w:pPr/>
          </w:p>
        </w:tc>
        <w:tc>
          <w:tcPr>
            <w:tcW w:w="800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8008"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8008"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8008"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8008"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年末在建工程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1,712,150.94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，系子公司在建工程尚未整体验收所致。</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80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年末应收票据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7,204,008.80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56.27%</w:t>
            </w:r>
            <w:r>
              <w:rPr>
                <w:rFonts w:ascii="宋体" w:hAnsi="宋体" w:cs="宋体" w:eastAsia="宋体" w:hint="default"/>
                <w:sz w:val="18"/>
                <w:szCs w:val="18"/>
              </w:rPr>
              <w:t>，主要系子公司应收票据增加所致。</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80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年末预付款项</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22,450,344.12</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元，较</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年初减少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45.07%</w:t>
            </w:r>
            <w:r>
              <w:rPr>
                <w:rFonts w:ascii="宋体" w:hAnsi="宋体" w:cs="宋体" w:eastAsia="宋体" w:hint="default"/>
                <w:sz w:val="18"/>
                <w:szCs w:val="18"/>
              </w:rPr>
              <w:t>，主要系子公司盛元因本期新闻纸涨价 幅度减缓，锁纸量较上年有所减少，相应减少为锁定纸价的预付账款。</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80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年末其他应收款 </w:t>
            </w:r>
            <w:r>
              <w:rPr>
                <w:rFonts w:ascii="Times New Roman" w:hAnsi="Times New Roman" w:cs="Times New Roman" w:eastAsia="Times New Roman" w:hint="default"/>
                <w:sz w:val="18"/>
                <w:szCs w:val="18"/>
              </w:rPr>
              <w:t>82,564,803.57 </w:t>
            </w:r>
            <w:r>
              <w:rPr>
                <w:rFonts w:ascii="宋体" w:hAnsi="宋体" w:cs="宋体" w:eastAsia="宋体" w:hint="default"/>
                <w:sz w:val="18"/>
                <w:szCs w:val="18"/>
              </w:rPr>
              <w:t>元，较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年初减少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59.98%</w:t>
            </w:r>
            <w:r>
              <w:rPr>
                <w:rFonts w:ascii="宋体" w:hAnsi="宋体" w:cs="宋体" w:eastAsia="宋体" w:hint="default"/>
                <w:sz w:val="18"/>
                <w:szCs w:val="18"/>
              </w:rPr>
              <w:t>，主要系杭州网收回上海快点股权</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转让款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万元，风盛收回地铁一号线保证金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80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年末投资性房地产</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17,353,491.43</w:t>
            </w:r>
            <w:r>
              <w:rPr>
                <w:rFonts w:ascii="Times New Roman" w:hAnsi="Times New Roman" w:cs="Times New Roman" w:eastAsia="Times New Roman" w:hint="default"/>
                <w:spacing w:val="-7"/>
                <w:sz w:val="18"/>
                <w:szCs w:val="18"/>
              </w:rPr>
              <w:t> </w:t>
            </w:r>
            <w:r>
              <w:rPr>
                <w:rFonts w:ascii="宋体" w:hAnsi="宋体" w:cs="宋体" w:eastAsia="宋体" w:hint="default"/>
                <w:spacing w:val="-12"/>
                <w:sz w:val="18"/>
                <w:szCs w:val="18"/>
              </w:rPr>
              <w:t>元，较</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年初增长</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，主要系快报控股原固定资产持有目 的发生转变增加所致。</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80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年末开发支出为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，主要系开发支出转入无形资产所致。</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80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84"/>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年末长期待摊费用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33,202,728.45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133.40%</w:t>
            </w:r>
            <w:r>
              <w:rPr>
                <w:rFonts w:ascii="宋体" w:hAnsi="宋体" w:cs="宋体" w:eastAsia="宋体" w:hint="default"/>
                <w:sz w:val="18"/>
                <w:szCs w:val="18"/>
              </w:rPr>
              <w:t>，主要系北京中教部分校区，食 堂、宿舍、教学楼和实验楼装修改造所致。</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80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年末递延所得税资产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2,417,962.61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55.26%</w:t>
            </w:r>
            <w:r>
              <w:rPr>
                <w:rFonts w:ascii="宋体" w:hAnsi="宋体" w:cs="宋体" w:eastAsia="宋体" w:hint="default"/>
                <w:sz w:val="18"/>
                <w:szCs w:val="18"/>
              </w:rPr>
              <w:t>，主要系根据《财政部税务总局 关于实施小微企业普惠性税收减免政策的通知》</w:t>
            </w:r>
            <w:r>
              <w:rPr>
                <w:rFonts w:ascii="Times New Roman" w:hAnsi="Times New Roman" w:cs="Times New Roman" w:eastAsia="Times New Roman" w:hint="default"/>
                <w:sz w:val="18"/>
                <w:szCs w:val="18"/>
              </w:rPr>
              <w:t>(</w:t>
            </w:r>
            <w:r>
              <w:rPr>
                <w:rFonts w:ascii="宋体" w:hAnsi="宋体" w:cs="宋体" w:eastAsia="宋体" w:hint="default"/>
                <w:sz w:val="18"/>
                <w:szCs w:val="18"/>
              </w:rPr>
              <w:t>财税〔</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13 </w:t>
            </w:r>
            <w:r>
              <w:rPr>
                <w:rFonts w:ascii="宋体" w:hAnsi="宋体" w:cs="宋体" w:eastAsia="宋体" w:hint="default"/>
                <w:sz w:val="18"/>
                <w:szCs w:val="18"/>
              </w:rPr>
              <w:t>号）</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年小微企业普惠性税收减 免，前期可抵扣暂时性差异税率变化所致。</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3" w:right="7691"/>
        <w:jc w:val="left"/>
      </w:pPr>
      <w:r>
        <w:rPr/>
        <w:t>公司是否需要遵守特殊行业的披露要求 否</w:t>
      </w:r>
    </w:p>
    <w:p>
      <w:pPr>
        <w:pStyle w:val="BodyText"/>
        <w:spacing w:line="477" w:lineRule="auto" w:before="103"/>
        <w:ind w:left="153" w:right="1163" w:firstLine="424"/>
        <w:jc w:val="both"/>
      </w:pPr>
      <w:r>
        <w:rPr/>
        <w:t>作为中国报业集团第一方阵的一员，公司实际控制人杭报集团努力推进媒体融合发展，着力于区域领先优势的构建和 确立，借助资本市场做强做大党报媒体产业，以确保公司通过转型升级加快发展。</w:t>
      </w:r>
    </w:p>
    <w:p>
      <w:pPr>
        <w:pStyle w:val="Heading4"/>
        <w:spacing w:line="240" w:lineRule="auto" w:before="54"/>
        <w:ind w:right="0"/>
        <w:jc w:val="left"/>
        <w:rPr>
          <w:b w:val="0"/>
          <w:bCs w:val="0"/>
        </w:rPr>
      </w:pPr>
      <w:r>
        <w:rPr>
          <w:rFonts w:ascii="Times New Roman" w:hAnsi="Times New Roman" w:cs="Times New Roman" w:eastAsia="Times New Roman" w:hint="default"/>
        </w:rPr>
        <w:t>1</w:t>
      </w:r>
      <w:r>
        <w:rPr/>
        <w:t>、权威公信力优势</w:t>
      </w:r>
      <w:r>
        <w:rPr>
          <w:b w:val="0"/>
          <w:bCs w:val="0"/>
        </w:rPr>
      </w:r>
    </w:p>
    <w:p>
      <w:pPr>
        <w:spacing w:line="240" w:lineRule="auto" w:before="9"/>
        <w:rPr>
          <w:rFonts w:ascii="宋体" w:hAnsi="宋体" w:cs="宋体" w:eastAsia="宋体" w:hint="default"/>
          <w:b/>
          <w:bCs/>
          <w:sz w:val="16"/>
          <w:szCs w:val="16"/>
        </w:rPr>
      </w:pPr>
    </w:p>
    <w:p>
      <w:pPr>
        <w:pStyle w:val="BodyText"/>
        <w:spacing w:line="477" w:lineRule="auto"/>
        <w:ind w:right="1128" w:firstLine="424"/>
        <w:jc w:val="both"/>
      </w:pPr>
      <w:r>
        <w:rPr>
          <w:spacing w:val="-3"/>
        </w:rPr>
        <w:t>《杭州日报》是中共杭州市委机关报，以本地区不可替代的权威性、公信力和影响力成为杭州市域第一主流媒体。《都</w:t>
      </w:r>
      <w:r>
        <w:rPr>
          <w:spacing w:val="1"/>
        </w:rPr>
        <w:t> </w:t>
      </w:r>
      <w:r>
        <w:rPr/>
        <w:t>市快报》在媒体影响力和市场份额方面，继续居于省内都市报领先地位。其“杭＋新闻”APP强化“新闻+政务+特定服务”</w:t>
      </w:r>
      <w:r>
        <w:rPr/>
        <w:t> 核心功能，官方微信进入全国党报微信公众号前五，官方微博进入全国党报文章平均阅读量</w:t>
      </w:r>
      <w:r>
        <w:rPr>
          <w:rFonts w:ascii="Times New Roman" w:hAnsi="Times New Roman" w:cs="Times New Roman" w:eastAsia="Times New Roman" w:hint="default"/>
        </w:rPr>
        <w:t>10</w:t>
      </w:r>
      <w:r>
        <w:rPr/>
        <w:t>强。</w:t>
      </w:r>
    </w:p>
    <w:p>
      <w:pPr>
        <w:spacing w:after="0" w:line="477" w:lineRule="auto"/>
        <w:jc w:val="both"/>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153" w:right="1128" w:firstLine="424"/>
        <w:jc w:val="both"/>
      </w:pPr>
      <w:r>
        <w:rPr/>
        <w:t>公司负责运营的《杭州日报》、《都市快报》、《每日商报》、《萧山日报》、《余杭晨报》、《富阳日报》、《休 </w:t>
      </w:r>
      <w:r>
        <w:rPr>
          <w:spacing w:val="-2"/>
        </w:rPr>
        <w:t>闲》杂志等报刊，均属于区域、行业强势媒体或处于独家重要地位。萧山日报、余杭晨报和富阳日报，均为所在区域党报性</w:t>
      </w:r>
      <w:r>
        <w:rPr>
          <w:spacing w:val="-68"/>
        </w:rPr>
        <w:t> </w:t>
      </w:r>
      <w:r>
        <w:rPr>
          <w:spacing w:val="-68"/>
        </w:rPr>
      </w:r>
      <w:r>
        <w:rPr/>
        <w:t>质的权威报纸。</w:t>
      </w:r>
    </w:p>
    <w:p>
      <w:pPr>
        <w:spacing w:line="451" w:lineRule="auto" w:before="54"/>
        <w:ind w:left="578" w:right="1146"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、政府资源和公共关系优势</w:t>
      </w:r>
      <w:r>
        <w:rPr>
          <w:rFonts w:ascii="宋体" w:hAnsi="宋体" w:cs="宋体" w:eastAsia="宋体" w:hint="default"/>
          <w:b/>
          <w:bCs/>
          <w:w w:val="99"/>
          <w:sz w:val="18"/>
          <w:szCs w:val="18"/>
        </w:rPr>
        <w:t> </w:t>
      </w:r>
      <w:r>
        <w:rPr>
          <w:rFonts w:ascii="宋体" w:hAnsi="宋体" w:cs="宋体" w:eastAsia="宋体" w:hint="default"/>
          <w:sz w:val="18"/>
          <w:szCs w:val="18"/>
        </w:rPr>
        <w:t>作为国有文化企业集团，公司拥有良好的政府资源和公共关系资源优势。杭报集团得到各级政府的高度重视和大力支</w:t>
      </w:r>
    </w:p>
    <w:p>
      <w:pPr>
        <w:pStyle w:val="BodyText"/>
        <w:spacing w:line="463" w:lineRule="auto" w:before="74"/>
        <w:ind w:left="153" w:right="1131"/>
        <w:jc w:val="both"/>
      </w:pPr>
      <w:r>
        <w:rPr>
          <w:spacing w:val="-2"/>
        </w:rPr>
        <w:t>持，在文化体制改革中得以享受政策优惠。报告期内，公司举办包含了第二届杭州（国际）未来生活节、第二届万物生长大</w:t>
      </w:r>
      <w:r>
        <w:rPr>
          <w:spacing w:val="-69"/>
        </w:rPr>
        <w:t> </w:t>
      </w:r>
      <w:r>
        <w:rPr>
          <w:spacing w:val="-69"/>
        </w:rPr>
      </w:r>
      <w:r>
        <w:rPr>
          <w:spacing w:val="-2"/>
        </w:rPr>
        <w:t>会、</w:t>
      </w:r>
      <w:r>
        <w:rPr>
          <w:rFonts w:ascii="Times New Roman" w:hAnsi="Times New Roman" w:cs="Times New Roman" w:eastAsia="Times New Roman" w:hint="default"/>
          <w:spacing w:val="-2"/>
        </w:rPr>
        <w:t>2018</w:t>
      </w:r>
      <w:r>
        <w:rPr>
          <w:spacing w:val="-2"/>
        </w:rPr>
        <w:t>中国城市规划年会等现象级会展产品等各类大中型会展，逐步提升会展“专业化、品牌化、产业化”水平，进一步</w:t>
      </w:r>
      <w:r>
        <w:rPr>
          <w:spacing w:val="-62"/>
        </w:rPr>
        <w:t> </w:t>
      </w:r>
      <w:r>
        <w:rPr>
          <w:spacing w:val="-62"/>
        </w:rPr>
      </w:r>
      <w:r>
        <w:rPr/>
        <w:t>扩大了公司会展品牌的影响力。</w:t>
      </w:r>
    </w:p>
    <w:p>
      <w:pPr>
        <w:pStyle w:val="Heading4"/>
        <w:spacing w:line="240" w:lineRule="auto" w:before="65"/>
        <w:ind w:left="579" w:right="0"/>
        <w:jc w:val="left"/>
        <w:rPr>
          <w:b w:val="0"/>
          <w:bCs w:val="0"/>
        </w:rPr>
      </w:pPr>
      <w:r>
        <w:rPr>
          <w:rFonts w:ascii="Times New Roman" w:hAnsi="Times New Roman" w:cs="Times New Roman" w:eastAsia="Times New Roman" w:hint="default"/>
        </w:rPr>
        <w:t>3</w:t>
      </w:r>
      <w:r>
        <w:rPr/>
        <w:t>、用户平台集聚优势</w:t>
      </w:r>
      <w:r>
        <w:rPr>
          <w:b w:val="0"/>
          <w:bCs w:val="0"/>
        </w:rPr>
      </w:r>
    </w:p>
    <w:p>
      <w:pPr>
        <w:spacing w:line="240" w:lineRule="auto" w:before="9"/>
        <w:rPr>
          <w:rFonts w:ascii="宋体" w:hAnsi="宋体" w:cs="宋体" w:eastAsia="宋体" w:hint="default"/>
          <w:b/>
          <w:bCs/>
          <w:sz w:val="16"/>
          <w:szCs w:val="16"/>
        </w:rPr>
      </w:pPr>
    </w:p>
    <w:p>
      <w:pPr>
        <w:spacing w:line="451" w:lineRule="auto" w:before="0"/>
        <w:ind w:left="578" w:right="1146"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）主流新媒体集合矩阵</w:t>
      </w:r>
      <w:r>
        <w:rPr>
          <w:rFonts w:ascii="宋体" w:hAnsi="宋体" w:cs="宋体" w:eastAsia="宋体" w:hint="default"/>
          <w:b/>
          <w:bCs/>
          <w:spacing w:val="1"/>
          <w:w w:val="99"/>
          <w:sz w:val="18"/>
          <w:szCs w:val="18"/>
        </w:rPr>
        <w:t> </w:t>
      </w:r>
      <w:r>
        <w:rPr>
          <w:rFonts w:ascii="宋体" w:hAnsi="宋体" w:cs="宋体" w:eastAsia="宋体" w:hint="default"/>
          <w:sz w:val="18"/>
          <w:szCs w:val="18"/>
        </w:rPr>
        <w:t>公司运营的报刊媒体、互联网站点和移动互联网产品，共同构成平台坚实基础。平台拥有庞大的用户群，控股股东承</w:t>
      </w:r>
    </w:p>
    <w:p>
      <w:pPr>
        <w:pStyle w:val="BodyText"/>
        <w:spacing w:line="477" w:lineRule="auto" w:before="74"/>
        <w:ind w:left="578" w:right="0" w:hanging="425"/>
        <w:jc w:val="left"/>
      </w:pPr>
      <w:r>
        <w:rPr/>
        <w:t>担主流媒体舆论引导和文化服务双重责任，公司负责全部运营事务。 </w:t>
      </w:r>
      <w:r>
        <w:rPr>
          <w:spacing w:val="-1"/>
        </w:rPr>
        <w:t>杭州网系国家一类新闻网站、杭州市属唯一新闻门户网站，综合传播力名列国内同类网站前茅</w:t>
      </w:r>
      <w:r>
        <w:rPr>
          <w:rFonts w:ascii="Times New Roman" w:hAnsi="Times New Roman" w:cs="Times New Roman" w:eastAsia="Times New Roman" w:hint="default"/>
          <w:spacing w:val="-1"/>
        </w:rPr>
        <w:t>,</w:t>
      </w:r>
      <w:r>
        <w:rPr>
          <w:spacing w:val="-1"/>
        </w:rPr>
        <w:t>旗下支站覆盖全地区各</w:t>
      </w:r>
    </w:p>
    <w:p>
      <w:pPr>
        <w:pStyle w:val="BodyText"/>
        <w:spacing w:line="458" w:lineRule="auto" w:before="21"/>
        <w:ind w:left="153" w:right="1130"/>
        <w:jc w:val="both"/>
      </w:pPr>
      <w:r>
        <w:rPr>
          <w:spacing w:val="-1"/>
        </w:rPr>
        <w:t>个县（市、区），借助</w:t>
      </w:r>
      <w:r>
        <w:rPr>
          <w:rFonts w:ascii="Times New Roman" w:hAnsi="Times New Roman" w:cs="Times New Roman" w:eastAsia="Times New Roman" w:hint="default"/>
          <w:spacing w:val="-1"/>
        </w:rPr>
        <w:t>G20</w:t>
      </w:r>
      <w:r>
        <w:rPr>
          <w:spacing w:val="-1"/>
        </w:rPr>
        <w:t>杭州峰会官网建设和运维的声誉，杭州网进一步发挥内容和技术团队的优势，顺利中标</w:t>
      </w:r>
      <w:r>
        <w:rPr>
          <w:rFonts w:ascii="Times New Roman" w:hAnsi="Times New Roman" w:cs="Times New Roman" w:eastAsia="Times New Roman" w:hint="default"/>
          <w:spacing w:val="-1"/>
        </w:rPr>
        <w:t>2022</w:t>
      </w:r>
      <w:r>
        <w:rPr>
          <w:spacing w:val="-1"/>
        </w:rPr>
        <w:t>年第</w:t>
      </w:r>
      <w:r>
        <w:rPr>
          <w:spacing w:val="-69"/>
        </w:rPr>
        <w:t> </w:t>
      </w:r>
      <w:r>
        <w:rPr/>
        <w:t>十九届亚运会组委会官网采购项目</w:t>
      </w:r>
      <w:r>
        <w:rPr>
          <w:rFonts w:ascii="Times New Roman" w:hAnsi="Times New Roman" w:cs="Times New Roman" w:eastAsia="Times New Roman" w:hint="default"/>
        </w:rPr>
        <w:t>.</w:t>
      </w:r>
      <w:r>
        <w:rPr/>
        <w:t>目前亚运官网已正式上线，顺利通过三级等级保护测评工作；快房网为行业大型垂直门 </w:t>
      </w:r>
      <w:r>
        <w:rPr>
          <w:spacing w:val="-2"/>
        </w:rPr>
        <w:t>户网站，在省内居于房产专业网站前列；萧山网、余杭新闻网和富阳新闻网为所在区域互联网主流媒体网站，媒体公信力和</w:t>
      </w:r>
      <w:r>
        <w:rPr>
          <w:spacing w:val="-66"/>
        </w:rPr>
        <w:t> </w:t>
      </w:r>
      <w:r>
        <w:rPr>
          <w:spacing w:val="-66"/>
        </w:rPr>
      </w:r>
      <w:r>
        <w:rPr>
          <w:spacing w:val="-2"/>
        </w:rPr>
        <w:t>影响力领先，三网作为市辖区（县、市）域门户网站，居于同类型网站全国或全省领先地位。公司参股的社区网站</w:t>
      </w:r>
      <w:r>
        <w:rPr>
          <w:rFonts w:ascii="Times New Roman" w:hAnsi="Times New Roman" w:cs="Times New Roman" w:eastAsia="Times New Roman" w:hint="default"/>
          <w:spacing w:val="-2"/>
        </w:rPr>
        <w:t>19</w:t>
      </w:r>
      <w:r>
        <w:rPr>
          <w:spacing w:val="-2"/>
        </w:rPr>
        <w:t>楼，为</w:t>
      </w:r>
      <w:r>
        <w:rPr>
          <w:spacing w:val="-63"/>
        </w:rPr>
        <w:t> </w:t>
      </w:r>
      <w:r>
        <w:rPr>
          <w:spacing w:val="-63"/>
        </w:rPr>
      </w:r>
      <w:r>
        <w:rPr/>
        <w:t>本地用户提供优质的生活交流服务。</w:t>
      </w:r>
    </w:p>
    <w:p>
      <w:pPr>
        <w:pStyle w:val="BodyText"/>
        <w:spacing w:line="451" w:lineRule="auto" w:before="68"/>
        <w:ind w:left="153" w:right="1122" w:firstLine="424"/>
        <w:jc w:val="left"/>
      </w:pPr>
      <w:r>
        <w:rPr/>
        <w:t>公司平面媒体订阅户近百万，同时拥有各类新媒体产品包括手机</w:t>
      </w:r>
      <w:r>
        <w:rPr>
          <w:rFonts w:ascii="Times New Roman" w:hAnsi="Times New Roman" w:cs="Times New Roman" w:eastAsia="Times New Roman" w:hint="default"/>
        </w:rPr>
        <w:t>APP</w:t>
      </w:r>
      <w:r>
        <w:rPr/>
        <w:t>、微信公众号、移动视频产品、官方微博号和互 </w:t>
      </w:r>
      <w:r>
        <w:rPr>
          <w:spacing w:val="-1"/>
        </w:rPr>
        <w:t>联网社区等，共有各类网站</w:t>
      </w:r>
      <w:r>
        <w:rPr>
          <w:rFonts w:ascii="Times New Roman" w:hAnsi="Times New Roman" w:cs="Times New Roman" w:eastAsia="Times New Roman" w:hint="default"/>
          <w:spacing w:val="-1"/>
        </w:rPr>
        <w:t>25</w:t>
      </w:r>
      <w:r>
        <w:rPr>
          <w:spacing w:val="-1"/>
        </w:rPr>
        <w:t>家，手机</w:t>
      </w:r>
      <w:r>
        <w:rPr>
          <w:rFonts w:ascii="Times New Roman" w:hAnsi="Times New Roman" w:cs="Times New Roman" w:eastAsia="Times New Roman" w:hint="default"/>
          <w:spacing w:val="-1"/>
        </w:rPr>
        <w:t>APP13</w:t>
      </w:r>
      <w:r>
        <w:rPr>
          <w:spacing w:val="-1"/>
        </w:rPr>
        <w:t>个，微信公众号</w:t>
      </w:r>
      <w:r>
        <w:rPr>
          <w:rFonts w:ascii="Times New Roman" w:hAnsi="Times New Roman" w:cs="Times New Roman" w:eastAsia="Times New Roman" w:hint="default"/>
          <w:spacing w:val="-1"/>
        </w:rPr>
        <w:t>109</w:t>
      </w:r>
      <w:r>
        <w:rPr>
          <w:spacing w:val="-1"/>
        </w:rPr>
        <w:t>个，微博官微</w:t>
      </w:r>
      <w:r>
        <w:rPr>
          <w:rFonts w:ascii="Times New Roman" w:hAnsi="Times New Roman" w:cs="Times New Roman" w:eastAsia="Times New Roman" w:hint="default"/>
          <w:spacing w:val="-1"/>
        </w:rPr>
        <w:t>20</w:t>
      </w:r>
      <w:r>
        <w:rPr>
          <w:spacing w:val="-1"/>
        </w:rPr>
        <w:t>个，手机报产品</w:t>
      </w:r>
      <w:r>
        <w:rPr>
          <w:rFonts w:ascii="Times New Roman" w:hAnsi="Times New Roman" w:cs="Times New Roman" w:eastAsia="Times New Roman" w:hint="default"/>
          <w:spacing w:val="-1"/>
        </w:rPr>
        <w:t>10</w:t>
      </w:r>
      <w:r>
        <w:rPr>
          <w:spacing w:val="-1"/>
        </w:rPr>
        <w:t>个，数字报产品</w:t>
      </w:r>
      <w:r>
        <w:rPr>
          <w:rFonts w:ascii="Times New Roman" w:hAnsi="Times New Roman" w:cs="Times New Roman" w:eastAsia="Times New Roman" w:hint="default"/>
          <w:spacing w:val="-1"/>
        </w:rPr>
        <w:t>5</w:t>
      </w:r>
      <w:r>
        <w:rPr>
          <w:spacing w:val="-1"/>
        </w:rPr>
        <w:t>个，音</w:t>
      </w:r>
      <w:r>
        <w:rPr>
          <w:spacing w:val="-87"/>
        </w:rPr>
        <w:t> </w:t>
      </w:r>
      <w:r>
        <w:rPr>
          <w:spacing w:val="-87"/>
        </w:rPr>
      </w:r>
      <w:r>
        <w:rPr/>
        <w:t>视频产品</w:t>
      </w:r>
      <w:r>
        <w:rPr>
          <w:rFonts w:ascii="Times New Roman" w:hAnsi="Times New Roman" w:cs="Times New Roman" w:eastAsia="Times New Roman" w:hint="default"/>
        </w:rPr>
        <w:t>6</w:t>
      </w:r>
      <w:r>
        <w:rPr/>
        <w:t>个，共有用户数（含</w:t>
      </w:r>
      <w:r>
        <w:rPr>
          <w:rFonts w:ascii="Times New Roman" w:hAnsi="Times New Roman" w:cs="Times New Roman" w:eastAsia="Times New Roman" w:hint="default"/>
        </w:rPr>
        <w:t>APP</w:t>
      </w:r>
      <w:r>
        <w:rPr/>
        <w:t>活跃用户、微信订阅数、微博粉丝数、社区注册</w:t>
      </w:r>
      <w:r>
        <w:rPr>
          <w:rFonts w:ascii="Times New Roman" w:hAnsi="Times New Roman" w:cs="Times New Roman" w:eastAsia="Times New Roman" w:hint="default"/>
        </w:rPr>
        <w:t>ID</w:t>
      </w:r>
      <w:r>
        <w:rPr/>
        <w:t>、移动视频订阅户等）</w:t>
      </w:r>
      <w:r>
        <w:rPr>
          <w:rFonts w:ascii="Times New Roman" w:hAnsi="Times New Roman" w:cs="Times New Roman" w:eastAsia="Times New Roman" w:hint="default"/>
        </w:rPr>
        <w:t>1.97</w:t>
      </w:r>
      <w:r>
        <w:rPr/>
        <w:t>亿，为报 业集团媒体公信力和公司经营的市场影响力打下了扎实的用户基础。</w:t>
      </w:r>
    </w:p>
    <w:p>
      <w:pPr>
        <w:pStyle w:val="BodyText"/>
        <w:spacing w:line="463" w:lineRule="auto" w:before="74"/>
        <w:ind w:right="1128" w:firstLine="424"/>
        <w:jc w:val="both"/>
      </w:pPr>
      <w:r>
        <w:rPr/>
        <w:t>公司已取得杭州地铁</w:t>
      </w:r>
      <w:r>
        <w:rPr>
          <w:rFonts w:ascii="Times New Roman" w:hAnsi="Times New Roman" w:cs="Times New Roman" w:eastAsia="Times New Roman" w:hint="default"/>
        </w:rPr>
        <w:t>1 </w:t>
      </w:r>
      <w:r>
        <w:rPr/>
        <w:t>号线全线平面广告、列车广告，杭州地铁</w:t>
      </w:r>
      <w:r>
        <w:rPr>
          <w:rFonts w:ascii="Times New Roman" w:hAnsi="Times New Roman" w:cs="Times New Roman" w:eastAsia="Times New Roman" w:hint="default"/>
        </w:rPr>
        <w:t>1</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5</w:t>
      </w:r>
      <w:r>
        <w:rPr>
          <w:rFonts w:ascii="Times New Roman" w:hAnsi="Times New Roman" w:cs="Times New Roman" w:eastAsia="Times New Roman" w:hint="default"/>
          <w:spacing w:val="30"/>
        </w:rPr>
        <w:t> </w:t>
      </w:r>
      <w:r>
        <w:rPr/>
        <w:t>号线语音广告、导向广告，福州地铁</w:t>
      </w:r>
      <w:r>
        <w:rPr>
          <w:rFonts w:ascii="Times New Roman" w:hAnsi="Times New Roman" w:cs="Times New Roman" w:eastAsia="Times New Roman" w:hint="default"/>
        </w:rPr>
        <w:t>1</w:t>
      </w:r>
      <w:r>
        <w:rPr/>
        <w:t>、</w:t>
      </w:r>
      <w:r>
        <w:rPr>
          <w:rFonts w:ascii="Times New Roman" w:hAnsi="Times New Roman" w:cs="Times New Roman" w:eastAsia="Times New Roman" w:hint="default"/>
        </w:rPr>
        <w:t>2 </w:t>
      </w:r>
      <w:r>
        <w:rPr>
          <w:spacing w:val="-2"/>
        </w:rPr>
        <w:t>号线语音广告、导向广告等各类地铁媒体资源，以及杭州钱江新城灯光秀广告（环球天幕）、杭州武林广场地标媒体国大城</w:t>
      </w:r>
      <w:r>
        <w:rPr>
          <w:spacing w:val="-66"/>
        </w:rPr>
        <w:t> </w:t>
      </w:r>
      <w:r>
        <w:rPr>
          <w:spacing w:val="-66"/>
        </w:rPr>
      </w:r>
      <w:r>
        <w:rPr/>
        <w:t>市广场</w:t>
      </w:r>
      <w:r>
        <w:rPr>
          <w:rFonts w:ascii="Times New Roman" w:hAnsi="Times New Roman" w:cs="Times New Roman" w:eastAsia="Times New Roman" w:hint="default"/>
        </w:rPr>
        <w:t>LED</w:t>
      </w:r>
      <w:r>
        <w:rPr>
          <w:rFonts w:ascii="Times New Roman" w:hAnsi="Times New Roman" w:cs="Times New Roman" w:eastAsia="Times New Roman" w:hint="default"/>
          <w:spacing w:val="26"/>
        </w:rPr>
        <w:t> </w:t>
      </w:r>
      <w:r>
        <w:rPr/>
        <w:t>屏（大笨屏）和各类阅报栏、公交站牌广告资源等。</w:t>
      </w:r>
    </w:p>
    <w:p>
      <w:pPr>
        <w:pStyle w:val="BodyText"/>
        <w:spacing w:line="451" w:lineRule="auto" w:before="33"/>
        <w:ind w:left="578" w:right="1156" w:firstLine="1"/>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）职业教育平台</w:t>
      </w:r>
      <w:r>
        <w:rPr>
          <w:rFonts w:ascii="宋体" w:hAnsi="宋体" w:cs="宋体" w:eastAsia="宋体" w:hint="default"/>
          <w:b/>
          <w:bCs/>
          <w:w w:val="99"/>
        </w:rPr>
        <w:t> </w:t>
      </w:r>
      <w:r>
        <w:rPr/>
        <w:t>公司的教育业务已经涵盖职业教育、国际教育、</w:t>
      </w:r>
      <w:r>
        <w:rPr>
          <w:rFonts w:ascii="Times New Roman" w:hAnsi="Times New Roman" w:cs="Times New Roman" w:eastAsia="Times New Roman" w:hint="default"/>
        </w:rPr>
        <w:t>IT</w:t>
      </w:r>
      <w:r>
        <w:rPr/>
        <w:t>教育、艺术教育、在线教育、基础教育和假期培训等板块。其中职</w:t>
      </w:r>
    </w:p>
    <w:p>
      <w:pPr>
        <w:pStyle w:val="BodyText"/>
        <w:spacing w:line="477" w:lineRule="auto" w:before="43"/>
        <w:ind w:right="1131"/>
        <w:jc w:val="both"/>
      </w:pPr>
      <w:r>
        <w:rPr>
          <w:spacing w:val="-2"/>
        </w:rPr>
        <w:t>业教育继续维持在区域范围内的领先优势。各板块布局完整、发展顺利。中教未来业务范围覆盖包括北京、杭州、广州等在</w:t>
      </w:r>
      <w:r>
        <w:rPr>
          <w:spacing w:val="-66"/>
        </w:rPr>
        <w:t> </w:t>
      </w:r>
      <w:r>
        <w:rPr>
          <w:spacing w:val="-66"/>
        </w:rPr>
      </w:r>
      <w:r>
        <w:rPr/>
        <w:t>内的大中城市，已与这些城市所在的众多高校建立了长期合作关系。</w:t>
      </w:r>
    </w:p>
    <w:p>
      <w:pPr>
        <w:pStyle w:val="Heading4"/>
        <w:spacing w:line="240" w:lineRule="auto" w:before="54"/>
        <w:ind w:right="0"/>
        <w:jc w:val="left"/>
        <w:rPr>
          <w:b w:val="0"/>
          <w:bCs w:val="0"/>
        </w:rPr>
      </w:pPr>
      <w:r>
        <w:rPr/>
        <w:t>（</w:t>
      </w:r>
      <w:r>
        <w:rPr>
          <w:rFonts w:ascii="Times New Roman" w:hAnsi="Times New Roman" w:cs="Times New Roman" w:eastAsia="Times New Roman" w:hint="default"/>
        </w:rPr>
        <w:t>3</w:t>
      </w:r>
      <w:r>
        <w:rPr/>
        <w:t>）发行及印刷平台</w:t>
      </w:r>
      <w:r>
        <w:rPr>
          <w:b w:val="0"/>
          <w:bCs w:val="0"/>
        </w:rPr>
      </w:r>
    </w:p>
    <w:p>
      <w:pPr>
        <w:spacing w:after="0" w:line="240" w:lineRule="auto"/>
        <w:jc w:val="left"/>
        <w:sectPr>
          <w:pgSz w:w="11910" w:h="16840"/>
          <w:pgMar w:header="747" w:footer="982" w:top="1060" w:bottom="1180" w:left="9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pStyle w:val="BodyText"/>
        <w:spacing w:line="458" w:lineRule="auto"/>
        <w:ind w:left="153" w:right="0" w:firstLine="424"/>
        <w:jc w:val="left"/>
      </w:pPr>
      <w:r>
        <w:rPr/>
        <w:t>本平台以报刊发行投递和电商物流配送、报刊印刷、包装印刷、互联网桌面轻印刷等构成，以服务带动开拓，赢得了 市场。公司所属每日送公司在杭州地区具有成熟的发行网络、专业的投递队伍和完善的内部控制体系，在杭州地区设有</w:t>
      </w:r>
      <w:r>
        <w:rPr>
          <w:rFonts w:ascii="Times New Roman" w:hAnsi="Times New Roman" w:cs="Times New Roman" w:eastAsia="Times New Roman" w:hint="default"/>
        </w:rPr>
        <w:t>35 </w:t>
      </w:r>
      <w:r>
        <w:rPr>
          <w:spacing w:val="-2"/>
        </w:rPr>
        <w:t>个网点、</w:t>
      </w:r>
      <w:r>
        <w:rPr>
          <w:rFonts w:ascii="Times New Roman" w:hAnsi="Times New Roman" w:cs="Times New Roman" w:eastAsia="Times New Roman" w:hint="default"/>
          <w:spacing w:val="-2"/>
        </w:rPr>
        <w:t>1000</w:t>
      </w:r>
      <w:r>
        <w:rPr>
          <w:spacing w:val="-2"/>
        </w:rPr>
        <w:t>余名配送员、</w:t>
      </w:r>
      <w:r>
        <w:rPr>
          <w:rFonts w:ascii="Times New Roman" w:hAnsi="Times New Roman" w:cs="Times New Roman" w:eastAsia="Times New Roman" w:hint="default"/>
          <w:spacing w:val="-2"/>
        </w:rPr>
        <w:t>50</w:t>
      </w:r>
      <w:r>
        <w:rPr>
          <w:spacing w:val="-2"/>
        </w:rPr>
        <w:t>余辆厢式货车。每日送公司报刊自办发行</w:t>
      </w:r>
      <w:r>
        <w:rPr>
          <w:rFonts w:ascii="Times New Roman" w:hAnsi="Times New Roman" w:cs="Times New Roman" w:eastAsia="Times New Roman" w:hint="default"/>
          <w:spacing w:val="-2"/>
        </w:rPr>
        <w:t>30</w:t>
      </w:r>
      <w:r>
        <w:rPr>
          <w:spacing w:val="-2"/>
        </w:rPr>
        <w:t>周年，在全国城市党报业内享有较高知名度。</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t>年，每日送荣获全国先进集体、中国城市配送优秀服务商、中国电商物流客户满意度金奖、京东物流年度最佳合作奖。</w:t>
      </w:r>
    </w:p>
    <w:p>
      <w:pPr>
        <w:pStyle w:val="BodyText"/>
        <w:spacing w:line="460" w:lineRule="auto" w:before="68"/>
        <w:ind w:left="153" w:right="1031" w:firstLine="424"/>
        <w:jc w:val="left"/>
      </w:pPr>
      <w:r>
        <w:rPr/>
        <w:t>公司所属盛元印务在确保报业印刷前提下，不断拓展商务印刷，通过价格合理的印刷，品质优良的管理，安全可靠的 网络平台以及即时送达的售后服务体系，积累了众多一线品牌客户。</w:t>
      </w:r>
      <w:r>
        <w:rPr>
          <w:rFonts w:ascii="Times New Roman" w:hAnsi="Times New Roman" w:cs="Times New Roman" w:eastAsia="Times New Roman" w:hint="default"/>
        </w:rPr>
        <w:t>2018</w:t>
      </w:r>
      <w:r>
        <w:rPr/>
        <w:t>年，盛元先后顺利通过国家绿色印刷认证企业、 </w:t>
      </w:r>
      <w:r>
        <w:rPr>
          <w:rFonts w:ascii="Times New Roman" w:hAnsi="Times New Roman" w:cs="Times New Roman" w:eastAsia="Times New Roman" w:hint="default"/>
        </w:rPr>
        <w:t>G7</w:t>
      </w:r>
      <w:r>
        <w:rPr/>
        <w:t>国际质量认证、环保部环境标志绿色印刷认证、</w:t>
      </w:r>
      <w:r>
        <w:rPr>
          <w:rFonts w:ascii="Times New Roman" w:hAnsi="Times New Roman" w:cs="Times New Roman" w:eastAsia="Times New Roman" w:hint="default"/>
        </w:rPr>
        <w:t>ISO9000</w:t>
      </w:r>
      <w:r>
        <w:rPr/>
        <w:t>、</w:t>
      </w:r>
      <w:r>
        <w:rPr>
          <w:rFonts w:ascii="Times New Roman" w:hAnsi="Times New Roman" w:cs="Times New Roman" w:eastAsia="Times New Roman" w:hint="default"/>
        </w:rPr>
        <w:t>ISO14000</w:t>
      </w:r>
      <w:r>
        <w:rPr/>
        <w:t>、</w:t>
      </w:r>
      <w:r>
        <w:rPr>
          <w:rFonts w:ascii="Times New Roman" w:hAnsi="Times New Roman" w:cs="Times New Roman" w:eastAsia="Times New Roman" w:hint="default"/>
        </w:rPr>
        <w:t>OHS18000</w:t>
      </w:r>
      <w:r>
        <w:rPr/>
        <w:t>认证、</w:t>
      </w:r>
      <w:r>
        <w:rPr>
          <w:rFonts w:ascii="Times New Roman" w:hAnsi="Times New Roman" w:cs="Times New Roman" w:eastAsia="Times New Roman" w:hint="default"/>
        </w:rPr>
        <w:t>FSC</w:t>
      </w:r>
      <w:r>
        <w:rPr/>
        <w:t>森林认证等国际级的年审认 证，完成印企生产经营标准化建设。同时，作为首批国家印刷示范企业、中央、省、市三级政府机关印刷定点服务供应商， </w:t>
      </w:r>
      <w:r>
        <w:rPr>
          <w:spacing w:val="-2"/>
        </w:rPr>
        <w:t>今年位列“中国印刷企业百强”第</w:t>
      </w:r>
      <w:r>
        <w:rPr>
          <w:rFonts w:ascii="Times New Roman" w:hAnsi="Times New Roman" w:cs="Times New Roman" w:eastAsia="Times New Roman" w:hint="default"/>
          <w:spacing w:val="-2"/>
        </w:rPr>
        <w:t>77</w:t>
      </w:r>
      <w:r>
        <w:rPr>
          <w:spacing w:val="-2"/>
        </w:rPr>
        <w:t>名；获得中国报业协会授予的“精品报”，获杭州市印刷行业协会授予“杭州市十佳印</w:t>
      </w:r>
      <w:r>
        <w:rPr>
          <w:spacing w:val="-62"/>
        </w:rPr>
        <w:t> </w:t>
      </w:r>
      <w:r>
        <w:rPr>
          <w:spacing w:val="-62"/>
        </w:rPr>
      </w:r>
      <w:r>
        <w:rPr/>
        <w:t>刷企业”荣誉称号。</w:t>
      </w:r>
    </w:p>
    <w:p>
      <w:pPr>
        <w:pStyle w:val="BodyText"/>
        <w:spacing w:line="451" w:lineRule="auto" w:before="67"/>
        <w:ind w:left="578" w:right="1146" w:firstLine="1"/>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）文创产业平台</w:t>
      </w:r>
      <w:r>
        <w:rPr>
          <w:rFonts w:ascii="宋体" w:hAnsi="宋体" w:cs="宋体" w:eastAsia="宋体" w:hint="default"/>
          <w:b/>
          <w:bCs/>
          <w:w w:val="99"/>
        </w:rPr>
        <w:t> </w:t>
      </w:r>
      <w:r>
        <w:rPr/>
        <w:t>公司将把萧文置业打造成“华媒智谷”文创综合基地，整合、开发公司内部资源，不断完善文化生态圈布局，打造综</w:t>
      </w:r>
    </w:p>
    <w:p>
      <w:pPr>
        <w:pStyle w:val="BodyText"/>
        <w:spacing w:line="477" w:lineRule="auto" w:before="74"/>
        <w:ind w:left="578" w:right="1117" w:hanging="425"/>
        <w:jc w:val="left"/>
      </w:pPr>
      <w:r>
        <w:rPr/>
        <w:t>合性文化产业平台。 </w:t>
      </w:r>
      <w:r>
        <w:rPr>
          <w:spacing w:val="-2"/>
        </w:rPr>
        <w:t>公司参股的杭州华创全媒科创园区管理有限公司运作的华媒科创园，旨在打造成为“科技创新、互联网+”创新创业产</w:t>
      </w:r>
    </w:p>
    <w:p>
      <w:pPr>
        <w:pStyle w:val="BodyText"/>
        <w:spacing w:line="477" w:lineRule="auto" w:before="54"/>
        <w:ind w:right="1117"/>
        <w:jc w:val="left"/>
      </w:pPr>
      <w:r>
        <w:rPr>
          <w:spacing w:val="-2"/>
        </w:rPr>
        <w:t>业园，重点招引电子商务、文化创意、智能硬件项目，以园区为载体，以创新服务为支撑，汇聚产业链上下游企业，形成产</w:t>
      </w:r>
      <w:r>
        <w:rPr>
          <w:spacing w:val="-65"/>
        </w:rPr>
        <w:t> </w:t>
      </w:r>
      <w:r>
        <w:rPr>
          <w:spacing w:val="-65"/>
        </w:rPr>
      </w:r>
      <w:r>
        <w:rPr/>
        <w:t>业生态。</w:t>
      </w:r>
    </w:p>
    <w:p>
      <w:pPr>
        <w:pStyle w:val="BodyText"/>
        <w:spacing w:line="477" w:lineRule="auto" w:before="54"/>
        <w:ind w:right="0" w:firstLine="424"/>
        <w:jc w:val="left"/>
      </w:pPr>
      <w:r>
        <w:rPr/>
        <w:t>公司运营的杭州市文化产权交易所，已经成功搭建国有文化产权交易服务平台，为国有、非国有法人及个人提供一站 </w:t>
      </w:r>
      <w:r>
        <w:rPr>
          <w:spacing w:val="-4"/>
        </w:rPr>
        <w:t>式全方位服务。交易品类涵盖收藏品和其他文化艺术用品。文交所是阿里巴巴集团旗下资产处置平台全国首批授权服务机构，</w:t>
      </w:r>
      <w:r>
        <w:rPr>
          <w:spacing w:val="-44"/>
        </w:rPr>
        <w:t> </w:t>
      </w:r>
      <w:r>
        <w:rPr>
          <w:spacing w:val="-44"/>
        </w:rPr>
      </w:r>
      <w:r>
        <w:rPr/>
        <w:t>并成为淘宝拍卖平台拥有全品类交易资质和“印石交易平台”交易账号的战略合作伙伴。</w:t>
      </w:r>
    </w:p>
    <w:p>
      <w:pPr>
        <w:spacing w:after="0" w:line="477"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0"/>
        <w:jc w:val="left"/>
        <w:rPr>
          <w:b w:val="0"/>
          <w:bCs w:val="0"/>
        </w:rPr>
      </w:pPr>
      <w:bookmarkStart w:name="_TOC_250008" w:id="4"/>
      <w:r>
        <w:rPr/>
        <w:t>第四节</w:t>
      </w:r>
      <w:r>
        <w:rPr>
          <w:spacing w:val="-10"/>
        </w:rPr>
        <w:t> </w:t>
      </w:r>
      <w:r>
        <w:rPr/>
        <w:t>经营情况讨论与分析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r>
        <w:rPr/>
        <w:t>一、概述</w:t>
      </w:r>
      <w:r>
        <w:rPr>
          <w:b w:val="0"/>
          <w:bCs w:val="0"/>
        </w:rPr>
      </w:r>
    </w:p>
    <w:p>
      <w:pPr>
        <w:spacing w:line="240" w:lineRule="auto" w:before="7"/>
        <w:rPr>
          <w:rFonts w:ascii="宋体" w:hAnsi="宋体" w:cs="宋体" w:eastAsia="宋体" w:hint="default"/>
          <w:b/>
          <w:bCs/>
          <w:sz w:val="32"/>
          <w:szCs w:val="32"/>
        </w:rPr>
      </w:pPr>
    </w:p>
    <w:p>
      <w:pPr>
        <w:pStyle w:val="BodyText"/>
        <w:spacing w:line="456" w:lineRule="auto"/>
        <w:ind w:left="153" w:right="1031" w:firstLine="424"/>
        <w:jc w:val="left"/>
      </w:pPr>
      <w:r>
        <w:rPr/>
        <w:t>报告期内，华媒控股按照杭报集团“</w:t>
      </w:r>
      <w:r>
        <w:rPr>
          <w:rFonts w:ascii="Times New Roman" w:hAnsi="Times New Roman" w:cs="Times New Roman" w:eastAsia="Times New Roman" w:hint="default"/>
        </w:rPr>
        <w:t>123456</w:t>
      </w:r>
      <w:r>
        <w:rPr/>
        <w:t>”工作部署，切实担负起“以文化人”“以文兴业”两大时代使命，持续 </w:t>
      </w:r>
      <w:r>
        <w:rPr>
          <w:spacing w:val="-2"/>
        </w:rPr>
        <w:t>深化“一体两翼”产业布阵，实现“一体”板块稳中有进，“两翼”板块新中求强，进一步优化“大文创产业生态运营商”</w:t>
      </w:r>
      <w:r>
        <w:rPr>
          <w:spacing w:val="-66"/>
        </w:rPr>
        <w:t> </w:t>
      </w:r>
      <w:r>
        <w:rPr>
          <w:spacing w:val="-66"/>
        </w:rPr>
      </w:r>
      <w:r>
        <w:rPr>
          <w:spacing w:val="-1"/>
        </w:rPr>
        <w:t>战略。公司实现营业收入</w:t>
      </w:r>
      <w:r>
        <w:rPr>
          <w:rFonts w:ascii="Times New Roman" w:hAnsi="Times New Roman" w:cs="Times New Roman" w:eastAsia="Times New Roman" w:hint="default"/>
          <w:spacing w:val="-1"/>
        </w:rPr>
        <w:t>174,951.90</w:t>
      </w:r>
      <w:r>
        <w:rPr>
          <w:spacing w:val="-1"/>
        </w:rPr>
        <w:t>万元，同比下滑</w:t>
      </w:r>
      <w:r>
        <w:rPr>
          <w:rFonts w:ascii="Times New Roman" w:hAnsi="Times New Roman" w:cs="Times New Roman" w:eastAsia="Times New Roman" w:hint="default"/>
          <w:spacing w:val="-1"/>
        </w:rPr>
        <w:t>4.52%</w:t>
      </w:r>
      <w:r>
        <w:rPr>
          <w:spacing w:val="-1"/>
        </w:rPr>
        <w:t>，归属上市公司股东的净利润为</w:t>
      </w:r>
      <w:r>
        <w:rPr>
          <w:rFonts w:ascii="Times New Roman" w:hAnsi="Times New Roman" w:cs="Times New Roman" w:eastAsia="Times New Roman" w:hint="default"/>
          <w:spacing w:val="-1"/>
        </w:rPr>
        <w:t>10,518.03</w:t>
      </w:r>
      <w:r>
        <w:rPr>
          <w:spacing w:val="-1"/>
        </w:rPr>
        <w:t>万元，同比下降</w:t>
      </w:r>
      <w:r>
        <w:rPr>
          <w:rFonts w:ascii="Times New Roman" w:hAnsi="Times New Roman" w:cs="Times New Roman" w:eastAsia="Times New Roman" w:hint="default"/>
          <w:spacing w:val="-1"/>
        </w:rPr>
        <w:t>28.36%</w:t>
      </w:r>
      <w:r>
        <w:rPr>
          <w:spacing w:val="-1"/>
        </w:rPr>
        <w:t>，</w:t>
      </w:r>
      <w:r>
        <w:rPr>
          <w:spacing w:val="-45"/>
        </w:rPr>
        <w:t> </w:t>
      </w:r>
      <w:r>
        <w:rPr/>
        <w:t>扣除非经常性损益后的归属于上市公司股东的净利润为</w:t>
      </w:r>
      <w:r>
        <w:rPr>
          <w:rFonts w:ascii="Times New Roman" w:hAnsi="Times New Roman" w:cs="Times New Roman" w:eastAsia="Times New Roman" w:hint="default"/>
        </w:rPr>
        <w:t>7,649.09</w:t>
      </w:r>
      <w:r>
        <w:rPr/>
        <w:t>万元，同比下滑</w:t>
      </w:r>
      <w:r>
        <w:rPr>
          <w:rFonts w:ascii="Times New Roman" w:hAnsi="Times New Roman" w:cs="Times New Roman" w:eastAsia="Times New Roman" w:hint="default"/>
        </w:rPr>
        <w:t>4.73%</w:t>
      </w:r>
      <w:r>
        <w:rPr/>
        <w:t>。主要原因系：</w:t>
      </w:r>
      <w:r>
        <w:rPr>
          <w:rFonts w:ascii="Times New Roman" w:hAnsi="Times New Roman" w:cs="Times New Roman" w:eastAsia="Times New Roman" w:hint="default"/>
        </w:rPr>
        <w:t>2018</w:t>
      </w:r>
      <w:r>
        <w:rPr/>
        <w:t>年，纳入合并范 围的公司有所变化，导致营业收入有所下降，剔除该因素，同口径下，本报告期公司营业收入同比上升</w:t>
      </w:r>
      <w:r>
        <w:rPr>
          <w:rFonts w:ascii="Times New Roman" w:hAnsi="Times New Roman" w:cs="Times New Roman" w:eastAsia="Times New Roman" w:hint="default"/>
        </w:rPr>
        <w:t>8.97%</w:t>
      </w:r>
      <w:r>
        <w:rPr/>
        <w:t>；利润下滑主 要系，</w:t>
      </w:r>
      <w:r>
        <w:rPr>
          <w:rFonts w:ascii="Times New Roman" w:hAnsi="Times New Roman" w:cs="Times New Roman" w:eastAsia="Times New Roman" w:hint="default"/>
        </w:rPr>
        <w:t>2017</w:t>
      </w:r>
      <w:r>
        <w:rPr/>
        <w:t>年较</w:t>
      </w:r>
      <w:r>
        <w:rPr>
          <w:rFonts w:ascii="Times New Roman" w:hAnsi="Times New Roman" w:cs="Times New Roman" w:eastAsia="Times New Roman" w:hint="default"/>
        </w:rPr>
        <w:t>2018</w:t>
      </w:r>
      <w:r>
        <w:rPr/>
        <w:t>年存在一次性较大投资收益。报告期内，公司整合资源，优化管控，但会展策划业务的成本有所增加； 教育业务随着区域和网点拓展，成本同步增加。</w:t>
      </w:r>
    </w:p>
    <w:p>
      <w:pPr>
        <w:pStyle w:val="BodyText"/>
        <w:spacing w:line="451" w:lineRule="auto" w:before="70"/>
        <w:ind w:right="1130" w:firstLine="424"/>
        <w:jc w:val="left"/>
      </w:pPr>
      <w:r>
        <w:rPr>
          <w:spacing w:val="-1"/>
        </w:rPr>
        <w:t>报告期内，基本每股收益</w:t>
      </w:r>
      <w:r>
        <w:rPr>
          <w:rFonts w:ascii="Times New Roman" w:hAnsi="Times New Roman" w:cs="Times New Roman" w:eastAsia="Times New Roman" w:hint="default"/>
          <w:spacing w:val="-1"/>
        </w:rPr>
        <w:t>0.10</w:t>
      </w:r>
      <w:r>
        <w:rPr>
          <w:spacing w:val="-1"/>
        </w:rPr>
        <w:t>元，加权平均净资产收益率</w:t>
      </w:r>
      <w:r>
        <w:rPr>
          <w:rFonts w:ascii="Times New Roman" w:hAnsi="Times New Roman" w:cs="Times New Roman" w:eastAsia="Times New Roman" w:hint="default"/>
          <w:spacing w:val="-1"/>
        </w:rPr>
        <w:t>5.71%</w:t>
      </w:r>
      <w:r>
        <w:rPr>
          <w:spacing w:val="-1"/>
        </w:rPr>
        <w:t>。经营活动产生的现金流量净额同比上升</w:t>
      </w:r>
      <w:r>
        <w:rPr>
          <w:rFonts w:ascii="Times New Roman" w:hAnsi="Times New Roman" w:cs="Times New Roman" w:eastAsia="Times New Roman" w:hint="default"/>
          <w:spacing w:val="-1"/>
        </w:rPr>
        <w:t>42.41%</w:t>
      </w:r>
      <w:r>
        <w:rPr>
          <w:spacing w:val="-1"/>
        </w:rPr>
        <w:t>，主要</w:t>
      </w:r>
      <w:r>
        <w:rPr/>
        <w:t> 原因系购买商品、接受劳务支付的现金减少、支付的各项税费减少，以及支付的其他与经营活动有关的费用减少所致。</w:t>
      </w:r>
    </w:p>
    <w:p>
      <w:pPr>
        <w:spacing w:line="451" w:lineRule="auto" w:before="74"/>
        <w:ind w:left="578" w:right="1146"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一</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21"/>
          <w:sz w:val="18"/>
          <w:szCs w:val="18"/>
        </w:rPr>
        <w:t> </w:t>
      </w:r>
      <w:r>
        <w:rPr>
          <w:rFonts w:ascii="宋体" w:hAnsi="宋体" w:cs="宋体" w:eastAsia="宋体" w:hint="default"/>
          <w:b/>
          <w:bCs/>
          <w:sz w:val="18"/>
          <w:szCs w:val="18"/>
        </w:rPr>
        <w:t>广告及策划业协同效应明显</w:t>
      </w:r>
      <w:r>
        <w:rPr>
          <w:rFonts w:ascii="宋体" w:hAnsi="宋体" w:cs="宋体" w:eastAsia="宋体" w:hint="default"/>
          <w:b/>
          <w:bCs/>
          <w:w w:val="99"/>
          <w:sz w:val="18"/>
          <w:szCs w:val="18"/>
        </w:rPr>
        <w:t> </w:t>
      </w:r>
      <w:r>
        <w:rPr>
          <w:rFonts w:ascii="宋体" w:hAnsi="宋体" w:cs="宋体" w:eastAsia="宋体" w:hint="default"/>
          <w:sz w:val="18"/>
          <w:szCs w:val="18"/>
        </w:rPr>
        <w:t>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月实施完成重大资产重组时，重组后的收购资产不包括报纸采编类资产。根据报刊行业采编与经营“两</w:t>
      </w:r>
    </w:p>
    <w:p>
      <w:pPr>
        <w:pStyle w:val="BodyText"/>
        <w:spacing w:line="451" w:lineRule="auto" w:before="43"/>
        <w:ind w:right="1129"/>
        <w:jc w:val="both"/>
      </w:pPr>
      <w:r>
        <w:rPr>
          <w:spacing w:val="-4"/>
        </w:rPr>
        <w:t>分开”的政策，杭州日报社及其他相关</w:t>
      </w:r>
      <w:r>
        <w:rPr>
          <w:rFonts w:ascii="Times New Roman" w:hAnsi="Times New Roman" w:cs="Times New Roman" w:eastAsia="Times New Roman" w:hint="default"/>
          <w:spacing w:val="-4"/>
        </w:rPr>
        <w:t>7</w:t>
      </w:r>
      <w:r>
        <w:rPr>
          <w:spacing w:val="-4"/>
        </w:rPr>
        <w:t>家报社，与公司购买资产范围内各相关报刊经营公司签订了《授权经营协议》和《收</w:t>
      </w:r>
      <w:r>
        <w:rPr>
          <w:spacing w:val="-44"/>
        </w:rPr>
        <w:t> </w:t>
      </w:r>
      <w:r>
        <w:rPr>
          <w:spacing w:val="-44"/>
        </w:rPr>
      </w:r>
      <w:r>
        <w:rPr>
          <w:spacing w:val="-1"/>
        </w:rPr>
        <w:t>入分成协议》，上市公司负责传媒经营类业务。根据协议，上市公司每年共需支付保底采编费用</w:t>
      </w:r>
      <w:r>
        <w:rPr>
          <w:rFonts w:ascii="Times New Roman" w:hAnsi="Times New Roman" w:cs="Times New Roman" w:eastAsia="Times New Roman" w:hint="default"/>
          <w:spacing w:val="-1"/>
        </w:rPr>
        <w:t>20,741</w:t>
      </w:r>
      <w:r>
        <w:rPr>
          <w:spacing w:val="-1"/>
        </w:rPr>
        <w:t>万元，为公司所属各</w:t>
      </w:r>
      <w:r>
        <w:rPr>
          <w:spacing w:val="-75"/>
        </w:rPr>
        <w:t> </w:t>
      </w:r>
      <w:r>
        <w:rPr>
          <w:spacing w:val="-75"/>
        </w:rPr>
      </w:r>
      <w:r>
        <w:rPr/>
        <w:t>传媒公司主要成本项目。</w:t>
      </w:r>
    </w:p>
    <w:p>
      <w:pPr>
        <w:pStyle w:val="BodyText"/>
        <w:spacing w:line="463" w:lineRule="auto" w:before="74"/>
        <w:ind w:right="1128" w:firstLine="424"/>
        <w:jc w:val="both"/>
      </w:pPr>
      <w:r>
        <w:rPr/>
        <w:t>报告期内，公司进一步整合广告及策划业务现有资源，推动存量部分转型升级，通过不断完善流程体系，探索联动机 </w:t>
      </w:r>
      <w:r>
        <w:rPr>
          <w:spacing w:val="-1"/>
        </w:rPr>
        <w:t>制，实现媒体深度互融，巩固集报刊、网站、微博、微信、</w:t>
      </w:r>
      <w:r>
        <w:rPr>
          <w:rFonts w:ascii="Times New Roman" w:hAnsi="Times New Roman" w:cs="Times New Roman" w:eastAsia="Times New Roman" w:hint="default"/>
          <w:spacing w:val="-1"/>
        </w:rPr>
        <w:t>APP</w:t>
      </w:r>
      <w:r>
        <w:rPr>
          <w:spacing w:val="-1"/>
        </w:rPr>
        <w:t>、户外媒体、会展平台等协同驱动的“报网端屏楼”全媒体</w:t>
      </w:r>
      <w:r>
        <w:rPr/>
        <w:t> 矩阵，有效支持纸端、网端、手机端和户外端在重大主题、重要活动的联动配合，充分发挥各业务的综合协同效应。</w:t>
      </w:r>
    </w:p>
    <w:p>
      <w:pPr>
        <w:pStyle w:val="BodyText"/>
        <w:spacing w:line="453" w:lineRule="auto" w:before="65"/>
        <w:ind w:right="1030" w:firstLine="424"/>
        <w:jc w:val="left"/>
      </w:pPr>
      <w:r>
        <w:rPr/>
        <w:t>各传媒公司加快广告产品服务创新，依托牌照优势，不断丰富</w:t>
      </w:r>
      <w:r>
        <w:rPr>
          <w:rFonts w:ascii="Times New Roman" w:hAnsi="Times New Roman" w:cs="Times New Roman" w:eastAsia="Times New Roman" w:hint="default"/>
        </w:rPr>
        <w:t>web</w:t>
      </w:r>
      <w:r>
        <w:rPr/>
        <w:t>互联网站、移动互联网</w:t>
      </w:r>
      <w:r>
        <w:rPr>
          <w:rFonts w:ascii="Times New Roman" w:hAnsi="Times New Roman" w:cs="Times New Roman" w:eastAsia="Times New Roman" w:hint="default"/>
        </w:rPr>
        <w:t>APP</w:t>
      </w:r>
      <w:r>
        <w:rPr/>
        <w:t>、微信公众号和官方微博 </w:t>
      </w:r>
      <w:r>
        <w:rPr>
          <w:spacing w:val="-4"/>
        </w:rPr>
        <w:t>号、手机报等新媒体的内容建设，持续推进移动互联网技术平台的建设，拓展新媒体内容的制作深度和代维服务，丰富直播、</w:t>
      </w:r>
      <w:r>
        <w:rPr>
          <w:spacing w:val="-46"/>
        </w:rPr>
        <w:t> </w:t>
      </w:r>
      <w:r>
        <w:rPr>
          <w:spacing w:val="-46"/>
        </w:rPr>
      </w:r>
      <w:r>
        <w:rPr/>
        <w:t>短视频、</w:t>
      </w:r>
      <w:r>
        <w:rPr>
          <w:rFonts w:ascii="Times New Roman" w:hAnsi="Times New Roman" w:cs="Times New Roman" w:eastAsia="Times New Roman" w:hint="default"/>
        </w:rPr>
        <w:t>H5</w:t>
      </w:r>
      <w:r>
        <w:rPr/>
        <w:t>等多种新媒体形式，挖掘市场潜力，吸引广告投放。报告期内，杭报传媒代维杭州拥江发布、小镇莫干等近</w:t>
      </w:r>
      <w:r>
        <w:rPr>
          <w:rFonts w:ascii="Times New Roman" w:hAnsi="Times New Roman" w:cs="Times New Roman" w:eastAsia="Times New Roman" w:hint="default"/>
        </w:rPr>
        <w:t>20 </w:t>
      </w:r>
      <w:r>
        <w:rPr>
          <w:spacing w:val="-2"/>
        </w:rPr>
        <w:t>个微信政务发布平台；都快控股的杭州新闻</w:t>
      </w:r>
      <w:r>
        <w:rPr>
          <w:rFonts w:ascii="Times New Roman" w:hAnsi="Times New Roman" w:cs="Times New Roman" w:eastAsia="Times New Roman" w:hint="default"/>
          <w:spacing w:val="-2"/>
        </w:rPr>
        <w:t>App</w:t>
      </w:r>
      <w:r>
        <w:rPr>
          <w:spacing w:val="-2"/>
        </w:rPr>
        <w:t>、官方公众号、官微等不断拓展，本地直接用户超</w:t>
      </w:r>
      <w:r>
        <w:rPr>
          <w:rFonts w:ascii="Times New Roman" w:hAnsi="Times New Roman" w:cs="Times New Roman" w:eastAsia="Times New Roman" w:hint="default"/>
          <w:spacing w:val="-2"/>
        </w:rPr>
        <w:t>1,500</w:t>
      </w:r>
      <w:r>
        <w:rPr>
          <w:spacing w:val="-2"/>
        </w:rPr>
        <w:t>万，面向中小学生的</w:t>
      </w:r>
      <w:r>
        <w:rPr>
          <w:spacing w:val="-60"/>
        </w:rPr>
        <w:t> </w:t>
      </w:r>
      <w:r>
        <w:rPr>
          <w:spacing w:val="-60"/>
        </w:rPr>
      </w:r>
      <w:r>
        <w:rPr/>
        <w:t>“爱写作的狮子”的粉丝快速增长；每日传媒推出新闻客户端“每满”；杭州网建立“杭网融媒仓”</w:t>
      </w:r>
      <w:r>
        <w:rPr>
          <w:rFonts w:ascii="Times New Roman" w:hAnsi="Times New Roman" w:cs="Times New Roman" w:eastAsia="Times New Roman" w:hint="default"/>
        </w:rPr>
        <w:t>H5</w:t>
      </w:r>
      <w:r>
        <w:rPr/>
        <w:t>平台，获得</w:t>
      </w:r>
      <w:r>
        <w:rPr>
          <w:rFonts w:ascii="Times New Roman" w:hAnsi="Times New Roman" w:cs="Times New Roman" w:eastAsia="Times New Roman" w:hint="default"/>
        </w:rPr>
        <w:t>12</w:t>
      </w:r>
      <w:r>
        <w:rPr/>
        <w:t>项软 </w:t>
      </w:r>
      <w:r>
        <w:rPr>
          <w:spacing w:val="-3"/>
        </w:rPr>
        <w:t>件著作权，承担了</w:t>
      </w:r>
      <w:r>
        <w:rPr>
          <w:rFonts w:ascii="Times New Roman" w:hAnsi="Times New Roman" w:cs="Times New Roman" w:eastAsia="Times New Roman" w:hint="default"/>
          <w:spacing w:val="-3"/>
        </w:rPr>
        <w:t>2022</w:t>
      </w:r>
      <w:r>
        <w:rPr>
          <w:spacing w:val="-3"/>
        </w:rPr>
        <w:t>年第</w:t>
      </w:r>
      <w:r>
        <w:rPr>
          <w:rFonts w:ascii="Times New Roman" w:hAnsi="Times New Roman" w:cs="Times New Roman" w:eastAsia="Times New Roman" w:hint="default"/>
          <w:spacing w:val="-3"/>
        </w:rPr>
        <w:t>19</w:t>
      </w:r>
      <w:r>
        <w:rPr>
          <w:spacing w:val="-3"/>
        </w:rPr>
        <w:t>届亚运会组委会官方网站和</w:t>
      </w:r>
      <w:r>
        <w:rPr>
          <w:rFonts w:ascii="Times New Roman" w:hAnsi="Times New Roman" w:cs="Times New Roman" w:eastAsia="Times New Roman" w:hint="default"/>
          <w:spacing w:val="-3"/>
        </w:rPr>
        <w:t>2018</w:t>
      </w:r>
      <w:r>
        <w:rPr>
          <w:spacing w:val="-3"/>
        </w:rPr>
        <w:t>短池世游赛官网的运营；快房网新媒体代维服务已向全省拓展；</w:t>
      </w:r>
      <w:r>
        <w:rPr>
          <w:spacing w:val="-84"/>
        </w:rPr>
        <w:t> </w:t>
      </w:r>
      <w:r>
        <w:rPr>
          <w:spacing w:val="-84"/>
        </w:rPr>
      </w:r>
      <w:r>
        <w:rPr/>
        <w:t>手机萧山网共直播</w:t>
      </w:r>
      <w:r>
        <w:rPr>
          <w:rFonts w:ascii="Times New Roman" w:hAnsi="Times New Roman" w:cs="Times New Roman" w:eastAsia="Times New Roman" w:hint="default"/>
        </w:rPr>
        <w:t>100</w:t>
      </w:r>
      <w:r>
        <w:rPr/>
        <w:t>多场，湘湖社区论坛实现论坛移动化；富报传媒探索培育“乐活富阳”微信公众号，打造“富视频” 品牌；晨报传媒掌上余杭</w:t>
      </w:r>
      <w:r>
        <w:rPr>
          <w:rFonts w:ascii="Times New Roman" w:hAnsi="Times New Roman" w:cs="Times New Roman" w:eastAsia="Times New Roman" w:hint="default"/>
        </w:rPr>
        <w:t>APP</w:t>
      </w:r>
      <w:r>
        <w:rPr/>
        <w:t>深入基层，服务村社区。</w:t>
      </w:r>
    </w:p>
    <w:p>
      <w:pPr>
        <w:spacing w:after="0" w:line="453"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63" w:lineRule="auto"/>
        <w:ind w:left="153" w:right="1031" w:firstLine="424"/>
        <w:jc w:val="left"/>
      </w:pPr>
      <w:r>
        <w:rPr/>
        <w:t>通过提升会展策划的专业化水平和结构调整，优化盘活资产配置，推动文化会展转型升级，增强集聚效应，做大产业 规模。公司逐步打造并规范使用会展</w:t>
      </w:r>
      <w:r>
        <w:rPr>
          <w:rFonts w:ascii="Times New Roman" w:hAnsi="Times New Roman" w:cs="Times New Roman" w:eastAsia="Times New Roman" w:hint="default"/>
        </w:rPr>
        <w:t>LOGO</w:t>
      </w:r>
      <w:r>
        <w:rPr/>
        <w:t>、设计制作会展统一宣传品，全面提升会展“专业化、品牌化、产业化”水平， </w:t>
      </w:r>
      <w:r>
        <w:rPr>
          <w:spacing w:val="-2"/>
        </w:rPr>
        <w:t>积极争取主办承办国家级大型会展或论坛活动，充分发挥全媒体矩阵的协同作用，以会展活动带动广告投放，共同提升影响</w:t>
      </w:r>
      <w:r>
        <w:rPr>
          <w:spacing w:val="-66"/>
        </w:rPr>
        <w:t> </w:t>
      </w:r>
      <w:r>
        <w:rPr>
          <w:spacing w:val="-66"/>
        </w:rPr>
      </w:r>
      <w:r>
        <w:rPr>
          <w:spacing w:val="-2"/>
        </w:rPr>
        <w:t>力和美誉度。报告期内，公司（含所属子公司）举办第二届杭州（国际）未来生活节、第二届万物生长大会、</w:t>
      </w:r>
      <w:r>
        <w:rPr>
          <w:rFonts w:ascii="Times New Roman" w:hAnsi="Times New Roman" w:cs="Times New Roman" w:eastAsia="Times New Roman" w:hint="default"/>
          <w:spacing w:val="-2"/>
        </w:rPr>
        <w:t>2018</w:t>
      </w:r>
      <w:r>
        <w:rPr>
          <w:spacing w:val="-2"/>
        </w:rPr>
        <w:t>中国城市</w:t>
      </w:r>
      <w:r>
        <w:rPr>
          <w:spacing w:val="-62"/>
        </w:rPr>
        <w:t> </w:t>
      </w:r>
      <w:r>
        <w:rPr/>
        <w:t>规划年会、</w:t>
      </w:r>
      <w:r>
        <w:rPr>
          <w:rFonts w:ascii="Times New Roman" w:hAnsi="Times New Roman" w:cs="Times New Roman" w:eastAsia="Times New Roman" w:hint="default"/>
        </w:rPr>
        <w:t>2018</w:t>
      </w:r>
      <w:r>
        <w:rPr/>
        <w:t>第四届中德数字技术领袖峰会等现象级会展产品，已形成西湖音乐节、市民摄影节、杭州艺博会、工美展、 </w:t>
      </w:r>
      <w:r>
        <w:rPr>
          <w:spacing w:val="-2"/>
        </w:rPr>
        <w:t>老博会、家博会、首届文化消费节、杭州收藏品交易会、第二十届中国科协年会、红木家具展、武林洋淘节、中国大学生创</w:t>
      </w:r>
      <w:r>
        <w:rPr>
          <w:spacing w:val="-65"/>
        </w:rPr>
        <w:t> </w:t>
      </w:r>
      <w:r>
        <w:rPr>
          <w:spacing w:val="-65"/>
        </w:rPr>
      </w:r>
      <w:r>
        <w:rPr/>
        <w:t>新创业峰会、黄金时代杭商领袖峰会、中国（杭州）休闲发展国际论坛等一系列美誉度较高的品牌会展。</w:t>
      </w:r>
    </w:p>
    <w:p>
      <w:pPr>
        <w:pStyle w:val="BodyText"/>
        <w:spacing w:line="458" w:lineRule="auto" w:before="65"/>
        <w:ind w:left="153" w:right="1031" w:firstLine="424"/>
        <w:jc w:val="left"/>
      </w:pPr>
      <w:r>
        <w:rPr/>
        <w:t>公司户外广告由孙公司风盛股份（证券代码：</w:t>
      </w:r>
      <w:r>
        <w:rPr>
          <w:rFonts w:ascii="Times New Roman" w:hAnsi="Times New Roman" w:cs="Times New Roman" w:eastAsia="Times New Roman" w:hint="default"/>
        </w:rPr>
        <w:t>838071</w:t>
      </w:r>
      <w:r>
        <w:rPr/>
        <w:t>）经营。风盛股份致力于户外媒体资源的多元化开拓，正在经营 </w:t>
      </w:r>
      <w:r>
        <w:rPr>
          <w:spacing w:val="-2"/>
        </w:rPr>
        <w:t>中的媒体资源包括地铁广告资源、城市灯光秀、户外</w:t>
      </w:r>
      <w:r>
        <w:rPr>
          <w:rFonts w:ascii="Times New Roman" w:hAnsi="Times New Roman" w:cs="Times New Roman" w:eastAsia="Times New Roman" w:hint="default"/>
          <w:spacing w:val="-2"/>
        </w:rPr>
        <w:t>LED</w:t>
      </w:r>
      <w:r>
        <w:rPr>
          <w:spacing w:val="-2"/>
        </w:rPr>
        <w:t>屏及公交候车亭、阅报栏广告等。报告期内，户外广告业务实现稳</w:t>
      </w:r>
      <w:r>
        <w:rPr>
          <w:spacing w:val="-57"/>
        </w:rPr>
        <w:t> </w:t>
      </w:r>
      <w:r>
        <w:rPr>
          <w:spacing w:val="-57"/>
        </w:rPr>
      </w:r>
      <w:r>
        <w:rPr/>
        <w:t>定增长，公司拥有的户外媒体资源已在同类型户外媒体领域占据领先优势。公司整合旗下地铁平面媒体、语音媒体、</w:t>
      </w:r>
      <w:r>
        <w:rPr>
          <w:rFonts w:ascii="Times New Roman" w:hAnsi="Times New Roman" w:cs="Times New Roman" w:eastAsia="Times New Roman" w:hint="default"/>
        </w:rPr>
        <w:t>LED </w:t>
      </w:r>
      <w:r>
        <w:rPr>
          <w:spacing w:val="-2"/>
        </w:rPr>
        <w:t>媒体、灯光秀地标媒体、路面灯箱媒体五大资源平台，根据客户需求提供户外媒体广告传播服务以及媒体创意策划方案，全</w:t>
      </w:r>
      <w:r>
        <w:rPr>
          <w:spacing w:val="-66"/>
        </w:rPr>
        <w:t> </w:t>
      </w:r>
      <w:r>
        <w:rPr>
          <w:spacing w:val="-66"/>
        </w:rPr>
      </w:r>
      <w:r>
        <w:rPr/>
        <w:t>面呈现多元化的户外广告传播，具体包括：</w:t>
      </w:r>
      <w:r>
        <w:rPr>
          <w:rFonts w:ascii="Times New Roman" w:hAnsi="Times New Roman" w:cs="Times New Roman" w:eastAsia="Times New Roman" w:hint="default"/>
        </w:rPr>
        <w:t>1</w:t>
      </w:r>
      <w:r>
        <w:rPr/>
        <w:t>、地铁媒体区域化深度运营。已在杭州、福州的地铁广告市场占有核心份额， 正在经营的地铁媒体广告资源包括地铁灯箱、贴类媒体、语音导向、导向标识等。</w:t>
      </w:r>
      <w:r>
        <w:rPr>
          <w:rFonts w:ascii="Times New Roman" w:hAnsi="Times New Roman" w:cs="Times New Roman" w:eastAsia="Times New Roman" w:hint="default"/>
        </w:rPr>
        <w:t>2</w:t>
      </w:r>
      <w:r>
        <w:rPr/>
        <w:t>、</w:t>
      </w:r>
      <w:r>
        <w:rPr>
          <w:rFonts w:ascii="Times New Roman" w:hAnsi="Times New Roman" w:cs="Times New Roman" w:eastAsia="Times New Roman" w:hint="default"/>
        </w:rPr>
        <w:t>LED</w:t>
      </w:r>
      <w:r>
        <w:rPr>
          <w:rFonts w:ascii="Times New Roman" w:hAnsi="Times New Roman" w:cs="Times New Roman" w:eastAsia="Times New Roman" w:hint="default"/>
          <w:spacing w:val="2"/>
        </w:rPr>
        <w:t> </w:t>
      </w:r>
      <w:r>
        <w:rPr/>
        <w:t>地标媒体网络化布局。目前正在 经营的杭州国大城市广场</w:t>
      </w:r>
      <w:r>
        <w:rPr>
          <w:rFonts w:ascii="Times New Roman" w:hAnsi="Times New Roman" w:cs="Times New Roman" w:eastAsia="Times New Roman" w:hint="default"/>
        </w:rPr>
        <w:t>LED </w:t>
      </w:r>
      <w:r>
        <w:rPr/>
        <w:t>屏（大笨屏）项目位于杭州核心商圈武林广场，同时新获取的位于杭州核心</w:t>
      </w:r>
      <w:r>
        <w:rPr>
          <w:rFonts w:ascii="Times New Roman" w:hAnsi="Times New Roman" w:cs="Times New Roman" w:eastAsia="Times New Roman" w:hint="default"/>
        </w:rPr>
        <w:t>CBD</w:t>
      </w:r>
      <w:r>
        <w:rPr>
          <w:rFonts w:ascii="Times New Roman" w:hAnsi="Times New Roman" w:cs="Times New Roman" w:eastAsia="Times New Roman" w:hint="default"/>
          <w:spacing w:val="25"/>
        </w:rPr>
        <w:t> </w:t>
      </w:r>
      <w:r>
        <w:rPr/>
        <w:t>的钱江新城 </w:t>
      </w:r>
      <w:r>
        <w:rPr>
          <w:spacing w:val="-2"/>
        </w:rPr>
        <w:t>灯光秀（环球天幕）项目均系“杭州地标媒体”。公司在积极打造“城市光影艺术地标”的同时，注重对客户营销传播需求</w:t>
      </w:r>
      <w:r>
        <w:rPr>
          <w:spacing w:val="-66"/>
        </w:rPr>
        <w:t> </w:t>
      </w:r>
      <w:r>
        <w:rPr>
          <w:spacing w:val="-66"/>
        </w:rPr>
      </w:r>
      <w:r>
        <w:rPr/>
        <w:t>的整体服务探索，将继续开发布局、推陈出新，打造多元专业的户外媒体资源网络，满足客户进行跨区域的整合营销服务。</w:t>
      </w:r>
    </w:p>
    <w:p>
      <w:pPr>
        <w:pStyle w:val="BodyText"/>
        <w:spacing w:line="240" w:lineRule="auto" w:before="68"/>
        <w:ind w:left="578" w:right="0"/>
        <w:jc w:val="left"/>
      </w:pPr>
      <w:r>
        <w:rPr/>
        <w:t>报告期内，广告及策划业务实现营业收入</w:t>
      </w:r>
      <w:r>
        <w:rPr>
          <w:rFonts w:ascii="Times New Roman" w:hAnsi="Times New Roman" w:cs="Times New Roman" w:eastAsia="Times New Roman" w:hint="default"/>
        </w:rPr>
        <w:t>90,548.62</w:t>
      </w:r>
      <w:r>
        <w:rPr/>
        <w:t>万元，同比保持稳定。</w:t>
      </w:r>
    </w:p>
    <w:p>
      <w:pPr>
        <w:spacing w:line="240" w:lineRule="auto" w:before="9"/>
        <w:rPr>
          <w:rFonts w:ascii="宋体" w:hAnsi="宋体" w:cs="宋体" w:eastAsia="宋体" w:hint="default"/>
          <w:sz w:val="16"/>
          <w:szCs w:val="16"/>
        </w:rPr>
      </w:pPr>
    </w:p>
    <w:p>
      <w:pPr>
        <w:spacing w:line="451" w:lineRule="auto" w:before="0"/>
        <w:ind w:left="578" w:right="1146"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二</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21"/>
          <w:sz w:val="18"/>
          <w:szCs w:val="18"/>
        </w:rPr>
        <w:t> </w:t>
      </w:r>
      <w:r>
        <w:rPr>
          <w:rFonts w:ascii="宋体" w:hAnsi="宋体" w:cs="宋体" w:eastAsia="宋体" w:hint="default"/>
          <w:b/>
          <w:bCs/>
          <w:sz w:val="18"/>
          <w:szCs w:val="18"/>
        </w:rPr>
        <w:t>报刊发行及印刷业逐步转型</w:t>
      </w:r>
      <w:r>
        <w:rPr>
          <w:rFonts w:ascii="宋体" w:hAnsi="宋体" w:cs="宋体" w:eastAsia="宋体" w:hint="default"/>
          <w:b/>
          <w:bCs/>
          <w:w w:val="99"/>
          <w:sz w:val="18"/>
          <w:szCs w:val="18"/>
        </w:rPr>
        <w:t> </w:t>
      </w:r>
      <w:r>
        <w:rPr>
          <w:rFonts w:ascii="宋体" w:hAnsi="宋体" w:cs="宋体" w:eastAsia="宋体" w:hint="default"/>
          <w:sz w:val="18"/>
          <w:szCs w:val="18"/>
        </w:rPr>
        <w:t>报告期内，公司积极做好《杭州日报》、《都市快报》等集团报刊的发行投递，通过优化发行站绩效考核，协调出版</w:t>
      </w:r>
    </w:p>
    <w:p>
      <w:pPr>
        <w:pStyle w:val="BodyText"/>
        <w:spacing w:line="477" w:lineRule="auto" w:before="74"/>
        <w:ind w:left="153" w:right="1031"/>
        <w:jc w:val="left"/>
      </w:pPr>
      <w:r>
        <w:rPr/>
        <w:t>流程，加强巡查督促整改等措施，不断优化发行结构，有效稳定服务质量。各媒体实现调价稳量发行，公司旗下杭报传媒、 萧报传媒、富报传媒、晨报传媒推进“党员订党报”工作，积极拓展征订数量，使得发行收入同比增长</w:t>
      </w:r>
      <w:r>
        <w:rPr>
          <w:rFonts w:ascii="Times New Roman" w:hAnsi="Times New Roman" w:cs="Times New Roman" w:eastAsia="Times New Roman" w:hint="default"/>
        </w:rPr>
        <w:t>41.55%</w:t>
      </w:r>
      <w:r>
        <w:rPr/>
        <w:t>。</w:t>
      </w:r>
    </w:p>
    <w:p>
      <w:pPr>
        <w:pStyle w:val="BodyText"/>
        <w:spacing w:line="456" w:lineRule="auto" w:before="21"/>
        <w:ind w:left="153" w:right="1091" w:firstLine="424"/>
        <w:jc w:val="left"/>
      </w:pPr>
      <w:r>
        <w:rPr/>
        <w:t>公司印刷业务在承担集团报业印刷任务的同时，改善生产工艺，降低生产成本，大力拓展社会出版类和包装类业务， 稳健推进商超</w:t>
      </w:r>
      <w:r>
        <w:rPr>
          <w:rFonts w:ascii="Times New Roman" w:hAnsi="Times New Roman" w:cs="Times New Roman" w:eastAsia="Times New Roman" w:hint="default"/>
        </w:rPr>
        <w:t>DM</w:t>
      </w:r>
      <w:r>
        <w:rPr/>
        <w:t>类及外贸类业务，扩大商业印刷的业务规模，加快转型印务平台型综合服务商，填补报业印刷下降缺口。 </w:t>
      </w:r>
      <w:r>
        <w:rPr>
          <w:spacing w:val="-2"/>
        </w:rPr>
        <w:t>报告期内，已完成商业轮转喷胶专用胶水替代方案、报业轮转网点扩大调整、预涂膜推广使用等</w:t>
      </w:r>
      <w:r>
        <w:rPr>
          <w:rFonts w:ascii="Times New Roman" w:hAnsi="Times New Roman" w:cs="Times New Roman" w:eastAsia="Times New Roman" w:hint="default"/>
          <w:spacing w:val="-2"/>
        </w:rPr>
        <w:t>22</w:t>
      </w:r>
      <w:r>
        <w:rPr>
          <w:spacing w:val="-2"/>
        </w:rPr>
        <w:t>项技改项目，使得印刷成</w:t>
      </w:r>
      <w:r>
        <w:rPr>
          <w:spacing w:val="-64"/>
        </w:rPr>
        <w:t> </w:t>
      </w:r>
      <w:r>
        <w:rPr>
          <w:spacing w:val="-64"/>
        </w:rPr>
      </w:r>
      <w:r>
        <w:rPr/>
        <w:t>本同比下降</w:t>
      </w:r>
      <w:r>
        <w:rPr>
          <w:rFonts w:ascii="Times New Roman" w:hAnsi="Times New Roman" w:cs="Times New Roman" w:eastAsia="Times New Roman" w:hint="default"/>
        </w:rPr>
        <w:t>3.28%</w:t>
      </w:r>
      <w:r>
        <w:rPr/>
        <w:t>。报告期内，公司印刷业中非报业收入占整个印刷业收入的比例为</w:t>
      </w:r>
      <w:r>
        <w:rPr>
          <w:rFonts w:ascii="Times New Roman" w:hAnsi="Times New Roman" w:cs="Times New Roman" w:eastAsia="Times New Roman" w:hint="default"/>
        </w:rPr>
        <w:t>66.35%</w:t>
      </w:r>
      <w:r>
        <w:rPr/>
        <w:t>，收入结构进一步优化。其中， 对外商业印刷收入为</w:t>
      </w:r>
      <w:r>
        <w:rPr>
          <w:rFonts w:ascii="Times New Roman" w:hAnsi="Times New Roman" w:cs="Times New Roman" w:eastAsia="Times New Roman" w:hint="default"/>
        </w:rPr>
        <w:t>18,075.17</w:t>
      </w:r>
      <w:r>
        <w:rPr/>
        <w:t>万元，占营业总收入的</w:t>
      </w:r>
      <w:r>
        <w:rPr>
          <w:rFonts w:ascii="Times New Roman" w:hAnsi="Times New Roman" w:cs="Times New Roman" w:eastAsia="Times New Roman" w:hint="default"/>
        </w:rPr>
        <w:t>10.33%</w:t>
      </w:r>
      <w:r>
        <w:rPr/>
        <w:t>。因纸张等大宗原材料价格持续上涨，新闻纸、包装用纸和其 他印刷用纸全面涨价。其中，新闻纸涨幅</w:t>
      </w:r>
      <w:r>
        <w:rPr>
          <w:rFonts w:ascii="Times New Roman" w:hAnsi="Times New Roman" w:cs="Times New Roman" w:eastAsia="Times New Roman" w:hint="default"/>
        </w:rPr>
        <w:t>25 -</w:t>
      </w:r>
      <w:r>
        <w:rPr>
          <w:rFonts w:ascii="Times New Roman" w:hAnsi="Times New Roman" w:cs="Times New Roman" w:eastAsia="Times New Roman" w:hint="default"/>
          <w:spacing w:val="-3"/>
        </w:rPr>
        <w:t> </w:t>
      </w:r>
      <w:r>
        <w:rPr>
          <w:rFonts w:ascii="Times New Roman" w:hAnsi="Times New Roman" w:cs="Times New Roman" w:eastAsia="Times New Roman" w:hint="default"/>
        </w:rPr>
        <w:t>30%,</w:t>
      </w:r>
      <w:r>
        <w:rPr/>
        <w:t>包装用纸涨幅平均</w:t>
      </w:r>
      <w:r>
        <w:rPr>
          <w:rFonts w:ascii="Times New Roman" w:hAnsi="Times New Roman" w:cs="Times New Roman" w:eastAsia="Times New Roman" w:hint="default"/>
        </w:rPr>
        <w:t>5%</w:t>
      </w:r>
      <w:r>
        <w:rPr/>
        <w:t>左右，印刷业务报告期内尚未实现盈利，因成本管 理和市场拓展，印刷业务毛利率同比有所提升。</w:t>
      </w:r>
    </w:p>
    <w:p>
      <w:pPr>
        <w:pStyle w:val="BodyText"/>
        <w:spacing w:line="240" w:lineRule="auto" w:before="70"/>
        <w:ind w:left="578" w:right="0"/>
        <w:jc w:val="left"/>
      </w:pPr>
      <w:r>
        <w:rPr/>
        <w:t>报告期内，报刊发行及印刷业实现营业收入</w:t>
      </w:r>
      <w:r>
        <w:rPr>
          <w:rFonts w:ascii="Times New Roman" w:hAnsi="Times New Roman" w:cs="Times New Roman" w:eastAsia="Times New Roman" w:hint="default"/>
        </w:rPr>
        <w:t>44,954.94</w:t>
      </w:r>
      <w:r>
        <w:rPr/>
        <w:t>万元，同比上升</w:t>
      </w:r>
      <w:r>
        <w:rPr>
          <w:rFonts w:ascii="Times New Roman" w:hAnsi="Times New Roman" w:cs="Times New Roman" w:eastAsia="Times New Roman" w:hint="default"/>
        </w:rPr>
        <w:t>20.97%</w:t>
      </w:r>
      <w:r>
        <w:rPr/>
        <w:t>。</w:t>
      </w:r>
    </w:p>
    <w:p>
      <w:pPr>
        <w:spacing w:line="240" w:lineRule="auto" w:before="9"/>
        <w:rPr>
          <w:rFonts w:ascii="宋体" w:hAnsi="宋体" w:cs="宋体" w:eastAsia="宋体" w:hint="default"/>
          <w:sz w:val="16"/>
          <w:szCs w:val="16"/>
        </w:rPr>
      </w:pPr>
    </w:p>
    <w:p>
      <w:pPr>
        <w:pStyle w:val="Heading4"/>
        <w:spacing w:line="240" w:lineRule="auto"/>
        <w:ind w:left="579" w:right="0"/>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 </w:t>
      </w:r>
      <w:r>
        <w:rPr>
          <w:rFonts w:ascii="Times New Roman" w:hAnsi="Times New Roman" w:cs="Times New Roman" w:eastAsia="Times New Roman" w:hint="default"/>
          <w:spacing w:val="20"/>
        </w:rPr>
        <w:t> </w:t>
      </w:r>
      <w:r>
        <w:rPr/>
        <w:t>教育业务持续发展</w:t>
      </w:r>
      <w:r>
        <w:rPr>
          <w:b w:val="0"/>
          <w:bCs w:val="0"/>
        </w:rPr>
      </w:r>
    </w:p>
    <w:p>
      <w:pPr>
        <w:spacing w:after="0" w:line="240" w:lineRule="auto"/>
        <w:jc w:val="left"/>
        <w:sectPr>
          <w:pgSz w:w="11910" w:h="16840"/>
          <w:pgMar w:header="747" w:footer="982" w:top="1060" w:bottom="1180" w:left="9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pStyle w:val="BodyText"/>
        <w:spacing w:line="451" w:lineRule="auto"/>
        <w:ind w:left="153" w:right="1138" w:firstLine="424"/>
        <w:jc w:val="both"/>
      </w:pPr>
      <w:r>
        <w:rPr/>
        <w:t>公司持续推动教育业务的发展，加快全国布局，发展职业、国际、</w:t>
      </w:r>
      <w:r>
        <w:rPr>
          <w:rFonts w:ascii="Times New Roman" w:hAnsi="Times New Roman" w:cs="Times New Roman" w:eastAsia="Times New Roman" w:hint="default"/>
        </w:rPr>
        <w:t>IT</w:t>
      </w:r>
      <w:r>
        <w:rPr/>
        <w:t>、艺术、在线、基础六大教育板块，扩大与全国 高校合作办学领域，打造专业化教育集团。报告期内，职业教育项目总数</w:t>
      </w:r>
      <w:r>
        <w:rPr>
          <w:rFonts w:ascii="Times New Roman" w:hAnsi="Times New Roman" w:cs="Times New Roman" w:eastAsia="Times New Roman" w:hint="default"/>
        </w:rPr>
        <w:t>21</w:t>
      </w:r>
      <w:r>
        <w:rPr/>
        <w:t>个，新增</w:t>
      </w:r>
      <w:r>
        <w:rPr>
          <w:rFonts w:ascii="Times New Roman" w:hAnsi="Times New Roman" w:cs="Times New Roman" w:eastAsia="Times New Roman" w:hint="default"/>
        </w:rPr>
        <w:t>6</w:t>
      </w:r>
      <w:r>
        <w:rPr/>
        <w:t>个，国际教育项目总数</w:t>
      </w:r>
      <w:r>
        <w:rPr>
          <w:rFonts w:ascii="Times New Roman" w:hAnsi="Times New Roman" w:cs="Times New Roman" w:eastAsia="Times New Roman" w:hint="default"/>
        </w:rPr>
        <w:t>16</w:t>
      </w:r>
      <w:r>
        <w:rPr/>
        <w:t>个，本年新 增</w:t>
      </w:r>
      <w:r>
        <w:rPr>
          <w:rFonts w:ascii="Times New Roman" w:hAnsi="Times New Roman" w:cs="Times New Roman" w:eastAsia="Times New Roman" w:hint="default"/>
        </w:rPr>
        <w:t>6</w:t>
      </w:r>
      <w:r>
        <w:rPr/>
        <w:t>个，</w:t>
      </w:r>
      <w:r>
        <w:rPr>
          <w:rFonts w:ascii="Times New Roman" w:hAnsi="Times New Roman" w:cs="Times New Roman" w:eastAsia="Times New Roman" w:hint="default"/>
        </w:rPr>
        <w:t>IT</w:t>
      </w:r>
      <w:r>
        <w:rPr/>
        <w:t>教育项目总数</w:t>
      </w:r>
      <w:r>
        <w:rPr>
          <w:rFonts w:ascii="Times New Roman" w:hAnsi="Times New Roman" w:cs="Times New Roman" w:eastAsia="Times New Roman" w:hint="default"/>
        </w:rPr>
        <w:t>19</w:t>
      </w:r>
      <w:r>
        <w:rPr/>
        <w:t>个，本年新增</w:t>
      </w:r>
      <w:r>
        <w:rPr>
          <w:rFonts w:ascii="Times New Roman" w:hAnsi="Times New Roman" w:cs="Times New Roman" w:eastAsia="Times New Roman" w:hint="default"/>
        </w:rPr>
        <w:t>15</w:t>
      </w:r>
      <w:r>
        <w:rPr/>
        <w:t>个，在线教育板块中标或签约项目数量共计</w:t>
      </w:r>
      <w:r>
        <w:rPr>
          <w:rFonts w:ascii="Times New Roman" w:hAnsi="Times New Roman" w:cs="Times New Roman" w:eastAsia="Times New Roman" w:hint="default"/>
        </w:rPr>
        <w:t>27</w:t>
      </w:r>
      <w:r>
        <w:rPr/>
        <w:t>个、组织实施项目共计</w:t>
      </w:r>
      <w:r>
        <w:rPr>
          <w:rFonts w:ascii="Times New Roman" w:hAnsi="Times New Roman" w:cs="Times New Roman" w:eastAsia="Times New Roman" w:hint="default"/>
        </w:rPr>
        <w:t>23</w:t>
      </w:r>
      <w:r>
        <w:rPr/>
        <w:t>个，艺术 教育项目总数</w:t>
      </w:r>
      <w:r>
        <w:rPr>
          <w:rFonts w:ascii="Times New Roman" w:hAnsi="Times New Roman" w:cs="Times New Roman" w:eastAsia="Times New Roman" w:hint="default"/>
        </w:rPr>
        <w:t>9</w:t>
      </w:r>
      <w:r>
        <w:rPr/>
        <w:t>个，合作院校总数</w:t>
      </w:r>
      <w:r>
        <w:rPr>
          <w:rFonts w:ascii="Times New Roman" w:hAnsi="Times New Roman" w:cs="Times New Roman" w:eastAsia="Times New Roman" w:hint="default"/>
        </w:rPr>
        <w:t>47</w:t>
      </w:r>
      <w:r>
        <w:rPr/>
        <w:t>所，新增</w:t>
      </w:r>
      <w:r>
        <w:rPr>
          <w:rFonts w:ascii="Times New Roman" w:hAnsi="Times New Roman" w:cs="Times New Roman" w:eastAsia="Times New Roman" w:hint="default"/>
        </w:rPr>
        <w:t>11</w:t>
      </w:r>
      <w:r>
        <w:rPr/>
        <w:t>所，已覆盖</w:t>
      </w:r>
      <w:r>
        <w:rPr>
          <w:rFonts w:ascii="Times New Roman" w:hAnsi="Times New Roman" w:cs="Times New Roman" w:eastAsia="Times New Roman" w:hint="default"/>
        </w:rPr>
        <w:t>14</w:t>
      </w:r>
      <w:r>
        <w:rPr/>
        <w:t>个省（直辖市、自治区）</w:t>
      </w:r>
      <w:r>
        <w:rPr>
          <w:rFonts w:ascii="Times New Roman" w:hAnsi="Times New Roman" w:cs="Times New Roman" w:eastAsia="Times New Roman" w:hint="default"/>
        </w:rPr>
        <w:t>29</w:t>
      </w:r>
      <w:r>
        <w:rPr/>
        <w:t>个城市（地级市及以上），本年新 拓展</w:t>
      </w:r>
      <w:r>
        <w:rPr>
          <w:rFonts w:ascii="Times New Roman" w:hAnsi="Times New Roman" w:cs="Times New Roman" w:eastAsia="Times New Roman" w:hint="default"/>
        </w:rPr>
        <w:t>4</w:t>
      </w:r>
      <w:r>
        <w:rPr/>
        <w:t>个省（直辖市、自治区）</w:t>
      </w:r>
      <w:r>
        <w:rPr>
          <w:rFonts w:ascii="Times New Roman" w:hAnsi="Times New Roman" w:cs="Times New Roman" w:eastAsia="Times New Roman" w:hint="default"/>
        </w:rPr>
        <w:t>5</w:t>
      </w:r>
      <w:r>
        <w:rPr/>
        <w:t>个城市（地级市及以上）。</w:t>
      </w:r>
    </w:p>
    <w:p>
      <w:pPr>
        <w:pStyle w:val="BodyText"/>
        <w:spacing w:line="477" w:lineRule="auto" w:before="43"/>
        <w:ind w:left="153" w:right="0" w:firstLine="424"/>
        <w:jc w:val="left"/>
      </w:pPr>
      <w:r>
        <w:rPr/>
        <w:t>除职业教育外，公司旗下每日传媒创办杭商大学金融学院，扩大小记者实践营规模，建设商报小记者活动中心，推出 </w:t>
      </w:r>
      <w:r>
        <w:rPr>
          <w:spacing w:val="-4"/>
        </w:rPr>
        <w:t>全系列营员产品，举办两岸作文大赛等扩大影响，萧报传媒创新优化萧报学堂、小记者等活动，都快控股举办特色夏令营等，</w:t>
      </w:r>
      <w:r>
        <w:rPr>
          <w:spacing w:val="-46"/>
        </w:rPr>
        <w:t> </w:t>
      </w:r>
      <w:r>
        <w:rPr>
          <w:spacing w:val="-46"/>
        </w:rPr>
      </w:r>
      <w:r>
        <w:rPr/>
        <w:t>不断做大教育培训活动。同时，公司还投资设立浙江华媒优培资产管理有限公司，延伸华媒教育产业链。</w:t>
      </w:r>
    </w:p>
    <w:p>
      <w:pPr>
        <w:pStyle w:val="BodyText"/>
        <w:spacing w:line="240" w:lineRule="auto" w:before="54"/>
        <w:ind w:left="578" w:right="0"/>
        <w:jc w:val="left"/>
      </w:pPr>
      <w:r>
        <w:rPr/>
        <w:t>报告期内，公司的教育类业务实现营业收入</w:t>
      </w:r>
      <w:r>
        <w:rPr>
          <w:rFonts w:ascii="Times New Roman" w:hAnsi="Times New Roman" w:cs="Times New Roman" w:eastAsia="Times New Roman" w:hint="default"/>
        </w:rPr>
        <w:t>26,154.48</w:t>
      </w:r>
      <w:r>
        <w:rPr/>
        <w:t>万元，同比增长</w:t>
      </w:r>
      <w:r>
        <w:rPr>
          <w:rFonts w:ascii="Times New Roman" w:hAnsi="Times New Roman" w:cs="Times New Roman" w:eastAsia="Times New Roman" w:hint="default"/>
        </w:rPr>
        <w:t>22.86%</w:t>
      </w:r>
      <w:r>
        <w:rPr/>
        <w:t>。</w:t>
      </w:r>
    </w:p>
    <w:p>
      <w:pPr>
        <w:spacing w:line="240" w:lineRule="auto" w:before="9"/>
        <w:rPr>
          <w:rFonts w:ascii="宋体" w:hAnsi="宋体" w:cs="宋体" w:eastAsia="宋体" w:hint="default"/>
          <w:sz w:val="16"/>
          <w:szCs w:val="16"/>
        </w:rPr>
      </w:pPr>
    </w:p>
    <w:p>
      <w:pPr>
        <w:pStyle w:val="BodyText"/>
        <w:spacing w:line="463" w:lineRule="auto"/>
        <w:ind w:left="578" w:right="1146" w:firstLine="1"/>
        <w:jc w:val="left"/>
      </w:pPr>
      <w:r>
        <w:rPr>
          <w:rFonts w:ascii="Times New Roman" w:hAnsi="Times New Roman" w:cs="Times New Roman" w:eastAsia="Times New Roman" w:hint="default"/>
          <w:b/>
          <w:bCs/>
        </w:rPr>
        <w:t>(</w:t>
      </w:r>
      <w:r>
        <w:rPr>
          <w:rFonts w:ascii="宋体" w:hAnsi="宋体" w:cs="宋体" w:eastAsia="宋体" w:hint="default"/>
          <w:b/>
          <w:bCs/>
        </w:rPr>
        <w:t>四</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22"/>
        </w:rPr>
        <w:t> </w:t>
      </w:r>
      <w:r>
        <w:rPr>
          <w:rFonts w:ascii="宋体" w:hAnsi="宋体" w:cs="宋体" w:eastAsia="宋体" w:hint="default"/>
          <w:b/>
          <w:bCs/>
        </w:rPr>
        <w:t>其他业务多方拓展</w:t>
      </w:r>
      <w:r>
        <w:rPr>
          <w:rFonts w:ascii="宋体" w:hAnsi="宋体" w:cs="宋体" w:eastAsia="宋体" w:hint="default"/>
          <w:b/>
          <w:bCs/>
          <w:w w:val="99"/>
        </w:rPr>
        <w:t> </w:t>
      </w:r>
      <w:r>
        <w:rPr/>
        <w:t>报告期内，公司积极推动物流业发展，打造文化产权平台、文创园区平台，搭建文创金融平台，拓展多元融资渠道。 物流业务积极转型。报告期内，公司通过不断拓展市场，优化经营结构，管控运营成本等措施，持续推动物流配送业</w:t>
      </w:r>
    </w:p>
    <w:p>
      <w:pPr>
        <w:pStyle w:val="BodyText"/>
        <w:spacing w:line="463" w:lineRule="auto" w:before="65"/>
        <w:ind w:right="0"/>
        <w:jc w:val="left"/>
      </w:pPr>
      <w:r>
        <w:rPr>
          <w:spacing w:val="-4"/>
        </w:rPr>
        <w:t>务转型发展，实现信息物流持续增长，电商物流稳中有进，生活物流快速成长。信息物流上，公司发挥专业优势和渠道优势，</w:t>
      </w:r>
      <w:r>
        <w:rPr>
          <w:spacing w:val="-44"/>
        </w:rPr>
        <w:t> </w:t>
      </w:r>
      <w:r>
        <w:rPr>
          <w:spacing w:val="-44"/>
        </w:rPr>
      </w:r>
      <w:r>
        <w:rPr/>
        <w:t>代理报刊</w:t>
      </w:r>
      <w:r>
        <w:rPr>
          <w:rFonts w:ascii="Times New Roman" w:hAnsi="Times New Roman" w:cs="Times New Roman" w:eastAsia="Times New Roman" w:hint="default"/>
        </w:rPr>
        <w:t>89</w:t>
      </w:r>
      <w:r>
        <w:rPr/>
        <w:t>种，</w:t>
      </w:r>
      <w:r>
        <w:rPr>
          <w:rFonts w:ascii="Times New Roman" w:hAnsi="Times New Roman" w:cs="Times New Roman" w:eastAsia="Times New Roman" w:hint="default"/>
        </w:rPr>
        <w:t>DM</w:t>
      </w:r>
      <w:r>
        <w:rPr/>
        <w:t>广告发挥精准直投优势，拓展房产、健康、商贸等行业，业绩触底回升。电商物流上，与京东物流紧密 合作，执行“爬坡计划”实现扩点增量，全年配送包裹</w:t>
      </w:r>
      <w:r>
        <w:rPr>
          <w:rFonts w:ascii="Times New Roman" w:hAnsi="Times New Roman" w:cs="Times New Roman" w:eastAsia="Times New Roman" w:hint="default"/>
        </w:rPr>
        <w:t>218</w:t>
      </w:r>
      <w:r>
        <w:rPr/>
        <w:t>万件，日均单量同比增长一倍多，服务履约率和客诉控制率均保 持行业领先。生活物流上，公司深耕“互联网+鲜花”行业，与上海花加、花点时间、杭州门客达成配送合作；深化花加营 销，拓展区域空间，代理湖北、浙江两省配送，全年配送鲜花</w:t>
      </w:r>
      <w:r>
        <w:rPr>
          <w:rFonts w:ascii="Times New Roman" w:hAnsi="Times New Roman" w:cs="Times New Roman" w:eastAsia="Times New Roman" w:hint="default"/>
        </w:rPr>
        <w:t>156</w:t>
      </w:r>
      <w:r>
        <w:rPr/>
        <w:t>万单，单量同比增长</w:t>
      </w:r>
      <w:r>
        <w:rPr>
          <w:rFonts w:ascii="Times New Roman" w:hAnsi="Times New Roman" w:cs="Times New Roman" w:eastAsia="Times New Roman" w:hint="default"/>
        </w:rPr>
        <w:t>88%</w:t>
      </w:r>
      <w:r>
        <w:rPr/>
        <w:t>。</w:t>
      </w:r>
    </w:p>
    <w:p>
      <w:pPr>
        <w:pStyle w:val="BodyText"/>
        <w:spacing w:line="460" w:lineRule="auto" w:before="33"/>
        <w:ind w:right="1128" w:firstLine="424"/>
        <w:jc w:val="both"/>
      </w:pPr>
      <w:r>
        <w:rPr>
          <w:spacing w:val="-2"/>
        </w:rPr>
        <w:t>文化产权平台持续拓展。报告期内，参股公司杭州文交所继续拓展泛文化产权交易板块，全年实现产权交易成交额</w:t>
      </w:r>
      <w:r>
        <w:rPr>
          <w:rFonts w:ascii="Times New Roman" w:hAnsi="Times New Roman" w:cs="Times New Roman" w:eastAsia="Times New Roman" w:hint="default"/>
          <w:spacing w:val="-2"/>
        </w:rPr>
        <w:t>2.66</w:t>
      </w:r>
      <w:r>
        <w:rPr>
          <w:rFonts w:ascii="Times New Roman" w:hAnsi="Times New Roman" w:cs="Times New Roman" w:eastAsia="Times New Roman" w:hint="default"/>
        </w:rPr>
        <w:t> </w:t>
      </w:r>
      <w:r>
        <w:rPr>
          <w:spacing w:val="-1"/>
        </w:rPr>
        <w:t>亿元，同比增长超</w:t>
      </w:r>
      <w:r>
        <w:rPr>
          <w:rFonts w:ascii="Times New Roman" w:hAnsi="Times New Roman" w:cs="Times New Roman" w:eastAsia="Times New Roman" w:hint="default"/>
          <w:spacing w:val="-1"/>
        </w:rPr>
        <w:t>30%</w:t>
      </w:r>
      <w:r>
        <w:rPr>
          <w:spacing w:val="-1"/>
        </w:rPr>
        <w:t>；文交所承办的</w:t>
      </w:r>
      <w:r>
        <w:rPr>
          <w:rFonts w:ascii="Times New Roman" w:hAnsi="Times New Roman" w:cs="Times New Roman" w:eastAsia="Times New Roman" w:hint="default"/>
          <w:spacing w:val="-1"/>
        </w:rPr>
        <w:t>2018</w:t>
      </w:r>
      <w:r>
        <w:rPr>
          <w:spacing w:val="-1"/>
        </w:rPr>
        <w:t>杭州第四届版权合作与交易大会成交额高达</w:t>
      </w:r>
      <w:r>
        <w:rPr>
          <w:rFonts w:ascii="Times New Roman" w:hAnsi="Times New Roman" w:cs="Times New Roman" w:eastAsia="Times New Roman" w:hint="default"/>
          <w:spacing w:val="-1"/>
        </w:rPr>
        <w:t>1.44</w:t>
      </w:r>
      <w:r>
        <w:rPr>
          <w:spacing w:val="-1"/>
        </w:rPr>
        <w:t>亿元。子公司华泰一媒参与杭州</w:t>
      </w:r>
      <w:r>
        <w:rPr>
          <w:spacing w:val="-40"/>
        </w:rPr>
        <w:t> </w:t>
      </w:r>
      <w:r>
        <w:rPr>
          <w:spacing w:val="-40"/>
        </w:rPr>
      </w:r>
      <w:r>
        <w:rPr>
          <w:spacing w:val="-2"/>
        </w:rPr>
        <w:t>市互联网法院司法区块链建设，为发起成员单位。同时在国内首次以区块链方式对数字证据进行保全，取得司法采信。该公</w:t>
      </w:r>
      <w:r>
        <w:rPr>
          <w:spacing w:val="-66"/>
        </w:rPr>
        <w:t> </w:t>
      </w:r>
      <w:r>
        <w:rPr>
          <w:spacing w:val="-66"/>
        </w:rPr>
      </w:r>
      <w:r>
        <w:rPr>
          <w:spacing w:val="-2"/>
        </w:rPr>
        <w:t>司拥有</w:t>
      </w:r>
      <w:r>
        <w:rPr>
          <w:rFonts w:ascii="Times New Roman" w:hAnsi="Times New Roman" w:cs="Times New Roman" w:eastAsia="Times New Roman" w:hint="default"/>
          <w:spacing w:val="-2"/>
        </w:rPr>
        <w:t>14</w:t>
      </w:r>
      <w:r>
        <w:rPr>
          <w:spacing w:val="-2"/>
        </w:rPr>
        <w:t>个自有知识产权，其自行研发版权保护系统，除用于新闻版权维权外，还与有关方面共同以区块链方式进行中国网</w:t>
      </w:r>
      <w:r>
        <w:rPr>
          <w:spacing w:val="-64"/>
        </w:rPr>
        <w:t> </w:t>
      </w:r>
      <w:r>
        <w:rPr>
          <w:spacing w:val="-64"/>
        </w:rPr>
      </w:r>
      <w:r>
        <w:rPr>
          <w:spacing w:val="-2"/>
        </w:rPr>
        <w:t>络作家版权的原创保护。公司参股成立火鸟公司，支持火鸟财经聚合各方资源，深度解读政策导向和产业发展动态，传播区</w:t>
      </w:r>
      <w:r>
        <w:rPr>
          <w:spacing w:val="-66"/>
        </w:rPr>
        <w:t> </w:t>
      </w:r>
      <w:r>
        <w:rPr>
          <w:spacing w:val="-66"/>
        </w:rPr>
      </w:r>
      <w:r>
        <w:rPr/>
        <w:t>块链资讯和科技创新信息。报告期内，火鸟财经举办了重构世界</w:t>
      </w:r>
      <w:r>
        <w:rPr>
          <w:rFonts w:ascii="Times New Roman" w:hAnsi="Times New Roman" w:cs="Times New Roman" w:eastAsia="Times New Roman" w:hint="default"/>
        </w:rPr>
        <w:t>•2018</w:t>
      </w:r>
      <w:r>
        <w:rPr/>
        <w:t>区块链新经济杭州峰会，市场反响良好。</w:t>
      </w:r>
    </w:p>
    <w:p>
      <w:pPr>
        <w:pStyle w:val="BodyText"/>
        <w:spacing w:line="468" w:lineRule="auto" w:before="35"/>
        <w:ind w:right="1131" w:firstLine="424"/>
        <w:jc w:val="both"/>
      </w:pPr>
      <w:r>
        <w:rPr/>
        <w:t>文化园区平台稳步推进。公司注重培养自有管理运营专业团队，做好各文创综合体项目的运维。报告期内，公司收购 </w:t>
      </w:r>
      <w:r>
        <w:rPr>
          <w:spacing w:val="-1"/>
        </w:rPr>
        <w:t>杭州萧文置业有限公司</w:t>
      </w:r>
      <w:r>
        <w:rPr>
          <w:rFonts w:ascii="Times New Roman" w:hAnsi="Times New Roman" w:cs="Times New Roman" w:eastAsia="Times New Roman" w:hint="default"/>
          <w:spacing w:val="-1"/>
        </w:rPr>
        <w:t>55%</w:t>
      </w:r>
      <w:r>
        <w:rPr>
          <w:spacing w:val="-1"/>
        </w:rPr>
        <w:t>股权，将用以打造“华媒智谷”。参股的华媒科创园引入新榜、国芝等实力企业，不断优化园区</w:t>
      </w:r>
      <w:r>
        <w:rPr/>
        <w:t> </w:t>
      </w:r>
      <w:r>
        <w:rPr>
          <w:spacing w:val="-2"/>
        </w:rPr>
        <w:t>企业质量；投资设立杭州华媒数创企业管理有限公司，开展华媒数字文创园项目；大江东融媒体智造集群总部基地项目完成</w:t>
      </w:r>
      <w:r>
        <w:rPr>
          <w:spacing w:val="-66"/>
        </w:rPr>
        <w:t> </w:t>
      </w:r>
      <w:r>
        <w:rPr>
          <w:spacing w:val="-66"/>
        </w:rPr>
      </w:r>
      <w:r>
        <w:rPr/>
        <w:t>土地招拍挂及设计招标；九堡地块项目启动产业论证。</w:t>
      </w:r>
    </w:p>
    <w:p>
      <w:pPr>
        <w:pStyle w:val="BodyText"/>
        <w:spacing w:line="463" w:lineRule="auto" w:before="61"/>
        <w:ind w:right="1128" w:firstLine="424"/>
        <w:jc w:val="both"/>
      </w:pPr>
      <w:r>
        <w:rPr/>
        <w:t>文创金融平台逐步搭建。报告期内，公司与杭实基金共同成立了杭州杭实华媒投资管理合伙企业（有限合伙），认购 华侨祥瑞物业费资产证券化私募投资基金壹号、合信安胜</w:t>
      </w:r>
      <w:r>
        <w:rPr>
          <w:rFonts w:ascii="Times New Roman" w:hAnsi="Times New Roman" w:cs="Times New Roman" w:eastAsia="Times New Roman" w:hint="default"/>
        </w:rPr>
        <w:t>2</w:t>
      </w:r>
      <w:r>
        <w:rPr/>
        <w:t>号私募基金、浙金</w:t>
      </w:r>
      <w:r>
        <w:rPr>
          <w:rFonts w:ascii="Times New Roman" w:hAnsi="Times New Roman" w:cs="Times New Roman" w:eastAsia="Times New Roman" w:hint="default"/>
        </w:rPr>
        <w:t>▪</w:t>
      </w:r>
      <w:r>
        <w:rPr/>
        <w:t>汇业</w:t>
      </w:r>
      <w:r>
        <w:rPr>
          <w:rFonts w:ascii="Times New Roman" w:hAnsi="Times New Roman" w:cs="Times New Roman" w:eastAsia="Times New Roman" w:hint="default"/>
        </w:rPr>
        <w:t>187</w:t>
      </w:r>
      <w:r>
        <w:rPr/>
        <w:t>号北京长海御墅集合资金信托计划。 </w:t>
      </w:r>
      <w:r>
        <w:rPr>
          <w:spacing w:val="-2"/>
        </w:rPr>
        <w:t>公司完成融资注册工作，已完成公司债、超短融的注册工作，为后续发展提供资金支持。同时，积极推进各方资源整合，参</w:t>
      </w:r>
    </w:p>
    <w:p>
      <w:pPr>
        <w:spacing w:after="0" w:line="463" w:lineRule="auto"/>
        <w:jc w:val="both"/>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left="153" w:right="0"/>
        <w:jc w:val="left"/>
      </w:pPr>
      <w:r>
        <w:rPr>
          <w:spacing w:val="-2"/>
        </w:rPr>
        <w:t>与发起成立杭州市企业上市与并购促进会。目前，华侨祥瑞物业费资产证券化私募投资基金壹号和浙金</w:t>
      </w:r>
      <w:r>
        <w:rPr>
          <w:rFonts w:ascii="Times New Roman" w:hAnsi="Times New Roman" w:cs="Times New Roman" w:eastAsia="Times New Roman" w:hint="default"/>
          <w:spacing w:val="-2"/>
        </w:rPr>
        <w:t>▪</w:t>
      </w:r>
      <w:r>
        <w:rPr>
          <w:spacing w:val="-2"/>
        </w:rPr>
        <w:t>汇业</w:t>
      </w:r>
      <w:r>
        <w:rPr>
          <w:rFonts w:ascii="Times New Roman" w:hAnsi="Times New Roman" w:cs="Times New Roman" w:eastAsia="Times New Roman" w:hint="default"/>
          <w:spacing w:val="-2"/>
        </w:rPr>
        <w:t>187</w:t>
      </w:r>
      <w:r>
        <w:rPr>
          <w:spacing w:val="-2"/>
        </w:rPr>
        <w:t>号北京长海</w:t>
      </w:r>
      <w:r>
        <w:rPr>
          <w:spacing w:val="-38"/>
        </w:rPr>
        <w:t> </w:t>
      </w:r>
      <w:r>
        <w:rPr/>
        <w:t>御墅集合资金信托计划已按期收回投资，超短融第一期已发行完毕。</w:t>
      </w:r>
    </w:p>
    <w:p>
      <w:pPr>
        <w:pStyle w:val="BodyText"/>
        <w:spacing w:line="451" w:lineRule="auto" w:before="74"/>
        <w:ind w:left="578" w:right="0" w:firstLine="1"/>
        <w:jc w:val="left"/>
      </w:pPr>
      <w:r>
        <w:rPr>
          <w:rFonts w:ascii="Times New Roman" w:hAnsi="Times New Roman" w:cs="Times New Roman" w:eastAsia="Times New Roman" w:hint="default"/>
          <w:b/>
          <w:bCs/>
        </w:rPr>
        <w:t>(</w:t>
      </w:r>
      <w:r>
        <w:rPr>
          <w:rFonts w:ascii="宋体" w:hAnsi="宋体" w:cs="宋体" w:eastAsia="宋体" w:hint="default"/>
          <w:b/>
          <w:bCs/>
        </w:rPr>
        <w:t>五</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22"/>
        </w:rPr>
        <w:t> </w:t>
      </w:r>
      <w:r>
        <w:rPr>
          <w:rFonts w:ascii="宋体" w:hAnsi="宋体" w:cs="宋体" w:eastAsia="宋体" w:hint="default"/>
          <w:b/>
          <w:bCs/>
        </w:rPr>
        <w:t>党建工作全面完善</w:t>
      </w:r>
      <w:r>
        <w:rPr>
          <w:rFonts w:ascii="宋体" w:hAnsi="宋体" w:cs="宋体" w:eastAsia="宋体" w:hint="default"/>
          <w:b/>
          <w:bCs/>
          <w:w w:val="99"/>
        </w:rPr>
        <w:t> </w:t>
      </w:r>
      <w:r>
        <w:rPr>
          <w:spacing w:val="-2"/>
        </w:rPr>
        <w:t>公司始终把政治建设摆在首位，坚持党建全覆盖，全面加强高素质专业化干部队伍建设，完善华媒控股党委工作机制，</w:t>
      </w:r>
    </w:p>
    <w:p>
      <w:pPr>
        <w:pStyle w:val="BodyText"/>
        <w:spacing w:line="477" w:lineRule="auto" w:before="74"/>
        <w:ind w:right="1128"/>
        <w:jc w:val="both"/>
      </w:pPr>
      <w:r>
        <w:rPr>
          <w:spacing w:val="-2"/>
        </w:rPr>
        <w:t>制定完成公司党建、纪检年度工作计划，按照上级党委要求开展“四提一争”专项教育实践活动，推进两学一做学习教育制</w:t>
      </w:r>
      <w:r>
        <w:rPr>
          <w:spacing w:val="-66"/>
        </w:rPr>
        <w:t> </w:t>
      </w:r>
      <w:r>
        <w:rPr>
          <w:spacing w:val="-66"/>
        </w:rPr>
      </w:r>
      <w:r>
        <w:rPr>
          <w:spacing w:val="-2"/>
        </w:rPr>
        <w:t>度化常态化，完成每月主题党日活动，做好党员发展、组织关系转接、党费收缴、智慧党建等工作，进一步夯实国企党建工</w:t>
      </w:r>
      <w:r>
        <w:rPr>
          <w:spacing w:val="-67"/>
        </w:rPr>
        <w:t> </w:t>
      </w:r>
      <w:r>
        <w:rPr>
          <w:spacing w:val="-67"/>
        </w:rPr>
      </w:r>
      <w:r>
        <w:rPr/>
        <w:t>作基础。</w:t>
      </w:r>
    </w:p>
    <w:p>
      <w:pPr>
        <w:spacing w:line="240" w:lineRule="auto" w:before="7"/>
        <w:rPr>
          <w:rFonts w:ascii="宋体" w:hAnsi="宋体" w:cs="宋体" w:eastAsia="宋体" w:hint="default"/>
          <w:sz w:val="17"/>
          <w:szCs w:val="17"/>
        </w:rPr>
      </w:pPr>
    </w:p>
    <w:p>
      <w:pPr>
        <w:pStyle w:val="Heading2"/>
        <w:spacing w:line="240" w:lineRule="auto"/>
        <w:ind w:right="0"/>
        <w:jc w:val="left"/>
        <w:rPr>
          <w:b w:val="0"/>
          <w:bCs w:val="0"/>
        </w:rPr>
      </w:pP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4" w:right="647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4"/>
        <w:gridCol w:w="1598"/>
        <w:gridCol w:w="1586"/>
        <w:gridCol w:w="1599"/>
      </w:tblGrid>
      <w:tr>
        <w:trPr>
          <w:trHeight w:val="205"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318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7" w:hRule="exact"/>
        </w:trPr>
        <w:tc>
          <w:tcPr>
            <w:tcW w:w="1596" w:type="dxa"/>
            <w:vMerge w:val="restart"/>
            <w:tcBorders>
              <w:top w:val="nil" w:sz="6" w:space="0" w:color="auto"/>
              <w:left w:val="single" w:sz="4" w:space="0" w:color="000000"/>
              <w:right w:val="single" w:sz="4" w:space="0" w:color="000000"/>
            </w:tcBorders>
            <w:shd w:val="clear" w:color="auto" w:fill="D3D3D3"/>
          </w:tcPr>
          <w:p>
            <w:pPr/>
          </w:p>
        </w:tc>
        <w:tc>
          <w:tcPr>
            <w:tcW w:w="3188" w:type="dxa"/>
            <w:gridSpan w:val="2"/>
            <w:vMerge/>
            <w:tcBorders>
              <w:left w:val="single" w:sz="4" w:space="0" w:color="000000"/>
              <w:bottom w:val="single" w:sz="4" w:space="0" w:color="000000"/>
              <w:right w:val="single" w:sz="4" w:space="0" w:color="000000"/>
            </w:tcBorders>
            <w:shd w:val="clear" w:color="auto" w:fill="D3D3D3"/>
          </w:tcPr>
          <w:p>
            <w:pPr/>
          </w:p>
        </w:tc>
        <w:tc>
          <w:tcPr>
            <w:tcW w:w="3184" w:type="dxa"/>
            <w:gridSpan w:val="2"/>
            <w:vMerge/>
            <w:tcBorders>
              <w:left w:val="single" w:sz="4" w:space="0" w:color="000000"/>
              <w:bottom w:val="single" w:sz="4" w:space="0" w:color="000000"/>
              <w:right w:val="single" w:sz="4" w:space="0" w:color="000000"/>
            </w:tcBorders>
            <w:shd w:val="clear" w:color="auto" w:fill="D3D3D3"/>
          </w:tcPr>
          <w:p>
            <w:pPr/>
          </w:p>
        </w:tc>
        <w:tc>
          <w:tcPr>
            <w:tcW w:w="159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6" w:type="dxa"/>
            <w:vMerge/>
            <w:tcBorders>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8" w:type="dxa"/>
            <w:vMerge/>
            <w:tcBorders>
              <w:left w:val="single" w:sz="4" w:space="0" w:color="000000"/>
              <w:bottom w:val="single" w:sz="4" w:space="0" w:color="000000"/>
              <w:right w:val="single" w:sz="4" w:space="0" w:color="000000"/>
            </w:tcBorders>
            <w:shd w:val="clear" w:color="auto" w:fill="D3D3D3"/>
          </w:tcPr>
          <w:p>
            <w:pPr/>
          </w:p>
        </w:tc>
        <w:tc>
          <w:tcPr>
            <w:tcW w:w="1586" w:type="dxa"/>
            <w:vMerge/>
            <w:tcBorders>
              <w:left w:val="single" w:sz="4" w:space="0" w:color="000000"/>
              <w:bottom w:val="single" w:sz="4" w:space="0" w:color="000000"/>
              <w:right w:val="single" w:sz="4" w:space="0" w:color="000000"/>
            </w:tcBorders>
            <w:shd w:val="clear" w:color="auto" w:fill="D3D3D3"/>
          </w:tcPr>
          <w:p>
            <w:pPr/>
          </w:p>
        </w:tc>
        <w:tc>
          <w:tcPr>
            <w:tcW w:w="1599"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1,749,518,996.88</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598"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1,832,268,001.47</w:t>
            </w:r>
          </w:p>
        </w:tc>
        <w:tc>
          <w:tcPr>
            <w:tcW w:w="1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-4.52%</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广告及策划业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905,486,162.80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51.75%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900,570,182.47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49.15%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报刊及印刷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449,549,356.74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371,614,064.13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20.28%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261,544,772.47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212,887,357.90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11.62%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132,938,704.87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119,979,475.55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6.55%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227,216,921.42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12.40%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广告及策划业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522,074,894.91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29.84%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525,706,063.76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28.69%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新媒体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98,694,028.68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122,450,205.10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6.68%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户外广告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284,717,239.21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252,413,913.61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13.78%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报刊发行业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268,797,665.24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189,893,737.81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10.36%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41.55%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261,544,772.47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212,887,357.90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11.62%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180,751,691.50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181,720,326.32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9.92%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78,666,977.09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75,165,575.70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4.10%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54,271,727.78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44,813,899.85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21.10%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227,216,921.42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1,749,518,996.88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1,832,268,001.47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0"/>
        </w:sectPr>
      </w:pPr>
    </w:p>
    <w:p>
      <w:pPr>
        <w:pStyle w:val="BodyText"/>
        <w:spacing w:line="34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单位：元</w:t>
      </w:r>
    </w:p>
    <w:p>
      <w:pPr>
        <w:spacing w:after="0" w:line="240" w:lineRule="auto"/>
        <w:jc w:val="left"/>
        <w:sectPr>
          <w:type w:val="continuous"/>
          <w:pgSz w:w="11910" w:h="16840"/>
          <w:pgMar w:top="1060" w:bottom="1180" w:left="980" w:right="0"/>
          <w:cols w:num="2" w:equalWidth="0">
            <w:col w:w="3215" w:space="5704"/>
            <w:col w:w="201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广告及策划业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905,486,162.80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674,576,335.49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报刊及印刷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449,549,356.74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390,762,222.48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261,544,772.47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108,748,809.61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-4.71%</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广告及策划业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522,074,894.91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388,170,494.20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11.45%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新媒体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98,694,028.68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63,136,398.70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户外广告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284,717,239.21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223,269,442.59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报刊发行业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268,797,665.24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198,276,094.87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261,544,772.47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108,748,809.61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-4.71%</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1,749,518,996.88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1,266,925,773.62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w:t>
            </w:r>
          </w:p>
        </w:tc>
      </w:tr>
    </w:tbl>
    <w:p>
      <w:pPr>
        <w:pStyle w:val="BodyText"/>
        <w:spacing w:line="240" w:lineRule="auto" w:before="51"/>
        <w:ind w:right="0"/>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行业和产品分类</w:t>
      </w:r>
    </w:p>
    <w:p>
      <w:pPr>
        <w:spacing w:after="0" w:line="240" w:lineRule="auto"/>
        <w:jc w:val="left"/>
        <w:sectPr>
          <w:type w:val="continuous"/>
          <w:pgSz w:w="11910" w:h="16840"/>
          <w:pgMar w:top="1060" w:bottom="118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广告及策划业</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674,576,335.49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639,674,907.60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5.46%</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报刊及印刷</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390,762,222.48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389,435,041.87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0.34%</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108,748,809.61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78,489,957.56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38.55%</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92,838,406.04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102,079,805.89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-9.05%</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158,714,760.54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广告及策划业</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388,170,494.20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348,276,638.07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11.45%</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新媒体</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63,136,398.70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86,924,621.10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-27.37%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户外广告</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223,269,442.59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204,473,648.43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9.19%</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报刊发行业</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198,276,094.87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190,416,599.30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4.13%</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108,748,809.61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78,489,957.56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38.55%</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192,486,127.61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199,018,442.57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-3.28%</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78,358,830.54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70,385,813.52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11.33%</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14,479,575.50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31,693,992.37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-54.31%</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158,714,760.54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245"/>
        <w:gridCol w:w="4322"/>
      </w:tblGrid>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130,463,062.85</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7.46%</w:t>
            </w:r>
          </w:p>
        </w:tc>
      </w:tr>
      <w:tr>
        <w:trPr>
          <w:trHeight w:val="403"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779"/>
        <w:gridCol w:w="3312"/>
        <w:gridCol w:w="2322"/>
        <w:gridCol w:w="3143"/>
      </w:tblGrid>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w:t>
            </w:r>
          </w:p>
        </w:tc>
        <w:tc>
          <w:tcPr>
            <w:tcW w:w="331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48,515,666.59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2.77%</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w:t>
            </w:r>
          </w:p>
        </w:tc>
        <w:tc>
          <w:tcPr>
            <w:tcW w:w="331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22,899,650.00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1.31%</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w:t>
            </w:r>
          </w:p>
        </w:tc>
        <w:tc>
          <w:tcPr>
            <w:tcW w:w="331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20,924,774.13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w:t>
            </w:r>
          </w:p>
        </w:tc>
        <w:tc>
          <w:tcPr>
            <w:tcW w:w="331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20,676,647.52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1.18%</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w:t>
            </w:r>
          </w:p>
        </w:tc>
        <w:tc>
          <w:tcPr>
            <w:tcW w:w="331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17,446,324.61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130,463,062.85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7.46%</w:t>
            </w:r>
          </w:p>
        </w:tc>
      </w:tr>
    </w:tbl>
    <w:p>
      <w:pPr>
        <w:pStyle w:val="BodyText"/>
        <w:spacing w:line="240" w:lineRule="auto" w:before="51"/>
        <w:ind w:right="0"/>
        <w:jc w:val="left"/>
      </w:pPr>
      <w:r>
        <w:rPr/>
        <w:t>主要客户其他情况说明</w:t>
      </w:r>
    </w:p>
    <w:p>
      <w:pPr>
        <w:pStyle w:val="BodyText"/>
        <w:spacing w:line="340" w:lineRule="auto" w:before="116"/>
        <w:ind w:right="9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290,726,701.37</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22.95%</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68"/>
        <w:gridCol w:w="2333"/>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3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120,239,751.09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3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60,338,355.23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3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52,241,282.35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3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32,776,091.36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3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25,131,221.34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w:t>
            </w:r>
          </w:p>
        </w:tc>
        <w:tc>
          <w:tcPr>
            <w:tcW w:w="233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290,726,701.37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22.95%</w:t>
            </w:r>
          </w:p>
        </w:tc>
      </w:tr>
    </w:tbl>
    <w:p>
      <w:pPr>
        <w:pStyle w:val="BodyText"/>
        <w:spacing w:line="240" w:lineRule="auto" w:before="51"/>
        <w:ind w:right="0"/>
        <w:jc w:val="left"/>
      </w:pPr>
      <w:r>
        <w:rPr/>
        <w:t>主要供应商其他情况说明</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1"/>
        <w:gridCol w:w="2906"/>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131,788,710.57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115,133,381.95</w:t>
            </w:r>
          </w:p>
        </w:tc>
        <w:tc>
          <w:tcPr>
            <w:tcW w:w="1461" w:type="dxa"/>
            <w:tcBorders>
              <w:top w:val="single" w:sz="4" w:space="0" w:color="000000"/>
              <w:left w:val="single" w:sz="4" w:space="0" w:color="000000"/>
              <w:bottom w:val="single" w:sz="4" w:space="0" w:color="000000"/>
              <w:right w:val="single" w:sz="9" w:space="0" w:color="C7EDCC"/>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z w:val="18"/>
              </w:rPr>
              <w:t>14.47%</w:t>
            </w:r>
          </w:p>
        </w:tc>
        <w:tc>
          <w:tcPr>
            <w:tcW w:w="2906"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171,990,584.62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163,822,309.73</w:t>
            </w:r>
          </w:p>
        </w:tc>
        <w:tc>
          <w:tcPr>
            <w:tcW w:w="1461" w:type="dxa"/>
            <w:tcBorders>
              <w:top w:val="single" w:sz="4" w:space="0" w:color="000000"/>
              <w:left w:val="single" w:sz="4" w:space="0" w:color="000000"/>
              <w:bottom w:val="single" w:sz="4" w:space="0" w:color="000000"/>
              <w:right w:val="single" w:sz="9" w:space="0" w:color="C7EDCC"/>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z w:val="18"/>
              </w:rPr>
              <w:t>4.99%</w:t>
            </w:r>
          </w:p>
        </w:tc>
        <w:tc>
          <w:tcPr>
            <w:tcW w:w="2906"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10,480,791.24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1,024,436.28</w:t>
            </w:r>
          </w:p>
        </w:tc>
        <w:tc>
          <w:tcPr>
            <w:tcW w:w="1461" w:type="dxa"/>
            <w:tcBorders>
              <w:top w:val="single" w:sz="4" w:space="0" w:color="000000"/>
              <w:left w:val="single" w:sz="4" w:space="0" w:color="000000"/>
              <w:bottom w:val="single" w:sz="4" w:space="0" w:color="000000"/>
              <w:right w:val="single" w:sz="9" w:space="0" w:color="C7EDCC"/>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z w:val="18"/>
              </w:rPr>
              <w:t>923.08%</w:t>
            </w:r>
          </w:p>
        </w:tc>
        <w:tc>
          <w:tcPr>
            <w:tcW w:w="29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7"/>
              <w:jc w:val="center"/>
              <w:rPr>
                <w:rFonts w:ascii="宋体" w:hAnsi="宋体" w:cs="宋体" w:eastAsia="宋体" w:hint="default"/>
                <w:sz w:val="18"/>
                <w:szCs w:val="18"/>
              </w:rPr>
            </w:pPr>
            <w:r>
              <w:rPr>
                <w:rFonts w:ascii="宋体" w:hAnsi="宋体" w:cs="宋体" w:eastAsia="宋体" w:hint="default"/>
                <w:sz w:val="18"/>
                <w:szCs w:val="18"/>
              </w:rPr>
              <w:t>主要系银行贷款利息支出增加所致。</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4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10,612,874.73</w:t>
            </w:r>
          </w:p>
        </w:tc>
        <w:tc>
          <w:tcPr>
            <w:tcW w:w="1637" w:type="dxa"/>
            <w:tcBorders>
              <w:top w:val="single" w:sz="4" w:space="0" w:color="000000"/>
              <w:left w:val="single" w:sz="4" w:space="0" w:color="000000"/>
              <w:bottom w:val="single" w:sz="4" w:space="0" w:color="000000"/>
              <w:right w:val="single" w:sz="9" w:space="0" w:color="C7EDCC"/>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17,224,634.68</w:t>
            </w:r>
          </w:p>
        </w:tc>
        <w:tc>
          <w:tcPr>
            <w:tcW w:w="14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2"/>
              <w:ind w:right="92"/>
              <w:jc w:val="right"/>
              <w:rPr>
                <w:rFonts w:ascii="Times New Roman" w:hAnsi="Times New Roman" w:cs="Times New Roman" w:eastAsia="Times New Roman" w:hint="default"/>
                <w:sz w:val="18"/>
                <w:szCs w:val="18"/>
              </w:rPr>
            </w:pPr>
            <w:r>
              <w:rPr>
                <w:rFonts w:ascii="Times New Roman"/>
                <w:spacing w:val="-1"/>
                <w:sz w:val="18"/>
              </w:rPr>
              <w:t>-38.39%</w:t>
            </w:r>
          </w:p>
        </w:tc>
        <w:tc>
          <w:tcPr>
            <w:tcW w:w="2906" w:type="dxa"/>
            <w:tcBorders>
              <w:top w:val="single" w:sz="4" w:space="0" w:color="000000"/>
              <w:left w:val="single" w:sz="4" w:space="0" w:color="000000"/>
              <w:bottom w:val="single" w:sz="4" w:space="0" w:color="000000"/>
              <w:right w:val="single" w:sz="4" w:space="0" w:color="000000"/>
            </w:tcBorders>
            <w:shd w:val="clear" w:color="auto" w:fill="C7EDCC"/>
          </w:tcPr>
          <w:p>
            <w:pPr/>
          </w:p>
        </w:tc>
      </w:tr>
    </w:tbl>
    <w:p>
      <w:pPr>
        <w:spacing w:after="0"/>
        <w:sectPr>
          <w:pgSz w:w="11910" w:h="16840"/>
          <w:pgMar w:header="747"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7" w:lineRule="auto" w:before="101"/>
        <w:ind w:right="1128" w:firstLine="360"/>
        <w:jc w:val="both"/>
      </w:pPr>
      <w:r>
        <w:rPr>
          <w:rFonts w:ascii="Times New Roman" w:hAnsi="Times New Roman" w:cs="Times New Roman" w:eastAsia="Times New Roman" w:hint="default"/>
        </w:rPr>
        <w:t>2018</w:t>
      </w:r>
      <w:r>
        <w:rPr/>
        <w:t>年，中教未来及其所属公司研发了</w:t>
      </w:r>
      <w:r>
        <w:rPr>
          <w:rFonts w:ascii="Times New Roman" w:hAnsi="Times New Roman" w:cs="Times New Roman" w:eastAsia="Times New Roman" w:hint="default"/>
        </w:rPr>
        <w:t>8</w:t>
      </w:r>
      <w:r>
        <w:rPr/>
        <w:t>个项目，分别涉及：中教未来高校报名管理系统、云计算创新实验室、大数据 </w:t>
      </w:r>
      <w:r>
        <w:rPr>
          <w:spacing w:val="-2"/>
        </w:rPr>
        <w:t>实验室、</w:t>
      </w:r>
      <w:r>
        <w:rPr>
          <w:rFonts w:ascii="Times New Roman" w:hAnsi="Times New Roman" w:cs="Times New Roman" w:eastAsia="Times New Roman" w:hint="default"/>
          <w:spacing w:val="-2"/>
        </w:rPr>
        <w:t>“</w:t>
      </w:r>
      <w:r>
        <w:rPr>
          <w:spacing w:val="-2"/>
        </w:rPr>
        <w:t>全国教师培训网</w:t>
      </w:r>
      <w:r>
        <w:rPr>
          <w:rFonts w:ascii="Times New Roman" w:hAnsi="Times New Roman" w:cs="Times New Roman" w:eastAsia="Times New Roman" w:hint="default"/>
          <w:spacing w:val="-2"/>
        </w:rPr>
        <w:t>”</w:t>
      </w:r>
      <w:r>
        <w:rPr>
          <w:spacing w:val="-2"/>
        </w:rPr>
        <w:t>校区服务平台建设、会议报名系统、北京市快递协会学习平台等。截至报告日，上述项目均已研</w:t>
      </w:r>
      <w:r>
        <w:rPr>
          <w:spacing w:val="-41"/>
        </w:rPr>
        <w:t> </w:t>
      </w:r>
      <w:r>
        <w:rPr>
          <w:spacing w:val="-41"/>
        </w:rPr>
      </w:r>
      <w:r>
        <w:rPr>
          <w:spacing w:val="-2"/>
        </w:rPr>
        <w:t>发完毕。上述项目的研发有助于提升公司教学软实力，加强信息化管理，推动教学全面电子化进程。提升教学工作效率，突</w:t>
      </w:r>
      <w:r>
        <w:rPr>
          <w:spacing w:val="-66"/>
        </w:rPr>
        <w:t> </w:t>
      </w:r>
      <w:r>
        <w:rPr>
          <w:spacing w:val="-66"/>
        </w:rPr>
      </w:r>
      <w:r>
        <w:rPr/>
        <w:t>破区域限制等。</w:t>
      </w:r>
    </w:p>
    <w:p>
      <w:pPr>
        <w:pStyle w:val="BodyText"/>
        <w:spacing w:line="240" w:lineRule="auto" w:before="67"/>
        <w:ind w:right="0"/>
        <w:jc w:val="left"/>
      </w:pPr>
      <w:r>
        <w:rPr/>
        <w:t>公司研发投入情况</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38"/>
        <w:gridCol w:w="2280"/>
        <w:gridCol w:w="2125"/>
        <w:gridCol w:w="1913"/>
      </w:tblGrid>
      <w:tr>
        <w:trPr>
          <w:trHeight w:val="402" w:hRule="exact"/>
        </w:trPr>
        <w:tc>
          <w:tcPr>
            <w:tcW w:w="323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2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32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2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78</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8.33%</w:t>
            </w:r>
          </w:p>
        </w:tc>
      </w:tr>
      <w:tr>
        <w:trPr>
          <w:trHeight w:val="402" w:hRule="exact"/>
        </w:trPr>
        <w:tc>
          <w:tcPr>
            <w:tcW w:w="32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2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0.17%</w:t>
            </w:r>
          </w:p>
        </w:tc>
      </w:tr>
      <w:tr>
        <w:trPr>
          <w:trHeight w:val="402" w:hRule="exact"/>
        </w:trPr>
        <w:tc>
          <w:tcPr>
            <w:tcW w:w="32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2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14,658,244.21</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22,083,089.25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-33.62%</w:t>
            </w:r>
          </w:p>
        </w:tc>
      </w:tr>
      <w:tr>
        <w:trPr>
          <w:trHeight w:val="402" w:hRule="exact"/>
        </w:trPr>
        <w:tc>
          <w:tcPr>
            <w:tcW w:w="32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2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0.84%</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-0.37%</w:t>
            </w:r>
          </w:p>
        </w:tc>
      </w:tr>
      <w:tr>
        <w:trPr>
          <w:trHeight w:val="402" w:hRule="exact"/>
        </w:trPr>
        <w:tc>
          <w:tcPr>
            <w:tcW w:w="32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2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4,045,369.48</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6,411,072.35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-36.90%</w:t>
            </w:r>
          </w:p>
        </w:tc>
      </w:tr>
      <w:tr>
        <w:trPr>
          <w:trHeight w:val="402" w:hRule="exact"/>
        </w:trPr>
        <w:tc>
          <w:tcPr>
            <w:tcW w:w="32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22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-6.04%</w:t>
            </w:r>
          </w:p>
        </w:tc>
      </w:tr>
    </w:tbl>
    <w:p>
      <w:pPr>
        <w:pStyle w:val="BodyText"/>
        <w:spacing w:line="240" w:lineRule="auto" w:before="51"/>
        <w:ind w:right="0"/>
        <w:jc w:val="left"/>
      </w:pPr>
      <w:r>
        <w:rPr/>
        <w:t>研发投入总额占营业收入的比重较上年发生显著变化的原因</w:t>
      </w:r>
    </w:p>
    <w:p>
      <w:pPr>
        <w:pStyle w:val="BodyText"/>
        <w:spacing w:line="338" w:lineRule="auto" w:before="117"/>
        <w:ind w:right="67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671"/>
        <w:gridCol w:w="2421"/>
        <w:gridCol w:w="2410"/>
        <w:gridCol w:w="2054"/>
      </w:tblGrid>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2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1,938,649,022.80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2,072,189,953.40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-6.44%</w:t>
            </w: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2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1,674,838,401.38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1,886,944,444.76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-11.24%</w:t>
            </w: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2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263,810,621.42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185,245,508.64</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42.41%</w:t>
            </w: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2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493,919,653.94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437,521,704.73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12.89%</w:t>
            </w: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2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543,830,808.88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713,822,081.86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-23.81%</w:t>
            </w: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2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-49,911,154.94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-276,300,377.13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-81.94%</w:t>
            </w: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2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342,450,023.75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393,213,479.00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-12.91%</w:t>
            </w: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2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542,518,937.82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347,910,038.99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55.94%</w:t>
            </w: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2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-200,068,914.07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45,303,440.01</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-541.62%</w:t>
            </w: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2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13,831,955.92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-45,751,428.48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-130.23%</w:t>
            </w:r>
          </w:p>
        </w:tc>
      </w:tr>
    </w:tbl>
    <w:p>
      <w:pPr>
        <w:pStyle w:val="BodyText"/>
        <w:spacing w:line="240" w:lineRule="auto" w:before="51"/>
        <w:ind w:right="0"/>
        <w:jc w:val="left"/>
      </w:pPr>
      <w:r>
        <w:rPr/>
        <w:t>相关数据同比发生重大变动的主要影响因素说明</w:t>
      </w:r>
    </w:p>
    <w:p>
      <w:pPr>
        <w:pStyle w:val="BodyText"/>
        <w:spacing w:line="338" w:lineRule="auto" w:before="117"/>
        <w:ind w:right="42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报告期内公司经营活动产生的现金净流量与本年度净利润存在重大差异的原因说明</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三、非主营业务分析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951"/>
        <w:gridCol w:w="1144"/>
        <w:gridCol w:w="1652"/>
        <w:gridCol w:w="3301"/>
        <w:gridCol w:w="1634"/>
      </w:tblGrid>
      <w:tr>
        <w:trPr>
          <w:trHeight w:val="402" w:hRule="exact"/>
        </w:trPr>
        <w:tc>
          <w:tcPr>
            <w:tcW w:w="195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0"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1" w:hRule="exact"/>
        </w:trPr>
        <w:tc>
          <w:tcPr>
            <w:tcW w:w="1951" w:type="dxa"/>
            <w:tcBorders>
              <w:top w:val="single" w:sz="4" w:space="0" w:color="000000"/>
              <w:left w:val="single" w:sz="4" w:space="0" w:color="000000"/>
              <w:bottom w:val="nil" w:sz="6" w:space="0" w:color="auto"/>
              <w:right w:val="single" w:sz="4" w:space="0" w:color="000000"/>
            </w:tcBorders>
            <w:shd w:val="clear" w:color="auto" w:fill="D3D3D3"/>
          </w:tcPr>
          <w:p>
            <w:pPr/>
          </w:p>
        </w:tc>
        <w:tc>
          <w:tcPr>
            <w:tcW w:w="1144"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52,640,000.66</w:t>
            </w:r>
          </w:p>
        </w:tc>
        <w:tc>
          <w:tcPr>
            <w:tcW w:w="1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4" w:right="0"/>
              <w:jc w:val="left"/>
              <w:rPr>
                <w:rFonts w:ascii="Times New Roman" w:hAnsi="Times New Roman" w:cs="Times New Roman" w:eastAsia="Times New Roman" w:hint="default"/>
                <w:sz w:val="18"/>
                <w:szCs w:val="18"/>
              </w:rPr>
            </w:pPr>
            <w:r>
              <w:rPr>
                <w:rFonts w:ascii="Times New Roman"/>
                <w:sz w:val="18"/>
              </w:rPr>
              <w:t>30.61%</w:t>
            </w:r>
          </w:p>
        </w:tc>
        <w:tc>
          <w:tcPr>
            <w:tcW w:w="3301" w:type="dxa"/>
            <w:vMerge w:val="restart"/>
            <w:tcBorders>
              <w:top w:val="single" w:sz="4" w:space="0" w:color="000000"/>
              <w:left w:val="single" w:sz="4" w:space="0" w:color="000000"/>
              <w:right w:val="single" w:sz="4" w:space="0" w:color="000000"/>
            </w:tcBorders>
            <w:shd w:val="clear" w:color="auto" w:fill="C7EDCC"/>
          </w:tcPr>
          <w:p>
            <w:pPr>
              <w:pStyle w:val="TableParagraph"/>
              <w:spacing w:line="316" w:lineRule="auto" w:before="51"/>
              <w:ind w:left="22" w:right="26"/>
              <w:jc w:val="left"/>
              <w:rPr>
                <w:rFonts w:ascii="宋体" w:hAnsi="宋体" w:cs="宋体" w:eastAsia="宋体" w:hint="default"/>
                <w:sz w:val="18"/>
                <w:szCs w:val="18"/>
              </w:rPr>
            </w:pPr>
            <w:r>
              <w:rPr>
                <w:rFonts w:ascii="宋体" w:hAnsi="宋体" w:cs="宋体" w:eastAsia="宋体" w:hint="default"/>
                <w:sz w:val="18"/>
                <w:szCs w:val="18"/>
              </w:rPr>
              <w:t>主要系联营企业和合营企业的投资收益， 因此具有可持续性。</w:t>
            </w:r>
          </w:p>
        </w:tc>
        <w:tc>
          <w:tcPr>
            <w:tcW w:w="1634"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95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144" w:type="dxa"/>
            <w:vMerge/>
            <w:tcBorders>
              <w:left w:val="single" w:sz="10" w:space="0" w:color="D3D3D3"/>
              <w:right w:val="single" w:sz="4" w:space="0" w:color="000000"/>
            </w:tcBorders>
          </w:tcPr>
          <w:p>
            <w:pPr/>
          </w:p>
        </w:tc>
        <w:tc>
          <w:tcPr>
            <w:tcW w:w="1652" w:type="dxa"/>
            <w:vMerge/>
            <w:tcBorders>
              <w:left w:val="single" w:sz="4" w:space="0" w:color="000000"/>
              <w:right w:val="single" w:sz="4" w:space="0" w:color="000000"/>
            </w:tcBorders>
          </w:tcPr>
          <w:p>
            <w:pPr/>
          </w:p>
        </w:tc>
        <w:tc>
          <w:tcPr>
            <w:tcW w:w="3301" w:type="dxa"/>
            <w:vMerge/>
            <w:tcBorders>
              <w:left w:val="single" w:sz="4" w:space="0" w:color="000000"/>
              <w:right w:val="single" w:sz="4" w:space="0" w:color="000000"/>
            </w:tcBorders>
            <w:shd w:val="clear" w:color="auto" w:fill="C7EDCC"/>
          </w:tcPr>
          <w:p>
            <w:pPr/>
          </w:p>
        </w:tc>
        <w:tc>
          <w:tcPr>
            <w:tcW w:w="1634" w:type="dxa"/>
            <w:vMerge/>
            <w:tcBorders>
              <w:left w:val="single" w:sz="4" w:space="0" w:color="000000"/>
              <w:right w:val="single" w:sz="4" w:space="0" w:color="000000"/>
            </w:tcBorders>
            <w:shd w:val="clear" w:color="auto" w:fill="C7EDCC"/>
          </w:tcPr>
          <w:p>
            <w:pPr/>
          </w:p>
        </w:tc>
      </w:tr>
      <w:tr>
        <w:trPr>
          <w:trHeight w:val="161" w:hRule="exact"/>
        </w:trPr>
        <w:tc>
          <w:tcPr>
            <w:tcW w:w="1951" w:type="dxa"/>
            <w:tcBorders>
              <w:top w:val="nil" w:sz="6" w:space="0" w:color="auto"/>
              <w:left w:val="single" w:sz="4" w:space="0" w:color="000000"/>
              <w:bottom w:val="single" w:sz="4" w:space="0" w:color="000000"/>
              <w:right w:val="single" w:sz="4" w:space="0" w:color="000000"/>
            </w:tcBorders>
            <w:shd w:val="clear" w:color="auto" w:fill="D3D3D3"/>
          </w:tcPr>
          <w:p>
            <w:pPr/>
          </w:p>
        </w:tc>
        <w:tc>
          <w:tcPr>
            <w:tcW w:w="1144" w:type="dxa"/>
            <w:vMerge/>
            <w:tcBorders>
              <w:left w:val="single" w:sz="10" w:space="0" w:color="D3D3D3"/>
              <w:bottom w:val="single" w:sz="4" w:space="0" w:color="000000"/>
              <w:right w:val="single" w:sz="4" w:space="0" w:color="000000"/>
            </w:tcBorders>
          </w:tcPr>
          <w:p>
            <w:pPr/>
          </w:p>
        </w:tc>
        <w:tc>
          <w:tcPr>
            <w:tcW w:w="1652" w:type="dxa"/>
            <w:vMerge/>
            <w:tcBorders>
              <w:left w:val="single" w:sz="4" w:space="0" w:color="000000"/>
              <w:bottom w:val="single" w:sz="4" w:space="0" w:color="000000"/>
              <w:right w:val="single" w:sz="4" w:space="0" w:color="000000"/>
            </w:tcBorders>
          </w:tcPr>
          <w:p>
            <w:pPr/>
          </w:p>
        </w:tc>
        <w:tc>
          <w:tcPr>
            <w:tcW w:w="3301" w:type="dxa"/>
            <w:vMerge/>
            <w:tcBorders>
              <w:left w:val="single" w:sz="4" w:space="0" w:color="000000"/>
              <w:bottom w:val="single" w:sz="4" w:space="0" w:color="000000"/>
              <w:right w:val="single" w:sz="4" w:space="0" w:color="000000"/>
            </w:tcBorders>
            <w:shd w:val="clear" w:color="auto" w:fill="C7EDCC"/>
          </w:tcPr>
          <w:p>
            <w:pPr/>
          </w:p>
        </w:tc>
        <w:tc>
          <w:tcPr>
            <w:tcW w:w="1634" w:type="dxa"/>
            <w:vMerge/>
            <w:tcBorders>
              <w:left w:val="single" w:sz="4" w:space="0" w:color="000000"/>
              <w:bottom w:val="single" w:sz="4" w:space="0" w:color="000000"/>
              <w:right w:val="single" w:sz="4" w:space="0" w:color="000000"/>
            </w:tcBorders>
            <w:shd w:val="clear" w:color="auto" w:fill="C7EDCC"/>
          </w:tcPr>
          <w:p>
            <w:pPr/>
          </w:p>
        </w:tc>
      </w:tr>
      <w:tr>
        <w:trPr>
          <w:trHeight w:val="402" w:hRule="exact"/>
        </w:trPr>
        <w:tc>
          <w:tcPr>
            <w:tcW w:w="19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14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11,267.77</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330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6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951" w:type="dxa"/>
            <w:tcBorders>
              <w:top w:val="single" w:sz="4" w:space="0" w:color="000000"/>
              <w:left w:val="single" w:sz="4" w:space="0" w:color="000000"/>
              <w:bottom w:val="nil" w:sz="6" w:space="0" w:color="auto"/>
              <w:right w:val="single" w:sz="4" w:space="0" w:color="000000"/>
            </w:tcBorders>
            <w:shd w:val="clear" w:color="auto" w:fill="D3D3D3"/>
          </w:tcPr>
          <w:p>
            <w:pPr/>
          </w:p>
        </w:tc>
        <w:tc>
          <w:tcPr>
            <w:tcW w:w="1144"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29,130,994.32</w:t>
            </w:r>
          </w:p>
        </w:tc>
        <w:tc>
          <w:tcPr>
            <w:tcW w:w="1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4" w:right="0"/>
              <w:jc w:val="left"/>
              <w:rPr>
                <w:rFonts w:ascii="Times New Roman" w:hAnsi="Times New Roman" w:cs="Times New Roman" w:eastAsia="Times New Roman" w:hint="default"/>
                <w:sz w:val="18"/>
                <w:szCs w:val="18"/>
              </w:rPr>
            </w:pPr>
            <w:r>
              <w:rPr>
                <w:rFonts w:ascii="Times New Roman"/>
                <w:sz w:val="18"/>
              </w:rPr>
              <w:t>16.94%</w:t>
            </w:r>
          </w:p>
        </w:tc>
        <w:tc>
          <w:tcPr>
            <w:tcW w:w="3301" w:type="dxa"/>
            <w:vMerge w:val="restart"/>
            <w:tcBorders>
              <w:top w:val="single" w:sz="4" w:space="0" w:color="000000"/>
              <w:left w:val="single" w:sz="4" w:space="0" w:color="000000"/>
              <w:right w:val="single" w:sz="4" w:space="0" w:color="000000"/>
            </w:tcBorders>
            <w:shd w:val="clear" w:color="auto" w:fill="C7EDCC"/>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主要系应收款项坏账损失 </w:t>
            </w:r>
            <w:r>
              <w:rPr>
                <w:rFonts w:ascii="宋体" w:hAnsi="宋体" w:cs="宋体" w:eastAsia="宋体" w:hint="default"/>
                <w:spacing w:val="-12"/>
                <w:sz w:val="18"/>
                <w:szCs w:val="18"/>
              </w:rPr>
              <w:t>、可供出售金融</w:t>
            </w:r>
            <w:r>
              <w:rPr>
                <w:rFonts w:ascii="宋体" w:hAnsi="宋体" w:cs="宋体" w:eastAsia="宋体" w:hint="default"/>
                <w:sz w:val="18"/>
                <w:szCs w:val="18"/>
              </w:rPr>
              <w:t> 资产减值损失 、长期股权投资减值损失</w:t>
            </w:r>
          </w:p>
        </w:tc>
        <w:tc>
          <w:tcPr>
            <w:tcW w:w="1634"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95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144" w:type="dxa"/>
            <w:vMerge/>
            <w:tcBorders>
              <w:left w:val="single" w:sz="10" w:space="0" w:color="D3D3D3"/>
              <w:right w:val="single" w:sz="4" w:space="0" w:color="000000"/>
            </w:tcBorders>
          </w:tcPr>
          <w:p>
            <w:pPr/>
          </w:p>
        </w:tc>
        <w:tc>
          <w:tcPr>
            <w:tcW w:w="1652" w:type="dxa"/>
            <w:vMerge/>
            <w:tcBorders>
              <w:left w:val="single" w:sz="4" w:space="0" w:color="000000"/>
              <w:right w:val="single" w:sz="4" w:space="0" w:color="000000"/>
            </w:tcBorders>
          </w:tcPr>
          <w:p>
            <w:pPr/>
          </w:p>
        </w:tc>
        <w:tc>
          <w:tcPr>
            <w:tcW w:w="3301" w:type="dxa"/>
            <w:vMerge/>
            <w:tcBorders>
              <w:left w:val="single" w:sz="4" w:space="0" w:color="000000"/>
              <w:right w:val="single" w:sz="4" w:space="0" w:color="000000"/>
            </w:tcBorders>
            <w:shd w:val="clear" w:color="auto" w:fill="C7EDCC"/>
          </w:tcPr>
          <w:p>
            <w:pPr/>
          </w:p>
        </w:tc>
        <w:tc>
          <w:tcPr>
            <w:tcW w:w="1634" w:type="dxa"/>
            <w:vMerge/>
            <w:tcBorders>
              <w:left w:val="single" w:sz="4" w:space="0" w:color="000000"/>
              <w:right w:val="single" w:sz="4" w:space="0" w:color="000000"/>
            </w:tcBorders>
            <w:shd w:val="clear" w:color="auto" w:fill="C7EDCC"/>
          </w:tcPr>
          <w:p>
            <w:pPr/>
          </w:p>
        </w:tc>
      </w:tr>
      <w:tr>
        <w:trPr>
          <w:trHeight w:val="161" w:hRule="exact"/>
        </w:trPr>
        <w:tc>
          <w:tcPr>
            <w:tcW w:w="1951" w:type="dxa"/>
            <w:tcBorders>
              <w:top w:val="nil" w:sz="6" w:space="0" w:color="auto"/>
              <w:left w:val="single" w:sz="4" w:space="0" w:color="000000"/>
              <w:bottom w:val="single" w:sz="4" w:space="0" w:color="000000"/>
              <w:right w:val="single" w:sz="4" w:space="0" w:color="000000"/>
            </w:tcBorders>
            <w:shd w:val="clear" w:color="auto" w:fill="D3D3D3"/>
          </w:tcPr>
          <w:p>
            <w:pPr/>
          </w:p>
        </w:tc>
        <w:tc>
          <w:tcPr>
            <w:tcW w:w="1144" w:type="dxa"/>
            <w:vMerge/>
            <w:tcBorders>
              <w:left w:val="single" w:sz="10" w:space="0" w:color="D3D3D3"/>
              <w:bottom w:val="single" w:sz="4" w:space="0" w:color="000000"/>
              <w:right w:val="single" w:sz="4" w:space="0" w:color="000000"/>
            </w:tcBorders>
          </w:tcPr>
          <w:p>
            <w:pPr/>
          </w:p>
        </w:tc>
        <w:tc>
          <w:tcPr>
            <w:tcW w:w="1652" w:type="dxa"/>
            <w:vMerge/>
            <w:tcBorders>
              <w:left w:val="single" w:sz="4" w:space="0" w:color="000000"/>
              <w:bottom w:val="single" w:sz="4" w:space="0" w:color="000000"/>
              <w:right w:val="single" w:sz="4" w:space="0" w:color="000000"/>
            </w:tcBorders>
          </w:tcPr>
          <w:p>
            <w:pPr/>
          </w:p>
        </w:tc>
        <w:tc>
          <w:tcPr>
            <w:tcW w:w="3301" w:type="dxa"/>
            <w:vMerge/>
            <w:tcBorders>
              <w:left w:val="single" w:sz="4" w:space="0" w:color="000000"/>
              <w:bottom w:val="single" w:sz="4" w:space="0" w:color="000000"/>
              <w:right w:val="single" w:sz="4" w:space="0" w:color="000000"/>
            </w:tcBorders>
            <w:shd w:val="clear" w:color="auto" w:fill="C7EDCC"/>
          </w:tcPr>
          <w:p>
            <w:pPr/>
          </w:p>
        </w:tc>
        <w:tc>
          <w:tcPr>
            <w:tcW w:w="1634" w:type="dxa"/>
            <w:vMerge/>
            <w:tcBorders>
              <w:left w:val="single" w:sz="4" w:space="0" w:color="000000"/>
              <w:bottom w:val="single" w:sz="4" w:space="0" w:color="000000"/>
              <w:right w:val="single" w:sz="4" w:space="0" w:color="000000"/>
            </w:tcBorders>
            <w:shd w:val="clear" w:color="auto" w:fill="C7EDCC"/>
          </w:tcPr>
          <w:p>
            <w:pPr/>
          </w:p>
        </w:tc>
      </w:tr>
      <w:tr>
        <w:trPr>
          <w:trHeight w:val="402" w:hRule="exact"/>
        </w:trPr>
        <w:tc>
          <w:tcPr>
            <w:tcW w:w="19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14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1,486,889.53</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0.86%</w:t>
            </w:r>
          </w:p>
        </w:tc>
        <w:tc>
          <w:tcPr>
            <w:tcW w:w="330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6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14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1,561,428.04</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0.91%</w:t>
            </w:r>
          </w:p>
        </w:tc>
        <w:tc>
          <w:tcPr>
            <w:tcW w:w="330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6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252"/>
        <w:gridCol w:w="1246"/>
        <w:gridCol w:w="1262"/>
        <w:gridCol w:w="1186"/>
        <w:gridCol w:w="1244"/>
        <w:gridCol w:w="913"/>
        <w:gridCol w:w="2567"/>
      </w:tblGrid>
      <w:tr>
        <w:trPr>
          <w:trHeight w:val="205" w:hRule="exact"/>
        </w:trPr>
        <w:tc>
          <w:tcPr>
            <w:tcW w:w="1252" w:type="dxa"/>
            <w:tcBorders>
              <w:top w:val="single" w:sz="4" w:space="0" w:color="000000"/>
              <w:left w:val="single" w:sz="4" w:space="0" w:color="000000"/>
              <w:bottom w:val="nil" w:sz="6" w:space="0" w:color="auto"/>
              <w:right w:val="single" w:sz="4" w:space="0" w:color="000000"/>
            </w:tcBorders>
            <w:shd w:val="clear" w:color="auto" w:fill="D3D3D3"/>
          </w:tcPr>
          <w:p>
            <w:pPr/>
          </w:p>
        </w:tc>
        <w:tc>
          <w:tcPr>
            <w:tcW w:w="250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43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13" w:type="dxa"/>
            <w:tcBorders>
              <w:top w:val="single" w:sz="4" w:space="0" w:color="000000"/>
              <w:left w:val="single" w:sz="4" w:space="0" w:color="000000"/>
              <w:bottom w:val="nil" w:sz="6" w:space="0" w:color="auto"/>
              <w:right w:val="single" w:sz="4" w:space="0" w:color="000000"/>
            </w:tcBorders>
            <w:shd w:val="clear" w:color="auto" w:fill="D3D3D3"/>
          </w:tcPr>
          <w:p>
            <w:pPr/>
          </w:p>
        </w:tc>
        <w:tc>
          <w:tcPr>
            <w:tcW w:w="256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7" w:hRule="exact"/>
        </w:trPr>
        <w:tc>
          <w:tcPr>
            <w:tcW w:w="1252" w:type="dxa"/>
            <w:vMerge w:val="restart"/>
            <w:tcBorders>
              <w:top w:val="nil" w:sz="6" w:space="0" w:color="auto"/>
              <w:left w:val="single" w:sz="4" w:space="0" w:color="000000"/>
              <w:right w:val="single" w:sz="4" w:space="0" w:color="000000"/>
            </w:tcBorders>
            <w:shd w:val="clear" w:color="auto" w:fill="D3D3D3"/>
          </w:tcPr>
          <w:p>
            <w:pPr/>
          </w:p>
        </w:tc>
        <w:tc>
          <w:tcPr>
            <w:tcW w:w="2509" w:type="dxa"/>
            <w:gridSpan w:val="2"/>
            <w:vMerge/>
            <w:tcBorders>
              <w:left w:val="single" w:sz="4" w:space="0" w:color="000000"/>
              <w:bottom w:val="single" w:sz="4" w:space="0" w:color="000000"/>
              <w:right w:val="single" w:sz="4" w:space="0" w:color="000000"/>
            </w:tcBorders>
            <w:shd w:val="clear" w:color="auto" w:fill="D3D3D3"/>
          </w:tcPr>
          <w:p>
            <w:pPr/>
          </w:p>
        </w:tc>
        <w:tc>
          <w:tcPr>
            <w:tcW w:w="2430" w:type="dxa"/>
            <w:gridSpan w:val="2"/>
            <w:vMerge/>
            <w:tcBorders>
              <w:left w:val="single" w:sz="4" w:space="0" w:color="000000"/>
              <w:bottom w:val="single" w:sz="4" w:space="0" w:color="000000"/>
              <w:right w:val="single" w:sz="4" w:space="0" w:color="000000"/>
            </w:tcBorders>
            <w:shd w:val="clear" w:color="auto" w:fill="D3D3D3"/>
          </w:tcPr>
          <w:p>
            <w:pPr/>
          </w:p>
        </w:tc>
        <w:tc>
          <w:tcPr>
            <w:tcW w:w="91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91"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56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5" w:hRule="exact"/>
        </w:trPr>
        <w:tc>
          <w:tcPr>
            <w:tcW w:w="1252" w:type="dxa"/>
            <w:vMerge/>
            <w:tcBorders>
              <w:left w:val="single" w:sz="4" w:space="0" w:color="000000"/>
              <w:bottom w:val="nil" w:sz="6" w:space="0" w:color="auto"/>
              <w:right w:val="single" w:sz="4" w:space="0" w:color="000000"/>
            </w:tcBorders>
            <w:shd w:val="clear" w:color="auto" w:fill="D3D3D3"/>
          </w:tcPr>
          <w:p>
            <w:pPr/>
          </w:p>
        </w:tc>
        <w:tc>
          <w:tcPr>
            <w:tcW w:w="124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86"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1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4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6"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913" w:type="dxa"/>
            <w:vMerge/>
            <w:tcBorders>
              <w:left w:val="single" w:sz="4" w:space="0" w:color="000000"/>
              <w:bottom w:val="nil" w:sz="6" w:space="0" w:color="auto"/>
              <w:right w:val="single" w:sz="4" w:space="0" w:color="000000"/>
            </w:tcBorders>
            <w:shd w:val="clear" w:color="auto" w:fill="D3D3D3"/>
          </w:tcPr>
          <w:p>
            <w:pPr/>
          </w:p>
        </w:tc>
        <w:tc>
          <w:tcPr>
            <w:tcW w:w="2567" w:type="dxa"/>
            <w:vMerge/>
            <w:tcBorders>
              <w:left w:val="single" w:sz="4" w:space="0" w:color="000000"/>
              <w:bottom w:val="nil" w:sz="6" w:space="0" w:color="auto"/>
              <w:right w:val="single" w:sz="4" w:space="0" w:color="000000"/>
            </w:tcBorders>
            <w:shd w:val="clear" w:color="auto" w:fill="D3D3D3"/>
          </w:tcPr>
          <w:p>
            <w:pPr/>
          </w:p>
        </w:tc>
      </w:tr>
      <w:tr>
        <w:trPr>
          <w:trHeight w:val="207" w:hRule="exact"/>
        </w:trPr>
        <w:tc>
          <w:tcPr>
            <w:tcW w:w="1252" w:type="dxa"/>
            <w:tcBorders>
              <w:top w:val="nil" w:sz="6" w:space="0" w:color="auto"/>
              <w:left w:val="single" w:sz="4" w:space="0" w:color="000000"/>
              <w:bottom w:val="single" w:sz="4" w:space="0" w:color="000000"/>
              <w:right w:val="single" w:sz="4" w:space="0" w:color="000000"/>
            </w:tcBorders>
            <w:shd w:val="clear" w:color="auto" w:fill="D3D3D3"/>
          </w:tcPr>
          <w:p>
            <w:pPr/>
          </w:p>
        </w:tc>
        <w:tc>
          <w:tcPr>
            <w:tcW w:w="1246" w:type="dxa"/>
            <w:vMerge/>
            <w:tcBorders>
              <w:left w:val="single" w:sz="4" w:space="0" w:color="000000"/>
              <w:bottom w:val="single" w:sz="4" w:space="0" w:color="000000"/>
              <w:right w:val="single" w:sz="4" w:space="0" w:color="000000"/>
            </w:tcBorders>
            <w:shd w:val="clear" w:color="auto" w:fill="D3D3D3"/>
          </w:tcPr>
          <w:p>
            <w:pPr/>
          </w:p>
        </w:tc>
        <w:tc>
          <w:tcPr>
            <w:tcW w:w="1262" w:type="dxa"/>
            <w:vMerge/>
            <w:tcBorders>
              <w:left w:val="single" w:sz="4" w:space="0" w:color="000000"/>
              <w:bottom w:val="single" w:sz="4" w:space="0" w:color="000000"/>
              <w:right w:val="single" w:sz="4" w:space="0" w:color="000000"/>
            </w:tcBorders>
            <w:shd w:val="clear" w:color="auto" w:fill="D3D3D3"/>
          </w:tcPr>
          <w:p>
            <w:pPr/>
          </w:p>
        </w:tc>
        <w:tc>
          <w:tcPr>
            <w:tcW w:w="1186" w:type="dxa"/>
            <w:vMerge/>
            <w:tcBorders>
              <w:left w:val="single" w:sz="4" w:space="0" w:color="000000"/>
              <w:bottom w:val="single" w:sz="4" w:space="0" w:color="000000"/>
              <w:right w:val="single" w:sz="4" w:space="0" w:color="000000"/>
            </w:tcBorders>
            <w:shd w:val="clear" w:color="auto" w:fill="D3D3D3"/>
          </w:tcPr>
          <w:p>
            <w:pPr/>
          </w:p>
        </w:tc>
        <w:tc>
          <w:tcPr>
            <w:tcW w:w="1244" w:type="dxa"/>
            <w:vMerge/>
            <w:tcBorders>
              <w:left w:val="single" w:sz="4" w:space="0" w:color="000000"/>
              <w:bottom w:val="single" w:sz="4" w:space="0" w:color="000000"/>
              <w:right w:val="single" w:sz="4" w:space="0" w:color="000000"/>
            </w:tcBorders>
            <w:shd w:val="clear" w:color="auto" w:fill="D3D3D3"/>
          </w:tcPr>
          <w:p>
            <w:pPr/>
          </w:p>
        </w:tc>
        <w:tc>
          <w:tcPr>
            <w:tcW w:w="913" w:type="dxa"/>
            <w:tcBorders>
              <w:top w:val="nil" w:sz="6" w:space="0" w:color="auto"/>
              <w:left w:val="single" w:sz="4" w:space="0" w:color="000000"/>
              <w:bottom w:val="single" w:sz="4" w:space="0" w:color="000000"/>
              <w:right w:val="single" w:sz="4" w:space="0" w:color="000000"/>
            </w:tcBorders>
            <w:shd w:val="clear" w:color="auto" w:fill="D3D3D3"/>
          </w:tcPr>
          <w:p>
            <w:pPr/>
          </w:p>
        </w:tc>
        <w:tc>
          <w:tcPr>
            <w:tcW w:w="256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889,081,555.55</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831,552,890.63</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25.98%</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w:t>
            </w:r>
          </w:p>
        </w:tc>
        <w:tc>
          <w:tcPr>
            <w:tcW w:w="256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371,732,276.99</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11.44%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363,372,009.84</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11.35%</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0.09%</w:t>
            </w:r>
          </w:p>
        </w:tc>
        <w:tc>
          <w:tcPr>
            <w:tcW w:w="256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41,915,530.99</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31,434,880.24</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0.98%</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0.31%</w:t>
            </w:r>
          </w:p>
        </w:tc>
        <w:tc>
          <w:tcPr>
            <w:tcW w:w="25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主要系子公司存货增加所致。</w:t>
            </w:r>
          </w:p>
        </w:tc>
      </w:tr>
      <w:tr>
        <w:trPr>
          <w:trHeight w:val="161" w:hRule="exact"/>
        </w:trPr>
        <w:tc>
          <w:tcPr>
            <w:tcW w:w="1252" w:type="dxa"/>
            <w:tcBorders>
              <w:top w:val="single" w:sz="4" w:space="0" w:color="000000"/>
              <w:left w:val="single" w:sz="4" w:space="0" w:color="000000"/>
              <w:bottom w:val="nil" w:sz="6" w:space="0" w:color="auto"/>
              <w:right w:val="single" w:sz="4" w:space="0" w:color="000000"/>
            </w:tcBorders>
            <w:shd w:val="clear" w:color="auto" w:fill="D3D3D3"/>
          </w:tcPr>
          <w:p>
            <w:pPr/>
          </w:p>
        </w:tc>
        <w:tc>
          <w:tcPr>
            <w:tcW w:w="1246" w:type="dxa"/>
            <w:vMerge w:val="restart"/>
            <w:tcBorders>
              <w:top w:val="single" w:sz="4" w:space="0" w:color="000000"/>
              <w:left w:val="single" w:sz="9"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17,353,491.43</w:t>
            </w:r>
          </w:p>
        </w:tc>
        <w:tc>
          <w:tcPr>
            <w:tcW w:w="12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5" w:right="0"/>
              <w:jc w:val="left"/>
              <w:rPr>
                <w:rFonts w:ascii="Times New Roman" w:hAnsi="Times New Roman" w:cs="Times New Roman" w:eastAsia="Times New Roman" w:hint="default"/>
                <w:sz w:val="18"/>
                <w:szCs w:val="18"/>
              </w:rPr>
            </w:pPr>
            <w:r>
              <w:rPr>
                <w:rFonts w:ascii="Times New Roman"/>
                <w:sz w:val="18"/>
              </w:rPr>
              <w:t>0.53%</w:t>
            </w:r>
          </w:p>
        </w:tc>
        <w:tc>
          <w:tcPr>
            <w:tcW w:w="1186" w:type="dxa"/>
            <w:vMerge w:val="restart"/>
            <w:tcBorders>
              <w:top w:val="single" w:sz="4" w:space="0" w:color="000000"/>
              <w:left w:val="single" w:sz="4" w:space="0" w:color="000000"/>
              <w:right w:val="single" w:sz="4" w:space="0" w:color="000000"/>
            </w:tcBorders>
          </w:tcPr>
          <w:p>
            <w:pPr/>
          </w:p>
        </w:tc>
        <w:tc>
          <w:tcPr>
            <w:tcW w:w="1244" w:type="dxa"/>
            <w:vMerge w:val="restart"/>
            <w:tcBorders>
              <w:top w:val="single" w:sz="4" w:space="0" w:color="000000"/>
              <w:left w:val="single" w:sz="4" w:space="0" w:color="000000"/>
              <w:right w:val="single" w:sz="4" w:space="0" w:color="000000"/>
            </w:tcBorders>
          </w:tcPr>
          <w:p>
            <w:pPr/>
          </w:p>
        </w:tc>
        <w:tc>
          <w:tcPr>
            <w:tcW w:w="9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0.53%</w:t>
            </w:r>
          </w:p>
        </w:tc>
        <w:tc>
          <w:tcPr>
            <w:tcW w:w="2567" w:type="dxa"/>
            <w:vMerge w:val="restart"/>
            <w:tcBorders>
              <w:top w:val="single" w:sz="4" w:space="0" w:color="000000"/>
              <w:left w:val="single" w:sz="4" w:space="0" w:color="000000"/>
              <w:right w:val="single" w:sz="4" w:space="0" w:color="000000"/>
            </w:tcBorders>
            <w:shd w:val="clear" w:color="auto" w:fill="C7EDCC"/>
          </w:tcPr>
          <w:p>
            <w:pPr>
              <w:pStyle w:val="TableParagraph"/>
              <w:spacing w:line="316" w:lineRule="auto" w:before="51"/>
              <w:ind w:left="22" w:right="14"/>
              <w:jc w:val="left"/>
              <w:rPr>
                <w:rFonts w:ascii="宋体" w:hAnsi="宋体" w:cs="宋体" w:eastAsia="宋体" w:hint="default"/>
                <w:sz w:val="18"/>
                <w:szCs w:val="18"/>
              </w:rPr>
            </w:pPr>
            <w:r>
              <w:rPr>
                <w:rFonts w:ascii="宋体" w:hAnsi="宋体" w:cs="宋体" w:eastAsia="宋体" w:hint="default"/>
                <w:sz w:val="18"/>
                <w:szCs w:val="18"/>
              </w:rPr>
              <w:t>主要系快报控股原固定资产持有 目的发生转变增加所致。</w:t>
            </w:r>
          </w:p>
        </w:tc>
      </w:tr>
      <w:tr>
        <w:trPr>
          <w:trHeight w:val="392" w:hRule="exact"/>
        </w:trPr>
        <w:tc>
          <w:tcPr>
            <w:tcW w:w="12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46" w:type="dxa"/>
            <w:vMerge/>
            <w:tcBorders>
              <w:left w:val="single" w:sz="9" w:space="0" w:color="D3D3D3"/>
              <w:right w:val="single" w:sz="4" w:space="0" w:color="000000"/>
            </w:tcBorders>
          </w:tcPr>
          <w:p>
            <w:pPr/>
          </w:p>
        </w:tc>
        <w:tc>
          <w:tcPr>
            <w:tcW w:w="1262" w:type="dxa"/>
            <w:vMerge/>
            <w:tcBorders>
              <w:left w:val="single" w:sz="4" w:space="0" w:color="000000"/>
              <w:right w:val="single" w:sz="4" w:space="0" w:color="000000"/>
            </w:tcBorders>
          </w:tcPr>
          <w:p>
            <w:pPr/>
          </w:p>
        </w:tc>
        <w:tc>
          <w:tcPr>
            <w:tcW w:w="1186" w:type="dxa"/>
            <w:vMerge/>
            <w:tcBorders>
              <w:left w:val="single" w:sz="4" w:space="0" w:color="000000"/>
              <w:right w:val="single" w:sz="4" w:space="0" w:color="000000"/>
            </w:tcBorders>
          </w:tcPr>
          <w:p>
            <w:pPr/>
          </w:p>
        </w:tc>
        <w:tc>
          <w:tcPr>
            <w:tcW w:w="1244" w:type="dxa"/>
            <w:vMerge/>
            <w:tcBorders>
              <w:left w:val="single" w:sz="4" w:space="0" w:color="000000"/>
              <w:right w:val="single" w:sz="4" w:space="0" w:color="000000"/>
            </w:tcBorders>
          </w:tcPr>
          <w:p>
            <w:pPr/>
          </w:p>
        </w:tc>
        <w:tc>
          <w:tcPr>
            <w:tcW w:w="913" w:type="dxa"/>
            <w:vMerge/>
            <w:tcBorders>
              <w:left w:val="single" w:sz="4" w:space="0" w:color="000000"/>
              <w:right w:val="single" w:sz="4" w:space="0" w:color="000000"/>
            </w:tcBorders>
          </w:tcPr>
          <w:p>
            <w:pPr/>
          </w:p>
        </w:tc>
        <w:tc>
          <w:tcPr>
            <w:tcW w:w="2567" w:type="dxa"/>
            <w:vMerge/>
            <w:tcBorders>
              <w:left w:val="single" w:sz="4" w:space="0" w:color="000000"/>
              <w:right w:val="single" w:sz="4" w:space="0" w:color="000000"/>
            </w:tcBorders>
            <w:shd w:val="clear" w:color="auto" w:fill="C7EDCC"/>
          </w:tcPr>
          <w:p>
            <w:pPr/>
          </w:p>
        </w:tc>
      </w:tr>
      <w:tr>
        <w:trPr>
          <w:trHeight w:val="161" w:hRule="exact"/>
        </w:trPr>
        <w:tc>
          <w:tcPr>
            <w:tcW w:w="1252" w:type="dxa"/>
            <w:tcBorders>
              <w:top w:val="nil" w:sz="6" w:space="0" w:color="auto"/>
              <w:left w:val="single" w:sz="4" w:space="0" w:color="000000"/>
              <w:bottom w:val="single" w:sz="4" w:space="0" w:color="000000"/>
              <w:right w:val="single" w:sz="4" w:space="0" w:color="000000"/>
            </w:tcBorders>
            <w:shd w:val="clear" w:color="auto" w:fill="D3D3D3"/>
          </w:tcPr>
          <w:p>
            <w:pPr/>
          </w:p>
        </w:tc>
        <w:tc>
          <w:tcPr>
            <w:tcW w:w="1246" w:type="dxa"/>
            <w:vMerge/>
            <w:tcBorders>
              <w:left w:val="single" w:sz="9" w:space="0" w:color="D3D3D3"/>
              <w:bottom w:val="single" w:sz="4" w:space="0" w:color="000000"/>
              <w:right w:val="single" w:sz="4" w:space="0" w:color="000000"/>
            </w:tcBorders>
          </w:tcPr>
          <w:p>
            <w:pPr/>
          </w:p>
        </w:tc>
        <w:tc>
          <w:tcPr>
            <w:tcW w:w="1262" w:type="dxa"/>
            <w:vMerge/>
            <w:tcBorders>
              <w:left w:val="single" w:sz="4" w:space="0" w:color="000000"/>
              <w:bottom w:val="single" w:sz="4" w:space="0" w:color="000000"/>
              <w:right w:val="single" w:sz="4" w:space="0" w:color="000000"/>
            </w:tcBorders>
          </w:tcPr>
          <w:p>
            <w:pPr/>
          </w:p>
        </w:tc>
        <w:tc>
          <w:tcPr>
            <w:tcW w:w="1186" w:type="dxa"/>
            <w:vMerge/>
            <w:tcBorders>
              <w:left w:val="single" w:sz="4" w:space="0" w:color="000000"/>
              <w:bottom w:val="single" w:sz="4" w:space="0" w:color="000000"/>
              <w:right w:val="single" w:sz="4" w:space="0" w:color="000000"/>
            </w:tcBorders>
          </w:tcPr>
          <w:p>
            <w:pPr/>
          </w:p>
        </w:tc>
        <w:tc>
          <w:tcPr>
            <w:tcW w:w="1244" w:type="dxa"/>
            <w:vMerge/>
            <w:tcBorders>
              <w:left w:val="single" w:sz="4" w:space="0" w:color="000000"/>
              <w:bottom w:val="single" w:sz="4" w:space="0" w:color="000000"/>
              <w:right w:val="single" w:sz="4" w:space="0" w:color="000000"/>
            </w:tcBorders>
          </w:tcPr>
          <w:p>
            <w:pPr/>
          </w:p>
        </w:tc>
        <w:tc>
          <w:tcPr>
            <w:tcW w:w="913" w:type="dxa"/>
            <w:vMerge/>
            <w:tcBorders>
              <w:left w:val="single" w:sz="4" w:space="0" w:color="000000"/>
              <w:bottom w:val="single" w:sz="4" w:space="0" w:color="000000"/>
              <w:right w:val="single" w:sz="4" w:space="0" w:color="000000"/>
            </w:tcBorders>
          </w:tcPr>
          <w:p>
            <w:pPr/>
          </w:p>
        </w:tc>
        <w:tc>
          <w:tcPr>
            <w:tcW w:w="2567" w:type="dxa"/>
            <w:vMerge/>
            <w:tcBorders>
              <w:left w:val="single" w:sz="4" w:space="0" w:color="000000"/>
              <w:bottom w:val="single" w:sz="4" w:space="0" w:color="000000"/>
              <w:right w:val="single" w:sz="4" w:space="0" w:color="000000"/>
            </w:tcBorders>
            <w:shd w:val="clear" w:color="auto" w:fill="C7EDCC"/>
          </w:tcPr>
          <w:p>
            <w:pPr/>
          </w:p>
        </w:tc>
      </w:tr>
      <w:tr>
        <w:trPr>
          <w:trHeight w:val="402"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649,780,455.57</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533,354,473.67</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16.66%</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3.34%</w:t>
            </w:r>
          </w:p>
        </w:tc>
        <w:tc>
          <w:tcPr>
            <w:tcW w:w="256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192,241,429.59</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233,048,360.22</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7.28%</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w:t>
            </w:r>
          </w:p>
        </w:tc>
        <w:tc>
          <w:tcPr>
            <w:tcW w:w="256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161" w:hRule="exact"/>
        </w:trPr>
        <w:tc>
          <w:tcPr>
            <w:tcW w:w="1252" w:type="dxa"/>
            <w:tcBorders>
              <w:top w:val="single" w:sz="4" w:space="0" w:color="000000"/>
              <w:left w:val="single" w:sz="4" w:space="0" w:color="000000"/>
              <w:bottom w:val="nil" w:sz="6" w:space="0" w:color="auto"/>
              <w:right w:val="single" w:sz="4" w:space="0" w:color="000000"/>
            </w:tcBorders>
            <w:shd w:val="clear" w:color="auto" w:fill="D3D3D3"/>
          </w:tcPr>
          <w:p>
            <w:pPr/>
          </w:p>
        </w:tc>
        <w:tc>
          <w:tcPr>
            <w:tcW w:w="1246" w:type="dxa"/>
            <w:vMerge w:val="restart"/>
            <w:tcBorders>
              <w:top w:val="single" w:sz="4" w:space="0" w:color="000000"/>
              <w:left w:val="single" w:sz="9"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1,712,150.94</w:t>
            </w:r>
          </w:p>
        </w:tc>
        <w:tc>
          <w:tcPr>
            <w:tcW w:w="12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5" w:right="0"/>
              <w:jc w:val="left"/>
              <w:rPr>
                <w:rFonts w:ascii="Times New Roman" w:hAnsi="Times New Roman" w:cs="Times New Roman" w:eastAsia="Times New Roman" w:hint="default"/>
                <w:sz w:val="18"/>
                <w:szCs w:val="18"/>
              </w:rPr>
            </w:pPr>
            <w:r>
              <w:rPr>
                <w:rFonts w:ascii="Times New Roman"/>
                <w:sz w:val="18"/>
              </w:rPr>
              <w:t>0.05%</w:t>
            </w:r>
          </w:p>
        </w:tc>
        <w:tc>
          <w:tcPr>
            <w:tcW w:w="1186" w:type="dxa"/>
            <w:vMerge w:val="restart"/>
            <w:tcBorders>
              <w:top w:val="single" w:sz="4" w:space="0" w:color="000000"/>
              <w:left w:val="single" w:sz="4" w:space="0" w:color="000000"/>
              <w:right w:val="single" w:sz="4" w:space="0" w:color="000000"/>
            </w:tcBorders>
          </w:tcPr>
          <w:p>
            <w:pPr/>
          </w:p>
        </w:tc>
        <w:tc>
          <w:tcPr>
            <w:tcW w:w="1244" w:type="dxa"/>
            <w:vMerge w:val="restart"/>
            <w:tcBorders>
              <w:top w:val="single" w:sz="4" w:space="0" w:color="000000"/>
              <w:left w:val="single" w:sz="4" w:space="0" w:color="000000"/>
              <w:right w:val="single" w:sz="4" w:space="0" w:color="000000"/>
            </w:tcBorders>
          </w:tcPr>
          <w:p>
            <w:pPr/>
          </w:p>
        </w:tc>
        <w:tc>
          <w:tcPr>
            <w:tcW w:w="9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0.05%</w:t>
            </w:r>
          </w:p>
        </w:tc>
        <w:tc>
          <w:tcPr>
            <w:tcW w:w="2567" w:type="dxa"/>
            <w:vMerge w:val="restart"/>
            <w:tcBorders>
              <w:top w:val="single" w:sz="4" w:space="0" w:color="000000"/>
              <w:left w:val="single" w:sz="4" w:space="0" w:color="000000"/>
              <w:right w:val="single" w:sz="4" w:space="0" w:color="000000"/>
            </w:tcBorders>
            <w:shd w:val="clear" w:color="auto" w:fill="C7EDCC"/>
          </w:tcPr>
          <w:p>
            <w:pPr>
              <w:pStyle w:val="TableParagraph"/>
              <w:spacing w:line="316" w:lineRule="auto" w:before="51"/>
              <w:ind w:left="22" w:right="14"/>
              <w:jc w:val="left"/>
              <w:rPr>
                <w:rFonts w:ascii="宋体" w:hAnsi="宋体" w:cs="宋体" w:eastAsia="宋体" w:hint="default"/>
                <w:sz w:val="18"/>
                <w:szCs w:val="18"/>
              </w:rPr>
            </w:pPr>
            <w:r>
              <w:rPr>
                <w:rFonts w:ascii="宋体" w:hAnsi="宋体" w:cs="宋体" w:eastAsia="宋体" w:hint="default"/>
                <w:sz w:val="18"/>
                <w:szCs w:val="18"/>
              </w:rPr>
              <w:t>主要系子公司在建工程尚未整体 验收所致。</w:t>
            </w:r>
          </w:p>
        </w:tc>
      </w:tr>
      <w:tr>
        <w:trPr>
          <w:trHeight w:val="392" w:hRule="exact"/>
        </w:trPr>
        <w:tc>
          <w:tcPr>
            <w:tcW w:w="12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46" w:type="dxa"/>
            <w:vMerge/>
            <w:tcBorders>
              <w:left w:val="single" w:sz="9" w:space="0" w:color="D3D3D3"/>
              <w:right w:val="single" w:sz="4" w:space="0" w:color="000000"/>
            </w:tcBorders>
          </w:tcPr>
          <w:p>
            <w:pPr/>
          </w:p>
        </w:tc>
        <w:tc>
          <w:tcPr>
            <w:tcW w:w="1262" w:type="dxa"/>
            <w:vMerge/>
            <w:tcBorders>
              <w:left w:val="single" w:sz="4" w:space="0" w:color="000000"/>
              <w:right w:val="single" w:sz="4" w:space="0" w:color="000000"/>
            </w:tcBorders>
          </w:tcPr>
          <w:p>
            <w:pPr/>
          </w:p>
        </w:tc>
        <w:tc>
          <w:tcPr>
            <w:tcW w:w="1186" w:type="dxa"/>
            <w:vMerge/>
            <w:tcBorders>
              <w:left w:val="single" w:sz="4" w:space="0" w:color="000000"/>
              <w:right w:val="single" w:sz="4" w:space="0" w:color="000000"/>
            </w:tcBorders>
          </w:tcPr>
          <w:p>
            <w:pPr/>
          </w:p>
        </w:tc>
        <w:tc>
          <w:tcPr>
            <w:tcW w:w="1244" w:type="dxa"/>
            <w:vMerge/>
            <w:tcBorders>
              <w:left w:val="single" w:sz="4" w:space="0" w:color="000000"/>
              <w:right w:val="single" w:sz="4" w:space="0" w:color="000000"/>
            </w:tcBorders>
          </w:tcPr>
          <w:p>
            <w:pPr/>
          </w:p>
        </w:tc>
        <w:tc>
          <w:tcPr>
            <w:tcW w:w="913" w:type="dxa"/>
            <w:vMerge/>
            <w:tcBorders>
              <w:left w:val="single" w:sz="4" w:space="0" w:color="000000"/>
              <w:right w:val="single" w:sz="4" w:space="0" w:color="000000"/>
            </w:tcBorders>
          </w:tcPr>
          <w:p>
            <w:pPr/>
          </w:p>
        </w:tc>
        <w:tc>
          <w:tcPr>
            <w:tcW w:w="2567" w:type="dxa"/>
            <w:vMerge/>
            <w:tcBorders>
              <w:left w:val="single" w:sz="4" w:space="0" w:color="000000"/>
              <w:right w:val="single" w:sz="4" w:space="0" w:color="000000"/>
            </w:tcBorders>
            <w:shd w:val="clear" w:color="auto" w:fill="C7EDCC"/>
          </w:tcPr>
          <w:p>
            <w:pPr/>
          </w:p>
        </w:tc>
      </w:tr>
      <w:tr>
        <w:trPr>
          <w:trHeight w:val="161" w:hRule="exact"/>
        </w:trPr>
        <w:tc>
          <w:tcPr>
            <w:tcW w:w="1252" w:type="dxa"/>
            <w:tcBorders>
              <w:top w:val="nil" w:sz="6" w:space="0" w:color="auto"/>
              <w:left w:val="single" w:sz="4" w:space="0" w:color="000000"/>
              <w:bottom w:val="single" w:sz="4" w:space="0" w:color="000000"/>
              <w:right w:val="single" w:sz="4" w:space="0" w:color="000000"/>
            </w:tcBorders>
            <w:shd w:val="clear" w:color="auto" w:fill="D3D3D3"/>
          </w:tcPr>
          <w:p>
            <w:pPr/>
          </w:p>
        </w:tc>
        <w:tc>
          <w:tcPr>
            <w:tcW w:w="1246" w:type="dxa"/>
            <w:vMerge/>
            <w:tcBorders>
              <w:left w:val="single" w:sz="9" w:space="0" w:color="D3D3D3"/>
              <w:bottom w:val="single" w:sz="4" w:space="0" w:color="000000"/>
              <w:right w:val="single" w:sz="4" w:space="0" w:color="000000"/>
            </w:tcBorders>
          </w:tcPr>
          <w:p>
            <w:pPr/>
          </w:p>
        </w:tc>
        <w:tc>
          <w:tcPr>
            <w:tcW w:w="1262" w:type="dxa"/>
            <w:vMerge/>
            <w:tcBorders>
              <w:left w:val="single" w:sz="4" w:space="0" w:color="000000"/>
              <w:bottom w:val="single" w:sz="4" w:space="0" w:color="000000"/>
              <w:right w:val="single" w:sz="4" w:space="0" w:color="000000"/>
            </w:tcBorders>
          </w:tcPr>
          <w:p>
            <w:pPr/>
          </w:p>
        </w:tc>
        <w:tc>
          <w:tcPr>
            <w:tcW w:w="1186" w:type="dxa"/>
            <w:vMerge/>
            <w:tcBorders>
              <w:left w:val="single" w:sz="4" w:space="0" w:color="000000"/>
              <w:bottom w:val="single" w:sz="4" w:space="0" w:color="000000"/>
              <w:right w:val="single" w:sz="4" w:space="0" w:color="000000"/>
            </w:tcBorders>
          </w:tcPr>
          <w:p>
            <w:pPr/>
          </w:p>
        </w:tc>
        <w:tc>
          <w:tcPr>
            <w:tcW w:w="1244" w:type="dxa"/>
            <w:vMerge/>
            <w:tcBorders>
              <w:left w:val="single" w:sz="4" w:space="0" w:color="000000"/>
              <w:bottom w:val="single" w:sz="4" w:space="0" w:color="000000"/>
              <w:right w:val="single" w:sz="4" w:space="0" w:color="000000"/>
            </w:tcBorders>
          </w:tcPr>
          <w:p>
            <w:pPr/>
          </w:p>
        </w:tc>
        <w:tc>
          <w:tcPr>
            <w:tcW w:w="913" w:type="dxa"/>
            <w:vMerge/>
            <w:tcBorders>
              <w:left w:val="single" w:sz="4" w:space="0" w:color="000000"/>
              <w:bottom w:val="single" w:sz="4" w:space="0" w:color="000000"/>
              <w:right w:val="single" w:sz="4" w:space="0" w:color="000000"/>
            </w:tcBorders>
          </w:tcPr>
          <w:p>
            <w:pPr/>
          </w:p>
        </w:tc>
        <w:tc>
          <w:tcPr>
            <w:tcW w:w="2567" w:type="dxa"/>
            <w:vMerge/>
            <w:tcBorders>
              <w:left w:val="single" w:sz="4" w:space="0" w:color="000000"/>
              <w:bottom w:val="single" w:sz="4" w:space="0" w:color="000000"/>
              <w:right w:val="single" w:sz="4" w:space="0" w:color="000000"/>
            </w:tcBorders>
            <w:shd w:val="clear" w:color="auto" w:fill="C7EDCC"/>
          </w:tcPr>
          <w:p>
            <w:pPr/>
          </w:p>
        </w:tc>
      </w:tr>
      <w:tr>
        <w:trPr>
          <w:trHeight w:val="402"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216,450,000.00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190,450,000.00</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5.95%</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0.71%</w:t>
            </w:r>
          </w:p>
        </w:tc>
        <w:tc>
          <w:tcPr>
            <w:tcW w:w="256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317" w:hRule="exact"/>
        </w:trPr>
        <w:tc>
          <w:tcPr>
            <w:tcW w:w="1252" w:type="dxa"/>
            <w:tcBorders>
              <w:top w:val="single" w:sz="4" w:space="0" w:color="000000"/>
              <w:left w:val="single" w:sz="4" w:space="0" w:color="000000"/>
              <w:bottom w:val="nil" w:sz="6" w:space="0" w:color="auto"/>
              <w:right w:val="single" w:sz="4" w:space="0" w:color="000000"/>
            </w:tcBorders>
            <w:shd w:val="clear" w:color="auto" w:fill="D3D3D3"/>
          </w:tcPr>
          <w:p>
            <w:pPr/>
          </w:p>
        </w:tc>
        <w:tc>
          <w:tcPr>
            <w:tcW w:w="1246" w:type="dxa"/>
            <w:vMerge w:val="restart"/>
            <w:tcBorders>
              <w:top w:val="single" w:sz="4" w:space="0" w:color="000000"/>
              <w:left w:val="single" w:sz="9"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30,380,023.75</w:t>
            </w:r>
          </w:p>
        </w:tc>
        <w:tc>
          <w:tcPr>
            <w:tcW w:w="12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5" w:right="0"/>
              <w:jc w:val="left"/>
              <w:rPr>
                <w:rFonts w:ascii="Times New Roman" w:hAnsi="Times New Roman" w:cs="Times New Roman" w:eastAsia="Times New Roman" w:hint="default"/>
                <w:sz w:val="18"/>
                <w:szCs w:val="18"/>
              </w:rPr>
            </w:pPr>
            <w:r>
              <w:rPr>
                <w:rFonts w:ascii="Times New Roman"/>
                <w:sz w:val="18"/>
              </w:rPr>
              <w:t>0.94%</w:t>
            </w:r>
          </w:p>
        </w:tc>
        <w:tc>
          <w:tcPr>
            <w:tcW w:w="11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47,630,000.00</w:t>
            </w:r>
          </w:p>
        </w:tc>
        <w:tc>
          <w:tcPr>
            <w:tcW w:w="12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7" w:right="0"/>
              <w:jc w:val="left"/>
              <w:rPr>
                <w:rFonts w:ascii="Times New Roman" w:hAnsi="Times New Roman" w:cs="Times New Roman" w:eastAsia="Times New Roman" w:hint="default"/>
                <w:sz w:val="18"/>
                <w:szCs w:val="18"/>
              </w:rPr>
            </w:pPr>
            <w:r>
              <w:rPr>
                <w:rFonts w:ascii="Times New Roman"/>
                <w:sz w:val="18"/>
              </w:rPr>
              <w:t>1.49%</w:t>
            </w:r>
          </w:p>
        </w:tc>
        <w:tc>
          <w:tcPr>
            <w:tcW w:w="91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-0.55%</w:t>
            </w:r>
          </w:p>
        </w:tc>
        <w:tc>
          <w:tcPr>
            <w:tcW w:w="2567" w:type="dxa"/>
            <w:vMerge w:val="restart"/>
            <w:tcBorders>
              <w:top w:val="single" w:sz="4" w:space="0" w:color="000000"/>
              <w:left w:val="single" w:sz="4" w:space="0" w:color="000000"/>
              <w:right w:val="single" w:sz="4" w:space="0" w:color="000000"/>
            </w:tcBorders>
            <w:shd w:val="clear" w:color="auto" w:fill="C7EDCC"/>
          </w:tcPr>
          <w:p>
            <w:pPr>
              <w:pStyle w:val="TableParagraph"/>
              <w:spacing w:line="316" w:lineRule="auto" w:before="51"/>
              <w:ind w:left="22" w:right="14"/>
              <w:jc w:val="left"/>
              <w:rPr>
                <w:rFonts w:ascii="宋体" w:hAnsi="宋体" w:cs="宋体" w:eastAsia="宋体" w:hint="default"/>
                <w:sz w:val="18"/>
                <w:szCs w:val="18"/>
              </w:rPr>
            </w:pPr>
            <w:r>
              <w:rPr>
                <w:rFonts w:ascii="宋体" w:hAnsi="宋体" w:cs="宋体" w:eastAsia="宋体" w:hint="default"/>
                <w:sz w:val="18"/>
                <w:szCs w:val="18"/>
              </w:rPr>
              <w:t>主要系一年内到期的长期借款转 入一年内到期的非流动资产所 致。</w:t>
            </w:r>
          </w:p>
        </w:tc>
      </w:tr>
      <w:tr>
        <w:trPr>
          <w:trHeight w:val="392" w:hRule="exact"/>
        </w:trPr>
        <w:tc>
          <w:tcPr>
            <w:tcW w:w="12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46" w:type="dxa"/>
            <w:vMerge/>
            <w:tcBorders>
              <w:left w:val="single" w:sz="9" w:space="0" w:color="D3D3D3"/>
              <w:right w:val="single" w:sz="4" w:space="0" w:color="000000"/>
            </w:tcBorders>
          </w:tcPr>
          <w:p>
            <w:pPr/>
          </w:p>
        </w:tc>
        <w:tc>
          <w:tcPr>
            <w:tcW w:w="1262" w:type="dxa"/>
            <w:vMerge/>
            <w:tcBorders>
              <w:left w:val="single" w:sz="4" w:space="0" w:color="000000"/>
              <w:right w:val="single" w:sz="4" w:space="0" w:color="000000"/>
            </w:tcBorders>
          </w:tcPr>
          <w:p>
            <w:pPr/>
          </w:p>
        </w:tc>
        <w:tc>
          <w:tcPr>
            <w:tcW w:w="1186" w:type="dxa"/>
            <w:vMerge/>
            <w:tcBorders>
              <w:left w:val="single" w:sz="4" w:space="0" w:color="000000"/>
              <w:right w:val="single" w:sz="4" w:space="0" w:color="000000"/>
            </w:tcBorders>
          </w:tcPr>
          <w:p>
            <w:pPr/>
          </w:p>
        </w:tc>
        <w:tc>
          <w:tcPr>
            <w:tcW w:w="1244" w:type="dxa"/>
            <w:vMerge/>
            <w:tcBorders>
              <w:left w:val="single" w:sz="4" w:space="0" w:color="000000"/>
              <w:right w:val="single" w:sz="4" w:space="0" w:color="000000"/>
            </w:tcBorders>
          </w:tcPr>
          <w:p>
            <w:pPr/>
          </w:p>
        </w:tc>
        <w:tc>
          <w:tcPr>
            <w:tcW w:w="913" w:type="dxa"/>
            <w:vMerge/>
            <w:tcBorders>
              <w:left w:val="single" w:sz="4" w:space="0" w:color="000000"/>
              <w:right w:val="single" w:sz="4" w:space="0" w:color="000000"/>
            </w:tcBorders>
          </w:tcPr>
          <w:p>
            <w:pPr/>
          </w:p>
        </w:tc>
        <w:tc>
          <w:tcPr>
            <w:tcW w:w="2567" w:type="dxa"/>
            <w:vMerge/>
            <w:tcBorders>
              <w:left w:val="single" w:sz="4" w:space="0" w:color="000000"/>
              <w:right w:val="single" w:sz="4" w:space="0" w:color="000000"/>
            </w:tcBorders>
            <w:shd w:val="clear" w:color="auto" w:fill="C7EDCC"/>
          </w:tcPr>
          <w:p>
            <w:pPr/>
          </w:p>
        </w:tc>
      </w:tr>
      <w:tr>
        <w:trPr>
          <w:trHeight w:val="317" w:hRule="exact"/>
        </w:trPr>
        <w:tc>
          <w:tcPr>
            <w:tcW w:w="1252" w:type="dxa"/>
            <w:tcBorders>
              <w:top w:val="nil" w:sz="6" w:space="0" w:color="auto"/>
              <w:left w:val="single" w:sz="4" w:space="0" w:color="000000"/>
              <w:bottom w:val="single" w:sz="4" w:space="0" w:color="000000"/>
              <w:right w:val="single" w:sz="4" w:space="0" w:color="000000"/>
            </w:tcBorders>
            <w:shd w:val="clear" w:color="auto" w:fill="D3D3D3"/>
          </w:tcPr>
          <w:p>
            <w:pPr/>
          </w:p>
        </w:tc>
        <w:tc>
          <w:tcPr>
            <w:tcW w:w="1246" w:type="dxa"/>
            <w:vMerge/>
            <w:tcBorders>
              <w:left w:val="single" w:sz="9" w:space="0" w:color="D3D3D3"/>
              <w:bottom w:val="single" w:sz="4" w:space="0" w:color="000000"/>
              <w:right w:val="single" w:sz="4" w:space="0" w:color="000000"/>
            </w:tcBorders>
          </w:tcPr>
          <w:p>
            <w:pPr/>
          </w:p>
        </w:tc>
        <w:tc>
          <w:tcPr>
            <w:tcW w:w="1262" w:type="dxa"/>
            <w:vMerge/>
            <w:tcBorders>
              <w:left w:val="single" w:sz="4" w:space="0" w:color="000000"/>
              <w:bottom w:val="single" w:sz="4" w:space="0" w:color="000000"/>
              <w:right w:val="single" w:sz="4" w:space="0" w:color="000000"/>
            </w:tcBorders>
          </w:tcPr>
          <w:p>
            <w:pPr/>
          </w:p>
        </w:tc>
        <w:tc>
          <w:tcPr>
            <w:tcW w:w="1186" w:type="dxa"/>
            <w:vMerge/>
            <w:tcBorders>
              <w:left w:val="single" w:sz="4" w:space="0" w:color="000000"/>
              <w:bottom w:val="single" w:sz="4" w:space="0" w:color="000000"/>
              <w:right w:val="single" w:sz="4" w:space="0" w:color="000000"/>
            </w:tcBorders>
          </w:tcPr>
          <w:p>
            <w:pPr/>
          </w:p>
        </w:tc>
        <w:tc>
          <w:tcPr>
            <w:tcW w:w="1244" w:type="dxa"/>
            <w:vMerge/>
            <w:tcBorders>
              <w:left w:val="single" w:sz="4" w:space="0" w:color="000000"/>
              <w:bottom w:val="single" w:sz="4" w:space="0" w:color="000000"/>
              <w:right w:val="single" w:sz="4" w:space="0" w:color="000000"/>
            </w:tcBorders>
          </w:tcPr>
          <w:p>
            <w:pPr/>
          </w:p>
        </w:tc>
        <w:tc>
          <w:tcPr>
            <w:tcW w:w="913" w:type="dxa"/>
            <w:vMerge/>
            <w:tcBorders>
              <w:left w:val="single" w:sz="4" w:space="0" w:color="000000"/>
              <w:bottom w:val="single" w:sz="4" w:space="0" w:color="000000"/>
              <w:right w:val="single" w:sz="4" w:space="0" w:color="000000"/>
            </w:tcBorders>
          </w:tcPr>
          <w:p>
            <w:pPr/>
          </w:p>
        </w:tc>
        <w:tc>
          <w:tcPr>
            <w:tcW w:w="2567" w:type="dxa"/>
            <w:vMerge/>
            <w:tcBorders>
              <w:left w:val="single" w:sz="4" w:space="0" w:color="000000"/>
              <w:bottom w:val="single" w:sz="4" w:space="0" w:color="000000"/>
              <w:right w:val="single" w:sz="4" w:space="0" w:color="000000"/>
            </w:tcBorders>
            <w:shd w:val="clear" w:color="auto" w:fill="C7EDCC"/>
          </w:tcPr>
          <w:p>
            <w:pPr/>
          </w:p>
        </w:tc>
      </w:tr>
    </w:tbl>
    <w:p>
      <w:pPr>
        <w:spacing w:after="0"/>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28"/>
        <w:gridCol w:w="1018"/>
        <w:gridCol w:w="1279"/>
        <w:gridCol w:w="1069"/>
        <w:gridCol w:w="653"/>
        <w:gridCol w:w="1053"/>
        <w:gridCol w:w="1048"/>
        <w:gridCol w:w="1007"/>
      </w:tblGrid>
      <w:tr>
        <w:trPr>
          <w:trHeight w:val="162" w:hRule="exact"/>
        </w:trPr>
        <w:tc>
          <w:tcPr>
            <w:tcW w:w="2528" w:type="dxa"/>
            <w:vMerge w:val="restart"/>
            <w:tcBorders>
              <w:top w:val="single" w:sz="4" w:space="0" w:color="000000"/>
              <w:left w:val="single" w:sz="4" w:space="0" w:color="000000"/>
              <w:right w:val="single" w:sz="4" w:space="0" w:color="000000"/>
            </w:tcBorders>
            <w:shd w:val="clear" w:color="auto" w:fill="D3D3D3"/>
          </w:tcPr>
          <w:p>
            <w:pPr/>
          </w:p>
        </w:tc>
        <w:tc>
          <w:tcPr>
            <w:tcW w:w="1018" w:type="dxa"/>
            <w:vMerge w:val="restart"/>
            <w:tcBorders>
              <w:top w:val="single" w:sz="4" w:space="0" w:color="000000"/>
              <w:left w:val="single" w:sz="4" w:space="0" w:color="000000"/>
              <w:right w:val="single" w:sz="4" w:space="0" w:color="000000"/>
            </w:tcBorders>
            <w:shd w:val="clear" w:color="auto" w:fill="D3D3D3"/>
          </w:tcPr>
          <w:p>
            <w:pPr/>
          </w:p>
        </w:tc>
        <w:tc>
          <w:tcPr>
            <w:tcW w:w="1279"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79" w:right="78"/>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65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51" w:right="49"/>
              <w:jc w:val="center"/>
              <w:rPr>
                <w:rFonts w:ascii="宋体" w:hAnsi="宋体" w:cs="宋体" w:eastAsia="宋体" w:hint="default"/>
                <w:sz w:val="18"/>
                <w:szCs w:val="18"/>
              </w:rPr>
            </w:pPr>
            <w:r>
              <w:rPr>
                <w:rFonts w:ascii="宋体" w:hAnsi="宋体" w:cs="宋体" w:eastAsia="宋体" w:hint="default"/>
                <w:sz w:val="18"/>
                <w:szCs w:val="18"/>
              </w:rPr>
              <w:t>本期计 提的减 值</w:t>
            </w:r>
          </w:p>
        </w:tc>
        <w:tc>
          <w:tcPr>
            <w:tcW w:w="1053" w:type="dxa"/>
            <w:tcBorders>
              <w:top w:val="single" w:sz="4" w:space="0" w:color="000000"/>
              <w:left w:val="single" w:sz="4" w:space="0" w:color="000000"/>
              <w:bottom w:val="nil" w:sz="6" w:space="0" w:color="auto"/>
              <w:right w:val="single" w:sz="4" w:space="0" w:color="000000"/>
            </w:tcBorders>
            <w:shd w:val="clear" w:color="auto" w:fill="D3D3D3"/>
          </w:tcPr>
          <w:p>
            <w:pPr/>
          </w:p>
        </w:tc>
        <w:tc>
          <w:tcPr>
            <w:tcW w:w="1048" w:type="dxa"/>
            <w:tcBorders>
              <w:top w:val="single" w:sz="4" w:space="0" w:color="000000"/>
              <w:left w:val="single" w:sz="4" w:space="0" w:color="000000"/>
              <w:bottom w:val="nil" w:sz="6" w:space="0" w:color="auto"/>
              <w:right w:val="single" w:sz="4" w:space="0" w:color="000000"/>
            </w:tcBorders>
            <w:shd w:val="clear" w:color="auto" w:fill="D3D3D3"/>
          </w:tcPr>
          <w:p>
            <w:pPr/>
          </w:p>
        </w:tc>
        <w:tc>
          <w:tcPr>
            <w:tcW w:w="1007" w:type="dxa"/>
            <w:vMerge w:val="restart"/>
            <w:tcBorders>
              <w:top w:val="single" w:sz="4" w:space="0" w:color="000000"/>
              <w:left w:val="single" w:sz="4" w:space="0" w:color="000000"/>
              <w:right w:val="single" w:sz="4" w:space="0" w:color="000000"/>
            </w:tcBorders>
            <w:shd w:val="clear" w:color="auto" w:fill="D3D3D3"/>
          </w:tcPr>
          <w:p>
            <w:pPr/>
          </w:p>
        </w:tc>
      </w:tr>
      <w:tr>
        <w:trPr>
          <w:trHeight w:val="156" w:hRule="exact"/>
        </w:trPr>
        <w:tc>
          <w:tcPr>
            <w:tcW w:w="2528" w:type="dxa"/>
            <w:vMerge/>
            <w:tcBorders>
              <w:left w:val="single" w:sz="4" w:space="0" w:color="000000"/>
              <w:bottom w:val="nil" w:sz="6" w:space="0" w:color="auto"/>
              <w:right w:val="single" w:sz="4" w:space="0" w:color="000000"/>
            </w:tcBorders>
            <w:shd w:val="clear" w:color="auto" w:fill="D3D3D3"/>
          </w:tcPr>
          <w:p>
            <w:pPr/>
          </w:p>
        </w:tc>
        <w:tc>
          <w:tcPr>
            <w:tcW w:w="1018" w:type="dxa"/>
            <w:vMerge/>
            <w:tcBorders>
              <w:left w:val="single" w:sz="4" w:space="0" w:color="000000"/>
              <w:bottom w:val="nil" w:sz="6" w:space="0" w:color="auto"/>
              <w:right w:val="single" w:sz="4" w:space="0" w:color="000000"/>
            </w:tcBorders>
            <w:shd w:val="clear" w:color="auto" w:fill="D3D3D3"/>
          </w:tcPr>
          <w:p>
            <w:pPr/>
          </w:p>
        </w:tc>
        <w:tc>
          <w:tcPr>
            <w:tcW w:w="1279"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71" w:right="96"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069" w:type="dxa"/>
            <w:vMerge/>
            <w:tcBorders>
              <w:left w:val="single" w:sz="4" w:space="0" w:color="000000"/>
              <w:right w:val="single" w:sz="4" w:space="0" w:color="000000"/>
            </w:tcBorders>
            <w:shd w:val="clear" w:color="auto" w:fill="D3D3D3"/>
          </w:tcPr>
          <w:p>
            <w:pPr/>
          </w:p>
        </w:tc>
        <w:tc>
          <w:tcPr>
            <w:tcW w:w="653" w:type="dxa"/>
            <w:vMerge/>
            <w:tcBorders>
              <w:left w:val="single" w:sz="4" w:space="0" w:color="000000"/>
              <w:right w:val="single" w:sz="4" w:space="0" w:color="000000"/>
            </w:tcBorders>
            <w:shd w:val="clear" w:color="auto" w:fill="D3D3D3"/>
          </w:tcPr>
          <w:p>
            <w:pPr/>
          </w:p>
        </w:tc>
        <w:tc>
          <w:tcPr>
            <w:tcW w:w="1053"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430" w:right="70" w:hanging="360"/>
              <w:jc w:val="left"/>
              <w:rPr>
                <w:rFonts w:ascii="宋体" w:hAnsi="宋体" w:cs="宋体" w:eastAsia="宋体" w:hint="default"/>
                <w:sz w:val="18"/>
                <w:szCs w:val="18"/>
              </w:rPr>
            </w:pPr>
            <w:r>
              <w:rPr>
                <w:rFonts w:ascii="宋体" w:hAnsi="宋体" w:cs="宋体" w:eastAsia="宋体" w:hint="default"/>
                <w:sz w:val="18"/>
                <w:szCs w:val="18"/>
              </w:rPr>
              <w:t>本期购买金 额</w:t>
            </w:r>
          </w:p>
        </w:tc>
        <w:tc>
          <w:tcPr>
            <w:tcW w:w="1048"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431" w:right="64"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1007" w:type="dxa"/>
            <w:vMerge/>
            <w:tcBorders>
              <w:left w:val="single" w:sz="4" w:space="0" w:color="000000"/>
              <w:bottom w:val="nil" w:sz="6" w:space="0" w:color="auto"/>
              <w:right w:val="single" w:sz="4" w:space="0" w:color="000000"/>
            </w:tcBorders>
            <w:shd w:val="clear" w:color="auto" w:fill="D3D3D3"/>
          </w:tcPr>
          <w:p>
            <w:pPr/>
          </w:p>
        </w:tc>
      </w:tr>
      <w:tr>
        <w:trPr>
          <w:trHeight w:val="391" w:hRule="exact"/>
        </w:trPr>
        <w:tc>
          <w:tcPr>
            <w:tcW w:w="252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79" w:type="dxa"/>
            <w:vMerge/>
            <w:tcBorders>
              <w:left w:val="single" w:sz="4" w:space="0" w:color="000000"/>
              <w:right w:val="single" w:sz="4" w:space="0" w:color="000000"/>
            </w:tcBorders>
            <w:shd w:val="clear" w:color="auto" w:fill="D3D3D3"/>
          </w:tcPr>
          <w:p>
            <w:pPr/>
          </w:p>
        </w:tc>
        <w:tc>
          <w:tcPr>
            <w:tcW w:w="1069" w:type="dxa"/>
            <w:vMerge/>
            <w:tcBorders>
              <w:left w:val="single" w:sz="4" w:space="0" w:color="000000"/>
              <w:right w:val="single" w:sz="4" w:space="0" w:color="000000"/>
            </w:tcBorders>
            <w:shd w:val="clear" w:color="auto" w:fill="D3D3D3"/>
          </w:tcPr>
          <w:p>
            <w:pPr/>
          </w:p>
        </w:tc>
        <w:tc>
          <w:tcPr>
            <w:tcW w:w="653" w:type="dxa"/>
            <w:vMerge/>
            <w:tcBorders>
              <w:left w:val="single" w:sz="4" w:space="0" w:color="000000"/>
              <w:right w:val="single" w:sz="4" w:space="0" w:color="000000"/>
            </w:tcBorders>
            <w:shd w:val="clear" w:color="auto" w:fill="D3D3D3"/>
          </w:tcPr>
          <w:p>
            <w:pPr/>
          </w:p>
        </w:tc>
        <w:tc>
          <w:tcPr>
            <w:tcW w:w="1053" w:type="dxa"/>
            <w:vMerge/>
            <w:tcBorders>
              <w:left w:val="single" w:sz="4" w:space="0" w:color="000000"/>
              <w:right w:val="single" w:sz="4" w:space="0" w:color="000000"/>
            </w:tcBorders>
            <w:shd w:val="clear" w:color="auto" w:fill="D3D3D3"/>
          </w:tcPr>
          <w:p>
            <w:pPr/>
          </w:p>
        </w:tc>
        <w:tc>
          <w:tcPr>
            <w:tcW w:w="1048" w:type="dxa"/>
            <w:vMerge/>
            <w:tcBorders>
              <w:left w:val="single" w:sz="4" w:space="0" w:color="000000"/>
              <w:right w:val="single" w:sz="4" w:space="0" w:color="000000"/>
            </w:tcBorders>
            <w:shd w:val="clear" w:color="auto" w:fill="D3D3D3"/>
          </w:tcPr>
          <w:p>
            <w:pPr/>
          </w:p>
        </w:tc>
        <w:tc>
          <w:tcPr>
            <w:tcW w:w="100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2528" w:type="dxa"/>
            <w:vMerge w:val="restart"/>
            <w:tcBorders>
              <w:top w:val="nil" w:sz="6" w:space="0" w:color="auto"/>
              <w:left w:val="single" w:sz="4" w:space="0" w:color="000000"/>
              <w:right w:val="single" w:sz="4" w:space="0" w:color="000000"/>
            </w:tcBorders>
            <w:shd w:val="clear" w:color="auto" w:fill="D3D3D3"/>
          </w:tcPr>
          <w:p>
            <w:pPr/>
          </w:p>
        </w:tc>
        <w:tc>
          <w:tcPr>
            <w:tcW w:w="1018" w:type="dxa"/>
            <w:vMerge w:val="restart"/>
            <w:tcBorders>
              <w:top w:val="nil" w:sz="6" w:space="0" w:color="auto"/>
              <w:left w:val="single" w:sz="4" w:space="0" w:color="000000"/>
              <w:right w:val="single" w:sz="4" w:space="0" w:color="000000"/>
            </w:tcBorders>
            <w:shd w:val="clear" w:color="auto" w:fill="D3D3D3"/>
          </w:tcPr>
          <w:p>
            <w:pPr/>
          </w:p>
        </w:tc>
        <w:tc>
          <w:tcPr>
            <w:tcW w:w="1279" w:type="dxa"/>
            <w:vMerge/>
            <w:tcBorders>
              <w:left w:val="single" w:sz="4" w:space="0" w:color="000000"/>
              <w:bottom w:val="nil" w:sz="6" w:space="0" w:color="auto"/>
              <w:right w:val="single" w:sz="4" w:space="0" w:color="000000"/>
            </w:tcBorders>
            <w:shd w:val="clear" w:color="auto" w:fill="D3D3D3"/>
          </w:tcPr>
          <w:p>
            <w:pPr/>
          </w:p>
        </w:tc>
        <w:tc>
          <w:tcPr>
            <w:tcW w:w="1069" w:type="dxa"/>
            <w:vMerge/>
            <w:tcBorders>
              <w:left w:val="single" w:sz="4" w:space="0" w:color="000000"/>
              <w:right w:val="single" w:sz="4" w:space="0" w:color="000000"/>
            </w:tcBorders>
            <w:shd w:val="clear" w:color="auto" w:fill="D3D3D3"/>
          </w:tcPr>
          <w:p>
            <w:pPr/>
          </w:p>
        </w:tc>
        <w:tc>
          <w:tcPr>
            <w:tcW w:w="653" w:type="dxa"/>
            <w:vMerge/>
            <w:tcBorders>
              <w:left w:val="single" w:sz="4" w:space="0" w:color="000000"/>
              <w:right w:val="single" w:sz="4" w:space="0" w:color="000000"/>
            </w:tcBorders>
            <w:shd w:val="clear" w:color="auto" w:fill="D3D3D3"/>
          </w:tcPr>
          <w:p>
            <w:pPr/>
          </w:p>
        </w:tc>
        <w:tc>
          <w:tcPr>
            <w:tcW w:w="1053" w:type="dxa"/>
            <w:vMerge/>
            <w:tcBorders>
              <w:left w:val="single" w:sz="4" w:space="0" w:color="000000"/>
              <w:bottom w:val="nil" w:sz="6" w:space="0" w:color="auto"/>
              <w:right w:val="single" w:sz="4" w:space="0" w:color="000000"/>
            </w:tcBorders>
            <w:shd w:val="clear" w:color="auto" w:fill="D3D3D3"/>
          </w:tcPr>
          <w:p>
            <w:pPr/>
          </w:p>
        </w:tc>
        <w:tc>
          <w:tcPr>
            <w:tcW w:w="1048" w:type="dxa"/>
            <w:vMerge/>
            <w:tcBorders>
              <w:left w:val="single" w:sz="4" w:space="0" w:color="000000"/>
              <w:bottom w:val="nil" w:sz="6" w:space="0" w:color="auto"/>
              <w:right w:val="single" w:sz="4" w:space="0" w:color="000000"/>
            </w:tcBorders>
            <w:shd w:val="clear" w:color="auto" w:fill="D3D3D3"/>
          </w:tcPr>
          <w:p>
            <w:pPr/>
          </w:p>
        </w:tc>
        <w:tc>
          <w:tcPr>
            <w:tcW w:w="1007" w:type="dxa"/>
            <w:vMerge w:val="restart"/>
            <w:tcBorders>
              <w:top w:val="nil" w:sz="6" w:space="0" w:color="auto"/>
              <w:left w:val="single" w:sz="4" w:space="0" w:color="000000"/>
              <w:right w:val="single" w:sz="4" w:space="0" w:color="000000"/>
            </w:tcBorders>
            <w:shd w:val="clear" w:color="auto" w:fill="D3D3D3"/>
          </w:tcPr>
          <w:p>
            <w:pPr/>
          </w:p>
        </w:tc>
      </w:tr>
      <w:tr>
        <w:trPr>
          <w:trHeight w:val="162" w:hRule="exact"/>
        </w:trPr>
        <w:tc>
          <w:tcPr>
            <w:tcW w:w="2528" w:type="dxa"/>
            <w:vMerge/>
            <w:tcBorders>
              <w:left w:val="single" w:sz="4" w:space="0" w:color="000000"/>
              <w:bottom w:val="single" w:sz="4" w:space="0" w:color="000000"/>
              <w:right w:val="single" w:sz="4" w:space="0" w:color="000000"/>
            </w:tcBorders>
            <w:shd w:val="clear" w:color="auto" w:fill="D3D3D3"/>
          </w:tcPr>
          <w:p>
            <w:pPr/>
          </w:p>
        </w:tc>
        <w:tc>
          <w:tcPr>
            <w:tcW w:w="1018" w:type="dxa"/>
            <w:vMerge/>
            <w:tcBorders>
              <w:left w:val="single" w:sz="4" w:space="0" w:color="000000"/>
              <w:bottom w:val="single" w:sz="4" w:space="0" w:color="000000"/>
              <w:right w:val="single" w:sz="4" w:space="0" w:color="000000"/>
            </w:tcBorders>
            <w:shd w:val="clear" w:color="auto" w:fill="D3D3D3"/>
          </w:tcPr>
          <w:p>
            <w:pPr/>
          </w:p>
        </w:tc>
        <w:tc>
          <w:tcPr>
            <w:tcW w:w="1279"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9" w:type="dxa"/>
            <w:vMerge/>
            <w:tcBorders>
              <w:left w:val="single" w:sz="4" w:space="0" w:color="000000"/>
              <w:bottom w:val="single" w:sz="4" w:space="0" w:color="000000"/>
              <w:right w:val="single" w:sz="4" w:space="0" w:color="000000"/>
            </w:tcBorders>
            <w:shd w:val="clear" w:color="auto" w:fill="D3D3D3"/>
          </w:tcPr>
          <w:p>
            <w:pPr/>
          </w:p>
        </w:tc>
        <w:tc>
          <w:tcPr>
            <w:tcW w:w="653" w:type="dxa"/>
            <w:vMerge/>
            <w:tcBorders>
              <w:left w:val="single" w:sz="4" w:space="0" w:color="000000"/>
              <w:bottom w:val="single" w:sz="4" w:space="0" w:color="000000"/>
              <w:right w:val="single" w:sz="4" w:space="0" w:color="000000"/>
            </w:tcBorders>
            <w:shd w:val="clear" w:color="auto" w:fill="D3D3D3"/>
          </w:tcPr>
          <w:p>
            <w:pPr/>
          </w:p>
        </w:tc>
        <w:tc>
          <w:tcPr>
            <w:tcW w:w="1053" w:type="dxa"/>
            <w:tcBorders>
              <w:top w:val="nil" w:sz="6" w:space="0" w:color="auto"/>
              <w:left w:val="single" w:sz="4" w:space="0" w:color="000000"/>
              <w:bottom w:val="single" w:sz="4" w:space="0" w:color="000000"/>
              <w:right w:val="single" w:sz="4" w:space="0" w:color="000000"/>
            </w:tcBorders>
            <w:shd w:val="clear" w:color="auto" w:fill="D3D3D3"/>
          </w:tcPr>
          <w:p>
            <w:pPr/>
          </w:p>
        </w:tc>
        <w:tc>
          <w:tcPr>
            <w:tcW w:w="1048" w:type="dxa"/>
            <w:tcBorders>
              <w:top w:val="nil" w:sz="6" w:space="0" w:color="auto"/>
              <w:left w:val="single" w:sz="4" w:space="0" w:color="000000"/>
              <w:bottom w:val="single" w:sz="4" w:space="0" w:color="000000"/>
              <w:right w:val="single" w:sz="4" w:space="0" w:color="000000"/>
            </w:tcBorders>
            <w:shd w:val="clear" w:color="auto" w:fill="D3D3D3"/>
          </w:tcPr>
          <w:p>
            <w:pPr/>
          </w:p>
        </w:tc>
        <w:tc>
          <w:tcPr>
            <w:tcW w:w="1007"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7127" w:type="dxa"/>
            <w:gridSpan w:val="7"/>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63" w:hRule="exact"/>
        </w:trPr>
        <w:tc>
          <w:tcPr>
            <w:tcW w:w="252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以公允价值计量且其变动计入</w:t>
            </w:r>
          </w:p>
        </w:tc>
        <w:tc>
          <w:tcPr>
            <w:tcW w:w="1018" w:type="dxa"/>
            <w:tcBorders>
              <w:top w:val="single" w:sz="4" w:space="0" w:color="000000"/>
              <w:left w:val="single" w:sz="10" w:space="0" w:color="D3D3D3"/>
              <w:bottom w:val="nil" w:sz="6" w:space="0" w:color="auto"/>
              <w:right w:val="single" w:sz="4" w:space="0" w:color="000000"/>
            </w:tcBorders>
          </w:tcPr>
          <w:p>
            <w:pPr/>
          </w:p>
        </w:tc>
        <w:tc>
          <w:tcPr>
            <w:tcW w:w="1279" w:type="dxa"/>
            <w:tcBorders>
              <w:top w:val="single" w:sz="4" w:space="0" w:color="000000"/>
              <w:left w:val="single" w:sz="4" w:space="0" w:color="000000"/>
              <w:bottom w:val="nil" w:sz="6" w:space="0" w:color="auto"/>
              <w:right w:val="single" w:sz="4" w:space="0" w:color="000000"/>
            </w:tcBorders>
          </w:tcPr>
          <w:p>
            <w:pPr/>
          </w:p>
        </w:tc>
        <w:tc>
          <w:tcPr>
            <w:tcW w:w="1069"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
        </w:tc>
        <w:tc>
          <w:tcPr>
            <w:tcW w:w="1053" w:type="dxa"/>
            <w:tcBorders>
              <w:top w:val="single" w:sz="4" w:space="0" w:color="000000"/>
              <w:left w:val="single" w:sz="4" w:space="0" w:color="000000"/>
              <w:bottom w:val="nil" w:sz="6" w:space="0" w:color="auto"/>
              <w:right w:val="single" w:sz="4" w:space="0" w:color="000000"/>
            </w:tcBorders>
          </w:tcPr>
          <w:p>
            <w:pPr/>
          </w:p>
        </w:tc>
        <w:tc>
          <w:tcPr>
            <w:tcW w:w="1048" w:type="dxa"/>
            <w:tcBorders>
              <w:top w:val="single" w:sz="4" w:space="0" w:color="000000"/>
              <w:left w:val="single" w:sz="4" w:space="0" w:color="000000"/>
              <w:bottom w:val="nil" w:sz="6" w:space="0" w:color="auto"/>
              <w:right w:val="single" w:sz="4" w:space="0" w:color="000000"/>
            </w:tcBorders>
          </w:tcPr>
          <w:p>
            <w:pPr/>
          </w:p>
        </w:tc>
        <w:tc>
          <w:tcPr>
            <w:tcW w:w="1007"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52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11" w:right="0"/>
              <w:jc w:val="left"/>
              <w:rPr>
                <w:rFonts w:ascii="宋体" w:hAnsi="宋体" w:cs="宋体" w:eastAsia="宋体" w:hint="default"/>
                <w:sz w:val="18"/>
                <w:szCs w:val="18"/>
              </w:rPr>
            </w:pPr>
            <w:r>
              <w:rPr>
                <w:rFonts w:ascii="宋体" w:hAnsi="宋体" w:cs="宋体" w:eastAsia="宋体" w:hint="default"/>
                <w:spacing w:val="-2"/>
                <w:sz w:val="18"/>
                <w:szCs w:val="18"/>
              </w:rPr>
              <w:t>当期损益的金融资产（不含衍生</w:t>
            </w:r>
          </w:p>
        </w:tc>
        <w:tc>
          <w:tcPr>
            <w:tcW w:w="1018" w:type="dxa"/>
            <w:tcBorders>
              <w:top w:val="nil" w:sz="6" w:space="0" w:color="auto"/>
              <w:left w:val="single" w:sz="10" w:space="0" w:color="D3D3D3"/>
              <w:bottom w:val="nil" w:sz="6" w:space="0" w:color="auto"/>
              <w:right w:val="single" w:sz="4" w:space="0" w:color="000000"/>
            </w:tcBorders>
          </w:tcPr>
          <w:p>
            <w:pPr>
              <w:pStyle w:val="TableParagraph"/>
              <w:spacing w:line="240" w:lineRule="auto" w:before="46"/>
              <w:ind w:right="25"/>
              <w:jc w:val="right"/>
              <w:rPr>
                <w:rFonts w:ascii="Times New Roman" w:hAnsi="Times New Roman" w:cs="Times New Roman" w:eastAsia="Times New Roman" w:hint="default"/>
                <w:sz w:val="18"/>
                <w:szCs w:val="18"/>
              </w:rPr>
            </w:pPr>
            <w:r>
              <w:rPr>
                <w:rFonts w:ascii="Times New Roman"/>
                <w:spacing w:val="-1"/>
                <w:sz w:val="18"/>
              </w:rPr>
              <w:t>1,651,435.04</w:t>
            </w:r>
          </w:p>
        </w:tc>
        <w:tc>
          <w:tcPr>
            <w:tcW w:w="127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-217,682.00</w:t>
            </w:r>
          </w:p>
        </w:tc>
        <w:tc>
          <w:tcPr>
            <w:tcW w:w="106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1053"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04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3"/>
              <w:jc w:val="right"/>
              <w:rPr>
                <w:rFonts w:ascii="Times New Roman" w:hAnsi="Times New Roman" w:cs="Times New Roman" w:eastAsia="Times New Roman" w:hint="default"/>
                <w:sz w:val="18"/>
                <w:szCs w:val="18"/>
              </w:rPr>
            </w:pPr>
            <w:r>
              <w:rPr>
                <w:rFonts w:ascii="Times New Roman"/>
                <w:spacing w:val="-1"/>
                <w:sz w:val="18"/>
              </w:rPr>
              <w:t>1,651,435.04</w:t>
            </w:r>
          </w:p>
        </w:tc>
        <w:tc>
          <w:tcPr>
            <w:tcW w:w="100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1,782,318.00</w:t>
            </w:r>
          </w:p>
        </w:tc>
      </w:tr>
      <w:tr>
        <w:trPr>
          <w:trHeight w:val="351" w:hRule="exact"/>
        </w:trPr>
        <w:tc>
          <w:tcPr>
            <w:tcW w:w="252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1018" w:type="dxa"/>
            <w:tcBorders>
              <w:top w:val="nil" w:sz="6" w:space="0" w:color="auto"/>
              <w:left w:val="single" w:sz="10" w:space="0" w:color="D3D3D3"/>
              <w:bottom w:val="single" w:sz="4" w:space="0" w:color="000000"/>
              <w:right w:val="single" w:sz="4" w:space="0" w:color="000000"/>
            </w:tcBorders>
          </w:tcPr>
          <w:p>
            <w:pPr/>
          </w:p>
        </w:tc>
        <w:tc>
          <w:tcPr>
            <w:tcW w:w="1279" w:type="dxa"/>
            <w:tcBorders>
              <w:top w:val="nil" w:sz="6" w:space="0" w:color="auto"/>
              <w:left w:val="single" w:sz="4" w:space="0" w:color="000000"/>
              <w:bottom w:val="single" w:sz="4" w:space="0" w:color="000000"/>
              <w:right w:val="single" w:sz="4" w:space="0" w:color="000000"/>
            </w:tcBorders>
          </w:tcPr>
          <w:p>
            <w:pPr/>
          </w:p>
        </w:tc>
        <w:tc>
          <w:tcPr>
            <w:tcW w:w="106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1053" w:type="dxa"/>
            <w:tcBorders>
              <w:top w:val="nil" w:sz="6" w:space="0" w:color="auto"/>
              <w:left w:val="single" w:sz="4" w:space="0" w:color="000000"/>
              <w:bottom w:val="single" w:sz="4" w:space="0" w:color="000000"/>
              <w:right w:val="single" w:sz="4" w:space="0" w:color="000000"/>
            </w:tcBorders>
          </w:tcPr>
          <w:p>
            <w:pPr/>
          </w:p>
        </w:tc>
        <w:tc>
          <w:tcPr>
            <w:tcW w:w="1048" w:type="dxa"/>
            <w:tcBorders>
              <w:top w:val="nil" w:sz="6" w:space="0" w:color="auto"/>
              <w:left w:val="single" w:sz="4" w:space="0" w:color="000000"/>
              <w:bottom w:val="single" w:sz="4" w:space="0" w:color="000000"/>
              <w:right w:val="single" w:sz="4" w:space="0" w:color="000000"/>
            </w:tcBorders>
          </w:tcPr>
          <w:p>
            <w:pPr/>
          </w:p>
        </w:tc>
        <w:tc>
          <w:tcPr>
            <w:tcW w:w="1007"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2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1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z w:val="18"/>
              </w:rPr>
              <w:t>92,863.02</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228,949.77</w:t>
            </w:r>
          </w:p>
        </w:tc>
        <w:tc>
          <w:tcPr>
            <w:tcW w:w="106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053"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z w:val="18"/>
              </w:rPr>
              <w:t>92,863.02</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228,949.77</w:t>
            </w:r>
          </w:p>
        </w:tc>
      </w:tr>
      <w:tr>
        <w:trPr>
          <w:trHeight w:val="402" w:hRule="exact"/>
        </w:trPr>
        <w:tc>
          <w:tcPr>
            <w:tcW w:w="2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01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1,744,298.06</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11,267.77</w:t>
            </w:r>
          </w:p>
        </w:tc>
        <w:tc>
          <w:tcPr>
            <w:tcW w:w="106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1,744,298.06</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2,011,267.77</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01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z w:val="18"/>
              </w:rPr>
              <w:t>0.00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053"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报告期内公司主要资产计量属性是否发生重大变化</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031" w:firstLine="325"/>
        <w:jc w:val="left"/>
      </w:pPr>
      <w:r>
        <w:rPr/>
        <w:t>银行存款年末余额中</w:t>
      </w:r>
      <w:r>
        <w:rPr>
          <w:rFonts w:ascii="Times New Roman" w:hAnsi="Times New Roman" w:cs="Times New Roman" w:eastAsia="Times New Roman" w:hint="default"/>
        </w:rPr>
        <w:t>70,000,000.00</w:t>
      </w:r>
      <w:r>
        <w:rPr/>
        <w:t>元系本公司向银行购买的不能提前终止的结构性存款，</w:t>
      </w:r>
      <w:r>
        <w:rPr>
          <w:rFonts w:ascii="Times New Roman" w:hAnsi="Times New Roman" w:cs="Times New Roman" w:eastAsia="Times New Roman" w:hint="default"/>
        </w:rPr>
        <w:t>50,000,000.00</w:t>
      </w:r>
      <w:r>
        <w:rPr/>
        <w:t>元系本公司不能 随时支取的定期存款；其他货币资金年末余额中</w:t>
      </w:r>
      <w:r>
        <w:rPr>
          <w:rFonts w:ascii="Times New Roman" w:hAnsi="Times New Roman" w:cs="Times New Roman" w:eastAsia="Times New Roman" w:hint="default"/>
        </w:rPr>
        <w:t>20,893,910.80</w:t>
      </w:r>
      <w:r>
        <w:rPr/>
        <w:t>元系银行承兑汇票保证金存款，</w:t>
      </w:r>
      <w:r>
        <w:rPr>
          <w:rFonts w:ascii="Times New Roman" w:hAnsi="Times New Roman" w:cs="Times New Roman" w:eastAsia="Times New Roman" w:hint="default"/>
        </w:rPr>
        <w:t>3,000,000.00</w:t>
      </w:r>
      <w:r>
        <w:rPr/>
        <w:t>元系保函保证金， 使用受限。</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r>
        <w:rPr/>
        <w:t>五、投资状况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164,230,346.15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256,317,900.00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2"/>
        <w:rPr>
          <w:rFonts w:ascii="宋体" w:hAnsi="宋体" w:cs="宋体" w:eastAsia="宋体" w:hint="default"/>
          <w:sz w:val="24"/>
          <w:szCs w:val="24"/>
        </w:rPr>
      </w:pPr>
    </w:p>
    <w:p>
      <w:pPr>
        <w:pStyle w:val="Heading3"/>
        <w:spacing w:line="240" w:lineRule="auto"/>
        <w:ind w:left="779" w:right="0"/>
        <w:jc w:val="left"/>
        <w:rPr>
          <w:b w:val="0"/>
          <w:bCs w:val="0"/>
        </w:rPr>
      </w:pPr>
      <w:r>
        <w:rPr>
          <w:rFonts w:ascii="Times New Roman" w:hAnsi="Times New Roman" w:cs="Times New Roman" w:eastAsia="Times New Roman" w:hint="default"/>
          <w:w w:val="95"/>
        </w:rPr>
        <w:t>2</w:t>
      </w:r>
      <w:r>
        <w:rPr>
          <w:w w:val="95"/>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779"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7"/>
        <w:ind w:left="0" w:right="819"/>
        <w:jc w:val="right"/>
      </w:pPr>
      <w:r>
        <w:rPr/>
        <w:br w:type="column"/>
      </w:r>
      <w:r>
        <w:rPr/>
        <w:t>浙江华媒控股股份有限公司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5"/>
          <w:szCs w:val="25"/>
        </w:rPr>
      </w:pPr>
    </w:p>
    <w:p>
      <w:pPr>
        <w:pStyle w:val="BodyText"/>
        <w:spacing w:line="240" w:lineRule="auto"/>
        <w:ind w:left="0" w:right="819"/>
        <w:jc w:val="right"/>
      </w:pPr>
      <w:r>
        <w:rPr/>
        <w:pict>
          <v:group style="position:absolute;margin-left:70.490997pt;margin-top:-49.907986pt;width:700.95pt;height:.1pt;mso-position-horizontal-relative:page;mso-position-vertical-relative:paragraph;z-index:1096" coordorigin="1410,-998" coordsize="14019,2">
            <v:shape style="position:absolute;left:1410;top:-998;width:14019;height:2" coordorigin="1410,-998" coordsize="14019,0" path="m1410,-998l15428,-998e" filled="false" stroked="true" strokeweight=".72pt" strokecolor="#000000">
              <v:path arrowok="t"/>
            </v:shape>
            <w10:wrap type="none"/>
          </v:group>
        </w:pict>
      </w:r>
      <w:r>
        <w:rPr/>
        <w:pict>
          <v:group style="position:absolute;margin-left:278.571014pt;margin-top:17.532015pt;width:44.55pt;height:31.2pt;mso-position-horizontal-relative:page;mso-position-vertical-relative:paragraph;z-index:-1149592" coordorigin="5571,351" coordsize="891,624">
            <v:group style="position:absolute;left:5571;top:351;width:891;height:624" coordorigin="5571,351" coordsize="891,624">
              <v:shape style="position:absolute;left:5571;top:351;width:891;height:624" coordorigin="5571,351" coordsize="891,624" path="m6462,663l6462,351,5571,351,6017,663,6462,663xe" filled="true" fillcolor="#d3d3d3" stroked="false">
                <v:path arrowok="t"/>
                <v:fill type="solid"/>
              </v:shape>
              <v:shape style="position:absolute;left:5571;top:351;width:891;height:624" coordorigin="5571,351" coordsize="891,624" path="m6439,975l6439,959,6017,663,5595,663,5595,975,6439,975xe" filled="true" fillcolor="#d3d3d3" stroked="false">
                <v:path arrowok="t"/>
                <v:fill type="solid"/>
              </v:shape>
              <v:shape style="position:absolute;left:5571;top:351;width:891;height:624" coordorigin="5571,351" coordsize="891,624" path="m6462,975l6462,663,6439,663,6439,959,6462,975xe" filled="true" fillcolor="#d3d3d3" stroked="false">
                <v:path arrowok="t"/>
                <v:fill type="solid"/>
              </v:shape>
            </v:group>
            <v:group style="position:absolute;left:5595;top:663;width:844;height:312" coordorigin="5595,663" coordsize="844,312">
              <v:shape style="position:absolute;left:5595;top:663;width:844;height:312" coordorigin="5595,663" coordsize="844,312" path="m5595,663l5595,975,6439,975,6439,663,5595,663xe" filled="true" fillcolor="#d3d3d3" stroked="false">
                <v:path arrowok="t"/>
                <v:fill type="solid"/>
              </v:shape>
            </v:group>
            <w10:wrap type="none"/>
          </v:group>
        </w:pict>
      </w:r>
      <w:r>
        <w:rPr/>
        <w:pict>
          <v:group style="position:absolute;margin-left:425.811005pt;margin-top:17.532015pt;width:44.65pt;height:31.2pt;mso-position-horizontal-relative:page;mso-position-vertical-relative:paragraph;z-index:-1149568" coordorigin="8516,351" coordsize="893,624">
            <v:group style="position:absolute;left:8516;top:351;width:893;height:624" coordorigin="8516,351" coordsize="893,624">
              <v:shape style="position:absolute;left:8516;top:351;width:893;height:624" coordorigin="8516,351" coordsize="893,624" path="m9409,663l9409,351,8516,351,8963,663,9409,663xe" filled="true" fillcolor="#d3d3d3" stroked="false">
                <v:path arrowok="t"/>
                <v:fill type="solid"/>
              </v:shape>
              <v:shape style="position:absolute;left:8516;top:351;width:893;height:624" coordorigin="8516,351" coordsize="893,624" path="m9386,975l9386,959,8963,663,8539,663,8539,975,9386,975xe" filled="true" fillcolor="#d3d3d3" stroked="false">
                <v:path arrowok="t"/>
                <v:fill type="solid"/>
              </v:shape>
              <v:shape style="position:absolute;left:8516;top:351;width:893;height:624" coordorigin="8516,351" coordsize="893,624" path="m9409,975l9409,663,9386,663,9386,959,9409,975xe" filled="true" fillcolor="#d3d3d3" stroked="false">
                <v:path arrowok="t"/>
                <v:fill type="solid"/>
              </v:shape>
            </v:group>
            <v:group style="position:absolute;left:8539;top:663;width:848;height:312" coordorigin="8539,663" coordsize="848,312">
              <v:shape style="position:absolute;left:8539;top:663;width:848;height:312" coordorigin="8539,663" coordsize="848,312" path="m8539,663l8539,975,9386,975,9386,663,8539,663xe" filled="true" fillcolor="#d3d3d3" stroked="false">
                <v:path arrowok="t"/>
                <v:fill type="solid"/>
              </v:shape>
            </v:group>
            <w10:wrap type="none"/>
          </v:group>
        </w:pict>
      </w:r>
      <w:r>
        <w:rPr/>
        <w:t>单位：元</w:t>
      </w:r>
    </w:p>
    <w:p>
      <w:pPr>
        <w:spacing w:after="0" w:line="240" w:lineRule="auto"/>
        <w:jc w:val="right"/>
        <w:sectPr>
          <w:headerReference w:type="default" r:id="rId12"/>
          <w:footerReference w:type="default" r:id="rId13"/>
          <w:pgSz w:w="16840" w:h="11910" w:orient="landscape"/>
          <w:pgMar w:header="0" w:footer="0" w:top="800" w:bottom="0" w:left="660" w:right="620"/>
          <w:cols w:num="2" w:equalWidth="0">
            <w:col w:w="4468" w:space="5622"/>
            <w:col w:w="5470"/>
          </w:cols>
        </w:sectPr>
      </w:pPr>
    </w:p>
    <w:p>
      <w:pPr>
        <w:spacing w:line="240" w:lineRule="auto" w:before="1"/>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901"/>
        <w:gridCol w:w="901"/>
        <w:gridCol w:w="906"/>
        <w:gridCol w:w="1186"/>
        <w:gridCol w:w="904"/>
        <w:gridCol w:w="900"/>
        <w:gridCol w:w="2045"/>
        <w:gridCol w:w="902"/>
        <w:gridCol w:w="900"/>
        <w:gridCol w:w="1053"/>
        <w:gridCol w:w="1001"/>
        <w:gridCol w:w="1001"/>
        <w:gridCol w:w="902"/>
        <w:gridCol w:w="901"/>
        <w:gridCol w:w="897"/>
      </w:tblGrid>
      <w:tr>
        <w:trPr>
          <w:trHeight w:val="161" w:hRule="exact"/>
        </w:trPr>
        <w:tc>
          <w:tcPr>
            <w:tcW w:w="901" w:type="dxa"/>
            <w:tcBorders>
              <w:top w:val="single" w:sz="4" w:space="0" w:color="000000"/>
              <w:left w:val="single" w:sz="4" w:space="0" w:color="000000"/>
              <w:bottom w:val="nil" w:sz="6" w:space="0" w:color="auto"/>
              <w:right w:val="single" w:sz="4" w:space="0" w:color="000000"/>
            </w:tcBorders>
            <w:shd w:val="clear" w:color="auto" w:fill="D3D3D3"/>
          </w:tcPr>
          <w:p>
            <w:pPr/>
          </w:p>
        </w:tc>
        <w:tc>
          <w:tcPr>
            <w:tcW w:w="901" w:type="dxa"/>
            <w:vMerge w:val="restart"/>
            <w:tcBorders>
              <w:top w:val="single" w:sz="4" w:space="0" w:color="000000"/>
              <w:left w:val="single" w:sz="4" w:space="0" w:color="000000"/>
              <w:right w:val="single" w:sz="4" w:space="0" w:color="000000"/>
            </w:tcBorders>
            <w:shd w:val="clear" w:color="auto" w:fill="D3D3D3"/>
          </w:tcPr>
          <w:p>
            <w:pPr/>
          </w:p>
        </w:tc>
        <w:tc>
          <w:tcPr>
            <w:tcW w:w="906" w:type="dxa"/>
            <w:vMerge w:val="restart"/>
            <w:tcBorders>
              <w:top w:val="single" w:sz="4" w:space="0" w:color="000000"/>
              <w:left w:val="single" w:sz="4" w:space="0" w:color="000000"/>
              <w:right w:val="single" w:sz="4" w:space="0" w:color="000000"/>
            </w:tcBorders>
            <w:shd w:val="clear" w:color="auto" w:fill="D3D3D3"/>
          </w:tcPr>
          <w:p>
            <w:pPr/>
          </w:p>
        </w:tc>
        <w:tc>
          <w:tcPr>
            <w:tcW w:w="1186" w:type="dxa"/>
            <w:vMerge w:val="restart"/>
            <w:tcBorders>
              <w:top w:val="single" w:sz="4" w:space="0" w:color="000000"/>
              <w:left w:val="single" w:sz="4" w:space="0" w:color="000000"/>
              <w:right w:val="single" w:sz="4" w:space="0" w:color="000000"/>
            </w:tcBorders>
            <w:shd w:val="clear" w:color="auto" w:fill="D3D3D3"/>
          </w:tcPr>
          <w:p>
            <w:pPr/>
          </w:p>
        </w:tc>
        <w:tc>
          <w:tcPr>
            <w:tcW w:w="904" w:type="dxa"/>
            <w:vMerge w:val="restart"/>
            <w:tcBorders>
              <w:top w:val="single" w:sz="4" w:space="0" w:color="000000"/>
              <w:left w:val="single" w:sz="4" w:space="0" w:color="000000"/>
              <w:right w:val="single" w:sz="4" w:space="0" w:color="000000"/>
            </w:tcBorders>
            <w:shd w:val="clear" w:color="auto" w:fill="D3D3D3"/>
          </w:tcPr>
          <w:p>
            <w:pPr/>
          </w:p>
        </w:tc>
        <w:tc>
          <w:tcPr>
            <w:tcW w:w="900" w:type="dxa"/>
            <w:vMerge w:val="restart"/>
            <w:tcBorders>
              <w:top w:val="single" w:sz="4" w:space="0" w:color="000000"/>
              <w:left w:val="single" w:sz="9" w:space="0" w:color="D3D3D3"/>
              <w:right w:val="single" w:sz="14" w:space="0" w:color="D3D3D3"/>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78"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2045" w:type="dxa"/>
            <w:vMerge w:val="restart"/>
            <w:tcBorders>
              <w:top w:val="single" w:sz="4" w:space="0" w:color="000000"/>
              <w:left w:val="single" w:sz="4" w:space="0" w:color="000000"/>
              <w:right w:val="single" w:sz="4" w:space="0" w:color="000000"/>
            </w:tcBorders>
            <w:shd w:val="clear" w:color="auto" w:fill="D3D3D3"/>
          </w:tcPr>
          <w:p>
            <w:pPr/>
          </w:p>
        </w:tc>
        <w:tc>
          <w:tcPr>
            <w:tcW w:w="902" w:type="dxa"/>
            <w:vMerge w:val="restart"/>
            <w:tcBorders>
              <w:top w:val="single" w:sz="4" w:space="0" w:color="000000"/>
              <w:left w:val="single" w:sz="9" w:space="0" w:color="D3D3D3"/>
              <w:right w:val="single" w:sz="10" w:space="0" w:color="D3D3D3"/>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投资期限</w:t>
            </w:r>
          </w:p>
        </w:tc>
        <w:tc>
          <w:tcPr>
            <w:tcW w:w="900" w:type="dxa"/>
            <w:vMerge w:val="restart"/>
            <w:tcBorders>
              <w:top w:val="single" w:sz="4" w:space="0" w:color="000000"/>
              <w:left w:val="single" w:sz="4" w:space="0" w:color="000000"/>
              <w:right w:val="single" w:sz="4" w:space="0" w:color="000000"/>
            </w:tcBorders>
            <w:shd w:val="clear" w:color="auto" w:fill="D3D3D3"/>
          </w:tcPr>
          <w:p>
            <w:pPr/>
          </w:p>
        </w:tc>
        <w:tc>
          <w:tcPr>
            <w:tcW w:w="105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10"/>
              <w:ind w:left="70" w:right="70"/>
              <w:jc w:val="center"/>
              <w:rPr>
                <w:rFonts w:ascii="宋体" w:hAnsi="宋体" w:cs="宋体" w:eastAsia="宋体" w:hint="default"/>
                <w:sz w:val="18"/>
                <w:szCs w:val="18"/>
              </w:rPr>
            </w:pPr>
            <w:r>
              <w:rPr>
                <w:rFonts w:ascii="宋体" w:hAnsi="宋体" w:cs="宋体" w:eastAsia="宋体" w:hint="default"/>
                <w:sz w:val="18"/>
                <w:szCs w:val="18"/>
              </w:rPr>
              <w:t>截至资产负 债表日的进 展情况</w:t>
            </w:r>
          </w:p>
        </w:tc>
        <w:tc>
          <w:tcPr>
            <w:tcW w:w="1001" w:type="dxa"/>
            <w:vMerge w:val="restart"/>
            <w:tcBorders>
              <w:top w:val="single" w:sz="4" w:space="0" w:color="000000"/>
              <w:left w:val="single" w:sz="4" w:space="0" w:color="000000"/>
              <w:right w:val="single" w:sz="4" w:space="0" w:color="000000"/>
            </w:tcBorders>
            <w:shd w:val="clear" w:color="auto" w:fill="D3D3D3"/>
          </w:tcPr>
          <w:p>
            <w:pPr/>
          </w:p>
        </w:tc>
        <w:tc>
          <w:tcPr>
            <w:tcW w:w="1001" w:type="dxa"/>
            <w:tcBorders>
              <w:top w:val="single" w:sz="4" w:space="0" w:color="000000"/>
              <w:left w:val="single" w:sz="4" w:space="0" w:color="000000"/>
              <w:bottom w:val="nil" w:sz="6" w:space="0" w:color="auto"/>
              <w:right w:val="single" w:sz="4" w:space="0" w:color="000000"/>
            </w:tcBorders>
            <w:shd w:val="clear" w:color="auto" w:fill="D3D3D3"/>
          </w:tcPr>
          <w:p>
            <w:pPr/>
          </w:p>
        </w:tc>
        <w:tc>
          <w:tcPr>
            <w:tcW w:w="902" w:type="dxa"/>
            <w:vMerge w:val="restart"/>
            <w:tcBorders>
              <w:top w:val="single" w:sz="4" w:space="0" w:color="000000"/>
              <w:left w:val="single" w:sz="4" w:space="0" w:color="000000"/>
              <w:right w:val="single" w:sz="4" w:space="0" w:color="000000"/>
            </w:tcBorders>
            <w:shd w:val="clear" w:color="auto" w:fill="D3D3D3"/>
          </w:tcPr>
          <w:p>
            <w:pPr/>
          </w:p>
        </w:tc>
        <w:tc>
          <w:tcPr>
            <w:tcW w:w="901" w:type="dxa"/>
            <w:vMerge w:val="restart"/>
            <w:tcBorders>
              <w:top w:val="single" w:sz="4" w:space="0" w:color="000000"/>
              <w:left w:val="single" w:sz="4" w:space="0" w:color="000000"/>
              <w:right w:val="single" w:sz="4" w:space="0" w:color="000000"/>
            </w:tcBorders>
            <w:shd w:val="clear" w:color="auto" w:fill="D3D3D3"/>
          </w:tcPr>
          <w:p>
            <w:pPr/>
          </w:p>
        </w:tc>
        <w:tc>
          <w:tcPr>
            <w:tcW w:w="897" w:type="dxa"/>
            <w:vMerge w:val="restart"/>
            <w:tcBorders>
              <w:top w:val="single" w:sz="4" w:space="0" w:color="000000"/>
              <w:left w:val="single" w:sz="4" w:space="0" w:color="000000"/>
              <w:right w:val="single" w:sz="4" w:space="0" w:color="000000"/>
            </w:tcBorders>
            <w:shd w:val="clear" w:color="auto" w:fill="D3D3D3"/>
          </w:tcPr>
          <w:p>
            <w:pPr/>
          </w:p>
        </w:tc>
      </w:tr>
      <w:tr>
        <w:trPr>
          <w:trHeight w:val="156" w:hRule="exact"/>
        </w:trPr>
        <w:tc>
          <w:tcPr>
            <w:tcW w:w="901"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10"/>
              <w:ind w:left="175" w:right="84" w:hanging="90"/>
              <w:jc w:val="left"/>
              <w:rPr>
                <w:rFonts w:ascii="宋体" w:hAnsi="宋体" w:cs="宋体" w:eastAsia="宋体" w:hint="default"/>
                <w:sz w:val="18"/>
                <w:szCs w:val="18"/>
              </w:rPr>
            </w:pPr>
            <w:r>
              <w:rPr>
                <w:rFonts w:ascii="宋体" w:hAnsi="宋体" w:cs="宋体" w:eastAsia="宋体" w:hint="default"/>
                <w:sz w:val="18"/>
                <w:szCs w:val="18"/>
              </w:rPr>
              <w:t>被投资公 司名称</w:t>
            </w:r>
          </w:p>
        </w:tc>
        <w:tc>
          <w:tcPr>
            <w:tcW w:w="901" w:type="dxa"/>
            <w:vMerge/>
            <w:tcBorders>
              <w:left w:val="single" w:sz="4" w:space="0" w:color="000000"/>
              <w:bottom w:val="nil" w:sz="6" w:space="0" w:color="auto"/>
              <w:right w:val="single" w:sz="4" w:space="0" w:color="000000"/>
            </w:tcBorders>
            <w:shd w:val="clear" w:color="auto" w:fill="D3D3D3"/>
          </w:tcPr>
          <w:p>
            <w:pPr/>
          </w:p>
        </w:tc>
        <w:tc>
          <w:tcPr>
            <w:tcW w:w="906" w:type="dxa"/>
            <w:vMerge/>
            <w:tcBorders>
              <w:left w:val="single" w:sz="4" w:space="0" w:color="000000"/>
              <w:bottom w:val="nil" w:sz="6" w:space="0" w:color="auto"/>
              <w:right w:val="single" w:sz="4" w:space="0" w:color="000000"/>
            </w:tcBorders>
            <w:shd w:val="clear" w:color="auto" w:fill="D3D3D3"/>
          </w:tcPr>
          <w:p>
            <w:pPr/>
          </w:p>
        </w:tc>
        <w:tc>
          <w:tcPr>
            <w:tcW w:w="1186" w:type="dxa"/>
            <w:vMerge/>
            <w:tcBorders>
              <w:left w:val="single" w:sz="4" w:space="0" w:color="000000"/>
              <w:bottom w:val="nil" w:sz="6" w:space="0" w:color="auto"/>
              <w:right w:val="single" w:sz="4" w:space="0" w:color="000000"/>
            </w:tcBorders>
            <w:shd w:val="clear" w:color="auto" w:fill="D3D3D3"/>
          </w:tcPr>
          <w:p>
            <w:pPr/>
          </w:p>
        </w:tc>
        <w:tc>
          <w:tcPr>
            <w:tcW w:w="904" w:type="dxa"/>
            <w:vMerge/>
            <w:tcBorders>
              <w:left w:val="single" w:sz="4" w:space="0" w:color="000000"/>
              <w:bottom w:val="nil" w:sz="6" w:space="0" w:color="auto"/>
              <w:right w:val="single" w:sz="4" w:space="0" w:color="000000"/>
            </w:tcBorders>
            <w:shd w:val="clear" w:color="auto" w:fill="D3D3D3"/>
          </w:tcPr>
          <w:p>
            <w:pPr/>
          </w:p>
        </w:tc>
        <w:tc>
          <w:tcPr>
            <w:tcW w:w="900" w:type="dxa"/>
            <w:vMerge/>
            <w:tcBorders>
              <w:left w:val="single" w:sz="9" w:space="0" w:color="D3D3D3"/>
              <w:right w:val="single" w:sz="14" w:space="0" w:color="D3D3D3"/>
            </w:tcBorders>
          </w:tcPr>
          <w:p>
            <w:pPr/>
          </w:p>
        </w:tc>
        <w:tc>
          <w:tcPr>
            <w:tcW w:w="2045" w:type="dxa"/>
            <w:vMerge/>
            <w:tcBorders>
              <w:left w:val="single" w:sz="4" w:space="0" w:color="000000"/>
              <w:bottom w:val="nil" w:sz="6" w:space="0" w:color="auto"/>
              <w:right w:val="single" w:sz="4" w:space="0" w:color="000000"/>
            </w:tcBorders>
            <w:shd w:val="clear" w:color="auto" w:fill="D3D3D3"/>
          </w:tcPr>
          <w:p>
            <w:pPr/>
          </w:p>
        </w:tc>
        <w:tc>
          <w:tcPr>
            <w:tcW w:w="902" w:type="dxa"/>
            <w:vMerge/>
            <w:tcBorders>
              <w:left w:val="single" w:sz="9" w:space="0" w:color="D3D3D3"/>
              <w:right w:val="single" w:sz="10" w:space="0" w:color="D3D3D3"/>
            </w:tcBorders>
          </w:tcPr>
          <w:p>
            <w:pPr/>
          </w:p>
        </w:tc>
        <w:tc>
          <w:tcPr>
            <w:tcW w:w="900" w:type="dxa"/>
            <w:vMerge/>
            <w:tcBorders>
              <w:left w:val="single" w:sz="4" w:space="0" w:color="000000"/>
              <w:bottom w:val="nil" w:sz="6" w:space="0" w:color="auto"/>
              <w:right w:val="single" w:sz="4" w:space="0" w:color="000000"/>
            </w:tcBorders>
            <w:shd w:val="clear" w:color="auto" w:fill="D3D3D3"/>
          </w:tcPr>
          <w:p>
            <w:pPr/>
          </w:p>
        </w:tc>
        <w:tc>
          <w:tcPr>
            <w:tcW w:w="1053"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bottom w:val="nil" w:sz="6" w:space="0" w:color="auto"/>
              <w:right w:val="single" w:sz="4" w:space="0" w:color="000000"/>
            </w:tcBorders>
            <w:shd w:val="clear" w:color="auto" w:fill="D3D3D3"/>
          </w:tcPr>
          <w:p>
            <w:pPr/>
          </w:p>
        </w:tc>
        <w:tc>
          <w:tcPr>
            <w:tcW w:w="1001"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10"/>
              <w:ind w:left="405" w:right="43" w:hanging="360"/>
              <w:jc w:val="left"/>
              <w:rPr>
                <w:rFonts w:ascii="宋体" w:hAnsi="宋体" w:cs="宋体" w:eastAsia="宋体" w:hint="default"/>
                <w:sz w:val="18"/>
                <w:szCs w:val="18"/>
              </w:rPr>
            </w:pPr>
            <w:r>
              <w:rPr>
                <w:rFonts w:ascii="宋体" w:hAnsi="宋体" w:cs="宋体" w:eastAsia="宋体" w:hint="default"/>
                <w:sz w:val="18"/>
                <w:szCs w:val="18"/>
              </w:rPr>
              <w:t>本期投资盈 亏</w:t>
            </w:r>
          </w:p>
        </w:tc>
        <w:tc>
          <w:tcPr>
            <w:tcW w:w="902" w:type="dxa"/>
            <w:vMerge/>
            <w:tcBorders>
              <w:left w:val="single" w:sz="4" w:space="0" w:color="000000"/>
              <w:bottom w:val="nil" w:sz="6" w:space="0" w:color="auto"/>
              <w:right w:val="single" w:sz="4" w:space="0" w:color="000000"/>
            </w:tcBorders>
            <w:shd w:val="clear" w:color="auto" w:fill="D3D3D3"/>
          </w:tcPr>
          <w:p>
            <w:pPr/>
          </w:p>
        </w:tc>
        <w:tc>
          <w:tcPr>
            <w:tcW w:w="901" w:type="dxa"/>
            <w:vMerge/>
            <w:tcBorders>
              <w:left w:val="single" w:sz="4" w:space="0" w:color="000000"/>
              <w:bottom w:val="nil" w:sz="6" w:space="0" w:color="auto"/>
              <w:right w:val="single" w:sz="4" w:space="0" w:color="000000"/>
            </w:tcBorders>
            <w:shd w:val="clear" w:color="auto" w:fill="D3D3D3"/>
          </w:tcPr>
          <w:p>
            <w:pPr/>
          </w:p>
        </w:tc>
        <w:tc>
          <w:tcPr>
            <w:tcW w:w="897" w:type="dxa"/>
            <w:vMerge/>
            <w:tcBorders>
              <w:left w:val="single" w:sz="4" w:space="0" w:color="000000"/>
              <w:bottom w:val="nil" w:sz="6" w:space="0" w:color="auto"/>
              <w:right w:val="single" w:sz="4" w:space="0" w:color="000000"/>
            </w:tcBorders>
            <w:shd w:val="clear" w:color="auto" w:fill="D3D3D3"/>
          </w:tcPr>
          <w:p>
            <w:pPr/>
          </w:p>
        </w:tc>
      </w:tr>
      <w:tr>
        <w:trPr>
          <w:trHeight w:val="312" w:hRule="exact"/>
        </w:trPr>
        <w:tc>
          <w:tcPr>
            <w:tcW w:w="901" w:type="dxa"/>
            <w:vMerge/>
            <w:tcBorders>
              <w:left w:val="single" w:sz="4" w:space="0" w:color="000000"/>
              <w:right w:val="single" w:sz="4" w:space="0" w:color="000000"/>
            </w:tcBorders>
            <w:shd w:val="clear" w:color="auto" w:fill="D3D3D3"/>
          </w:tcPr>
          <w:p>
            <w:pPr/>
          </w:p>
        </w:tc>
        <w:tc>
          <w:tcPr>
            <w:tcW w:w="901" w:type="dxa"/>
            <w:tcBorders>
              <w:top w:val="nil" w:sz="6" w:space="0" w:color="auto"/>
              <w:left w:val="single" w:sz="9" w:space="0" w:color="D3D3D3"/>
              <w:bottom w:val="nil" w:sz="6" w:space="0" w:color="auto"/>
              <w:right w:val="single" w:sz="23" w:space="0" w:color="D3D3D3"/>
            </w:tcBorders>
          </w:tcPr>
          <w:p>
            <w:pPr>
              <w:pStyle w:val="TableParagraph"/>
              <w:spacing w:line="240" w:lineRule="auto" w:before="10"/>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7"/>
                <w:sz w:val="18"/>
                <w:szCs w:val="18"/>
                <w:shd w:fill="D3D3D3" w:color="auto" w:val="clear"/>
              </w:rPr>
              <w:t> </w:t>
            </w:r>
            <w:r>
              <w:rPr>
                <w:rFonts w:ascii="宋体" w:hAnsi="宋体" w:cs="宋体" w:eastAsia="宋体" w:hint="default"/>
                <w:sz w:val="18"/>
                <w:szCs w:val="18"/>
                <w:shd w:fill="D3D3D3" w:color="auto" w:val="clear"/>
              </w:rPr>
              <w:t>主要业务</w:t>
            </w:r>
            <w:r>
              <w:rPr>
                <w:rFonts w:ascii="宋体" w:hAnsi="宋体" w:cs="宋体" w:eastAsia="宋体" w:hint="default"/>
                <w:sz w:val="18"/>
                <w:szCs w:val="18"/>
              </w:rPr>
            </w:r>
          </w:p>
        </w:tc>
        <w:tc>
          <w:tcPr>
            <w:tcW w:w="90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87" w:right="0"/>
              <w:jc w:val="left"/>
              <w:rPr>
                <w:rFonts w:ascii="宋体" w:hAnsi="宋体" w:cs="宋体" w:eastAsia="宋体" w:hint="default"/>
                <w:sz w:val="18"/>
                <w:szCs w:val="18"/>
              </w:rPr>
            </w:pPr>
            <w:r>
              <w:rPr>
                <w:rFonts w:ascii="宋体" w:hAnsi="宋体" w:cs="宋体" w:eastAsia="宋体" w:hint="default"/>
                <w:sz w:val="18"/>
                <w:szCs w:val="18"/>
              </w:rPr>
              <w:t>投资方式</w:t>
            </w:r>
          </w:p>
        </w:tc>
        <w:tc>
          <w:tcPr>
            <w:tcW w:w="118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7"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90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8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00" w:type="dxa"/>
            <w:vMerge/>
            <w:tcBorders>
              <w:left w:val="single" w:sz="9" w:space="0" w:color="D3D3D3"/>
              <w:right w:val="single" w:sz="14" w:space="0" w:color="D3D3D3"/>
            </w:tcBorders>
          </w:tcPr>
          <w:p>
            <w:pPr/>
          </w:p>
        </w:tc>
        <w:tc>
          <w:tcPr>
            <w:tcW w:w="204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902" w:type="dxa"/>
            <w:vMerge/>
            <w:tcBorders>
              <w:left w:val="single" w:sz="9" w:space="0" w:color="D3D3D3"/>
              <w:right w:val="single" w:sz="10" w:space="0" w:color="D3D3D3"/>
            </w:tcBorders>
          </w:tcPr>
          <w:p>
            <w:pPr/>
          </w:p>
        </w:tc>
        <w:tc>
          <w:tcPr>
            <w:tcW w:w="900" w:type="dxa"/>
            <w:tcBorders>
              <w:top w:val="nil" w:sz="6" w:space="0" w:color="auto"/>
              <w:left w:val="single" w:sz="10" w:space="0" w:color="D3D3D3"/>
              <w:bottom w:val="nil" w:sz="6" w:space="0" w:color="auto"/>
              <w:right w:val="single" w:sz="22" w:space="0" w:color="D3D3D3"/>
            </w:tcBorders>
          </w:tcPr>
          <w:p>
            <w:pPr>
              <w:pStyle w:val="TableParagraph"/>
              <w:spacing w:line="240" w:lineRule="auto" w:before="1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6"/>
                <w:sz w:val="18"/>
                <w:szCs w:val="18"/>
                <w:shd w:fill="D3D3D3" w:color="auto" w:val="clear"/>
              </w:rPr>
              <w:t> </w:t>
            </w:r>
            <w:r>
              <w:rPr>
                <w:rFonts w:ascii="宋体" w:hAnsi="宋体" w:cs="宋体" w:eastAsia="宋体" w:hint="default"/>
                <w:sz w:val="18"/>
                <w:szCs w:val="18"/>
                <w:shd w:fill="D3D3D3" w:color="auto" w:val="clear"/>
              </w:rPr>
              <w:t>产品类型</w:t>
            </w:r>
            <w:r>
              <w:rPr>
                <w:rFonts w:ascii="宋体" w:hAnsi="宋体" w:cs="宋体" w:eastAsia="宋体" w:hint="default"/>
                <w:sz w:val="18"/>
                <w:szCs w:val="18"/>
              </w:rPr>
            </w:r>
          </w:p>
        </w:tc>
        <w:tc>
          <w:tcPr>
            <w:tcW w:w="1053" w:type="dxa"/>
            <w:vMerge/>
            <w:tcBorders>
              <w:left w:val="single" w:sz="4" w:space="0" w:color="000000"/>
              <w:right w:val="single" w:sz="4" w:space="0" w:color="000000"/>
            </w:tcBorders>
            <w:shd w:val="clear" w:color="auto" w:fill="D3D3D3"/>
          </w:tcPr>
          <w:p>
            <w:pP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35" w:right="0"/>
              <w:jc w:val="left"/>
              <w:rPr>
                <w:rFonts w:ascii="宋体" w:hAnsi="宋体" w:cs="宋体" w:eastAsia="宋体" w:hint="default"/>
                <w:sz w:val="18"/>
                <w:szCs w:val="18"/>
              </w:rPr>
            </w:pPr>
            <w:r>
              <w:rPr>
                <w:rFonts w:ascii="宋体" w:hAnsi="宋体" w:cs="宋体" w:eastAsia="宋体" w:hint="default"/>
                <w:sz w:val="18"/>
                <w:szCs w:val="18"/>
              </w:rPr>
              <w:t>预计收益</w:t>
            </w:r>
          </w:p>
        </w:tc>
        <w:tc>
          <w:tcPr>
            <w:tcW w:w="1001" w:type="dxa"/>
            <w:vMerge/>
            <w:tcBorders>
              <w:left w:val="single" w:sz="4" w:space="0" w:color="000000"/>
              <w:right w:val="single" w:sz="4" w:space="0" w:color="000000"/>
            </w:tcBorders>
            <w:shd w:val="clear" w:color="auto" w:fill="D3D3D3"/>
          </w:tcPr>
          <w:p>
            <w:pPr/>
          </w:p>
        </w:tc>
        <w:tc>
          <w:tcPr>
            <w:tcW w:w="902" w:type="dxa"/>
            <w:tcBorders>
              <w:top w:val="nil" w:sz="6" w:space="0" w:color="auto"/>
              <w:left w:val="single" w:sz="22" w:space="0" w:color="D3D3D3"/>
              <w:bottom w:val="nil" w:sz="6" w:space="0" w:color="auto"/>
              <w:right w:val="single" w:sz="9" w:space="0" w:color="D3D3D3"/>
            </w:tcBorders>
          </w:tcPr>
          <w:p>
            <w:pPr>
              <w:pStyle w:val="TableParagraph"/>
              <w:spacing w:line="240" w:lineRule="auto" w:before="10"/>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8"/>
                <w:sz w:val="18"/>
                <w:szCs w:val="18"/>
                <w:shd w:fill="D3D3D3" w:color="auto" w:val="clear"/>
              </w:rPr>
              <w:t> </w:t>
            </w:r>
            <w:r>
              <w:rPr>
                <w:rFonts w:ascii="宋体" w:hAnsi="宋体" w:cs="宋体" w:eastAsia="宋体" w:hint="default"/>
                <w:sz w:val="18"/>
                <w:szCs w:val="18"/>
                <w:shd w:fill="D3D3D3" w:color="auto" w:val="clear"/>
              </w:rPr>
              <w:t>是否涉诉</w:t>
            </w:r>
            <w:r>
              <w:rPr>
                <w:rFonts w:ascii="宋体" w:hAnsi="宋体" w:cs="宋体" w:eastAsia="宋体" w:hint="default"/>
                <w:sz w:val="18"/>
                <w:szCs w:val="18"/>
              </w:rPr>
            </w:r>
          </w:p>
        </w:tc>
        <w:tc>
          <w:tcPr>
            <w:tcW w:w="901" w:type="dxa"/>
            <w:tcBorders>
              <w:top w:val="nil" w:sz="6" w:space="0" w:color="auto"/>
              <w:left w:val="single" w:sz="9" w:space="0" w:color="D3D3D3"/>
              <w:bottom w:val="nil" w:sz="6" w:space="0" w:color="auto"/>
              <w:right w:val="single" w:sz="9" w:space="0" w:color="D3D3D3"/>
            </w:tcBorders>
          </w:tcPr>
          <w:p>
            <w:pPr>
              <w:pStyle w:val="TableParagraph"/>
              <w:spacing w:line="240" w:lineRule="auto" w:before="10"/>
              <w:ind w:right="6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6"/>
                <w:sz w:val="18"/>
                <w:szCs w:val="18"/>
                <w:shd w:fill="D3D3D3" w:color="auto" w:val="clear"/>
              </w:rPr>
              <w:t> </w:t>
            </w:r>
            <w:r>
              <w:rPr>
                <w:rFonts w:ascii="宋体" w:hAnsi="宋体" w:cs="宋体" w:eastAsia="宋体" w:hint="default"/>
                <w:sz w:val="18"/>
                <w:szCs w:val="18"/>
                <w:shd w:fill="D3D3D3" w:color="auto" w:val="clear"/>
              </w:rPr>
              <w:t>披露日期</w:t>
            </w:r>
            <w:r>
              <w:rPr>
                <w:rFonts w:ascii="宋体" w:hAnsi="宋体" w:cs="宋体" w:eastAsia="宋体" w:hint="default"/>
                <w:sz w:val="18"/>
                <w:szCs w:val="18"/>
              </w:rPr>
            </w:r>
          </w:p>
        </w:tc>
        <w:tc>
          <w:tcPr>
            <w:tcW w:w="897" w:type="dxa"/>
            <w:tcBorders>
              <w:top w:val="nil" w:sz="6" w:space="0" w:color="auto"/>
              <w:left w:val="single" w:sz="9" w:space="0" w:color="D3D3D3"/>
              <w:bottom w:val="nil" w:sz="6" w:space="0" w:color="auto"/>
              <w:right w:val="single" w:sz="13" w:space="0" w:color="D3D3D3"/>
            </w:tcBorders>
          </w:tcPr>
          <w:p>
            <w:pPr>
              <w:pStyle w:val="TableParagraph"/>
              <w:spacing w:line="240" w:lineRule="auto" w:before="10"/>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5"/>
                <w:sz w:val="18"/>
                <w:szCs w:val="18"/>
                <w:shd w:fill="D3D3D3" w:color="auto" w:val="clear"/>
              </w:rPr>
              <w:t> </w:t>
            </w:r>
            <w:r>
              <w:rPr>
                <w:rFonts w:ascii="宋体" w:hAnsi="宋体" w:cs="宋体" w:eastAsia="宋体" w:hint="default"/>
                <w:sz w:val="18"/>
                <w:szCs w:val="18"/>
                <w:shd w:fill="D3D3D3" w:color="auto" w:val="clear"/>
              </w:rPr>
              <w:t>披露索引</w:t>
            </w:r>
            <w:r>
              <w:rPr>
                <w:rFonts w:ascii="宋体" w:hAnsi="宋体" w:cs="宋体" w:eastAsia="宋体" w:hint="default"/>
                <w:sz w:val="18"/>
                <w:szCs w:val="18"/>
              </w:rPr>
            </w:r>
          </w:p>
        </w:tc>
      </w:tr>
      <w:tr>
        <w:trPr>
          <w:trHeight w:val="156" w:hRule="exact"/>
        </w:trPr>
        <w:tc>
          <w:tcPr>
            <w:tcW w:w="901" w:type="dxa"/>
            <w:vMerge/>
            <w:tcBorders>
              <w:left w:val="single" w:sz="4" w:space="0" w:color="000000"/>
              <w:bottom w:val="nil" w:sz="6" w:space="0" w:color="auto"/>
              <w:right w:val="single" w:sz="4" w:space="0" w:color="000000"/>
            </w:tcBorders>
            <w:shd w:val="clear" w:color="auto" w:fill="D3D3D3"/>
          </w:tcPr>
          <w:p>
            <w:pPr/>
          </w:p>
        </w:tc>
        <w:tc>
          <w:tcPr>
            <w:tcW w:w="901" w:type="dxa"/>
            <w:vMerge w:val="restart"/>
            <w:tcBorders>
              <w:top w:val="nil" w:sz="6" w:space="0" w:color="auto"/>
              <w:left w:val="single" w:sz="4" w:space="0" w:color="000000"/>
              <w:right w:val="single" w:sz="4" w:space="0" w:color="000000"/>
            </w:tcBorders>
            <w:shd w:val="clear" w:color="auto" w:fill="D3D3D3"/>
          </w:tcPr>
          <w:p>
            <w:pPr/>
          </w:p>
        </w:tc>
        <w:tc>
          <w:tcPr>
            <w:tcW w:w="906" w:type="dxa"/>
            <w:vMerge w:val="restart"/>
            <w:tcBorders>
              <w:top w:val="nil" w:sz="6" w:space="0" w:color="auto"/>
              <w:left w:val="single" w:sz="4" w:space="0" w:color="000000"/>
              <w:right w:val="single" w:sz="4" w:space="0" w:color="000000"/>
            </w:tcBorders>
            <w:shd w:val="clear" w:color="auto" w:fill="D3D3D3"/>
          </w:tcPr>
          <w:p>
            <w:pPr/>
          </w:p>
        </w:tc>
        <w:tc>
          <w:tcPr>
            <w:tcW w:w="1186" w:type="dxa"/>
            <w:vMerge w:val="restart"/>
            <w:tcBorders>
              <w:top w:val="nil" w:sz="6" w:space="0" w:color="auto"/>
              <w:left w:val="single" w:sz="4" w:space="0" w:color="000000"/>
              <w:right w:val="single" w:sz="4" w:space="0" w:color="000000"/>
            </w:tcBorders>
            <w:shd w:val="clear" w:color="auto" w:fill="D3D3D3"/>
          </w:tcPr>
          <w:p>
            <w:pPr/>
          </w:p>
        </w:tc>
        <w:tc>
          <w:tcPr>
            <w:tcW w:w="904" w:type="dxa"/>
            <w:vMerge w:val="restart"/>
            <w:tcBorders>
              <w:top w:val="nil" w:sz="6" w:space="0" w:color="auto"/>
              <w:left w:val="single" w:sz="4" w:space="0" w:color="000000"/>
              <w:right w:val="single" w:sz="4" w:space="0" w:color="000000"/>
            </w:tcBorders>
            <w:shd w:val="clear" w:color="auto" w:fill="D3D3D3"/>
          </w:tcPr>
          <w:p>
            <w:pPr/>
          </w:p>
        </w:tc>
        <w:tc>
          <w:tcPr>
            <w:tcW w:w="900" w:type="dxa"/>
            <w:vMerge/>
            <w:tcBorders>
              <w:left w:val="single" w:sz="9" w:space="0" w:color="D3D3D3"/>
              <w:right w:val="single" w:sz="14" w:space="0" w:color="D3D3D3"/>
            </w:tcBorders>
          </w:tcPr>
          <w:p>
            <w:pPr/>
          </w:p>
        </w:tc>
        <w:tc>
          <w:tcPr>
            <w:tcW w:w="2045" w:type="dxa"/>
            <w:vMerge w:val="restart"/>
            <w:tcBorders>
              <w:top w:val="nil" w:sz="6" w:space="0" w:color="auto"/>
              <w:left w:val="single" w:sz="4" w:space="0" w:color="000000"/>
              <w:right w:val="single" w:sz="4" w:space="0" w:color="000000"/>
            </w:tcBorders>
            <w:shd w:val="clear" w:color="auto" w:fill="D3D3D3"/>
          </w:tcPr>
          <w:p>
            <w:pPr/>
          </w:p>
        </w:tc>
        <w:tc>
          <w:tcPr>
            <w:tcW w:w="902" w:type="dxa"/>
            <w:vMerge/>
            <w:tcBorders>
              <w:left w:val="single" w:sz="9" w:space="0" w:color="D3D3D3"/>
              <w:right w:val="single" w:sz="10" w:space="0" w:color="D3D3D3"/>
            </w:tcBorders>
          </w:tcPr>
          <w:p>
            <w:pPr/>
          </w:p>
        </w:tc>
        <w:tc>
          <w:tcPr>
            <w:tcW w:w="900" w:type="dxa"/>
            <w:vMerge w:val="restart"/>
            <w:tcBorders>
              <w:top w:val="nil" w:sz="6" w:space="0" w:color="auto"/>
              <w:left w:val="single" w:sz="4" w:space="0" w:color="000000"/>
              <w:right w:val="single" w:sz="4" w:space="0" w:color="000000"/>
            </w:tcBorders>
            <w:shd w:val="clear" w:color="auto" w:fill="D3D3D3"/>
          </w:tcPr>
          <w:p>
            <w:pPr/>
          </w:p>
        </w:tc>
        <w:tc>
          <w:tcPr>
            <w:tcW w:w="1053" w:type="dxa"/>
            <w:vMerge/>
            <w:tcBorders>
              <w:left w:val="single" w:sz="4" w:space="0" w:color="000000"/>
              <w:right w:val="single" w:sz="4" w:space="0" w:color="000000"/>
            </w:tcBorders>
            <w:shd w:val="clear" w:color="auto" w:fill="D3D3D3"/>
          </w:tcPr>
          <w:p>
            <w:pPr/>
          </w:p>
        </w:tc>
        <w:tc>
          <w:tcPr>
            <w:tcW w:w="1001" w:type="dxa"/>
            <w:vMerge w:val="restart"/>
            <w:tcBorders>
              <w:top w:val="nil" w:sz="6" w:space="0" w:color="auto"/>
              <w:left w:val="single" w:sz="4" w:space="0" w:color="000000"/>
              <w:right w:val="single" w:sz="4" w:space="0" w:color="000000"/>
            </w:tcBorders>
            <w:shd w:val="clear" w:color="auto" w:fill="D3D3D3"/>
          </w:tcPr>
          <w:p>
            <w:pPr/>
          </w:p>
        </w:tc>
        <w:tc>
          <w:tcPr>
            <w:tcW w:w="1001" w:type="dxa"/>
            <w:vMerge/>
            <w:tcBorders>
              <w:left w:val="single" w:sz="4" w:space="0" w:color="000000"/>
              <w:bottom w:val="nil" w:sz="6" w:space="0" w:color="auto"/>
              <w:right w:val="single" w:sz="4" w:space="0" w:color="000000"/>
            </w:tcBorders>
            <w:shd w:val="clear" w:color="auto" w:fill="D3D3D3"/>
          </w:tcPr>
          <w:p>
            <w:pPr/>
          </w:p>
        </w:tc>
        <w:tc>
          <w:tcPr>
            <w:tcW w:w="902" w:type="dxa"/>
            <w:vMerge w:val="restart"/>
            <w:tcBorders>
              <w:top w:val="nil" w:sz="6" w:space="0" w:color="auto"/>
              <w:left w:val="single" w:sz="4" w:space="0" w:color="000000"/>
              <w:right w:val="single" w:sz="4" w:space="0" w:color="000000"/>
            </w:tcBorders>
            <w:shd w:val="clear" w:color="auto" w:fill="D3D3D3"/>
          </w:tcPr>
          <w:p>
            <w:pPr/>
          </w:p>
        </w:tc>
        <w:tc>
          <w:tcPr>
            <w:tcW w:w="901" w:type="dxa"/>
            <w:vMerge w:val="restart"/>
            <w:tcBorders>
              <w:top w:val="nil" w:sz="6" w:space="0" w:color="auto"/>
              <w:left w:val="single" w:sz="4" w:space="0" w:color="000000"/>
              <w:right w:val="single" w:sz="4" w:space="0" w:color="000000"/>
            </w:tcBorders>
            <w:shd w:val="clear" w:color="auto" w:fill="D3D3D3"/>
          </w:tcPr>
          <w:p>
            <w:pPr/>
          </w:p>
        </w:tc>
        <w:tc>
          <w:tcPr>
            <w:tcW w:w="897"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901" w:type="dxa"/>
            <w:tcBorders>
              <w:top w:val="nil" w:sz="6" w:space="0" w:color="auto"/>
              <w:left w:val="single" w:sz="4" w:space="0" w:color="000000"/>
              <w:bottom w:val="single" w:sz="4" w:space="0" w:color="000000"/>
              <w:right w:val="single" w:sz="4" w:space="0" w:color="000000"/>
            </w:tcBorders>
            <w:shd w:val="clear" w:color="auto" w:fill="D3D3D3"/>
          </w:tcPr>
          <w:p>
            <w:pPr/>
          </w:p>
        </w:tc>
        <w:tc>
          <w:tcPr>
            <w:tcW w:w="901" w:type="dxa"/>
            <w:vMerge/>
            <w:tcBorders>
              <w:left w:val="single" w:sz="4" w:space="0" w:color="000000"/>
              <w:bottom w:val="single" w:sz="4" w:space="0" w:color="000000"/>
              <w:right w:val="single" w:sz="4" w:space="0" w:color="000000"/>
            </w:tcBorders>
            <w:shd w:val="clear" w:color="auto" w:fill="D3D3D3"/>
          </w:tcPr>
          <w:p>
            <w:pPr/>
          </w:p>
        </w:tc>
        <w:tc>
          <w:tcPr>
            <w:tcW w:w="906" w:type="dxa"/>
            <w:vMerge/>
            <w:tcBorders>
              <w:left w:val="single" w:sz="4" w:space="0" w:color="000000"/>
              <w:bottom w:val="single" w:sz="4" w:space="0" w:color="000000"/>
              <w:right w:val="single" w:sz="4" w:space="0" w:color="000000"/>
            </w:tcBorders>
            <w:shd w:val="clear" w:color="auto" w:fill="D3D3D3"/>
          </w:tcPr>
          <w:p>
            <w:pPr/>
          </w:p>
        </w:tc>
        <w:tc>
          <w:tcPr>
            <w:tcW w:w="1186" w:type="dxa"/>
            <w:vMerge/>
            <w:tcBorders>
              <w:left w:val="single" w:sz="4" w:space="0" w:color="000000"/>
              <w:bottom w:val="single" w:sz="4" w:space="0" w:color="000000"/>
              <w:right w:val="single" w:sz="4" w:space="0" w:color="000000"/>
            </w:tcBorders>
            <w:shd w:val="clear" w:color="auto" w:fill="D3D3D3"/>
          </w:tcPr>
          <w:p>
            <w:pPr/>
          </w:p>
        </w:tc>
        <w:tc>
          <w:tcPr>
            <w:tcW w:w="904" w:type="dxa"/>
            <w:vMerge/>
            <w:tcBorders>
              <w:left w:val="single" w:sz="4" w:space="0" w:color="000000"/>
              <w:bottom w:val="single" w:sz="4" w:space="0" w:color="000000"/>
              <w:right w:val="single" w:sz="4" w:space="0" w:color="000000"/>
            </w:tcBorders>
            <w:shd w:val="clear" w:color="auto" w:fill="D3D3D3"/>
          </w:tcPr>
          <w:p>
            <w:pPr/>
          </w:p>
        </w:tc>
        <w:tc>
          <w:tcPr>
            <w:tcW w:w="900" w:type="dxa"/>
            <w:vMerge/>
            <w:tcBorders>
              <w:left w:val="single" w:sz="9" w:space="0" w:color="D3D3D3"/>
              <w:bottom w:val="single" w:sz="4" w:space="0" w:color="000000"/>
              <w:right w:val="single" w:sz="14" w:space="0" w:color="D3D3D3"/>
            </w:tcBorders>
          </w:tcPr>
          <w:p>
            <w:pPr/>
          </w:p>
        </w:tc>
        <w:tc>
          <w:tcPr>
            <w:tcW w:w="2045" w:type="dxa"/>
            <w:vMerge/>
            <w:tcBorders>
              <w:left w:val="single" w:sz="4" w:space="0" w:color="000000"/>
              <w:bottom w:val="single" w:sz="4" w:space="0" w:color="000000"/>
              <w:right w:val="single" w:sz="4" w:space="0" w:color="000000"/>
            </w:tcBorders>
            <w:shd w:val="clear" w:color="auto" w:fill="D3D3D3"/>
          </w:tcPr>
          <w:p>
            <w:pPr/>
          </w:p>
        </w:tc>
        <w:tc>
          <w:tcPr>
            <w:tcW w:w="902" w:type="dxa"/>
            <w:vMerge/>
            <w:tcBorders>
              <w:left w:val="single" w:sz="9" w:space="0" w:color="D3D3D3"/>
              <w:bottom w:val="single" w:sz="4" w:space="0" w:color="000000"/>
              <w:right w:val="single" w:sz="10" w:space="0" w:color="D3D3D3"/>
            </w:tcBorders>
          </w:tcPr>
          <w:p>
            <w:pPr/>
          </w:p>
        </w:tc>
        <w:tc>
          <w:tcPr>
            <w:tcW w:w="900" w:type="dxa"/>
            <w:vMerge/>
            <w:tcBorders>
              <w:left w:val="single" w:sz="4" w:space="0" w:color="000000"/>
              <w:bottom w:val="single" w:sz="4" w:space="0" w:color="000000"/>
              <w:right w:val="single" w:sz="4" w:space="0" w:color="000000"/>
            </w:tcBorders>
            <w:shd w:val="clear" w:color="auto" w:fill="D3D3D3"/>
          </w:tcPr>
          <w:p>
            <w:pPr/>
          </w:p>
        </w:tc>
        <w:tc>
          <w:tcPr>
            <w:tcW w:w="1053" w:type="dxa"/>
            <w:vMerge/>
            <w:tcBorders>
              <w:left w:val="single" w:sz="4" w:space="0" w:color="000000"/>
              <w:bottom w:val="single" w:sz="4" w:space="0" w:color="000000"/>
              <w:right w:val="single" w:sz="4" w:space="0" w:color="000000"/>
            </w:tcBorders>
            <w:shd w:val="clear" w:color="auto" w:fill="D3D3D3"/>
          </w:tcPr>
          <w:p>
            <w:pPr/>
          </w:p>
        </w:tc>
        <w:tc>
          <w:tcPr>
            <w:tcW w:w="1001" w:type="dxa"/>
            <w:vMerge/>
            <w:tcBorders>
              <w:left w:val="single" w:sz="4" w:space="0" w:color="000000"/>
              <w:bottom w:val="single" w:sz="4" w:space="0" w:color="000000"/>
              <w:right w:val="single" w:sz="4" w:space="0" w:color="000000"/>
            </w:tcBorders>
            <w:shd w:val="clear" w:color="auto" w:fill="D3D3D3"/>
          </w:tcPr>
          <w:p>
            <w:pPr/>
          </w:p>
        </w:tc>
        <w:tc>
          <w:tcPr>
            <w:tcW w:w="1001" w:type="dxa"/>
            <w:tcBorders>
              <w:top w:val="nil" w:sz="6" w:space="0" w:color="auto"/>
              <w:left w:val="single" w:sz="4" w:space="0" w:color="000000"/>
              <w:bottom w:val="single" w:sz="4" w:space="0" w:color="000000"/>
              <w:right w:val="single" w:sz="4" w:space="0" w:color="000000"/>
            </w:tcBorders>
            <w:shd w:val="clear" w:color="auto" w:fill="D3D3D3"/>
          </w:tcPr>
          <w:p>
            <w:pPr/>
          </w:p>
        </w:tc>
        <w:tc>
          <w:tcPr>
            <w:tcW w:w="902" w:type="dxa"/>
            <w:vMerge/>
            <w:tcBorders>
              <w:left w:val="single" w:sz="4" w:space="0" w:color="000000"/>
              <w:bottom w:val="single" w:sz="4" w:space="0" w:color="000000"/>
              <w:right w:val="single" w:sz="4" w:space="0" w:color="000000"/>
            </w:tcBorders>
            <w:shd w:val="clear" w:color="auto" w:fill="D3D3D3"/>
          </w:tcPr>
          <w:p>
            <w:pPr/>
          </w:p>
        </w:tc>
        <w:tc>
          <w:tcPr>
            <w:tcW w:w="901" w:type="dxa"/>
            <w:vMerge/>
            <w:tcBorders>
              <w:left w:val="single" w:sz="4" w:space="0" w:color="000000"/>
              <w:bottom w:val="single" w:sz="4" w:space="0" w:color="000000"/>
              <w:right w:val="single" w:sz="4" w:space="0" w:color="000000"/>
            </w:tcBorders>
            <w:shd w:val="clear" w:color="auto" w:fill="D3D3D3"/>
          </w:tcPr>
          <w:p>
            <w:pPr/>
          </w:p>
        </w:tc>
        <w:tc>
          <w:tcPr>
            <w:tcW w:w="897" w:type="dxa"/>
            <w:vMerge/>
            <w:tcBorders>
              <w:left w:val="single" w:sz="4" w:space="0" w:color="000000"/>
              <w:bottom w:val="single" w:sz="4" w:space="0" w:color="000000"/>
              <w:right w:val="single" w:sz="4" w:space="0" w:color="000000"/>
            </w:tcBorders>
            <w:shd w:val="clear" w:color="auto" w:fill="D3D3D3"/>
          </w:tcPr>
          <w:p>
            <w:pPr/>
          </w:p>
        </w:tc>
      </w:tr>
      <w:tr>
        <w:trPr>
          <w:trHeight w:val="1882" w:hRule="exact"/>
        </w:trPr>
        <w:tc>
          <w:tcPr>
            <w:tcW w:w="9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杭州杭实 华媒投资 管理合伙 </w:t>
            </w:r>
            <w:r>
              <w:rPr>
                <w:rFonts w:ascii="宋体" w:hAnsi="宋体" w:cs="宋体" w:eastAsia="宋体" w:hint="default"/>
                <w:spacing w:val="-12"/>
                <w:sz w:val="18"/>
                <w:szCs w:val="18"/>
              </w:rPr>
              <w:t>企业（有限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w:t>
            </w:r>
          </w:p>
        </w:tc>
        <w:tc>
          <w:tcPr>
            <w:tcW w:w="9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基金投资</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pacing w:val="-1"/>
                <w:sz w:val="18"/>
              </w:rPr>
              <w:t>49,500,000.00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z w:val="18"/>
              </w:rPr>
              <w:t>49.50%</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2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7" w:lineRule="auto" w:before="10"/>
              <w:ind w:left="23" w:right="22"/>
              <w:jc w:val="left"/>
              <w:rPr>
                <w:rFonts w:ascii="宋体" w:hAnsi="宋体" w:cs="宋体" w:eastAsia="宋体" w:hint="default"/>
                <w:sz w:val="18"/>
                <w:szCs w:val="18"/>
              </w:rPr>
            </w:pPr>
            <w:r>
              <w:rPr>
                <w:rFonts w:ascii="宋体" w:hAnsi="宋体" w:cs="宋体" w:eastAsia="宋体" w:hint="default"/>
                <w:sz w:val="18"/>
                <w:szCs w:val="18"/>
              </w:rPr>
              <w:t>杭州祈晟实业有限公司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安扬资产管理（杭州）有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杭州凌晟投资管 </w:t>
            </w:r>
            <w:r>
              <w:rPr>
                <w:rFonts w:ascii="宋体" w:hAnsi="宋体" w:cs="宋体" w:eastAsia="宋体" w:hint="default"/>
                <w:spacing w:val="-4"/>
                <w:sz w:val="18"/>
                <w:szCs w:val="18"/>
              </w:rPr>
              <w:t>理合伙企业（有限合伙）</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浙江华媒控股股份有限公 司</w:t>
            </w:r>
          </w:p>
        </w:tc>
        <w:tc>
          <w:tcPr>
            <w:tcW w:w="9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05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6"/>
              <w:jc w:val="center"/>
              <w:rPr>
                <w:rFonts w:ascii="宋体" w:hAnsi="宋体" w:cs="宋体" w:eastAsia="宋体" w:hint="default"/>
                <w:sz w:val="18"/>
                <w:szCs w:val="18"/>
              </w:rPr>
            </w:pPr>
            <w:r>
              <w:rPr>
                <w:rFonts w:ascii="宋体" w:hAnsi="宋体" w:cs="宋体" w:eastAsia="宋体" w:hint="default"/>
                <w:sz w:val="18"/>
                <w:szCs w:val="18"/>
              </w:rPr>
              <w:t>已交割完毕</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pacing w:val="-1"/>
                <w:sz w:val="18"/>
              </w:rPr>
              <w:t>2,473,023.90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pacing w:val="-1"/>
                <w:sz w:val="18"/>
              </w:rPr>
              <w:t>2,473,023.90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2018-009</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1259" w:hRule="exact"/>
        </w:trPr>
        <w:tc>
          <w:tcPr>
            <w:tcW w:w="9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146"/>
              <w:jc w:val="both"/>
              <w:rPr>
                <w:rFonts w:ascii="宋体" w:hAnsi="宋体" w:cs="宋体" w:eastAsia="宋体" w:hint="default"/>
                <w:sz w:val="18"/>
                <w:szCs w:val="18"/>
              </w:rPr>
            </w:pPr>
            <w:r>
              <w:rPr>
                <w:rFonts w:ascii="宋体" w:hAnsi="宋体" w:cs="宋体" w:eastAsia="宋体" w:hint="default"/>
                <w:sz w:val="18"/>
                <w:szCs w:val="18"/>
              </w:rPr>
              <w:t>浙江华媒 信息传播 有限公司</w:t>
            </w:r>
          </w:p>
        </w:tc>
        <w:tc>
          <w:tcPr>
            <w:tcW w:w="9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24,769,500.00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2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7" w:lineRule="auto" w:before="11"/>
              <w:ind w:left="23" w:right="38"/>
              <w:jc w:val="left"/>
              <w:rPr>
                <w:rFonts w:ascii="宋体" w:hAnsi="宋体" w:cs="宋体" w:eastAsia="宋体" w:hint="default"/>
                <w:sz w:val="18"/>
                <w:szCs w:val="18"/>
              </w:rPr>
            </w:pPr>
            <w:r>
              <w:rPr>
                <w:rFonts w:ascii="宋体" w:hAnsi="宋体" w:cs="宋体" w:eastAsia="宋体" w:hint="default"/>
                <w:sz w:val="18"/>
                <w:szCs w:val="18"/>
              </w:rPr>
              <w:t>舟山泽创投资合伙企业 </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深圳市泽创投 资发展有限公司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浙江华 媒控股股份有限公司</w:t>
            </w:r>
          </w:p>
        </w:tc>
        <w:tc>
          <w:tcPr>
            <w:tcW w:w="9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5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center"/>
              <w:rPr>
                <w:rFonts w:ascii="宋体" w:hAnsi="宋体" w:cs="宋体" w:eastAsia="宋体" w:hint="default"/>
                <w:sz w:val="18"/>
                <w:szCs w:val="18"/>
              </w:rPr>
            </w:pPr>
            <w:r>
              <w:rPr>
                <w:rFonts w:ascii="宋体" w:hAnsi="宋体" w:cs="宋体" w:eastAsia="宋体" w:hint="default"/>
                <w:sz w:val="18"/>
                <w:szCs w:val="18"/>
              </w:rPr>
              <w:t>已交割完毕</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-1,920.51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-1,920.51</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01" w:type="dxa"/>
            <w:tcBorders>
              <w:top w:val="single" w:sz="4" w:space="0" w:color="000000"/>
              <w:left w:val="single" w:sz="4" w:space="0" w:color="000000"/>
              <w:bottom w:val="single" w:sz="4" w:space="0" w:color="000000"/>
              <w:right w:val="single" w:sz="4" w:space="0" w:color="000000"/>
            </w:tcBorders>
          </w:tcPr>
          <w:p>
            <w:pPr/>
          </w:p>
        </w:tc>
        <w:tc>
          <w:tcPr>
            <w:tcW w:w="89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1882" w:hRule="exact"/>
        </w:trPr>
        <w:tc>
          <w:tcPr>
            <w:tcW w:w="9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布朗睿智</w:t>
            </w:r>
          </w:p>
          <w:p>
            <w:pPr>
              <w:pStyle w:val="TableParagraph"/>
              <w:spacing w:line="316" w:lineRule="auto" w:before="76"/>
              <w:ind w:left="22" w:right="22"/>
              <w:jc w:val="left"/>
              <w:rPr>
                <w:rFonts w:ascii="宋体" w:hAnsi="宋体" w:cs="宋体" w:eastAsia="宋体" w:hint="default"/>
                <w:sz w:val="18"/>
                <w:szCs w:val="18"/>
              </w:rPr>
            </w:pPr>
            <w:r>
              <w:rPr>
                <w:rFonts w:ascii="宋体" w:hAnsi="宋体" w:cs="宋体" w:eastAsia="宋体" w:hint="default"/>
                <w:spacing w:val="-12"/>
                <w:sz w:val="18"/>
                <w:szCs w:val="18"/>
              </w:rPr>
              <w:t>（北京）国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际教育科 技有限公 司</w:t>
            </w:r>
          </w:p>
        </w:tc>
        <w:tc>
          <w:tcPr>
            <w:tcW w:w="9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教育</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pacing w:val="-1"/>
                <w:sz w:val="18"/>
              </w:rPr>
              <w:t>20,800,000.00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z w:val="18"/>
              </w:rPr>
              <w:t>6.00%</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2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4" w:lineRule="auto" w:before="10"/>
              <w:ind w:left="23"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宁波翰材教育产业股权投 资中心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中教未 来国际教育科技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珠海曦瑞文化产 业股权投资中心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p>
        </w:tc>
        <w:tc>
          <w:tcPr>
            <w:tcW w:w="9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教育</w:t>
            </w:r>
          </w:p>
        </w:tc>
        <w:tc>
          <w:tcPr>
            <w:tcW w:w="105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6"/>
              <w:jc w:val="center"/>
              <w:rPr>
                <w:rFonts w:ascii="宋体" w:hAnsi="宋体" w:cs="宋体" w:eastAsia="宋体" w:hint="default"/>
                <w:sz w:val="18"/>
                <w:szCs w:val="18"/>
              </w:rPr>
            </w:pPr>
            <w:r>
              <w:rPr>
                <w:rFonts w:ascii="宋体" w:hAnsi="宋体" w:cs="宋体" w:eastAsia="宋体" w:hint="default"/>
                <w:sz w:val="18"/>
                <w:szCs w:val="18"/>
              </w:rPr>
              <w:t>已交割完毕</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pacing w:val="-1"/>
                <w:sz w:val="18"/>
              </w:rPr>
              <w:t>1,829,318.24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pacing w:val="-1"/>
                <w:sz w:val="18"/>
              </w:rPr>
              <w:t>1,829,318.24</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01" w:type="dxa"/>
            <w:tcBorders>
              <w:top w:val="single" w:sz="4" w:space="0" w:color="000000"/>
              <w:left w:val="single" w:sz="4" w:space="0" w:color="000000"/>
              <w:bottom w:val="single" w:sz="4" w:space="0" w:color="000000"/>
              <w:right w:val="single" w:sz="4" w:space="0" w:color="000000"/>
            </w:tcBorders>
          </w:tcPr>
          <w:p>
            <w:pPr/>
          </w:p>
        </w:tc>
        <w:tc>
          <w:tcPr>
            <w:tcW w:w="89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317" w:hRule="exact"/>
        </w:trPr>
        <w:tc>
          <w:tcPr>
            <w:tcW w:w="901" w:type="dxa"/>
            <w:tcBorders>
              <w:top w:val="single" w:sz="4" w:space="0" w:color="000000"/>
              <w:left w:val="single" w:sz="4" w:space="0" w:color="000000"/>
              <w:bottom w:val="nil" w:sz="6" w:space="0" w:color="auto"/>
              <w:right w:val="single" w:sz="4" w:space="0" w:color="000000"/>
            </w:tcBorders>
            <w:shd w:val="clear" w:color="auto" w:fill="C7EDCC"/>
          </w:tcPr>
          <w:p>
            <w:pPr/>
          </w:p>
        </w:tc>
        <w:tc>
          <w:tcPr>
            <w:tcW w:w="901" w:type="dxa"/>
            <w:tcBorders>
              <w:top w:val="single" w:sz="4" w:space="0" w:color="000000"/>
              <w:left w:val="single" w:sz="4" w:space="0" w:color="000000"/>
              <w:bottom w:val="nil" w:sz="6" w:space="0" w:color="auto"/>
              <w:right w:val="single" w:sz="4" w:space="0" w:color="000000"/>
            </w:tcBorders>
            <w:shd w:val="clear" w:color="auto" w:fill="C7EDCC"/>
          </w:tcPr>
          <w:p>
            <w:pPr/>
          </w:p>
        </w:tc>
        <w:tc>
          <w:tcPr>
            <w:tcW w:w="906" w:type="dxa"/>
            <w:tcBorders>
              <w:top w:val="single" w:sz="4" w:space="0" w:color="000000"/>
              <w:left w:val="single" w:sz="4" w:space="0" w:color="000000"/>
              <w:bottom w:val="nil" w:sz="6" w:space="0" w:color="auto"/>
              <w:right w:val="single" w:sz="4" w:space="0" w:color="000000"/>
            </w:tcBorders>
          </w:tcPr>
          <w:p>
            <w:pPr/>
          </w:p>
        </w:tc>
        <w:tc>
          <w:tcPr>
            <w:tcW w:w="1186" w:type="dxa"/>
            <w:tcBorders>
              <w:top w:val="single" w:sz="4" w:space="0" w:color="000000"/>
              <w:left w:val="single" w:sz="4" w:space="0" w:color="000000"/>
              <w:bottom w:val="nil" w:sz="6" w:space="0" w:color="auto"/>
              <w:right w:val="single" w:sz="4" w:space="0" w:color="000000"/>
            </w:tcBorders>
          </w:tcPr>
          <w:p>
            <w:pPr/>
          </w:p>
        </w:tc>
        <w:tc>
          <w:tcPr>
            <w:tcW w:w="904"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shd w:val="clear" w:color="auto" w:fill="C7EDCC"/>
          </w:tcPr>
          <w:p>
            <w:pPr/>
          </w:p>
        </w:tc>
        <w:tc>
          <w:tcPr>
            <w:tcW w:w="2045"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宁波翰材教育产业股权投</w:t>
            </w:r>
          </w:p>
        </w:tc>
        <w:tc>
          <w:tcPr>
            <w:tcW w:w="902" w:type="dxa"/>
            <w:tcBorders>
              <w:top w:val="single" w:sz="4" w:space="0" w:color="000000"/>
              <w:left w:val="single" w:sz="4" w:space="0" w:color="000000"/>
              <w:bottom w:val="nil" w:sz="6" w:space="0" w:color="auto"/>
              <w:right w:val="single" w:sz="4" w:space="0" w:color="000000"/>
            </w:tcBorders>
            <w:shd w:val="clear" w:color="auto" w:fill="C7EDCC"/>
          </w:tcPr>
          <w:p>
            <w:pPr/>
          </w:p>
        </w:tc>
        <w:tc>
          <w:tcPr>
            <w:tcW w:w="900" w:type="dxa"/>
            <w:tcBorders>
              <w:top w:val="single" w:sz="4" w:space="0" w:color="000000"/>
              <w:left w:val="single" w:sz="4" w:space="0" w:color="000000"/>
              <w:bottom w:val="nil" w:sz="6" w:space="0" w:color="auto"/>
              <w:right w:val="single" w:sz="4" w:space="0" w:color="000000"/>
            </w:tcBorders>
            <w:shd w:val="clear" w:color="auto" w:fill="C7EDCC"/>
          </w:tcPr>
          <w:p>
            <w:pPr/>
          </w:p>
        </w:tc>
        <w:tc>
          <w:tcPr>
            <w:tcW w:w="1053" w:type="dxa"/>
            <w:tcBorders>
              <w:top w:val="single" w:sz="4" w:space="0" w:color="000000"/>
              <w:left w:val="single" w:sz="4" w:space="0" w:color="000000"/>
              <w:bottom w:val="nil" w:sz="6" w:space="0" w:color="auto"/>
              <w:right w:val="single" w:sz="4" w:space="0" w:color="000000"/>
            </w:tcBorders>
            <w:shd w:val="clear" w:color="auto" w:fill="C7EDCC"/>
          </w:tcPr>
          <w:p>
            <w:pPr/>
          </w:p>
        </w:tc>
        <w:tc>
          <w:tcPr>
            <w:tcW w:w="1001" w:type="dxa"/>
            <w:tcBorders>
              <w:top w:val="single" w:sz="4" w:space="0" w:color="000000"/>
              <w:left w:val="single" w:sz="4" w:space="0" w:color="000000"/>
              <w:bottom w:val="nil" w:sz="6" w:space="0" w:color="auto"/>
              <w:right w:val="single" w:sz="4" w:space="0" w:color="000000"/>
            </w:tcBorders>
          </w:tcPr>
          <w:p>
            <w:pPr/>
          </w:p>
        </w:tc>
        <w:tc>
          <w:tcPr>
            <w:tcW w:w="1001" w:type="dxa"/>
            <w:tcBorders>
              <w:top w:val="single" w:sz="4" w:space="0" w:color="000000"/>
              <w:left w:val="single" w:sz="4" w:space="0" w:color="000000"/>
              <w:bottom w:val="nil" w:sz="6" w:space="0" w:color="auto"/>
              <w:right w:val="single" w:sz="4" w:space="0" w:color="000000"/>
            </w:tcBorders>
          </w:tcPr>
          <w:p>
            <w:pPr/>
          </w:p>
        </w:tc>
        <w:tc>
          <w:tcPr>
            <w:tcW w:w="902" w:type="dxa"/>
            <w:tcBorders>
              <w:top w:val="single" w:sz="4" w:space="0" w:color="000000"/>
              <w:left w:val="single" w:sz="4" w:space="0" w:color="000000"/>
              <w:bottom w:val="nil" w:sz="6" w:space="0" w:color="auto"/>
              <w:right w:val="single" w:sz="4" w:space="0" w:color="000000"/>
            </w:tcBorders>
          </w:tcPr>
          <w:p>
            <w:pPr/>
          </w:p>
        </w:tc>
        <w:tc>
          <w:tcPr>
            <w:tcW w:w="901" w:type="dxa"/>
            <w:vMerge w:val="restart"/>
            <w:tcBorders>
              <w:top w:val="single" w:sz="4" w:space="0" w:color="000000"/>
              <w:left w:val="single" w:sz="4" w:space="0" w:color="000000"/>
              <w:right w:val="single" w:sz="4" w:space="0" w:color="000000"/>
            </w:tcBorders>
          </w:tcPr>
          <w:p>
            <w:pPr/>
          </w:p>
        </w:tc>
        <w:tc>
          <w:tcPr>
            <w:tcW w:w="897" w:type="dxa"/>
            <w:vMerge w:val="restart"/>
            <w:tcBorders>
              <w:top w:val="single" w:sz="4" w:space="0" w:color="000000"/>
              <w:left w:val="single" w:sz="4" w:space="0" w:color="000000"/>
              <w:right w:val="single" w:sz="4" w:space="0" w:color="000000"/>
            </w:tcBorders>
            <w:shd w:val="clear" w:color="auto" w:fill="C7EDCC"/>
          </w:tcPr>
          <w:p>
            <w:pPr/>
          </w:p>
        </w:tc>
      </w:tr>
      <w:tr>
        <w:trPr>
          <w:trHeight w:val="317" w:hRule="exact"/>
        </w:trPr>
        <w:tc>
          <w:tcPr>
            <w:tcW w:w="90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布朗时代</w:t>
            </w:r>
          </w:p>
        </w:tc>
        <w:tc>
          <w:tcPr>
            <w:tcW w:w="901" w:type="dxa"/>
            <w:tcBorders>
              <w:top w:val="nil" w:sz="6" w:space="0" w:color="auto"/>
              <w:left w:val="single" w:sz="4" w:space="0" w:color="000000"/>
              <w:bottom w:val="nil" w:sz="6" w:space="0" w:color="auto"/>
              <w:right w:val="single" w:sz="4" w:space="0" w:color="000000"/>
            </w:tcBorders>
            <w:shd w:val="clear" w:color="auto" w:fill="C7EDCC"/>
          </w:tcPr>
          <w:p>
            <w:pPr/>
          </w:p>
        </w:tc>
        <w:tc>
          <w:tcPr>
            <w:tcW w:w="906" w:type="dxa"/>
            <w:tcBorders>
              <w:top w:val="nil" w:sz="6" w:space="0" w:color="auto"/>
              <w:left w:val="single" w:sz="4" w:space="0" w:color="000000"/>
              <w:bottom w:val="nil" w:sz="6" w:space="0" w:color="auto"/>
              <w:right w:val="single" w:sz="4" w:space="0" w:color="000000"/>
            </w:tcBorders>
          </w:tcPr>
          <w:p>
            <w:pPr/>
          </w:p>
        </w:tc>
        <w:tc>
          <w:tcPr>
            <w:tcW w:w="1186" w:type="dxa"/>
            <w:tcBorders>
              <w:top w:val="nil" w:sz="6" w:space="0" w:color="auto"/>
              <w:left w:val="single" w:sz="4" w:space="0" w:color="000000"/>
              <w:bottom w:val="nil" w:sz="6" w:space="0" w:color="auto"/>
              <w:right w:val="single" w:sz="4" w:space="0" w:color="000000"/>
            </w:tcBorders>
          </w:tcPr>
          <w:p>
            <w:pPr/>
          </w:p>
        </w:tc>
        <w:tc>
          <w:tcPr>
            <w:tcW w:w="90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204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中教未</w:t>
            </w:r>
          </w:p>
        </w:tc>
        <w:tc>
          <w:tcPr>
            <w:tcW w:w="902" w:type="dxa"/>
            <w:tcBorders>
              <w:top w:val="nil" w:sz="6" w:space="0" w:color="auto"/>
              <w:left w:val="single" w:sz="4" w:space="0" w:color="000000"/>
              <w:bottom w:val="nil" w:sz="6" w:space="0" w:color="auto"/>
              <w:right w:val="single" w:sz="4" w:space="0" w:color="000000"/>
            </w:tcBorders>
            <w:shd w:val="clear" w:color="auto" w:fill="C7EDCC"/>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1053" w:type="dxa"/>
            <w:tcBorders>
              <w:top w:val="nil" w:sz="6" w:space="0" w:color="auto"/>
              <w:left w:val="single" w:sz="4" w:space="0" w:color="000000"/>
              <w:bottom w:val="nil" w:sz="6" w:space="0" w:color="auto"/>
              <w:right w:val="single" w:sz="4" w:space="0" w:color="000000"/>
            </w:tcBorders>
            <w:shd w:val="clear" w:color="auto" w:fill="C7EDCC"/>
          </w:tcPr>
          <w:p>
            <w:pPr/>
          </w:p>
        </w:tc>
        <w:tc>
          <w:tcPr>
            <w:tcW w:w="1001"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902" w:type="dxa"/>
            <w:tcBorders>
              <w:top w:val="nil" w:sz="6" w:space="0" w:color="auto"/>
              <w:left w:val="single" w:sz="4" w:space="0" w:color="000000"/>
              <w:bottom w:val="nil" w:sz="6" w:space="0" w:color="auto"/>
              <w:right w:val="single" w:sz="4" w:space="0" w:color="000000"/>
            </w:tcBorders>
          </w:tcPr>
          <w:p>
            <w:pPr/>
          </w:p>
        </w:tc>
        <w:tc>
          <w:tcPr>
            <w:tcW w:w="901" w:type="dxa"/>
            <w:vMerge/>
            <w:tcBorders>
              <w:left w:val="single" w:sz="4" w:space="0" w:color="000000"/>
              <w:right w:val="single" w:sz="4" w:space="0" w:color="000000"/>
            </w:tcBorders>
          </w:tcPr>
          <w:p>
            <w:pPr/>
          </w:p>
        </w:tc>
        <w:tc>
          <w:tcPr>
            <w:tcW w:w="897" w:type="dxa"/>
            <w:vMerge/>
            <w:tcBorders>
              <w:left w:val="single" w:sz="4" w:space="0" w:color="000000"/>
              <w:right w:val="single" w:sz="4" w:space="0" w:color="000000"/>
            </w:tcBorders>
            <w:shd w:val="clear" w:color="auto" w:fill="C7EDCC"/>
          </w:tcPr>
          <w:p>
            <w:pPr/>
          </w:p>
        </w:tc>
      </w:tr>
      <w:tr>
        <w:trPr>
          <w:trHeight w:val="624" w:hRule="exact"/>
        </w:trPr>
        <w:tc>
          <w:tcPr>
            <w:tcW w:w="90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5"/>
              <w:ind w:left="22" w:right="22"/>
              <w:jc w:val="left"/>
              <w:rPr>
                <w:rFonts w:ascii="宋体" w:hAnsi="宋体" w:cs="宋体" w:eastAsia="宋体" w:hint="default"/>
                <w:sz w:val="18"/>
                <w:szCs w:val="18"/>
              </w:rPr>
            </w:pPr>
            <w:r>
              <w:rPr>
                <w:rFonts w:ascii="宋体" w:hAnsi="宋体" w:cs="宋体" w:eastAsia="宋体" w:hint="default"/>
                <w:spacing w:val="-12"/>
                <w:sz w:val="18"/>
                <w:szCs w:val="18"/>
              </w:rPr>
              <w:t>（北京）教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育投资有</w:t>
            </w:r>
          </w:p>
        </w:tc>
        <w:tc>
          <w:tcPr>
            <w:tcW w:w="90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教育</w:t>
            </w:r>
          </w:p>
        </w:tc>
        <w:tc>
          <w:tcPr>
            <w:tcW w:w="906"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1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11,200,000.00</w:t>
            </w:r>
          </w:p>
        </w:tc>
        <w:tc>
          <w:tcPr>
            <w:tcW w:w="9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w:t>
            </w:r>
          </w:p>
        </w:tc>
        <w:tc>
          <w:tcPr>
            <w:tcW w:w="9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204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00" w:lineRule="auto" w:before="5"/>
              <w:ind w:left="23" w:right="89"/>
              <w:jc w:val="left"/>
              <w:rPr>
                <w:rFonts w:ascii="宋体" w:hAnsi="宋体" w:cs="宋体" w:eastAsia="宋体" w:hint="default"/>
                <w:sz w:val="18"/>
                <w:szCs w:val="18"/>
              </w:rPr>
            </w:pPr>
            <w:r>
              <w:rPr>
                <w:rFonts w:ascii="宋体" w:hAnsi="宋体" w:cs="宋体" w:eastAsia="宋体" w:hint="default"/>
                <w:sz w:val="18"/>
                <w:szCs w:val="18"/>
              </w:rPr>
              <w:t>来国际教育科技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珠海曦瑞文化产</w:t>
            </w:r>
          </w:p>
        </w:tc>
        <w:tc>
          <w:tcPr>
            <w:tcW w:w="90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教育</w:t>
            </w:r>
          </w:p>
        </w:tc>
        <w:tc>
          <w:tcPr>
            <w:tcW w:w="105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61"/>
              <w:ind w:right="96"/>
              <w:jc w:val="center"/>
              <w:rPr>
                <w:rFonts w:ascii="宋体" w:hAnsi="宋体" w:cs="宋体" w:eastAsia="宋体" w:hint="default"/>
                <w:sz w:val="18"/>
                <w:szCs w:val="18"/>
              </w:rPr>
            </w:pPr>
            <w:r>
              <w:rPr>
                <w:rFonts w:ascii="宋体" w:hAnsi="宋体" w:cs="宋体" w:eastAsia="宋体" w:hint="default"/>
                <w:sz w:val="18"/>
                <w:szCs w:val="18"/>
              </w:rPr>
              <w:t>已交割完毕</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897,144.47</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897,144.47</w:t>
            </w:r>
          </w:p>
        </w:tc>
        <w:tc>
          <w:tcPr>
            <w:tcW w:w="902"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01" w:type="dxa"/>
            <w:vMerge/>
            <w:tcBorders>
              <w:left w:val="single" w:sz="4" w:space="0" w:color="000000"/>
              <w:right w:val="single" w:sz="4" w:space="0" w:color="000000"/>
            </w:tcBorders>
          </w:tcPr>
          <w:p>
            <w:pPr/>
          </w:p>
        </w:tc>
        <w:tc>
          <w:tcPr>
            <w:tcW w:w="897" w:type="dxa"/>
            <w:vMerge/>
            <w:tcBorders>
              <w:left w:val="single" w:sz="4" w:space="0" w:color="000000"/>
              <w:right w:val="single" w:sz="4" w:space="0" w:color="000000"/>
            </w:tcBorders>
            <w:shd w:val="clear" w:color="auto" w:fill="C7EDCC"/>
          </w:tcPr>
          <w:p>
            <w:pPr/>
          </w:p>
        </w:tc>
      </w:tr>
      <w:tr>
        <w:trPr>
          <w:trHeight w:val="312" w:hRule="exact"/>
        </w:trPr>
        <w:tc>
          <w:tcPr>
            <w:tcW w:w="90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01" w:type="dxa"/>
            <w:tcBorders>
              <w:top w:val="nil" w:sz="6" w:space="0" w:color="auto"/>
              <w:left w:val="single" w:sz="4" w:space="0" w:color="000000"/>
              <w:bottom w:val="nil" w:sz="6" w:space="0" w:color="auto"/>
              <w:right w:val="single" w:sz="4" w:space="0" w:color="000000"/>
            </w:tcBorders>
            <w:shd w:val="clear" w:color="auto" w:fill="C7EDCC"/>
          </w:tcPr>
          <w:p>
            <w:pPr/>
          </w:p>
        </w:tc>
        <w:tc>
          <w:tcPr>
            <w:tcW w:w="906" w:type="dxa"/>
            <w:tcBorders>
              <w:top w:val="nil" w:sz="6" w:space="0" w:color="auto"/>
              <w:left w:val="single" w:sz="4" w:space="0" w:color="000000"/>
              <w:bottom w:val="nil" w:sz="6" w:space="0" w:color="auto"/>
              <w:right w:val="single" w:sz="4" w:space="0" w:color="000000"/>
            </w:tcBorders>
          </w:tcPr>
          <w:p>
            <w:pPr/>
          </w:p>
        </w:tc>
        <w:tc>
          <w:tcPr>
            <w:tcW w:w="1186" w:type="dxa"/>
            <w:tcBorders>
              <w:top w:val="nil" w:sz="6" w:space="0" w:color="auto"/>
              <w:left w:val="single" w:sz="4" w:space="0" w:color="000000"/>
              <w:bottom w:val="nil" w:sz="6" w:space="0" w:color="auto"/>
              <w:right w:val="single" w:sz="4" w:space="0" w:color="000000"/>
            </w:tcBorders>
          </w:tcPr>
          <w:p>
            <w:pPr/>
          </w:p>
        </w:tc>
        <w:tc>
          <w:tcPr>
            <w:tcW w:w="90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204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业股权投资中心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w:t>
            </w:r>
          </w:p>
        </w:tc>
        <w:tc>
          <w:tcPr>
            <w:tcW w:w="902" w:type="dxa"/>
            <w:tcBorders>
              <w:top w:val="nil" w:sz="6" w:space="0" w:color="auto"/>
              <w:left w:val="single" w:sz="4" w:space="0" w:color="000000"/>
              <w:bottom w:val="nil" w:sz="6" w:space="0" w:color="auto"/>
              <w:right w:val="single" w:sz="4" w:space="0" w:color="000000"/>
            </w:tcBorders>
            <w:shd w:val="clear" w:color="auto" w:fill="C7EDCC"/>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1053" w:type="dxa"/>
            <w:tcBorders>
              <w:top w:val="nil" w:sz="6" w:space="0" w:color="auto"/>
              <w:left w:val="single" w:sz="4" w:space="0" w:color="000000"/>
              <w:bottom w:val="nil" w:sz="6" w:space="0" w:color="auto"/>
              <w:right w:val="single" w:sz="4" w:space="0" w:color="000000"/>
            </w:tcBorders>
            <w:shd w:val="clear" w:color="auto" w:fill="C7EDCC"/>
          </w:tcPr>
          <w:p>
            <w:pPr/>
          </w:p>
        </w:tc>
        <w:tc>
          <w:tcPr>
            <w:tcW w:w="1001"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902" w:type="dxa"/>
            <w:tcBorders>
              <w:top w:val="nil" w:sz="6" w:space="0" w:color="auto"/>
              <w:left w:val="single" w:sz="4" w:space="0" w:color="000000"/>
              <w:bottom w:val="nil" w:sz="6" w:space="0" w:color="auto"/>
              <w:right w:val="single" w:sz="4" w:space="0" w:color="000000"/>
            </w:tcBorders>
          </w:tcPr>
          <w:p>
            <w:pPr/>
          </w:p>
        </w:tc>
        <w:tc>
          <w:tcPr>
            <w:tcW w:w="901" w:type="dxa"/>
            <w:vMerge/>
            <w:tcBorders>
              <w:left w:val="single" w:sz="4" w:space="0" w:color="000000"/>
              <w:right w:val="single" w:sz="4" w:space="0" w:color="000000"/>
            </w:tcBorders>
          </w:tcPr>
          <w:p>
            <w:pPr/>
          </w:p>
        </w:tc>
        <w:tc>
          <w:tcPr>
            <w:tcW w:w="897" w:type="dxa"/>
            <w:vMerge/>
            <w:tcBorders>
              <w:left w:val="single" w:sz="4" w:space="0" w:color="000000"/>
              <w:right w:val="single" w:sz="4" w:space="0" w:color="000000"/>
            </w:tcBorders>
            <w:shd w:val="clear" w:color="auto" w:fill="C7EDCC"/>
          </w:tcPr>
          <w:p>
            <w:pPr/>
          </w:p>
        </w:tc>
      </w:tr>
      <w:tr>
        <w:trPr>
          <w:trHeight w:val="312" w:hRule="exact"/>
        </w:trPr>
        <w:tc>
          <w:tcPr>
            <w:tcW w:w="901" w:type="dxa"/>
            <w:tcBorders>
              <w:top w:val="nil" w:sz="6" w:space="0" w:color="auto"/>
              <w:left w:val="single" w:sz="4" w:space="0" w:color="000000"/>
              <w:bottom w:val="single" w:sz="4" w:space="0" w:color="000000"/>
              <w:right w:val="single" w:sz="4" w:space="0" w:color="000000"/>
            </w:tcBorders>
            <w:shd w:val="clear" w:color="auto" w:fill="C7EDCC"/>
          </w:tcPr>
          <w:p>
            <w:pPr/>
          </w:p>
        </w:tc>
        <w:tc>
          <w:tcPr>
            <w:tcW w:w="901" w:type="dxa"/>
            <w:tcBorders>
              <w:top w:val="nil" w:sz="6" w:space="0" w:color="auto"/>
              <w:left w:val="single" w:sz="4" w:space="0" w:color="000000"/>
              <w:bottom w:val="single" w:sz="4" w:space="0" w:color="000000"/>
              <w:right w:val="single" w:sz="4" w:space="0" w:color="000000"/>
            </w:tcBorders>
            <w:shd w:val="clear" w:color="auto" w:fill="C7EDCC"/>
          </w:tcPr>
          <w:p>
            <w:pPr/>
          </w:p>
        </w:tc>
        <w:tc>
          <w:tcPr>
            <w:tcW w:w="906" w:type="dxa"/>
            <w:tcBorders>
              <w:top w:val="nil" w:sz="6" w:space="0" w:color="auto"/>
              <w:left w:val="single" w:sz="4" w:space="0" w:color="000000"/>
              <w:bottom w:val="single" w:sz="4" w:space="0" w:color="000000"/>
              <w:right w:val="single" w:sz="4" w:space="0" w:color="000000"/>
            </w:tcBorders>
          </w:tcPr>
          <w:p>
            <w:pPr/>
          </w:p>
        </w:tc>
        <w:tc>
          <w:tcPr>
            <w:tcW w:w="1186" w:type="dxa"/>
            <w:tcBorders>
              <w:top w:val="nil" w:sz="6" w:space="0" w:color="auto"/>
              <w:left w:val="single" w:sz="4" w:space="0" w:color="000000"/>
              <w:bottom w:val="single" w:sz="4" w:space="0" w:color="000000"/>
              <w:right w:val="single" w:sz="4" w:space="0" w:color="000000"/>
            </w:tcBorders>
          </w:tcPr>
          <w:p>
            <w:pPr/>
          </w:p>
        </w:tc>
        <w:tc>
          <w:tcPr>
            <w:tcW w:w="904"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shd w:val="clear" w:color="auto" w:fill="C7EDCC"/>
          </w:tcPr>
          <w:p>
            <w:pPr/>
          </w:p>
        </w:tc>
        <w:tc>
          <w:tcPr>
            <w:tcW w:w="2045"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伙</w:t>
            </w:r>
            <w:r>
              <w:rPr>
                <w:rFonts w:ascii="Times New Roman" w:hAnsi="Times New Roman" w:cs="Times New Roman" w:eastAsia="Times New Roman" w:hint="default"/>
                <w:sz w:val="18"/>
                <w:szCs w:val="18"/>
              </w:rPr>
              <w:t>)</w:t>
            </w:r>
          </w:p>
        </w:tc>
        <w:tc>
          <w:tcPr>
            <w:tcW w:w="902" w:type="dxa"/>
            <w:tcBorders>
              <w:top w:val="nil" w:sz="6" w:space="0" w:color="auto"/>
              <w:left w:val="single" w:sz="4" w:space="0" w:color="000000"/>
              <w:bottom w:val="single" w:sz="4" w:space="0" w:color="000000"/>
              <w:right w:val="single" w:sz="4" w:space="0" w:color="000000"/>
            </w:tcBorders>
            <w:shd w:val="clear" w:color="auto" w:fill="C7EDCC"/>
          </w:tcPr>
          <w:p>
            <w:pPr/>
          </w:p>
        </w:tc>
        <w:tc>
          <w:tcPr>
            <w:tcW w:w="900" w:type="dxa"/>
            <w:tcBorders>
              <w:top w:val="nil" w:sz="6" w:space="0" w:color="auto"/>
              <w:left w:val="single" w:sz="4" w:space="0" w:color="000000"/>
              <w:bottom w:val="single" w:sz="4" w:space="0" w:color="000000"/>
              <w:right w:val="single" w:sz="4" w:space="0" w:color="000000"/>
            </w:tcBorders>
            <w:shd w:val="clear" w:color="auto" w:fill="C7EDCC"/>
          </w:tcPr>
          <w:p>
            <w:pPr/>
          </w:p>
        </w:tc>
        <w:tc>
          <w:tcPr>
            <w:tcW w:w="1053" w:type="dxa"/>
            <w:tcBorders>
              <w:top w:val="nil" w:sz="6" w:space="0" w:color="auto"/>
              <w:left w:val="single" w:sz="4" w:space="0" w:color="000000"/>
              <w:bottom w:val="single" w:sz="4" w:space="0" w:color="000000"/>
              <w:right w:val="single" w:sz="4" w:space="0" w:color="000000"/>
            </w:tcBorders>
            <w:shd w:val="clear" w:color="auto" w:fill="C7EDCC"/>
          </w:tcPr>
          <w:p>
            <w:pPr/>
          </w:p>
        </w:tc>
        <w:tc>
          <w:tcPr>
            <w:tcW w:w="1001" w:type="dxa"/>
            <w:tcBorders>
              <w:top w:val="nil" w:sz="6" w:space="0" w:color="auto"/>
              <w:left w:val="single" w:sz="4" w:space="0" w:color="000000"/>
              <w:bottom w:val="single" w:sz="4" w:space="0" w:color="000000"/>
              <w:right w:val="single" w:sz="4" w:space="0" w:color="000000"/>
            </w:tcBorders>
          </w:tcPr>
          <w:p>
            <w:pPr/>
          </w:p>
        </w:tc>
        <w:tc>
          <w:tcPr>
            <w:tcW w:w="1001" w:type="dxa"/>
            <w:tcBorders>
              <w:top w:val="nil" w:sz="6" w:space="0" w:color="auto"/>
              <w:left w:val="single" w:sz="4" w:space="0" w:color="000000"/>
              <w:bottom w:val="single" w:sz="4" w:space="0" w:color="000000"/>
              <w:right w:val="single" w:sz="4" w:space="0" w:color="000000"/>
            </w:tcBorders>
          </w:tcPr>
          <w:p>
            <w:pPr/>
          </w:p>
        </w:tc>
        <w:tc>
          <w:tcPr>
            <w:tcW w:w="902" w:type="dxa"/>
            <w:tcBorders>
              <w:top w:val="nil" w:sz="6" w:space="0" w:color="auto"/>
              <w:left w:val="single" w:sz="4" w:space="0" w:color="000000"/>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897" w:type="dxa"/>
            <w:vMerge/>
            <w:tcBorders>
              <w:left w:val="single" w:sz="4" w:space="0" w:color="000000"/>
              <w:bottom w:val="single" w:sz="4" w:space="0" w:color="000000"/>
              <w:right w:val="single" w:sz="4" w:space="0" w:color="000000"/>
            </w:tcBorders>
            <w:shd w:val="clear" w:color="auto" w:fill="C7EDCC"/>
          </w:tcPr>
          <w:p>
            <w:pPr/>
          </w:p>
        </w:tc>
      </w:tr>
      <w:tr>
        <w:trPr>
          <w:trHeight w:val="323" w:hRule="exact"/>
        </w:trPr>
        <w:tc>
          <w:tcPr>
            <w:tcW w:w="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9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1186"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51"/>
              <w:ind w:right="8"/>
              <w:jc w:val="right"/>
              <w:rPr>
                <w:rFonts w:ascii="Times New Roman" w:hAnsi="Times New Roman" w:cs="Times New Roman" w:eastAsia="Times New Roman" w:hint="default"/>
                <w:sz w:val="18"/>
                <w:szCs w:val="18"/>
              </w:rPr>
            </w:pPr>
            <w:r>
              <w:rPr>
                <w:rFonts w:ascii="Times New Roman"/>
                <w:spacing w:val="-1"/>
                <w:sz w:val="18"/>
              </w:rPr>
              <w:t>106,269,500.00</w:t>
            </w:r>
          </w:p>
        </w:tc>
        <w:tc>
          <w:tcPr>
            <w:tcW w:w="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2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1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5,197,566.10</w:t>
            </w:r>
          </w:p>
        </w:tc>
        <w:tc>
          <w:tcPr>
            <w:tcW w:w="1001"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51"/>
              <w:ind w:right="13"/>
              <w:jc w:val="right"/>
              <w:rPr>
                <w:rFonts w:ascii="Times New Roman" w:hAnsi="Times New Roman" w:cs="Times New Roman" w:eastAsia="Times New Roman" w:hint="default"/>
                <w:sz w:val="18"/>
                <w:szCs w:val="18"/>
              </w:rPr>
            </w:pPr>
            <w:r>
              <w:rPr>
                <w:rFonts w:ascii="Times New Roman"/>
                <w:spacing w:val="-1"/>
                <w:sz w:val="18"/>
              </w:rPr>
              <w:t>5,197,566.10</w:t>
            </w:r>
          </w:p>
        </w:tc>
        <w:tc>
          <w:tcPr>
            <w:tcW w:w="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69"/>
        <w:ind w:left="0" w:right="819"/>
        <w:jc w:val="right"/>
        <w:rPr>
          <w:rFonts w:ascii="Times New Roman" w:hAnsi="Times New Roman" w:cs="Times New Roman" w:eastAsia="Times New Roman" w:hint="default"/>
        </w:rPr>
      </w:pPr>
      <w:r>
        <w:rPr>
          <w:rFonts w:ascii="Times New Roman"/>
        </w:rPr>
        <w:t>26</w:t>
      </w: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3"/>
          <w:szCs w:val="23"/>
        </w:rPr>
      </w:pPr>
    </w:p>
    <w:p>
      <w:pPr>
        <w:spacing w:line="371" w:lineRule="exact"/>
        <w:ind w:left="1112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3" name="image1.jpeg" descr=""/>
            <wp:cNvGraphicFramePr>
              <a:graphicFrameLocks noChangeAspect="1"/>
            </wp:cNvGraphicFramePr>
            <a:graphic>
              <a:graphicData uri="http://schemas.openxmlformats.org/drawingml/2006/picture">
                <pic:pic>
                  <pic:nvPicPr>
                    <pic:cNvPr id="4" name="image1.jpeg"/>
                    <pic:cNvPicPr/>
                  </pic:nvPicPr>
                  <pic:blipFill>
                    <a:blip r:embed="rId14"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060" w:bottom="1180" w:left="660" w:right="62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、金融资产投资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）证券投资情况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公司报告期不存在证券投资。</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2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公司报告期不存在衍生品投资。</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公司报告期无募集资金使用情况。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footerReference w:type="default" r:id="rId15"/>
          <w:pgSz w:w="11910" w:h="16840"/>
          <w:pgMar w:footer="982" w:header="0" w:top="1060" w:bottom="1180" w:left="980" w:right="0"/>
          <w:pgNumType w:start="27"/>
        </w:sectPr>
      </w:pPr>
    </w:p>
    <w:p>
      <w:pPr>
        <w:pStyle w:val="BodyText"/>
        <w:spacing w:line="2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80" w:left="980" w:right="0"/>
          <w:cols w:num="2" w:equalWidth="0">
            <w:col w:w="4849" w:space="4070"/>
            <w:col w:w="20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26"/>
        <w:gridCol w:w="426"/>
        <w:gridCol w:w="794"/>
        <w:gridCol w:w="1181"/>
        <w:gridCol w:w="1181"/>
        <w:gridCol w:w="1182"/>
        <w:gridCol w:w="1181"/>
        <w:gridCol w:w="1151"/>
        <w:gridCol w:w="1145"/>
      </w:tblGrid>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 w:right="26"/>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1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1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浙江都市快报控 股有限公司</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30"/>
              <w:jc w:val="left"/>
              <w:rPr>
                <w:rFonts w:ascii="宋体" w:hAnsi="宋体" w:cs="宋体" w:eastAsia="宋体" w:hint="default"/>
                <w:sz w:val="18"/>
                <w:szCs w:val="18"/>
              </w:rPr>
            </w:pPr>
            <w:r>
              <w:rPr>
                <w:rFonts w:ascii="宋体" w:hAnsi="宋体" w:cs="宋体" w:eastAsia="宋体" w:hint="default"/>
                <w:sz w:val="18"/>
                <w:szCs w:val="18"/>
              </w:rPr>
              <w:t>子公 司</w:t>
            </w:r>
          </w:p>
        </w:tc>
        <w:tc>
          <w:tcPr>
            <w:tcW w:w="7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广告、报 刊、发行</w:t>
            </w:r>
          </w:p>
        </w:tc>
        <w:tc>
          <w:tcPr>
            <w:tcW w:w="118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50,000,000.00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443,780,227.75</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194,986,708.35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341,914,102.09</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31,828,078.04</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31,530,039.28</w:t>
            </w: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杭州日报传媒有 限公司</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30"/>
              <w:jc w:val="left"/>
              <w:rPr>
                <w:rFonts w:ascii="宋体" w:hAnsi="宋体" w:cs="宋体" w:eastAsia="宋体" w:hint="default"/>
                <w:sz w:val="18"/>
                <w:szCs w:val="18"/>
              </w:rPr>
            </w:pPr>
            <w:r>
              <w:rPr>
                <w:rFonts w:ascii="宋体" w:hAnsi="宋体" w:cs="宋体" w:eastAsia="宋体" w:hint="default"/>
                <w:sz w:val="18"/>
                <w:szCs w:val="18"/>
              </w:rPr>
              <w:t>子公 司</w:t>
            </w:r>
          </w:p>
        </w:tc>
        <w:tc>
          <w:tcPr>
            <w:tcW w:w="7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广告、报 刊、发行</w:t>
            </w:r>
          </w:p>
        </w:tc>
        <w:tc>
          <w:tcPr>
            <w:tcW w:w="118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23,630,000.00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362,302,756.78</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185,388,886.73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270,298,359.05</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49,038,255.68</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48,767,012.70</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26"/>
        <w:gridCol w:w="426"/>
        <w:gridCol w:w="794"/>
        <w:gridCol w:w="1181"/>
        <w:gridCol w:w="1181"/>
        <w:gridCol w:w="1182"/>
        <w:gridCol w:w="1181"/>
        <w:gridCol w:w="1151"/>
        <w:gridCol w:w="1145"/>
      </w:tblGrid>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杭州萧山日报传 媒有限公司</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30"/>
              <w:jc w:val="left"/>
              <w:rPr>
                <w:rFonts w:ascii="宋体" w:hAnsi="宋体" w:cs="宋体" w:eastAsia="宋体" w:hint="default"/>
                <w:sz w:val="18"/>
                <w:szCs w:val="18"/>
              </w:rPr>
            </w:pPr>
            <w:r>
              <w:rPr>
                <w:rFonts w:ascii="宋体" w:hAnsi="宋体" w:cs="宋体" w:eastAsia="宋体" w:hint="default"/>
                <w:sz w:val="18"/>
                <w:szCs w:val="18"/>
              </w:rPr>
              <w:t>子公 司</w:t>
            </w:r>
          </w:p>
        </w:tc>
        <w:tc>
          <w:tcPr>
            <w:tcW w:w="7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广告、报 刊、发行</w:t>
            </w:r>
          </w:p>
        </w:tc>
        <w:tc>
          <w:tcPr>
            <w:tcW w:w="118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330,619,911.05</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148,207,626.14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365,896,932.25</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42,307,458.38</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40,643,368.98</w:t>
            </w: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杭州余杭晨报传 媒有限公司</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30"/>
              <w:jc w:val="left"/>
              <w:rPr>
                <w:rFonts w:ascii="宋体" w:hAnsi="宋体" w:cs="宋体" w:eastAsia="宋体" w:hint="default"/>
                <w:sz w:val="18"/>
                <w:szCs w:val="18"/>
              </w:rPr>
            </w:pPr>
            <w:r>
              <w:rPr>
                <w:rFonts w:ascii="宋体" w:hAnsi="宋体" w:cs="宋体" w:eastAsia="宋体" w:hint="default"/>
                <w:sz w:val="18"/>
                <w:szCs w:val="18"/>
              </w:rPr>
              <w:t>子公 司</w:t>
            </w:r>
          </w:p>
        </w:tc>
        <w:tc>
          <w:tcPr>
            <w:tcW w:w="7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广告、报 刊、发行</w:t>
            </w:r>
          </w:p>
        </w:tc>
        <w:tc>
          <w:tcPr>
            <w:tcW w:w="118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5,000,000.00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190,149,928.11</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141,286,081.02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62,435,019.04</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18,817,305.61</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18,678,860.81</w:t>
            </w: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杭州富阳日报传 媒有限公司</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30"/>
              <w:jc w:val="left"/>
              <w:rPr>
                <w:rFonts w:ascii="宋体" w:hAnsi="宋体" w:cs="宋体" w:eastAsia="宋体" w:hint="default"/>
                <w:sz w:val="18"/>
                <w:szCs w:val="18"/>
              </w:rPr>
            </w:pPr>
            <w:r>
              <w:rPr>
                <w:rFonts w:ascii="宋体" w:hAnsi="宋体" w:cs="宋体" w:eastAsia="宋体" w:hint="default"/>
                <w:sz w:val="18"/>
                <w:szCs w:val="18"/>
              </w:rPr>
              <w:t>子公 司</w:t>
            </w:r>
          </w:p>
        </w:tc>
        <w:tc>
          <w:tcPr>
            <w:tcW w:w="7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广告、报 刊、发行</w:t>
            </w:r>
          </w:p>
        </w:tc>
        <w:tc>
          <w:tcPr>
            <w:tcW w:w="118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5,000,000.00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57,864,621.15</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30,816,530.11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45,370,738.76</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2" w:right="0"/>
              <w:jc w:val="center"/>
              <w:rPr>
                <w:rFonts w:ascii="Times New Roman" w:hAnsi="Times New Roman" w:cs="Times New Roman" w:eastAsia="Times New Roman" w:hint="default"/>
                <w:sz w:val="18"/>
                <w:szCs w:val="18"/>
              </w:rPr>
            </w:pPr>
            <w:r>
              <w:rPr>
                <w:rFonts w:ascii="Times New Roman"/>
                <w:sz w:val="18"/>
              </w:rPr>
              <w:t>9,566,703.22</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center"/>
              <w:rPr>
                <w:rFonts w:ascii="Times New Roman" w:hAnsi="Times New Roman" w:cs="Times New Roman" w:eastAsia="Times New Roman" w:hint="default"/>
                <w:sz w:val="18"/>
                <w:szCs w:val="18"/>
              </w:rPr>
            </w:pPr>
            <w:r>
              <w:rPr>
                <w:rFonts w:ascii="Times New Roman"/>
                <w:sz w:val="18"/>
              </w:rPr>
              <w:t>9,530,217.22</w:t>
            </w:r>
          </w:p>
        </w:tc>
      </w:tr>
      <w:tr>
        <w:trPr>
          <w:trHeight w:val="1026" w:hRule="exact"/>
        </w:trPr>
        <w:tc>
          <w:tcPr>
            <w:tcW w:w="14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杭州日报报业集 团盛元印务有限 公司</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30"/>
              <w:jc w:val="left"/>
              <w:rPr>
                <w:rFonts w:ascii="宋体" w:hAnsi="宋体" w:cs="宋体" w:eastAsia="宋体" w:hint="default"/>
                <w:sz w:val="18"/>
                <w:szCs w:val="18"/>
              </w:rPr>
            </w:pPr>
            <w:r>
              <w:rPr>
                <w:rFonts w:ascii="宋体" w:hAnsi="宋体" w:cs="宋体" w:eastAsia="宋体" w:hint="default"/>
                <w:sz w:val="18"/>
                <w:szCs w:val="18"/>
              </w:rPr>
              <w:t>子公 司</w:t>
            </w:r>
          </w:p>
        </w:tc>
        <w:tc>
          <w:tcPr>
            <w:tcW w:w="7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数字印刷</w:t>
            </w:r>
          </w:p>
        </w:tc>
        <w:tc>
          <w:tcPr>
            <w:tcW w:w="118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285,580,600.00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559,953,143.73</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318,581,428.62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402,511,115.71</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-47,454,522.99</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-48,108,813.11</w:t>
            </w: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杭州网络传媒有 限公司</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30"/>
              <w:jc w:val="left"/>
              <w:rPr>
                <w:rFonts w:ascii="宋体" w:hAnsi="宋体" w:cs="宋体" w:eastAsia="宋体" w:hint="default"/>
                <w:sz w:val="18"/>
                <w:szCs w:val="18"/>
              </w:rPr>
            </w:pPr>
            <w:r>
              <w:rPr>
                <w:rFonts w:ascii="宋体" w:hAnsi="宋体" w:cs="宋体" w:eastAsia="宋体" w:hint="default"/>
                <w:sz w:val="18"/>
                <w:szCs w:val="18"/>
              </w:rPr>
              <w:t>子公 司</w:t>
            </w:r>
          </w:p>
        </w:tc>
        <w:tc>
          <w:tcPr>
            <w:tcW w:w="7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新媒体</w:t>
            </w:r>
          </w:p>
        </w:tc>
        <w:tc>
          <w:tcPr>
            <w:tcW w:w="118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252,767,812.70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108,100,641.93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35,597,877.38</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23,870,399.92</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23,899,599.36</w:t>
            </w:r>
          </w:p>
        </w:tc>
      </w:tr>
      <w:tr>
        <w:trPr>
          <w:trHeight w:val="1026" w:hRule="exact"/>
        </w:trPr>
        <w:tc>
          <w:tcPr>
            <w:tcW w:w="14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中教未来国际教 </w:t>
            </w:r>
            <w:r>
              <w:rPr>
                <w:rFonts w:ascii="宋体" w:hAnsi="宋体" w:cs="宋体" w:eastAsia="宋体" w:hint="default"/>
                <w:spacing w:val="-9"/>
                <w:sz w:val="18"/>
                <w:szCs w:val="18"/>
              </w:rPr>
              <w:t>育科技（北京）有</w:t>
            </w:r>
            <w:r>
              <w:rPr>
                <w:rFonts w:ascii="宋体" w:hAnsi="宋体" w:cs="宋体" w:eastAsia="宋体" w:hint="default"/>
                <w:sz w:val="18"/>
                <w:szCs w:val="18"/>
              </w:rPr>
              <w:t> 限公司</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30"/>
              <w:jc w:val="left"/>
              <w:rPr>
                <w:rFonts w:ascii="宋体" w:hAnsi="宋体" w:cs="宋体" w:eastAsia="宋体" w:hint="default"/>
                <w:sz w:val="18"/>
                <w:szCs w:val="18"/>
              </w:rPr>
            </w:pPr>
            <w:r>
              <w:rPr>
                <w:rFonts w:ascii="宋体" w:hAnsi="宋体" w:cs="宋体" w:eastAsia="宋体" w:hint="default"/>
                <w:sz w:val="18"/>
                <w:szCs w:val="18"/>
              </w:rPr>
              <w:t>子公 司</w:t>
            </w:r>
          </w:p>
        </w:tc>
        <w:tc>
          <w:tcPr>
            <w:tcW w:w="7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教育咨询</w:t>
            </w:r>
          </w:p>
        </w:tc>
        <w:tc>
          <w:tcPr>
            <w:tcW w:w="118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405,884,214.97</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216,753,937.80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245,086,248.37</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88,166,058.41</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75,019,698.17</w:t>
            </w:r>
          </w:p>
        </w:tc>
      </w:tr>
    </w:tbl>
    <w:p>
      <w:pPr>
        <w:pStyle w:val="BodyText"/>
        <w:spacing w:line="240" w:lineRule="auto" w:before="51"/>
        <w:ind w:right="0"/>
        <w:jc w:val="left"/>
      </w:pPr>
      <w:r>
        <w:rPr/>
        <w:t>报告期内取得和处置子公司的情况</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686"/>
        <w:gridCol w:w="2692"/>
        <w:gridCol w:w="3191"/>
      </w:tblGrid>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6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right="29"/>
              <w:jc w:val="center"/>
              <w:rPr>
                <w:rFonts w:ascii="宋体" w:hAnsi="宋体" w:cs="宋体" w:eastAsia="宋体" w:hint="default"/>
                <w:sz w:val="18"/>
                <w:szCs w:val="18"/>
              </w:rPr>
            </w:pPr>
            <w:r>
              <w:rPr>
                <w:rFonts w:ascii="宋体" w:hAnsi="宋体" w:cs="宋体" w:eastAsia="宋体" w:hint="default"/>
                <w:sz w:val="18"/>
                <w:szCs w:val="18"/>
              </w:rPr>
              <w:t>杭州杭实华媒投资管理合伙企业（有限合伙）</w:t>
            </w:r>
          </w:p>
        </w:tc>
        <w:tc>
          <w:tcPr>
            <w:tcW w:w="26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新设子公司</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年形成投资收益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247.30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pStyle w:val="BodyText"/>
        <w:spacing w:line="240" w:lineRule="auto" w:before="52"/>
        <w:ind w:right="0"/>
        <w:jc w:val="left"/>
      </w:pPr>
      <w:r>
        <w:rPr/>
        <w:t>主要控股参股公司情况说明</w:t>
      </w:r>
    </w:p>
    <w:p>
      <w:pPr>
        <w:pStyle w:val="BodyText"/>
        <w:spacing w:line="300" w:lineRule="auto" w:before="115"/>
        <w:ind w:left="153" w:right="1116"/>
        <w:jc w:val="left"/>
      </w:pPr>
      <w:r>
        <w:rPr>
          <w:spacing w:val="-1"/>
        </w:rPr>
        <w:t>主要子公司中，净利润占全公司归属于上市公司股东净利润</w:t>
      </w:r>
      <w:r>
        <w:rPr>
          <w:rFonts w:ascii="Times New Roman" w:hAnsi="Times New Roman" w:cs="Times New Roman" w:eastAsia="Times New Roman" w:hint="default"/>
          <w:spacing w:val="-1"/>
        </w:rPr>
        <w:t>10%</w:t>
      </w:r>
      <w:r>
        <w:rPr>
          <w:spacing w:val="-1"/>
        </w:rPr>
        <w:t>的有，杭报传媒、萧报传媒、余杭晨报、杭州网、中教未来</w:t>
      </w:r>
      <w:r>
        <w:rPr/>
        <w:t> 等。相关企业运营情况请参看第三节、第四节有关部分。</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九、公司未来发展的展望</w:t>
      </w:r>
      <w:r>
        <w:rPr>
          <w:b w:val="0"/>
          <w:bCs w:val="0"/>
        </w:rPr>
      </w:r>
    </w:p>
    <w:p>
      <w:pPr>
        <w:spacing w:line="240" w:lineRule="auto" w:before="6"/>
        <w:rPr>
          <w:rFonts w:ascii="宋体" w:hAnsi="宋体" w:cs="宋体" w:eastAsia="宋体" w:hint="default"/>
          <w:b/>
          <w:bCs/>
          <w:sz w:val="32"/>
          <w:szCs w:val="32"/>
        </w:rPr>
      </w:pPr>
    </w:p>
    <w:p>
      <w:pPr>
        <w:pStyle w:val="BodyText"/>
        <w:spacing w:line="463" w:lineRule="auto"/>
        <w:ind w:left="153" w:right="1129" w:firstLine="424"/>
        <w:jc w:val="both"/>
      </w:pPr>
      <w:r>
        <w:rPr>
          <w:rFonts w:ascii="Times New Roman" w:hAnsi="Times New Roman" w:cs="Times New Roman" w:eastAsia="Times New Roman" w:hint="default"/>
        </w:rPr>
        <w:t>2019</w:t>
      </w:r>
      <w:r>
        <w:rPr/>
        <w:t>年，是新中国成立</w:t>
      </w:r>
      <w:r>
        <w:rPr>
          <w:rFonts w:ascii="Times New Roman" w:hAnsi="Times New Roman" w:cs="Times New Roman" w:eastAsia="Times New Roman" w:hint="default"/>
        </w:rPr>
        <w:t>70</w:t>
      </w:r>
      <w:r>
        <w:rPr/>
        <w:t>周年，是杭州打造展示新时代中国特色社会主义的重要窗口、当好“八八战略”再深化改革 </w:t>
      </w:r>
      <w:r>
        <w:rPr>
          <w:spacing w:val="-5"/>
        </w:rPr>
        <w:t>开放再出发排头兵的关键之年。公司将牢牢把握新时代的挑战与机遇，紧紧围绕集团党委要求，切实担负起“以文化人”“以</w:t>
      </w:r>
      <w:r>
        <w:rPr>
          <w:spacing w:val="-79"/>
        </w:rPr>
        <w:t> </w:t>
      </w:r>
      <w:r>
        <w:rPr>
          <w:spacing w:val="-79"/>
        </w:rPr>
      </w:r>
      <w:r>
        <w:rPr/>
        <w:t>文兴业”两大时代使命，持续深化“一体两翼”产业布阵，进一步优化“大文创产业生态运营商”战略。</w:t>
      </w:r>
    </w:p>
    <w:p>
      <w:pPr>
        <w:spacing w:line="477" w:lineRule="auto" w:before="65"/>
        <w:ind w:left="153" w:right="0" w:firstLine="426"/>
        <w:jc w:val="left"/>
        <w:rPr>
          <w:rFonts w:ascii="宋体" w:hAnsi="宋体" w:cs="宋体" w:eastAsia="宋体" w:hint="default"/>
          <w:sz w:val="18"/>
          <w:szCs w:val="18"/>
        </w:rPr>
      </w:pPr>
      <w:r>
        <w:rPr>
          <w:rFonts w:ascii="宋体" w:hAnsi="宋体" w:cs="宋体" w:eastAsia="宋体" w:hint="default"/>
          <w:b/>
          <w:bCs/>
          <w:sz w:val="18"/>
          <w:szCs w:val="18"/>
        </w:rPr>
        <w:t>（一）稳固“一体”，持续构建主流媒体集合矩阵。</w:t>
      </w:r>
      <w:r>
        <w:rPr>
          <w:rFonts w:ascii="宋体" w:hAnsi="宋体" w:cs="宋体" w:eastAsia="宋体" w:hint="default"/>
          <w:sz w:val="18"/>
          <w:szCs w:val="18"/>
        </w:rPr>
        <w:t>坚持“本土化、网络化、移动化、智能化、社交化、特色化”发 展方向，构建统分结合、相互协同、各具特色、形成规模的集团主流媒体集合传播矩阵。</w:t>
      </w:r>
    </w:p>
    <w:p>
      <w:pPr>
        <w:pStyle w:val="BodyText"/>
        <w:spacing w:line="458" w:lineRule="auto" w:before="54"/>
        <w:ind w:left="153" w:right="1031" w:firstLine="424"/>
        <w:jc w:val="left"/>
      </w:pPr>
      <w:r>
        <w:rPr/>
        <w:t>以全案策划整合营销方式，运营旗下平面媒体、互联网站点和移动互联网产品，做强广告策划经营板块，增强</w:t>
      </w:r>
      <w:r>
        <w:rPr>
          <w:rFonts w:ascii="Times New Roman" w:hAnsi="Times New Roman" w:cs="Times New Roman" w:eastAsia="Times New Roman" w:hint="default"/>
        </w:rPr>
        <w:t>“</w:t>
      </w:r>
      <w:r>
        <w:rPr/>
        <w:t>学习强 国</w:t>
      </w:r>
      <w:r>
        <w:rPr>
          <w:rFonts w:ascii="Times New Roman" w:hAnsi="Times New Roman" w:cs="Times New Roman" w:eastAsia="Times New Roman" w:hint="default"/>
        </w:rPr>
        <w:t>”</w:t>
      </w:r>
      <w:r>
        <w:rPr/>
        <w:t>杭州发布平台，杭</w:t>
      </w:r>
      <w:r>
        <w:rPr>
          <w:rFonts w:ascii="Times New Roman" w:hAnsi="Times New Roman" w:cs="Times New Roman" w:eastAsia="Times New Roman" w:hint="default"/>
        </w:rPr>
        <w:t>+</w:t>
      </w:r>
      <w:r>
        <w:rPr/>
        <w:t>新闻、杭州新闻等</w:t>
      </w:r>
      <w:r>
        <w:rPr>
          <w:rFonts w:ascii="Times New Roman" w:hAnsi="Times New Roman" w:cs="Times New Roman" w:eastAsia="Times New Roman" w:hint="default"/>
        </w:rPr>
        <w:t>APP</w:t>
      </w:r>
      <w:r>
        <w:rPr/>
        <w:t>的用户数与活跃度，提升官微、官博综合影响力；优化以专业特色兴趣类为主 的细分、垂直类微信微博公号运营；加强对外合作力度，拓展党政、企业官微官博的代运营和代维护。抓好舆情项目建设， </w:t>
      </w:r>
      <w:r>
        <w:rPr>
          <w:spacing w:val="-2"/>
        </w:rPr>
        <w:t>构建舆情监测、热点引导、智库分析、舆情专报等大数据服务产品进一步构筑平台集聚用户的吸引力。同时进一步稳固报刊</w:t>
      </w:r>
    </w:p>
    <w:p>
      <w:pPr>
        <w:spacing w:after="0" w:line="458" w:lineRule="auto"/>
        <w:jc w:val="left"/>
        <w:sectPr>
          <w:pgSz w:w="11910" w:h="16840"/>
          <w:pgMar w:header="0" w:footer="982" w:top="1060" w:bottom="118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153" w:right="0"/>
        <w:jc w:val="left"/>
      </w:pPr>
      <w:r>
        <w:rPr/>
        <w:t>发行和印刷等产业。</w:t>
      </w:r>
    </w:p>
    <w:p>
      <w:pPr>
        <w:spacing w:line="240" w:lineRule="auto" w:before="10"/>
        <w:rPr>
          <w:rFonts w:ascii="宋体" w:hAnsi="宋体" w:cs="宋体" w:eastAsia="宋体" w:hint="default"/>
          <w:sz w:val="17"/>
          <w:szCs w:val="17"/>
        </w:rPr>
      </w:pPr>
    </w:p>
    <w:p>
      <w:pPr>
        <w:pStyle w:val="Heading4"/>
        <w:spacing w:line="240" w:lineRule="auto"/>
        <w:ind w:left="579" w:right="0"/>
        <w:jc w:val="left"/>
        <w:rPr>
          <w:b w:val="0"/>
          <w:bCs w:val="0"/>
        </w:rPr>
      </w:pPr>
      <w:r>
        <w:rPr/>
        <w:t>（二）壮大“两翼”，大力支持文创产业和文化金融的发展。</w:t>
      </w:r>
      <w:r>
        <w:rPr>
          <w:b w:val="0"/>
          <w:bCs w:val="0"/>
        </w:rPr>
      </w:r>
    </w:p>
    <w:p>
      <w:pPr>
        <w:spacing w:line="240" w:lineRule="auto" w:before="10"/>
        <w:rPr>
          <w:rFonts w:ascii="宋体" w:hAnsi="宋体" w:cs="宋体" w:eastAsia="宋体" w:hint="default"/>
          <w:b/>
          <w:bCs/>
          <w:sz w:val="17"/>
          <w:szCs w:val="17"/>
        </w:rPr>
      </w:pPr>
    </w:p>
    <w:p>
      <w:pPr>
        <w:pStyle w:val="BodyText"/>
        <w:spacing w:line="240" w:lineRule="auto"/>
        <w:ind w:left="578" w:right="0"/>
        <w:jc w:val="left"/>
      </w:pPr>
      <w:r>
        <w:rPr>
          <w:rFonts w:ascii="Times New Roman" w:hAnsi="Times New Roman" w:cs="Times New Roman" w:eastAsia="Times New Roman" w:hint="default"/>
        </w:rPr>
        <w:t>1</w:t>
      </w:r>
      <w:r>
        <w:rPr/>
        <w:t>、文创产业包括文化教育平台、文化园区平台、文化会展平台、文化户外平台及文化产权平台。</w:t>
      </w:r>
    </w:p>
    <w:p>
      <w:pPr>
        <w:spacing w:line="240" w:lineRule="auto" w:before="9"/>
        <w:rPr>
          <w:rFonts w:ascii="宋体" w:hAnsi="宋体" w:cs="宋体" w:eastAsia="宋体" w:hint="default"/>
          <w:sz w:val="16"/>
          <w:szCs w:val="16"/>
        </w:rPr>
      </w:pPr>
    </w:p>
    <w:p>
      <w:pPr>
        <w:pStyle w:val="BodyText"/>
        <w:spacing w:line="458" w:lineRule="auto"/>
        <w:ind w:left="153" w:right="1031" w:firstLine="424"/>
        <w:jc w:val="left"/>
      </w:pPr>
      <w:r>
        <w:rPr/>
        <w:t>（</w:t>
      </w:r>
      <w:r>
        <w:rPr>
          <w:rFonts w:ascii="Times New Roman" w:hAnsi="Times New Roman" w:cs="Times New Roman" w:eastAsia="Times New Roman" w:hint="default"/>
        </w:rPr>
        <w:t>1</w:t>
      </w:r>
      <w:r>
        <w:rPr/>
        <w:t>）文化教育平台。支持中教未来加快全国布局，发展职业、国际、</w:t>
      </w:r>
      <w:r>
        <w:rPr>
          <w:rFonts w:ascii="Times New Roman" w:hAnsi="Times New Roman" w:cs="Times New Roman" w:eastAsia="Times New Roman" w:hint="default"/>
        </w:rPr>
        <w:t>IT</w:t>
      </w:r>
      <w:r>
        <w:rPr/>
        <w:t>、艺术、在线、基础六大教育领域，扩大与全 </w:t>
      </w:r>
      <w:r>
        <w:rPr>
          <w:spacing w:val="-2"/>
        </w:rPr>
        <w:t>国高校合作办学领域，打造专业化教育集团品牌。①职业教育：计划开发华东、华南地区数个项目。②国际教育：计划开发</w:t>
      </w:r>
      <w:r>
        <w:rPr>
          <w:spacing w:val="-68"/>
        </w:rPr>
        <w:t> </w:t>
      </w:r>
      <w:r>
        <w:rPr>
          <w:spacing w:val="-68"/>
        </w:rPr>
      </w:r>
      <w:r>
        <w:rPr/>
        <w:t>华北、华东、华南地区数个项目。③</w:t>
      </w:r>
      <w:r>
        <w:rPr>
          <w:rFonts w:ascii="Times New Roman" w:hAnsi="Times New Roman" w:cs="Times New Roman" w:eastAsia="Times New Roman" w:hint="default"/>
        </w:rPr>
        <w:t>IT</w:t>
      </w:r>
      <w:r>
        <w:rPr/>
        <w:t>教育：计划开发东北、华中、西南地区数个项目。④在线教育：陕西、西藏、广东、 河北、河南、云南、内蒙、上海等省市的教师培训市场；开展酒店管理、法制、农村党支部书记、医疗等方向的在线培训。</w:t>
      </w:r>
    </w:p>
    <w:p>
      <w:pPr>
        <w:pStyle w:val="BodyText"/>
        <w:spacing w:line="477" w:lineRule="auto" w:before="68"/>
        <w:ind w:left="153" w:right="0"/>
        <w:jc w:val="left"/>
      </w:pPr>
      <w:r>
        <w:rPr>
          <w:spacing w:val="-2"/>
        </w:rPr>
        <w:t>⑤艺术教育：以“扩大招生规模、加强品牌宣传力度”为主要工作措施，以“控速度、求质量”为主要运营目标，着重教学</w:t>
      </w:r>
      <w:r>
        <w:rPr>
          <w:spacing w:val="-66"/>
        </w:rPr>
        <w:t> </w:t>
      </w:r>
      <w:r>
        <w:rPr>
          <w:spacing w:val="-66"/>
        </w:rPr>
      </w:r>
      <w:r>
        <w:rPr/>
        <w:t>和运营质量。⑥基础教育：做好海口江南城新园的筹建和首批招生工作。</w:t>
      </w:r>
    </w:p>
    <w:p>
      <w:pPr>
        <w:pStyle w:val="BodyText"/>
        <w:spacing w:line="451" w:lineRule="auto" w:before="54"/>
        <w:ind w:left="153" w:right="1129" w:firstLine="424"/>
        <w:jc w:val="both"/>
      </w:pPr>
      <w:r>
        <w:rPr>
          <w:rFonts w:ascii="Times New Roman" w:hAnsi="Times New Roman" w:cs="Times New Roman" w:eastAsia="Times New Roman" w:hint="default"/>
        </w:rPr>
        <w:t>2019</w:t>
      </w:r>
      <w:r>
        <w:rPr/>
        <w:t>年，浙江华媒教育公司所投资的公司将以线下教育为主线，发挥混合制优势，吸引整合优质教育资源，拓展产业 外延空间，并积极探索品牌输出，委托管理等多种合作办学模式，完善产业布局。</w:t>
      </w:r>
    </w:p>
    <w:p>
      <w:pPr>
        <w:pStyle w:val="BodyText"/>
        <w:spacing w:line="463" w:lineRule="auto" w:before="74"/>
        <w:ind w:left="153" w:right="1048" w:firstLine="424"/>
        <w:jc w:val="both"/>
      </w:pPr>
      <w:r>
        <w:rPr/>
        <w:t>（</w:t>
      </w:r>
      <w:r>
        <w:rPr>
          <w:rFonts w:ascii="Times New Roman" w:hAnsi="Times New Roman" w:cs="Times New Roman" w:eastAsia="Times New Roman" w:hint="default"/>
        </w:rPr>
        <w:t>2</w:t>
      </w:r>
      <w:r>
        <w:rPr/>
        <w:t>）文化园区平台。注重培养自有管理运营专业团队，全力打造数字经济产业园品牌华媒智谷，吸引人工智能、文创 </w:t>
      </w:r>
      <w:r>
        <w:rPr>
          <w:spacing w:val="-2"/>
        </w:rPr>
        <w:t>科技、等企业入驻。进一步做好华媒科创园等文创综合体项目的招商运营。主动对接服务地方产业经济发展规划，积极寻找</w:t>
      </w:r>
      <w:r>
        <w:rPr>
          <w:spacing w:val="-66"/>
        </w:rPr>
        <w:t> </w:t>
      </w:r>
      <w:r>
        <w:rPr>
          <w:spacing w:val="-66"/>
        </w:rPr>
      </w:r>
      <w:r>
        <w:rPr/>
        <w:t>优质园区资源，构建一批轻资产、特色化、全要素、生态型的文化创意类“众创空间”“创新工场”等新型创业服务平台。</w:t>
      </w:r>
    </w:p>
    <w:p>
      <w:pPr>
        <w:pStyle w:val="BodyText"/>
        <w:spacing w:line="451" w:lineRule="auto" w:before="65"/>
        <w:ind w:left="153" w:right="1117"/>
        <w:jc w:val="left"/>
      </w:pPr>
      <w:r>
        <w:rPr>
          <w:spacing w:val="-2"/>
        </w:rPr>
        <w:t>①做深做透大江东项目产业规划和功能布局前期设计，科学合理谋划好产业方向、功能布局，力争</w:t>
      </w:r>
      <w:r>
        <w:rPr>
          <w:rFonts w:ascii="Times New Roman" w:hAnsi="Times New Roman" w:cs="Times New Roman" w:eastAsia="Times New Roman" w:hint="default"/>
          <w:spacing w:val="-2"/>
        </w:rPr>
        <w:t>2019</w:t>
      </w:r>
      <w:r>
        <w:rPr>
          <w:spacing w:val="-2"/>
        </w:rPr>
        <w:t>年完成一期项目前期</w:t>
      </w:r>
      <w:r>
        <w:rPr>
          <w:spacing w:val="-62"/>
        </w:rPr>
        <w:t> </w:t>
      </w:r>
      <w:r>
        <w:rPr/>
        <w:t>论证。</w:t>
      </w:r>
    </w:p>
    <w:p>
      <w:pPr>
        <w:pStyle w:val="BodyText"/>
        <w:spacing w:line="477" w:lineRule="auto" w:before="74"/>
        <w:ind w:left="153" w:right="1129" w:firstLine="424"/>
        <w:jc w:val="both"/>
      </w:pPr>
      <w:r>
        <w:rPr/>
        <w:t>②抓紧九堡项目前期规划设计，实质性推进周边地块的征迁整合，注重研究把握与大江东项目在投入、产能、时序、 产出上的科学谋划、统筹协同。</w:t>
      </w:r>
    </w:p>
    <w:p>
      <w:pPr>
        <w:pStyle w:val="BodyText"/>
        <w:spacing w:line="451" w:lineRule="auto" w:before="54"/>
        <w:ind w:left="153" w:right="1129" w:firstLine="424"/>
        <w:jc w:val="both"/>
      </w:pPr>
      <w:r>
        <w:rPr/>
        <w:t>③着力抓好萧文置业项目工程建设进度，力争</w:t>
      </w:r>
      <w:r>
        <w:rPr>
          <w:rFonts w:ascii="Times New Roman" w:hAnsi="Times New Roman" w:cs="Times New Roman" w:eastAsia="Times New Roman" w:hint="default"/>
        </w:rPr>
        <w:t>2019</w:t>
      </w:r>
      <w:r>
        <w:rPr/>
        <w:t>年主楼完成结顶，同时积极围绕华媒智谷产业园区功能定位，开展 运营租赁工作。</w:t>
      </w:r>
    </w:p>
    <w:p>
      <w:pPr>
        <w:pStyle w:val="BodyText"/>
        <w:spacing w:line="451" w:lineRule="auto" w:before="74"/>
        <w:ind w:left="153" w:right="1130" w:firstLine="424"/>
        <w:jc w:val="both"/>
      </w:pPr>
      <w:r>
        <w:rPr>
          <w:spacing w:val="-1"/>
        </w:rPr>
        <w:t>（</w:t>
      </w:r>
      <w:r>
        <w:rPr>
          <w:rFonts w:ascii="Times New Roman" w:hAnsi="Times New Roman" w:cs="Times New Roman" w:eastAsia="Times New Roman" w:hint="default"/>
          <w:spacing w:val="-1"/>
        </w:rPr>
        <w:t>3</w:t>
      </w:r>
      <w:r>
        <w:rPr>
          <w:spacing w:val="-1"/>
        </w:rPr>
        <w:t>）文化会展平台。搭建完善会展战略平台，打响自有会展</w:t>
      </w:r>
      <w:r>
        <w:rPr>
          <w:rFonts w:ascii="Times New Roman" w:hAnsi="Times New Roman" w:cs="Times New Roman" w:eastAsia="Times New Roman" w:hint="default"/>
          <w:spacing w:val="-1"/>
        </w:rPr>
        <w:t>IP</w:t>
      </w:r>
      <w:r>
        <w:rPr>
          <w:spacing w:val="-1"/>
        </w:rPr>
        <w:t>品牌，打造一支专兼职相结合、有充分市场竞争力的会</w:t>
      </w:r>
      <w:r>
        <w:rPr/>
        <w:t> </w:t>
      </w:r>
      <w:r>
        <w:rPr>
          <w:spacing w:val="-2"/>
        </w:rPr>
        <w:t>展人才队伍，积极争取主办承办专业会展活动，全面提升“专业化、品牌化、产业化”水平。精心运营好各类会展</w:t>
      </w:r>
      <w:r>
        <w:rPr>
          <w:rFonts w:ascii="Times New Roman" w:hAnsi="Times New Roman" w:cs="Times New Roman" w:eastAsia="Times New Roman" w:hint="default"/>
          <w:spacing w:val="-2"/>
        </w:rPr>
        <w:t>IP</w:t>
      </w:r>
      <w:r>
        <w:rPr>
          <w:spacing w:val="-2"/>
        </w:rPr>
        <w:t>，巩固</w:t>
      </w:r>
      <w:r>
        <w:rPr>
          <w:spacing w:val="-46"/>
        </w:rPr>
        <w:t> </w:t>
      </w:r>
      <w:r>
        <w:rPr>
          <w:spacing w:val="-46"/>
        </w:rPr>
      </w:r>
      <w:r>
        <w:rPr/>
        <w:t>行业内标杆性、权威性会展项目，培育一批实力品牌展览。</w:t>
      </w:r>
    </w:p>
    <w:p>
      <w:pPr>
        <w:pStyle w:val="BodyText"/>
        <w:spacing w:line="463" w:lineRule="auto" w:before="74"/>
        <w:ind w:left="153" w:right="1031" w:firstLine="424"/>
        <w:jc w:val="left"/>
      </w:pPr>
      <w:r>
        <w:rPr>
          <w:rFonts w:ascii="Times New Roman" w:hAnsi="Times New Roman" w:cs="Times New Roman" w:eastAsia="Times New Roman" w:hint="default"/>
        </w:rPr>
        <w:t>2019</w:t>
      </w:r>
      <w:r>
        <w:rPr/>
        <w:t>年，公司计划举办约</w:t>
      </w:r>
      <w:r>
        <w:rPr>
          <w:rFonts w:ascii="Times New Roman" w:hAnsi="Times New Roman" w:cs="Times New Roman" w:eastAsia="Times New Roman" w:hint="default"/>
        </w:rPr>
        <w:t>10</w:t>
      </w:r>
      <w:r>
        <w:rPr/>
        <w:t>场文化会议类展会，约</w:t>
      </w:r>
      <w:r>
        <w:rPr>
          <w:rFonts w:ascii="Times New Roman" w:hAnsi="Times New Roman" w:cs="Times New Roman" w:eastAsia="Times New Roman" w:hint="default"/>
        </w:rPr>
        <w:t>10</w:t>
      </w:r>
      <w:r>
        <w:rPr/>
        <w:t>场文化艺术类展会，约</w:t>
      </w:r>
      <w:r>
        <w:rPr>
          <w:rFonts w:ascii="Times New Roman" w:hAnsi="Times New Roman" w:cs="Times New Roman" w:eastAsia="Times New Roman" w:hint="default"/>
        </w:rPr>
        <w:t>20</w:t>
      </w:r>
      <w:r>
        <w:rPr/>
        <w:t>场以上文化消费类展会，预计总展示面 积达数十万平方米。其中重点会展项目包括国际级重点展会及未来生活节、杭州（国际）影响力投资大会、万物生长大会、 区块链杭州峰会、西湖音乐节、老博会、花木艺术节等。此外，着力承接好市级重点会展项目。</w:t>
      </w:r>
    </w:p>
    <w:p>
      <w:pPr>
        <w:pStyle w:val="BodyText"/>
        <w:spacing w:line="458" w:lineRule="auto" w:before="65"/>
        <w:ind w:left="153" w:right="1130" w:firstLine="424"/>
        <w:jc w:val="both"/>
      </w:pPr>
      <w:r>
        <w:rPr>
          <w:spacing w:val="-1"/>
        </w:rPr>
        <w:t>（</w:t>
      </w:r>
      <w:r>
        <w:rPr>
          <w:rFonts w:ascii="Times New Roman" w:hAnsi="Times New Roman" w:cs="Times New Roman" w:eastAsia="Times New Roman" w:hint="default"/>
          <w:spacing w:val="-1"/>
        </w:rPr>
        <w:t>4</w:t>
      </w:r>
      <w:r>
        <w:rPr>
          <w:spacing w:val="-1"/>
        </w:rPr>
        <w:t>）文化户外平台。风盛传媒整合旗下地铁平面媒体、语音媒体、</w:t>
      </w:r>
      <w:r>
        <w:rPr>
          <w:rFonts w:ascii="Times New Roman" w:hAnsi="Times New Roman" w:cs="Times New Roman" w:eastAsia="Times New Roman" w:hint="default"/>
          <w:spacing w:val="-1"/>
        </w:rPr>
        <w:t>LED</w:t>
      </w:r>
      <w:r>
        <w:rPr>
          <w:spacing w:val="-1"/>
        </w:rPr>
        <w:t>媒体、灯光秀地标媒体、路面灯箱媒体五大资</w:t>
      </w:r>
      <w:r>
        <w:rPr/>
        <w:t> </w:t>
      </w:r>
      <w:r>
        <w:rPr>
          <w:spacing w:val="-2"/>
        </w:rPr>
        <w:t>源平台，根据客户需求提供户外媒体广告传播服务以及媒体创意策划方案，全面呈现多元化的户外广告传播，重点开展地铁</w:t>
      </w:r>
      <w:r>
        <w:rPr>
          <w:spacing w:val="-66"/>
        </w:rPr>
        <w:t> </w:t>
      </w:r>
      <w:r>
        <w:rPr>
          <w:spacing w:val="-66"/>
        </w:rPr>
      </w:r>
      <w:r>
        <w:rPr>
          <w:spacing w:val="-2"/>
        </w:rPr>
        <w:t>媒体区域化深度运营和</w:t>
      </w:r>
      <w:r>
        <w:rPr>
          <w:rFonts w:ascii="Times New Roman" w:hAnsi="Times New Roman" w:cs="Times New Roman" w:eastAsia="Times New Roman" w:hint="default"/>
          <w:spacing w:val="-2"/>
        </w:rPr>
        <w:t>LED</w:t>
      </w:r>
      <w:r>
        <w:rPr>
          <w:spacing w:val="-2"/>
        </w:rPr>
        <w:t>地标媒体网络化布局。持续开拓全国地铁广告市场，强化资本运作、输出管理经验、发挥标杆作</w:t>
      </w:r>
      <w:r>
        <w:rPr>
          <w:spacing w:val="-53"/>
        </w:rPr>
        <w:t> </w:t>
      </w:r>
      <w:r>
        <w:rPr>
          <w:spacing w:val="-53"/>
        </w:rPr>
      </w:r>
      <w:r>
        <w:rPr/>
        <w:t>用。</w:t>
      </w:r>
    </w:p>
    <w:p>
      <w:pPr>
        <w:spacing w:after="0" w:line="458" w:lineRule="auto"/>
        <w:jc w:val="both"/>
        <w:sectPr>
          <w:pgSz w:w="11910" w:h="16840"/>
          <w:pgMar w:header="0" w:footer="982" w:top="1060" w:bottom="118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63" w:lineRule="auto"/>
        <w:ind w:left="153" w:right="0" w:firstLine="424"/>
        <w:jc w:val="left"/>
      </w:pPr>
      <w:r>
        <w:rPr/>
        <w:t>（</w:t>
      </w:r>
      <w:r>
        <w:rPr>
          <w:rFonts w:ascii="Times New Roman" w:hAnsi="Times New Roman" w:cs="Times New Roman" w:eastAsia="Times New Roman" w:hint="default"/>
        </w:rPr>
        <w:t>5</w:t>
      </w:r>
      <w:r>
        <w:rPr/>
        <w:t>）文化产权平台。杭州文交所打造线上线下文化创新平台，同时在开拓房屋转让、出租、股权转让、增资扩股等产 </w:t>
      </w:r>
      <w:r>
        <w:rPr>
          <w:spacing w:val="-4"/>
        </w:rPr>
        <w:t>权业务基础上，将民宿版块的产权业务作为年度重点培育的新目标。火鸟财经全力做好区块链技术产业联盟，赋能实体经济。</w:t>
      </w:r>
      <w:r>
        <w:rPr>
          <w:spacing w:val="-44"/>
        </w:rPr>
        <w:t> </w:t>
      </w:r>
      <w:r>
        <w:rPr>
          <w:spacing w:val="-44"/>
        </w:rPr>
      </w:r>
      <w:r>
        <w:rPr/>
        <w:t>华泰一媒计划与国内高校合作开展数字水印技术，将版权业务拓展到视频领域。</w:t>
      </w:r>
    </w:p>
    <w:p>
      <w:pPr>
        <w:pStyle w:val="BodyText"/>
        <w:spacing w:line="477" w:lineRule="auto" w:before="65"/>
        <w:ind w:left="153" w:right="1131" w:firstLine="426"/>
        <w:jc w:val="both"/>
      </w:pPr>
      <w:r>
        <w:rPr>
          <w:spacing w:val="-2"/>
        </w:rPr>
        <w:t>2、文化金融：科学投资经营，优化文化产业投融资结构；内伸外延做好项目储备。依托杭州市企业上市与并购促进会</w:t>
      </w:r>
      <w:r>
        <w:rPr/>
        <w:t> </w:t>
      </w:r>
      <w:r>
        <w:rPr>
          <w:spacing w:val="-2"/>
        </w:rPr>
        <w:t>等平台，进一步畅通文化金融对接渠道，构建涵盖政策性融资平台、投资机构、银行机构、上市相关服务等在内的多层次金</w:t>
      </w:r>
      <w:r>
        <w:rPr>
          <w:spacing w:val="-66"/>
        </w:rPr>
        <w:t> </w:t>
      </w:r>
      <w:r>
        <w:rPr>
          <w:spacing w:val="-66"/>
        </w:rPr>
      </w:r>
      <w:r>
        <w:rPr/>
        <w:t>融服务体系。</w:t>
      </w:r>
    </w:p>
    <w:p>
      <w:pPr>
        <w:spacing w:line="240" w:lineRule="auto" w:before="7"/>
        <w:rPr>
          <w:rFonts w:ascii="宋体" w:hAnsi="宋体" w:cs="宋体" w:eastAsia="宋体" w:hint="default"/>
          <w:sz w:val="17"/>
          <w:szCs w:val="17"/>
        </w:rPr>
      </w:pPr>
    </w:p>
    <w:p>
      <w:pPr>
        <w:pStyle w:val="Heading2"/>
        <w:spacing w:line="240" w:lineRule="auto"/>
        <w:ind w:right="0"/>
        <w:jc w:val="left"/>
        <w:rPr>
          <w:b w:val="0"/>
          <w:bCs w:val="0"/>
        </w:rPr>
      </w:pPr>
      <w:r>
        <w:rPr/>
        <w:t>十、接待调研、沟通、采访等活动情况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702"/>
        <w:gridCol w:w="1134"/>
        <w:gridCol w:w="256"/>
        <w:gridCol w:w="1162"/>
        <w:gridCol w:w="5316"/>
      </w:tblGrid>
      <w:tr>
        <w:trPr>
          <w:trHeight w:val="322"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484"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01"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6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5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32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3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日投资者关系活动记录表</w:t>
            </w:r>
          </w:p>
        </w:tc>
      </w:tr>
      <w:tr>
        <w:trPr>
          <w:trHeight w:val="32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3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日投资者关系活动记录表</w:t>
            </w:r>
          </w:p>
        </w:tc>
      </w:tr>
      <w:tr>
        <w:trPr>
          <w:trHeight w:val="323" w:hRule="exact"/>
        </w:trPr>
        <w:tc>
          <w:tcPr>
            <w:tcW w:w="309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6478" w:type="dxa"/>
            <w:gridSpan w:val="2"/>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2</w:t>
            </w:r>
          </w:p>
        </w:tc>
      </w:tr>
      <w:tr>
        <w:trPr>
          <w:trHeight w:val="322" w:hRule="exact"/>
        </w:trPr>
        <w:tc>
          <w:tcPr>
            <w:tcW w:w="309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6478" w:type="dxa"/>
            <w:gridSpan w:val="2"/>
            <w:tcBorders>
              <w:top w:val="single" w:sz="4" w:space="0" w:color="000000"/>
              <w:left w:val="single" w:sz="9" w:space="0" w:color="D3D3D3"/>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10</w:t>
            </w:r>
          </w:p>
        </w:tc>
      </w:tr>
      <w:tr>
        <w:trPr>
          <w:trHeight w:val="322" w:hRule="exact"/>
        </w:trPr>
        <w:tc>
          <w:tcPr>
            <w:tcW w:w="309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6478" w:type="dxa"/>
            <w:gridSpan w:val="2"/>
            <w:tcBorders>
              <w:top w:val="single" w:sz="4" w:space="0" w:color="000000"/>
              <w:left w:val="single" w:sz="9" w:space="0" w:color="D3D3D3"/>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309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6478" w:type="dxa"/>
            <w:gridSpan w:val="2"/>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309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2"/>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6478" w:type="dxa"/>
            <w:gridSpan w:val="2"/>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10"/>
              <w:ind w:right="23"/>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right"/>
        <w:rPr>
          <w:rFonts w:ascii="宋体" w:hAnsi="宋体" w:cs="宋体" w:eastAsia="宋体" w:hint="default"/>
          <w:sz w:val="18"/>
          <w:szCs w:val="18"/>
        </w:rPr>
        <w:sectPr>
          <w:pgSz w:w="11910" w:h="16840"/>
          <w:pgMar w:header="0"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991" w:right="4727"/>
        <w:jc w:val="center"/>
        <w:rPr>
          <w:b w:val="0"/>
          <w:bCs w:val="0"/>
        </w:rPr>
      </w:pPr>
      <w:bookmarkStart w:name="_TOC_250007" w:id="5"/>
      <w:r>
        <w:rPr/>
        <w:t>第五节</w:t>
      </w:r>
      <w:r>
        <w:rPr>
          <w:spacing w:val="-5"/>
        </w:rPr>
        <w:t> </w:t>
      </w:r>
      <w:r>
        <w:rPr/>
        <w:t>重要事项</w:t>
      </w:r>
      <w:bookmarkEnd w:id="5"/>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left="394" w:right="1119"/>
        <w:jc w:val="left"/>
        <w:rPr>
          <w:b w:val="0"/>
          <w:bCs w:val="0"/>
        </w:rPr>
      </w:pP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394" w:right="1119"/>
        <w:jc w:val="left"/>
      </w:pPr>
      <w:r>
        <w:rPr/>
        <w:t>报告期内普通股利润分配政策，特别是现金分红政策的制定、执行或调整情况</w:t>
      </w:r>
    </w:p>
    <w:p>
      <w:pPr>
        <w:pStyle w:val="BodyText"/>
        <w:spacing w:line="338" w:lineRule="auto" w:before="117"/>
        <w:ind w:left="754" w:right="1119"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公司利润分配政策的执行情况，符合《公司章程》的规定和股东大会决议的要求，分红标准和比例明确且清晰，相关的</w:t>
      </w:r>
    </w:p>
    <w:p>
      <w:pPr>
        <w:pStyle w:val="BodyText"/>
        <w:spacing w:line="316" w:lineRule="auto" w:before="2"/>
        <w:ind w:left="394" w:right="1119"/>
        <w:jc w:val="left"/>
      </w:pPr>
      <w:r>
        <w:rPr>
          <w:spacing w:val="-2"/>
        </w:rPr>
        <w:t>决策程序和机制完备，独立董事尽职履责并发挥了应有的作用，股东大会和日常投资者接待为中小股东提供了充分表达意见</w:t>
      </w:r>
      <w:r>
        <w:rPr>
          <w:spacing w:val="-64"/>
        </w:rPr>
        <w:t> </w:t>
      </w:r>
      <w:r>
        <w:rPr>
          <w:spacing w:val="-64"/>
        </w:rPr>
      </w:r>
      <w:r>
        <w:rPr/>
        <w:t>和诉求的机会，中小股东的合法权益得到充分维护。</w:t>
      </w:r>
    </w:p>
    <w:tbl>
      <w:tblPr>
        <w:tblW w:w="0" w:type="auto"/>
        <w:jc w:val="left"/>
        <w:tblInd w:w="400" w:type="dxa"/>
        <w:tblLayout w:type="fixed"/>
        <w:tblCellMar>
          <w:top w:w="0" w:type="dxa"/>
          <w:left w:w="0" w:type="dxa"/>
          <w:bottom w:w="0" w:type="dxa"/>
          <w:right w:w="0" w:type="dxa"/>
        </w:tblCellMar>
        <w:tblLook w:val="01E0"/>
      </w:tblPr>
      <w:tblGrid>
        <w:gridCol w:w="6356"/>
        <w:gridCol w:w="3200"/>
      </w:tblGrid>
      <w:tr>
        <w:trPr>
          <w:trHeight w:val="402"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6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3200" w:type="dxa"/>
            <w:tcBorders>
              <w:top w:val="single" w:sz="4" w:space="0" w:color="000000"/>
              <w:left w:val="single" w:sz="10"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3200" w:type="dxa"/>
            <w:tcBorders>
              <w:top w:val="single" w:sz="4" w:space="0" w:color="000000"/>
              <w:left w:val="single" w:sz="10"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3200" w:type="dxa"/>
            <w:tcBorders>
              <w:top w:val="single" w:sz="4" w:space="0" w:color="000000"/>
              <w:left w:val="single" w:sz="10"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3200" w:type="dxa"/>
            <w:tcBorders>
              <w:top w:val="single" w:sz="4" w:space="0" w:color="000000"/>
              <w:left w:val="single" w:sz="10"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3200" w:type="dxa"/>
            <w:tcBorders>
              <w:top w:val="single" w:sz="4" w:space="0" w:color="000000"/>
              <w:left w:val="single" w:sz="10"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3200" w:type="dxa"/>
            <w:tcBorders>
              <w:top w:val="single" w:sz="4" w:space="0" w:color="000000"/>
              <w:left w:val="single" w:sz="10"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9"/>
        <w:ind w:left="394" w:right="1119"/>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300" w:lineRule="auto" w:before="102"/>
        <w:ind w:left="394" w:right="1129" w:firstLine="360"/>
        <w:jc w:val="both"/>
      </w:pPr>
      <w:r>
        <w:rPr>
          <w:rFonts w:ascii="Times New Roman" w:hAnsi="Times New Roman" w:cs="Times New Roman" w:eastAsia="Times New Roman" w:hint="default"/>
          <w:spacing w:val="-6"/>
        </w:rPr>
        <w:t>2016</w:t>
      </w:r>
      <w:r>
        <w:rPr>
          <w:spacing w:val="-6"/>
        </w:rPr>
        <w:t>年，根据公司实际经营情况及《公司章程》的规定，</w:t>
      </w:r>
      <w:r>
        <w:rPr>
          <w:rFonts w:ascii="Times New Roman" w:hAnsi="Times New Roman" w:cs="Times New Roman" w:eastAsia="Times New Roman" w:hint="default"/>
          <w:spacing w:val="-6"/>
        </w:rPr>
        <w:t>2016</w:t>
      </w:r>
      <w:r>
        <w:rPr>
          <w:spacing w:val="-6"/>
        </w:rPr>
        <w:t>年度利润分配预案为：以</w:t>
      </w:r>
      <w:r>
        <w:rPr>
          <w:rFonts w:ascii="Times New Roman" w:hAnsi="Times New Roman" w:cs="Times New Roman" w:eastAsia="Times New Roman" w:hint="default"/>
          <w:spacing w:val="-6"/>
        </w:rPr>
        <w:t>2016</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31</w:t>
      </w:r>
      <w:r>
        <w:rPr>
          <w:spacing w:val="-6"/>
        </w:rPr>
        <w:t>日总股本</w:t>
      </w:r>
      <w:r>
        <w:rPr>
          <w:rFonts w:ascii="Times New Roman" w:hAnsi="Times New Roman" w:cs="Times New Roman" w:eastAsia="Times New Roman" w:hint="default"/>
          <w:spacing w:val="-6"/>
        </w:rPr>
        <w:t>1,017,698,410</w:t>
      </w:r>
      <w:r>
        <w:rPr>
          <w:rFonts w:ascii="Times New Roman" w:hAnsi="Times New Roman" w:cs="Times New Roman" w:eastAsia="Times New Roman" w:hint="default"/>
        </w:rPr>
        <w:t> </w:t>
      </w:r>
      <w:r>
        <w:rPr>
          <w:spacing w:val="-1"/>
        </w:rPr>
        <w:t>股为基数，每</w:t>
      </w:r>
      <w:r>
        <w:rPr>
          <w:rFonts w:ascii="Times New Roman" w:hAnsi="Times New Roman" w:cs="Times New Roman" w:eastAsia="Times New Roman" w:hint="default"/>
          <w:spacing w:val="-1"/>
        </w:rPr>
        <w:t>10</w:t>
      </w:r>
      <w:r>
        <w:rPr>
          <w:spacing w:val="-1"/>
        </w:rPr>
        <w:t>股派发现金红利</w:t>
      </w:r>
      <w:r>
        <w:rPr>
          <w:rFonts w:ascii="Times New Roman" w:hAnsi="Times New Roman" w:cs="Times New Roman" w:eastAsia="Times New Roman" w:hint="default"/>
          <w:spacing w:val="-1"/>
        </w:rPr>
        <w:t>0.22</w:t>
      </w:r>
      <w:r>
        <w:rPr>
          <w:rFonts w:ascii="Times New Roman" w:hAnsi="Times New Roman" w:cs="Times New Roman" w:eastAsia="Times New Roman" w:hint="default"/>
        </w:rPr>
        <w:t> </w:t>
      </w:r>
      <w:r>
        <w:rPr>
          <w:spacing w:val="-2"/>
        </w:rPr>
        <w:t>元（含税），不送红股，不以公积金转增股本，总计派发现金红利</w:t>
      </w:r>
      <w:r>
        <w:rPr>
          <w:rFonts w:ascii="Times New Roman" w:hAnsi="Times New Roman" w:cs="Times New Roman" w:eastAsia="Times New Roman" w:hint="default"/>
          <w:spacing w:val="-2"/>
        </w:rPr>
        <w:t>22,389,365.02</w:t>
      </w:r>
      <w:r>
        <w:rPr>
          <w:spacing w:val="-2"/>
        </w:rPr>
        <w:t>元（含</w:t>
      </w:r>
      <w:r>
        <w:rPr>
          <w:spacing w:val="-71"/>
        </w:rPr>
        <w:t> </w:t>
      </w:r>
      <w:r>
        <w:rPr>
          <w:spacing w:val="-71"/>
        </w:rPr>
      </w:r>
      <w:r>
        <w:rPr/>
        <w:t>税），占归属于上市公司股东净利润的</w:t>
      </w:r>
      <w:r>
        <w:rPr>
          <w:rFonts w:ascii="Times New Roman" w:hAnsi="Times New Roman" w:cs="Times New Roman" w:eastAsia="Times New Roman" w:hint="default"/>
        </w:rPr>
        <w:t>9.95%</w:t>
      </w:r>
      <w:r>
        <w:rPr/>
        <w:t>，剩余未分配利润结转以后年度分配。</w:t>
      </w:r>
    </w:p>
    <w:p>
      <w:pPr>
        <w:pStyle w:val="BodyText"/>
        <w:spacing w:line="300" w:lineRule="auto" w:before="13"/>
        <w:ind w:left="394" w:right="1129" w:firstLine="360"/>
        <w:jc w:val="both"/>
      </w:pPr>
      <w:r>
        <w:rPr>
          <w:rFonts w:ascii="Times New Roman" w:hAnsi="Times New Roman" w:cs="Times New Roman" w:eastAsia="Times New Roman" w:hint="default"/>
          <w:spacing w:val="-6"/>
        </w:rPr>
        <w:t>2017</w:t>
      </w:r>
      <w:r>
        <w:rPr>
          <w:spacing w:val="-6"/>
        </w:rPr>
        <w:t>年，根据公司实际经营情况及《公司章程》的规定，</w:t>
      </w:r>
      <w:r>
        <w:rPr>
          <w:rFonts w:ascii="Times New Roman" w:hAnsi="Times New Roman" w:cs="Times New Roman" w:eastAsia="Times New Roman" w:hint="default"/>
          <w:spacing w:val="-6"/>
        </w:rPr>
        <w:t>2017</w:t>
      </w:r>
      <w:r>
        <w:rPr>
          <w:spacing w:val="-6"/>
        </w:rPr>
        <w:t>年度利润分配预案为：以</w:t>
      </w:r>
      <w:r>
        <w:rPr>
          <w:rFonts w:ascii="Times New Roman" w:hAnsi="Times New Roman" w:cs="Times New Roman" w:eastAsia="Times New Roman" w:hint="default"/>
          <w:spacing w:val="-6"/>
        </w:rPr>
        <w:t>2017</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31</w:t>
      </w:r>
      <w:r>
        <w:rPr>
          <w:spacing w:val="-6"/>
        </w:rPr>
        <w:t>日总股本</w:t>
      </w:r>
      <w:r>
        <w:rPr>
          <w:rFonts w:ascii="Times New Roman" w:hAnsi="Times New Roman" w:cs="Times New Roman" w:eastAsia="Times New Roman" w:hint="default"/>
          <w:spacing w:val="-6"/>
        </w:rPr>
        <w:t>1,017,698,410</w:t>
      </w:r>
      <w:r>
        <w:rPr>
          <w:rFonts w:ascii="Times New Roman" w:hAnsi="Times New Roman" w:cs="Times New Roman" w:eastAsia="Times New Roman" w:hint="default"/>
        </w:rPr>
        <w:t> </w:t>
      </w:r>
      <w:r>
        <w:rPr/>
        <w:t>股为基数，每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0.15</w:t>
      </w:r>
      <w:r>
        <w:rPr/>
        <w:t>元（含税），不送红股，不以公积金转增股本，总计派发现金红利</w:t>
      </w:r>
      <w:r>
        <w:rPr>
          <w:rFonts w:ascii="Times New Roman" w:hAnsi="Times New Roman" w:cs="Times New Roman" w:eastAsia="Times New Roman" w:hint="default"/>
        </w:rPr>
        <w:t>15,265,476.15</w:t>
      </w:r>
      <w:r>
        <w:rPr/>
        <w:t>元（含 税），占归属于上市公司股东净利润的</w:t>
      </w:r>
      <w:r>
        <w:rPr>
          <w:rFonts w:ascii="Times New Roman" w:hAnsi="Times New Roman" w:cs="Times New Roman" w:eastAsia="Times New Roman" w:hint="default"/>
        </w:rPr>
        <w:t>10.40%</w:t>
      </w:r>
      <w:r>
        <w:rPr/>
        <w:t>，剩余未分配利润结转以后年度分配。</w:t>
      </w:r>
    </w:p>
    <w:p>
      <w:pPr>
        <w:pStyle w:val="BodyText"/>
        <w:spacing w:line="300" w:lineRule="auto" w:before="13"/>
        <w:ind w:left="394" w:right="1129" w:firstLine="360"/>
        <w:jc w:val="both"/>
      </w:pPr>
      <w:r>
        <w:rPr>
          <w:rFonts w:ascii="Times New Roman" w:hAnsi="Times New Roman" w:cs="Times New Roman" w:eastAsia="Times New Roman" w:hint="default"/>
          <w:spacing w:val="-6"/>
        </w:rPr>
        <w:t>2018</w:t>
      </w:r>
      <w:r>
        <w:rPr>
          <w:spacing w:val="-6"/>
        </w:rPr>
        <w:t>年，根据公司实际经营情况及《公司章程》的规定，</w:t>
      </w:r>
      <w:r>
        <w:rPr>
          <w:rFonts w:ascii="Times New Roman" w:hAnsi="Times New Roman" w:cs="Times New Roman" w:eastAsia="Times New Roman" w:hint="default"/>
          <w:spacing w:val="-6"/>
        </w:rPr>
        <w:t>2018</w:t>
      </w:r>
      <w:r>
        <w:rPr>
          <w:spacing w:val="-6"/>
        </w:rPr>
        <w:t>年度利润分配预案为：以</w:t>
      </w: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31</w:t>
      </w:r>
      <w:r>
        <w:rPr>
          <w:spacing w:val="-6"/>
        </w:rPr>
        <w:t>日总股本</w:t>
      </w:r>
      <w:r>
        <w:rPr>
          <w:rFonts w:ascii="Times New Roman" w:hAnsi="Times New Roman" w:cs="Times New Roman" w:eastAsia="Times New Roman" w:hint="default"/>
          <w:spacing w:val="-6"/>
        </w:rPr>
        <w:t>1,017,698,410</w:t>
      </w:r>
      <w:r>
        <w:rPr>
          <w:rFonts w:ascii="Times New Roman" w:hAnsi="Times New Roman" w:cs="Times New Roman" w:eastAsia="Times New Roman" w:hint="default"/>
        </w:rPr>
        <w:t> </w:t>
      </w:r>
      <w:r>
        <w:rPr/>
        <w:t>股为基数，每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0.11</w:t>
      </w:r>
      <w:r>
        <w:rPr/>
        <w:t>元（含税），不送红股，不以公积金转增股本，总计派发现金红利</w:t>
      </w:r>
      <w:r>
        <w:rPr>
          <w:rFonts w:ascii="Times New Roman" w:hAnsi="Times New Roman" w:cs="Times New Roman" w:eastAsia="Times New Roman" w:hint="default"/>
        </w:rPr>
        <w:t>11,194,682.51</w:t>
      </w:r>
      <w:r>
        <w:rPr/>
        <w:t>元（含 税），占归属于上市公司股东净利润的</w:t>
      </w:r>
      <w:r>
        <w:rPr>
          <w:rFonts w:ascii="Times New Roman" w:hAnsi="Times New Roman" w:cs="Times New Roman" w:eastAsia="Times New Roman" w:hint="default"/>
        </w:rPr>
        <w:t>10.64%</w:t>
      </w:r>
      <w:r>
        <w:rPr/>
        <w:t>，剩余未分配利润结转以后年度分配。</w:t>
      </w:r>
    </w:p>
    <w:p>
      <w:pPr>
        <w:pStyle w:val="BodyText"/>
        <w:spacing w:line="240" w:lineRule="auto" w:before="53"/>
        <w:ind w:left="394" w:right="1119"/>
        <w:jc w:val="left"/>
      </w:pPr>
      <w:r>
        <w:rPr/>
        <w:t>公司近三年（包括本报告期）普通股现金分红情况表</w:t>
      </w:r>
    </w:p>
    <w:p>
      <w:pPr>
        <w:pStyle w:val="BodyText"/>
        <w:spacing w:line="240" w:lineRule="auto" w:before="117"/>
        <w:ind w:left="0" w:right="1129"/>
        <w:jc w:val="right"/>
      </w:pPr>
      <w:r>
        <w:rPr/>
        <w:t>单位：元</w:t>
      </w:r>
    </w:p>
    <w:p>
      <w:pPr>
        <w:spacing w:line="240" w:lineRule="auto" w:before="13"/>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740"/>
        <w:gridCol w:w="1223"/>
        <w:gridCol w:w="1650"/>
        <w:gridCol w:w="1326"/>
        <w:gridCol w:w="852"/>
        <w:gridCol w:w="1552"/>
        <w:gridCol w:w="1114"/>
        <w:gridCol w:w="1483"/>
      </w:tblGrid>
      <w:tr>
        <w:trPr>
          <w:trHeight w:val="161" w:hRule="exact"/>
        </w:trPr>
        <w:tc>
          <w:tcPr>
            <w:tcW w:w="740" w:type="dxa"/>
            <w:vMerge w:val="restart"/>
            <w:tcBorders>
              <w:top w:val="single" w:sz="4" w:space="0" w:color="000000"/>
              <w:left w:val="single" w:sz="4" w:space="0" w:color="000000"/>
              <w:right w:val="single" w:sz="4" w:space="0" w:color="000000"/>
            </w:tcBorders>
            <w:shd w:val="clear" w:color="auto" w:fill="D3D3D3"/>
          </w:tcPr>
          <w:p>
            <w:pPr/>
          </w:p>
        </w:tc>
        <w:tc>
          <w:tcPr>
            <w:tcW w:w="1223" w:type="dxa"/>
            <w:vMerge w:val="restart"/>
            <w:tcBorders>
              <w:top w:val="single" w:sz="4" w:space="0" w:color="000000"/>
              <w:left w:val="single" w:sz="4" w:space="0" w:color="000000"/>
              <w:right w:val="single" w:sz="4" w:space="0" w:color="000000"/>
            </w:tcBorders>
            <w:shd w:val="clear" w:color="auto" w:fill="D3D3D3"/>
          </w:tcPr>
          <w:p>
            <w:pPr/>
          </w:p>
        </w:tc>
        <w:tc>
          <w:tcPr>
            <w:tcW w:w="1650" w:type="dxa"/>
            <w:tcBorders>
              <w:top w:val="single" w:sz="4" w:space="0" w:color="000000"/>
              <w:left w:val="single" w:sz="4" w:space="0" w:color="000000"/>
              <w:bottom w:val="nil" w:sz="6" w:space="0" w:color="auto"/>
              <w:right w:val="single" w:sz="4" w:space="0" w:color="000000"/>
            </w:tcBorders>
            <w:shd w:val="clear" w:color="auto" w:fill="D3D3D3"/>
          </w:tcPr>
          <w:p>
            <w:pPr/>
          </w:p>
        </w:tc>
        <w:tc>
          <w:tcPr>
            <w:tcW w:w="132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10"/>
              <w:ind w:left="28" w:right="26"/>
              <w:jc w:val="center"/>
              <w:rPr>
                <w:rFonts w:ascii="宋体" w:hAnsi="宋体" w:cs="宋体" w:eastAsia="宋体" w:hint="default"/>
                <w:sz w:val="18"/>
                <w:szCs w:val="18"/>
              </w:rPr>
            </w:pPr>
            <w:r>
              <w:rPr>
                <w:rFonts w:ascii="宋体" w:hAnsi="宋体" w:cs="宋体" w:eastAsia="宋体" w:hint="default"/>
                <w:sz w:val="18"/>
                <w:szCs w:val="18"/>
              </w:rPr>
              <w:t>现金分红金额占 合并报表中归属 于上市公司普通 股股东的净利润 的比率</w:t>
            </w:r>
          </w:p>
        </w:tc>
        <w:tc>
          <w:tcPr>
            <w:tcW w:w="85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10"/>
              <w:ind w:left="60" w:right="59"/>
              <w:jc w:val="both"/>
              <w:rPr>
                <w:rFonts w:ascii="宋体" w:hAnsi="宋体" w:cs="宋体" w:eastAsia="宋体" w:hint="default"/>
                <w:sz w:val="18"/>
                <w:szCs w:val="18"/>
              </w:rPr>
            </w:pPr>
            <w:r>
              <w:rPr>
                <w:rFonts w:ascii="宋体" w:hAnsi="宋体" w:cs="宋体" w:eastAsia="宋体" w:hint="default"/>
                <w:sz w:val="18"/>
                <w:szCs w:val="18"/>
              </w:rPr>
              <w:t>以其他方 式（如回 购股份） 现金分红 的金额</w:t>
            </w:r>
          </w:p>
        </w:tc>
        <w:tc>
          <w:tcPr>
            <w:tcW w:w="155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10"/>
              <w:ind w:left="57" w:right="44"/>
              <w:jc w:val="center"/>
              <w:rPr>
                <w:rFonts w:ascii="宋体" w:hAnsi="宋体" w:cs="宋体" w:eastAsia="宋体" w:hint="default"/>
                <w:sz w:val="18"/>
                <w:szCs w:val="18"/>
              </w:rPr>
            </w:pPr>
            <w:r>
              <w:rPr>
                <w:rFonts w:ascii="宋体" w:hAnsi="宋体" w:cs="宋体" w:eastAsia="宋体" w:hint="default"/>
                <w:sz w:val="18"/>
                <w:szCs w:val="18"/>
              </w:rPr>
              <w:t>以其他方式现金分 红金额占合并报表 中归属于上市公司 普通股股东的净利 润的比例</w:t>
            </w:r>
          </w:p>
        </w:tc>
        <w:tc>
          <w:tcPr>
            <w:tcW w:w="1114" w:type="dxa"/>
            <w:vMerge w:val="restart"/>
            <w:tcBorders>
              <w:top w:val="single" w:sz="4" w:space="0" w:color="000000"/>
              <w:left w:val="single" w:sz="4" w:space="0" w:color="000000"/>
              <w:right w:val="single" w:sz="4" w:space="0" w:color="000000"/>
            </w:tcBorders>
            <w:shd w:val="clear" w:color="auto" w:fill="D3D3D3"/>
          </w:tcPr>
          <w:p>
            <w:pPr/>
          </w:p>
        </w:tc>
        <w:tc>
          <w:tcPr>
            <w:tcW w:w="148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10"/>
              <w:ind w:left="16" w:right="15"/>
              <w:jc w:val="center"/>
              <w:rPr>
                <w:rFonts w:ascii="宋体" w:hAnsi="宋体" w:cs="宋体" w:eastAsia="宋体" w:hint="default"/>
                <w:sz w:val="18"/>
                <w:szCs w:val="18"/>
              </w:rPr>
            </w:pPr>
            <w:r>
              <w:rPr>
                <w:rFonts w:ascii="宋体" w:hAnsi="宋体" w:cs="宋体" w:eastAsia="宋体" w:hint="default"/>
                <w:sz w:val="18"/>
                <w:szCs w:val="18"/>
              </w:rPr>
              <w:t>现金分红总额（含 其他方式）占合并 报表中归属于上市 公司普通股股东的 净利润的比率</w:t>
            </w:r>
          </w:p>
        </w:tc>
      </w:tr>
      <w:tr>
        <w:trPr>
          <w:trHeight w:val="156" w:hRule="exact"/>
        </w:trPr>
        <w:tc>
          <w:tcPr>
            <w:tcW w:w="740" w:type="dxa"/>
            <w:vMerge/>
            <w:tcBorders>
              <w:left w:val="single" w:sz="4" w:space="0" w:color="000000"/>
              <w:right w:val="single" w:sz="4" w:space="0" w:color="000000"/>
            </w:tcBorders>
            <w:shd w:val="clear" w:color="auto" w:fill="D3D3D3"/>
          </w:tcPr>
          <w:p>
            <w:pPr/>
          </w:p>
        </w:tc>
        <w:tc>
          <w:tcPr>
            <w:tcW w:w="1223" w:type="dxa"/>
            <w:vMerge/>
            <w:tcBorders>
              <w:left w:val="single" w:sz="4" w:space="0" w:color="000000"/>
              <w:right w:val="single" w:sz="4" w:space="0" w:color="000000"/>
            </w:tcBorders>
            <w:shd w:val="clear" w:color="auto" w:fill="D3D3D3"/>
          </w:tcPr>
          <w:p>
            <w:pPr/>
          </w:p>
        </w:tc>
        <w:tc>
          <w:tcPr>
            <w:tcW w:w="1650"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10"/>
              <w:ind w:left="94" w:right="104"/>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326" w:type="dxa"/>
            <w:vMerge/>
            <w:tcBorders>
              <w:left w:val="single" w:sz="4" w:space="0" w:color="000000"/>
              <w:right w:val="single" w:sz="4" w:space="0" w:color="000000"/>
            </w:tcBorders>
            <w:shd w:val="clear" w:color="auto" w:fill="D3D3D3"/>
          </w:tcPr>
          <w:p>
            <w:pPr/>
          </w:p>
        </w:tc>
        <w:tc>
          <w:tcPr>
            <w:tcW w:w="852"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shd w:val="clear" w:color="auto" w:fill="D3D3D3"/>
          </w:tcPr>
          <w:p>
            <w:pPr/>
          </w:p>
        </w:tc>
        <w:tc>
          <w:tcPr>
            <w:tcW w:w="1114" w:type="dxa"/>
            <w:vMerge/>
            <w:tcBorders>
              <w:left w:val="single" w:sz="4" w:space="0" w:color="000000"/>
              <w:bottom w:val="nil" w:sz="6" w:space="0" w:color="auto"/>
              <w:right w:val="single" w:sz="4" w:space="0" w:color="000000"/>
            </w:tcBorders>
            <w:shd w:val="clear" w:color="auto" w:fill="D3D3D3"/>
          </w:tcPr>
          <w:p>
            <w:pPr/>
          </w:p>
        </w:tc>
        <w:tc>
          <w:tcPr>
            <w:tcW w:w="1483" w:type="dxa"/>
            <w:vMerge/>
            <w:tcBorders>
              <w:left w:val="single" w:sz="4" w:space="0" w:color="000000"/>
              <w:right w:val="single" w:sz="4" w:space="0" w:color="000000"/>
            </w:tcBorders>
            <w:shd w:val="clear" w:color="auto" w:fill="D3D3D3"/>
          </w:tcPr>
          <w:p>
            <w:pPr/>
          </w:p>
        </w:tc>
      </w:tr>
      <w:tr>
        <w:trPr>
          <w:trHeight w:val="156" w:hRule="exact"/>
        </w:trPr>
        <w:tc>
          <w:tcPr>
            <w:tcW w:w="740" w:type="dxa"/>
            <w:vMerge/>
            <w:tcBorders>
              <w:left w:val="single" w:sz="4" w:space="0" w:color="000000"/>
              <w:bottom w:val="nil" w:sz="6" w:space="0" w:color="auto"/>
              <w:right w:val="single" w:sz="4" w:space="0" w:color="000000"/>
            </w:tcBorders>
            <w:shd w:val="clear" w:color="auto" w:fill="D3D3D3"/>
          </w:tcPr>
          <w:p>
            <w:pPr/>
          </w:p>
        </w:tc>
        <w:tc>
          <w:tcPr>
            <w:tcW w:w="1223" w:type="dxa"/>
            <w:vMerge/>
            <w:tcBorders>
              <w:left w:val="single" w:sz="4" w:space="0" w:color="000000"/>
              <w:bottom w:val="nil" w:sz="6" w:space="0" w:color="auto"/>
              <w:right w:val="single" w:sz="4" w:space="0" w:color="000000"/>
            </w:tcBorders>
            <w:shd w:val="clear" w:color="auto" w:fill="D3D3D3"/>
          </w:tcPr>
          <w:p>
            <w:pPr/>
          </w:p>
        </w:tc>
        <w:tc>
          <w:tcPr>
            <w:tcW w:w="1650" w:type="dxa"/>
            <w:vMerge/>
            <w:tcBorders>
              <w:left w:val="single" w:sz="4" w:space="0" w:color="000000"/>
              <w:right w:val="single" w:sz="4" w:space="0" w:color="000000"/>
            </w:tcBorders>
            <w:shd w:val="clear" w:color="auto" w:fill="D3D3D3"/>
          </w:tcPr>
          <w:p>
            <w:pPr/>
          </w:p>
        </w:tc>
        <w:tc>
          <w:tcPr>
            <w:tcW w:w="1326" w:type="dxa"/>
            <w:vMerge/>
            <w:tcBorders>
              <w:left w:val="single" w:sz="4" w:space="0" w:color="000000"/>
              <w:right w:val="single" w:sz="4" w:space="0" w:color="000000"/>
            </w:tcBorders>
            <w:shd w:val="clear" w:color="auto" w:fill="D3D3D3"/>
          </w:tcPr>
          <w:p>
            <w:pPr/>
          </w:p>
        </w:tc>
        <w:tc>
          <w:tcPr>
            <w:tcW w:w="852"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shd w:val="clear" w:color="auto" w:fill="D3D3D3"/>
          </w:tcPr>
          <w:p>
            <w:pPr/>
          </w:p>
        </w:tc>
        <w:tc>
          <w:tcPr>
            <w:tcW w:w="111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10"/>
              <w:ind w:left="34" w:right="32" w:hanging="2"/>
              <w:jc w:val="center"/>
              <w:rPr>
                <w:rFonts w:ascii="宋体" w:hAnsi="宋体" w:cs="宋体" w:eastAsia="宋体" w:hint="default"/>
                <w:sz w:val="18"/>
                <w:szCs w:val="18"/>
              </w:rPr>
            </w:pPr>
            <w:r>
              <w:rPr>
                <w:rFonts w:ascii="宋体" w:hAnsi="宋体" w:cs="宋体" w:eastAsia="宋体" w:hint="default"/>
                <w:sz w:val="18"/>
                <w:szCs w:val="18"/>
              </w:rPr>
              <w:t>现金分红总 </w:t>
            </w:r>
            <w:r>
              <w:rPr>
                <w:rFonts w:ascii="宋体" w:hAnsi="宋体" w:cs="宋体" w:eastAsia="宋体" w:hint="default"/>
                <w:spacing w:val="-8"/>
                <w:sz w:val="18"/>
                <w:szCs w:val="18"/>
              </w:rPr>
              <w:t>额（含其他方</w:t>
            </w:r>
            <w:r>
              <w:rPr>
                <w:rFonts w:ascii="宋体" w:hAnsi="宋体" w:cs="宋体" w:eastAsia="宋体" w:hint="default"/>
                <w:sz w:val="18"/>
                <w:szCs w:val="18"/>
              </w:rPr>
              <w:t> 式）</w:t>
            </w:r>
          </w:p>
        </w:tc>
        <w:tc>
          <w:tcPr>
            <w:tcW w:w="1483" w:type="dxa"/>
            <w:vMerge/>
            <w:tcBorders>
              <w:left w:val="single" w:sz="4" w:space="0" w:color="000000"/>
              <w:right w:val="single" w:sz="4" w:space="0" w:color="000000"/>
            </w:tcBorders>
            <w:shd w:val="clear" w:color="auto" w:fill="D3D3D3"/>
          </w:tcPr>
          <w:p>
            <w:pPr/>
          </w:p>
        </w:tc>
      </w:tr>
      <w:tr>
        <w:trPr>
          <w:trHeight w:val="624" w:hRule="exact"/>
        </w:trPr>
        <w:tc>
          <w:tcPr>
            <w:tcW w:w="7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280" w:right="87" w:hanging="180"/>
              <w:jc w:val="left"/>
              <w:rPr>
                <w:rFonts w:ascii="宋体" w:hAnsi="宋体" w:cs="宋体" w:eastAsia="宋体" w:hint="default"/>
                <w:sz w:val="18"/>
                <w:szCs w:val="18"/>
              </w:rPr>
            </w:pPr>
            <w:r>
              <w:rPr>
                <w:rFonts w:ascii="宋体" w:hAnsi="宋体" w:cs="宋体" w:eastAsia="宋体" w:hint="default"/>
                <w:sz w:val="18"/>
                <w:szCs w:val="18"/>
              </w:rPr>
              <w:t>分红年 度</w:t>
            </w:r>
          </w:p>
        </w:tc>
        <w:tc>
          <w:tcPr>
            <w:tcW w:w="122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650" w:type="dxa"/>
            <w:vMerge/>
            <w:tcBorders>
              <w:left w:val="single" w:sz="4" w:space="0" w:color="000000"/>
              <w:right w:val="single" w:sz="4" w:space="0" w:color="000000"/>
            </w:tcBorders>
            <w:shd w:val="clear" w:color="auto" w:fill="D3D3D3"/>
          </w:tcPr>
          <w:p>
            <w:pPr/>
          </w:p>
        </w:tc>
        <w:tc>
          <w:tcPr>
            <w:tcW w:w="1326" w:type="dxa"/>
            <w:vMerge/>
            <w:tcBorders>
              <w:left w:val="single" w:sz="4" w:space="0" w:color="000000"/>
              <w:right w:val="single" w:sz="4" w:space="0" w:color="000000"/>
            </w:tcBorders>
            <w:shd w:val="clear" w:color="auto" w:fill="D3D3D3"/>
          </w:tcPr>
          <w:p>
            <w:pPr/>
          </w:p>
        </w:tc>
        <w:tc>
          <w:tcPr>
            <w:tcW w:w="852"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shd w:val="clear" w:color="auto" w:fill="D3D3D3"/>
          </w:tcPr>
          <w:p>
            <w:pPr/>
          </w:p>
        </w:tc>
        <w:tc>
          <w:tcPr>
            <w:tcW w:w="1114" w:type="dxa"/>
            <w:vMerge/>
            <w:tcBorders>
              <w:left w:val="single" w:sz="4" w:space="0" w:color="000000"/>
              <w:right w:val="single" w:sz="4" w:space="0" w:color="000000"/>
            </w:tcBorders>
            <w:shd w:val="clear" w:color="auto" w:fill="D3D3D3"/>
          </w:tcPr>
          <w:p>
            <w:pPr/>
          </w:p>
        </w:tc>
        <w:tc>
          <w:tcPr>
            <w:tcW w:w="1483" w:type="dxa"/>
            <w:vMerge/>
            <w:tcBorders>
              <w:left w:val="single" w:sz="4" w:space="0" w:color="000000"/>
              <w:right w:val="single" w:sz="4" w:space="0" w:color="000000"/>
            </w:tcBorders>
            <w:shd w:val="clear" w:color="auto" w:fill="D3D3D3"/>
          </w:tcPr>
          <w:p>
            <w:pPr/>
          </w:p>
        </w:tc>
      </w:tr>
      <w:tr>
        <w:trPr>
          <w:trHeight w:val="156" w:hRule="exact"/>
        </w:trPr>
        <w:tc>
          <w:tcPr>
            <w:tcW w:w="740" w:type="dxa"/>
            <w:vMerge w:val="restart"/>
            <w:tcBorders>
              <w:top w:val="nil" w:sz="6" w:space="0" w:color="auto"/>
              <w:left w:val="single" w:sz="4" w:space="0" w:color="000000"/>
              <w:right w:val="single" w:sz="4" w:space="0" w:color="000000"/>
            </w:tcBorders>
            <w:shd w:val="clear" w:color="auto" w:fill="D3D3D3"/>
          </w:tcPr>
          <w:p>
            <w:pPr/>
          </w:p>
        </w:tc>
        <w:tc>
          <w:tcPr>
            <w:tcW w:w="1223" w:type="dxa"/>
            <w:vMerge w:val="restart"/>
            <w:tcBorders>
              <w:top w:val="nil" w:sz="6" w:space="0" w:color="auto"/>
              <w:left w:val="single" w:sz="4" w:space="0" w:color="000000"/>
              <w:right w:val="single" w:sz="4" w:space="0" w:color="000000"/>
            </w:tcBorders>
            <w:shd w:val="clear" w:color="auto" w:fill="D3D3D3"/>
          </w:tcPr>
          <w:p>
            <w:pPr/>
          </w:p>
        </w:tc>
        <w:tc>
          <w:tcPr>
            <w:tcW w:w="1650" w:type="dxa"/>
            <w:vMerge/>
            <w:tcBorders>
              <w:left w:val="single" w:sz="4" w:space="0" w:color="000000"/>
              <w:right w:val="single" w:sz="4" w:space="0" w:color="000000"/>
            </w:tcBorders>
            <w:shd w:val="clear" w:color="auto" w:fill="D3D3D3"/>
          </w:tcPr>
          <w:p>
            <w:pPr/>
          </w:p>
        </w:tc>
        <w:tc>
          <w:tcPr>
            <w:tcW w:w="1326" w:type="dxa"/>
            <w:vMerge/>
            <w:tcBorders>
              <w:left w:val="single" w:sz="4" w:space="0" w:color="000000"/>
              <w:right w:val="single" w:sz="4" w:space="0" w:color="000000"/>
            </w:tcBorders>
            <w:shd w:val="clear" w:color="auto" w:fill="D3D3D3"/>
          </w:tcPr>
          <w:p>
            <w:pPr/>
          </w:p>
        </w:tc>
        <w:tc>
          <w:tcPr>
            <w:tcW w:w="852"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shd w:val="clear" w:color="auto" w:fill="D3D3D3"/>
          </w:tcPr>
          <w:p>
            <w:pPr/>
          </w:p>
        </w:tc>
        <w:tc>
          <w:tcPr>
            <w:tcW w:w="1114" w:type="dxa"/>
            <w:vMerge/>
            <w:tcBorders>
              <w:left w:val="single" w:sz="4" w:space="0" w:color="000000"/>
              <w:bottom w:val="nil" w:sz="6" w:space="0" w:color="auto"/>
              <w:right w:val="single" w:sz="4" w:space="0" w:color="000000"/>
            </w:tcBorders>
            <w:shd w:val="clear" w:color="auto" w:fill="D3D3D3"/>
          </w:tcPr>
          <w:p>
            <w:pPr/>
          </w:p>
        </w:tc>
        <w:tc>
          <w:tcPr>
            <w:tcW w:w="1483" w:type="dxa"/>
            <w:vMerge/>
            <w:tcBorders>
              <w:left w:val="single" w:sz="4" w:space="0" w:color="000000"/>
              <w:right w:val="single" w:sz="4" w:space="0" w:color="000000"/>
            </w:tcBorders>
            <w:shd w:val="clear" w:color="auto" w:fill="D3D3D3"/>
          </w:tcPr>
          <w:p>
            <w:pPr/>
          </w:p>
        </w:tc>
      </w:tr>
      <w:tr>
        <w:trPr>
          <w:trHeight w:val="156" w:hRule="exact"/>
        </w:trPr>
        <w:tc>
          <w:tcPr>
            <w:tcW w:w="740" w:type="dxa"/>
            <w:vMerge/>
            <w:tcBorders>
              <w:left w:val="single" w:sz="4" w:space="0" w:color="000000"/>
              <w:right w:val="single" w:sz="4" w:space="0" w:color="000000"/>
            </w:tcBorders>
            <w:shd w:val="clear" w:color="auto" w:fill="D3D3D3"/>
          </w:tcPr>
          <w:p>
            <w:pPr/>
          </w:p>
        </w:tc>
        <w:tc>
          <w:tcPr>
            <w:tcW w:w="1223" w:type="dxa"/>
            <w:vMerge/>
            <w:tcBorders>
              <w:left w:val="single" w:sz="4" w:space="0" w:color="000000"/>
              <w:right w:val="single" w:sz="4" w:space="0" w:color="000000"/>
            </w:tcBorders>
            <w:shd w:val="clear" w:color="auto" w:fill="D3D3D3"/>
          </w:tcPr>
          <w:p>
            <w:pPr/>
          </w:p>
        </w:tc>
        <w:tc>
          <w:tcPr>
            <w:tcW w:w="1650" w:type="dxa"/>
            <w:vMerge/>
            <w:tcBorders>
              <w:left w:val="single" w:sz="4" w:space="0" w:color="000000"/>
              <w:bottom w:val="nil" w:sz="6" w:space="0" w:color="auto"/>
              <w:right w:val="single" w:sz="4" w:space="0" w:color="000000"/>
            </w:tcBorders>
            <w:shd w:val="clear" w:color="auto" w:fill="D3D3D3"/>
          </w:tcPr>
          <w:p>
            <w:pPr/>
          </w:p>
        </w:tc>
        <w:tc>
          <w:tcPr>
            <w:tcW w:w="1326" w:type="dxa"/>
            <w:vMerge/>
            <w:tcBorders>
              <w:left w:val="single" w:sz="4" w:space="0" w:color="000000"/>
              <w:right w:val="single" w:sz="4" w:space="0" w:color="000000"/>
            </w:tcBorders>
            <w:shd w:val="clear" w:color="auto" w:fill="D3D3D3"/>
          </w:tcPr>
          <w:p>
            <w:pPr/>
          </w:p>
        </w:tc>
        <w:tc>
          <w:tcPr>
            <w:tcW w:w="852"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shd w:val="clear" w:color="auto" w:fill="D3D3D3"/>
          </w:tcPr>
          <w:p>
            <w:pPr/>
          </w:p>
        </w:tc>
        <w:tc>
          <w:tcPr>
            <w:tcW w:w="1114" w:type="dxa"/>
            <w:vMerge w:val="restart"/>
            <w:tcBorders>
              <w:top w:val="nil" w:sz="6" w:space="0" w:color="auto"/>
              <w:left w:val="single" w:sz="4" w:space="0" w:color="000000"/>
              <w:right w:val="single" w:sz="4" w:space="0" w:color="000000"/>
            </w:tcBorders>
            <w:shd w:val="clear" w:color="auto" w:fill="D3D3D3"/>
          </w:tcPr>
          <w:p>
            <w:pPr/>
          </w:p>
        </w:tc>
        <w:tc>
          <w:tcPr>
            <w:tcW w:w="1483" w:type="dxa"/>
            <w:vMerge/>
            <w:tcBorders>
              <w:left w:val="single" w:sz="4" w:space="0" w:color="000000"/>
              <w:right w:val="single" w:sz="4" w:space="0" w:color="000000"/>
            </w:tcBorders>
            <w:shd w:val="clear" w:color="auto" w:fill="D3D3D3"/>
          </w:tcPr>
          <w:p>
            <w:pPr/>
          </w:p>
        </w:tc>
      </w:tr>
      <w:tr>
        <w:trPr>
          <w:trHeight w:val="161" w:hRule="exact"/>
        </w:trPr>
        <w:tc>
          <w:tcPr>
            <w:tcW w:w="740" w:type="dxa"/>
            <w:vMerge/>
            <w:tcBorders>
              <w:left w:val="single" w:sz="4" w:space="0" w:color="000000"/>
              <w:bottom w:val="single" w:sz="4" w:space="0" w:color="000000"/>
              <w:right w:val="single" w:sz="4" w:space="0" w:color="000000"/>
            </w:tcBorders>
            <w:shd w:val="clear" w:color="auto" w:fill="D3D3D3"/>
          </w:tcPr>
          <w:p>
            <w:pPr/>
          </w:p>
        </w:tc>
        <w:tc>
          <w:tcPr>
            <w:tcW w:w="1223" w:type="dxa"/>
            <w:vMerge/>
            <w:tcBorders>
              <w:left w:val="single" w:sz="4" w:space="0" w:color="000000"/>
              <w:bottom w:val="single" w:sz="4" w:space="0" w:color="000000"/>
              <w:right w:val="single" w:sz="4" w:space="0" w:color="000000"/>
            </w:tcBorders>
            <w:shd w:val="clear" w:color="auto" w:fill="D3D3D3"/>
          </w:tcPr>
          <w:p>
            <w:pPr/>
          </w:p>
        </w:tc>
        <w:tc>
          <w:tcPr>
            <w:tcW w:w="1650" w:type="dxa"/>
            <w:tcBorders>
              <w:top w:val="nil" w:sz="6" w:space="0" w:color="auto"/>
              <w:left w:val="single" w:sz="4" w:space="0" w:color="000000"/>
              <w:bottom w:val="single" w:sz="4" w:space="0" w:color="000000"/>
              <w:right w:val="single" w:sz="4" w:space="0" w:color="000000"/>
            </w:tcBorders>
            <w:shd w:val="clear" w:color="auto" w:fill="D3D3D3"/>
          </w:tcPr>
          <w:p>
            <w:pPr/>
          </w:p>
        </w:tc>
        <w:tc>
          <w:tcPr>
            <w:tcW w:w="1326" w:type="dxa"/>
            <w:vMerge/>
            <w:tcBorders>
              <w:left w:val="single" w:sz="4" w:space="0" w:color="000000"/>
              <w:bottom w:val="single" w:sz="4" w:space="0" w:color="000000"/>
              <w:right w:val="single" w:sz="4" w:space="0" w:color="000000"/>
            </w:tcBorders>
            <w:shd w:val="clear" w:color="auto" w:fill="D3D3D3"/>
          </w:tcPr>
          <w:p>
            <w:pPr/>
          </w:p>
        </w:tc>
        <w:tc>
          <w:tcPr>
            <w:tcW w:w="852" w:type="dxa"/>
            <w:vMerge/>
            <w:tcBorders>
              <w:left w:val="single" w:sz="4" w:space="0" w:color="000000"/>
              <w:bottom w:val="single" w:sz="4" w:space="0" w:color="000000"/>
              <w:right w:val="single" w:sz="4" w:space="0" w:color="000000"/>
            </w:tcBorders>
            <w:shd w:val="clear" w:color="auto" w:fill="D3D3D3"/>
          </w:tcPr>
          <w:p>
            <w:pPr/>
          </w:p>
        </w:tc>
        <w:tc>
          <w:tcPr>
            <w:tcW w:w="1552" w:type="dxa"/>
            <w:vMerge/>
            <w:tcBorders>
              <w:left w:val="single" w:sz="4" w:space="0" w:color="000000"/>
              <w:bottom w:val="single" w:sz="4" w:space="0" w:color="000000"/>
              <w:right w:val="single" w:sz="4" w:space="0" w:color="000000"/>
            </w:tcBorders>
            <w:shd w:val="clear" w:color="auto" w:fill="D3D3D3"/>
          </w:tcPr>
          <w:p>
            <w:pPr/>
          </w:p>
        </w:tc>
        <w:tc>
          <w:tcPr>
            <w:tcW w:w="1114" w:type="dxa"/>
            <w:vMerge/>
            <w:tcBorders>
              <w:left w:val="single" w:sz="4" w:space="0" w:color="000000"/>
              <w:bottom w:val="single" w:sz="4" w:space="0" w:color="000000"/>
              <w:right w:val="single" w:sz="4" w:space="0" w:color="000000"/>
            </w:tcBorders>
            <w:shd w:val="clear" w:color="auto" w:fill="D3D3D3"/>
          </w:tcPr>
          <w:p>
            <w:pPr/>
          </w:p>
        </w:tc>
        <w:tc>
          <w:tcPr>
            <w:tcW w:w="1483" w:type="dxa"/>
            <w:vMerge/>
            <w:tcBorders>
              <w:left w:val="single" w:sz="4" w:space="0" w:color="000000"/>
              <w:bottom w:val="single" w:sz="4" w:space="0" w:color="000000"/>
              <w:right w:val="single" w:sz="4" w:space="0" w:color="000000"/>
            </w:tcBorders>
            <w:shd w:val="clear" w:color="auto" w:fill="D3D3D3"/>
          </w:tcPr>
          <w:p>
            <w:pPr/>
          </w:p>
        </w:tc>
      </w:tr>
      <w:tr>
        <w:trPr>
          <w:trHeight w:val="322" w:hRule="exact"/>
        </w:trPr>
        <w:tc>
          <w:tcPr>
            <w:tcW w:w="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right="32"/>
              <w:jc w:val="right"/>
              <w:rPr>
                <w:rFonts w:ascii="Times New Roman" w:hAnsi="Times New Roman" w:cs="Times New Roman" w:eastAsia="Times New Roman" w:hint="default"/>
                <w:sz w:val="18"/>
                <w:szCs w:val="18"/>
              </w:rPr>
            </w:pPr>
            <w:r>
              <w:rPr>
                <w:rFonts w:ascii="Times New Roman"/>
                <w:spacing w:val="-1"/>
                <w:sz w:val="18"/>
              </w:rPr>
              <w:t>11,194,682.51</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105,180,270.19</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10.64%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
              <w:jc w:val="right"/>
              <w:rPr>
                <w:rFonts w:ascii="Times New Roman" w:hAnsi="Times New Roman" w:cs="Times New Roman" w:eastAsia="Times New Roman" w:hint="default"/>
                <w:sz w:val="18"/>
                <w:szCs w:val="18"/>
              </w:rPr>
            </w:pPr>
            <w:r>
              <w:rPr>
                <w:rFonts w:ascii="Times New Roman"/>
                <w:sz w:val="18"/>
              </w:rPr>
              <w:t>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1"/>
              <w:jc w:val="right"/>
              <w:rPr>
                <w:rFonts w:ascii="Times New Roman" w:hAnsi="Times New Roman" w:cs="Times New Roman" w:eastAsia="Times New Roman" w:hint="default"/>
                <w:sz w:val="18"/>
                <w:szCs w:val="18"/>
              </w:rPr>
            </w:pPr>
            <w:r>
              <w:rPr>
                <w:rFonts w:ascii="Times New Roman"/>
                <w:spacing w:val="-1"/>
                <w:sz w:val="18"/>
              </w:rPr>
              <w:t>11,194,682.51</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
              <w:jc w:val="right"/>
              <w:rPr>
                <w:rFonts w:ascii="Times New Roman" w:hAnsi="Times New Roman" w:cs="Times New Roman" w:eastAsia="Times New Roman" w:hint="default"/>
                <w:sz w:val="18"/>
                <w:szCs w:val="18"/>
              </w:rPr>
            </w:pPr>
            <w:r>
              <w:rPr>
                <w:rFonts w:ascii="Times New Roman"/>
                <w:sz w:val="18"/>
              </w:rPr>
              <w:t>10.64%</w:t>
            </w:r>
          </w:p>
        </w:tc>
      </w:tr>
      <w:tr>
        <w:trPr>
          <w:trHeight w:val="323" w:hRule="exact"/>
        </w:trPr>
        <w:tc>
          <w:tcPr>
            <w:tcW w:w="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right="32"/>
              <w:jc w:val="right"/>
              <w:rPr>
                <w:rFonts w:ascii="Times New Roman" w:hAnsi="Times New Roman" w:cs="Times New Roman" w:eastAsia="Times New Roman" w:hint="default"/>
                <w:sz w:val="18"/>
                <w:szCs w:val="18"/>
              </w:rPr>
            </w:pPr>
            <w:r>
              <w:rPr>
                <w:rFonts w:ascii="Times New Roman"/>
                <w:spacing w:val="-1"/>
                <w:sz w:val="18"/>
              </w:rPr>
              <w:t>15,265,476.15</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146,809,823.33</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10.40%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
              <w:jc w:val="right"/>
              <w:rPr>
                <w:rFonts w:ascii="Times New Roman" w:hAnsi="Times New Roman" w:cs="Times New Roman" w:eastAsia="Times New Roman" w:hint="default"/>
                <w:sz w:val="18"/>
                <w:szCs w:val="18"/>
              </w:rPr>
            </w:pPr>
            <w:r>
              <w:rPr>
                <w:rFonts w:ascii="Times New Roman"/>
                <w:sz w:val="18"/>
              </w:rPr>
              <w:t>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1"/>
              <w:jc w:val="right"/>
              <w:rPr>
                <w:rFonts w:ascii="Times New Roman" w:hAnsi="Times New Roman" w:cs="Times New Roman" w:eastAsia="Times New Roman" w:hint="default"/>
                <w:sz w:val="18"/>
                <w:szCs w:val="18"/>
              </w:rPr>
            </w:pPr>
            <w:r>
              <w:rPr>
                <w:rFonts w:ascii="Times New Roman"/>
                <w:spacing w:val="-1"/>
                <w:sz w:val="18"/>
              </w:rPr>
              <w:t>15,265,476.15</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
              <w:jc w:val="right"/>
              <w:rPr>
                <w:rFonts w:ascii="Times New Roman" w:hAnsi="Times New Roman" w:cs="Times New Roman" w:eastAsia="Times New Roman" w:hint="default"/>
                <w:sz w:val="18"/>
                <w:szCs w:val="18"/>
              </w:rPr>
            </w:pPr>
            <w:r>
              <w:rPr>
                <w:rFonts w:ascii="Times New Roman"/>
                <w:sz w:val="18"/>
              </w:rPr>
              <w:t>10.40%</w:t>
            </w:r>
          </w:p>
        </w:tc>
      </w:tr>
      <w:tr>
        <w:trPr>
          <w:trHeight w:val="322" w:hRule="exact"/>
        </w:trPr>
        <w:tc>
          <w:tcPr>
            <w:tcW w:w="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32"/>
              <w:jc w:val="right"/>
              <w:rPr>
                <w:rFonts w:ascii="Times New Roman" w:hAnsi="Times New Roman" w:cs="Times New Roman" w:eastAsia="Times New Roman" w:hint="default"/>
                <w:sz w:val="18"/>
                <w:szCs w:val="18"/>
              </w:rPr>
            </w:pPr>
            <w:r>
              <w:rPr>
                <w:rFonts w:ascii="Times New Roman"/>
                <w:spacing w:val="-1"/>
                <w:sz w:val="18"/>
              </w:rPr>
              <w:t>22,389,365.02</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225,115,501.44</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Times New Roman" w:hAnsi="Times New Roman" w:cs="Times New Roman" w:eastAsia="Times New Roman" w:hint="default"/>
                <w:sz w:val="12"/>
                <w:szCs w:val="12"/>
              </w:rPr>
            </w:pPr>
            <w:r>
              <w:rPr>
                <w:rFonts w:ascii="Times New Roman"/>
                <w:sz w:val="18"/>
              </w:rPr>
              <w:t>9.95%</w:t>
            </w:r>
            <w:r>
              <w:rPr>
                <w:rFonts w:ascii="Times New Roman"/>
                <w:color w:val="FF0000"/>
                <w:position w:val="8"/>
                <w:sz w:val="12"/>
              </w:rPr>
              <w:t>*</w:t>
            </w:r>
            <w:r>
              <w:rPr>
                <w:rFonts w:ascii="Times New Roman"/>
                <w:sz w:val="12"/>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1"/>
              <w:jc w:val="right"/>
              <w:rPr>
                <w:rFonts w:ascii="Times New Roman" w:hAnsi="Times New Roman" w:cs="Times New Roman" w:eastAsia="Times New Roman" w:hint="default"/>
                <w:sz w:val="18"/>
                <w:szCs w:val="18"/>
              </w:rPr>
            </w:pPr>
            <w:r>
              <w:rPr>
                <w:rFonts w:ascii="Times New Roman"/>
                <w:spacing w:val="-1"/>
                <w:sz w:val="18"/>
              </w:rPr>
              <w:t>22,389,365.02</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z w:val="18"/>
              </w:rPr>
              <w:t>9.95%</w:t>
            </w:r>
          </w:p>
        </w:tc>
      </w:tr>
    </w:tbl>
    <w:p>
      <w:pPr>
        <w:pStyle w:val="BodyText"/>
        <w:spacing w:line="302" w:lineRule="auto" w:before="51"/>
        <w:ind w:left="393" w:right="1119"/>
        <w:jc w:val="left"/>
      </w:pPr>
      <w:r>
        <w:rPr>
          <w:spacing w:val="-6"/>
        </w:rPr>
        <w:t>注：</w:t>
      </w:r>
      <w:r>
        <w:rPr>
          <w:rFonts w:ascii="Times New Roman" w:hAnsi="Times New Roman" w:cs="Times New Roman" w:eastAsia="Times New Roman" w:hint="default"/>
          <w:spacing w:val="-6"/>
        </w:rPr>
        <w:t>*</w:t>
      </w:r>
      <w:r>
        <w:rPr>
          <w:rFonts w:ascii="Times New Roman" w:hAnsi="Times New Roman" w:cs="Times New Roman" w:eastAsia="Times New Roman" w:hint="default"/>
          <w:spacing w:val="-1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年，本公司因发生同一控制下企业合并，导致合并范围变更，追溯调整</w:t>
      </w:r>
      <w:r>
        <w:rPr>
          <w:spacing w:val="-5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2"/>
        </w:rPr>
        <w:t> </w:t>
      </w:r>
      <w:r>
        <w:rPr/>
        <w:t>年相关财务数据，导致</w:t>
      </w:r>
      <w:r>
        <w:rPr>
          <w:spacing w:val="-5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1"/>
        </w:rPr>
        <w:t> </w:t>
      </w:r>
      <w:r>
        <w:rPr/>
        <w:t>年度现 金分红金额占归属于上市公司股东的净利润的比例从</w:t>
      </w:r>
      <w:r>
        <w:rPr>
          <w:spacing w:val="-46"/>
        </w:rPr>
        <w:t> </w:t>
      </w:r>
      <w:r>
        <w:rPr>
          <w:rFonts w:ascii="Times New Roman" w:hAnsi="Times New Roman" w:cs="Times New Roman" w:eastAsia="Times New Roman" w:hint="default"/>
        </w:rPr>
        <w:t>10.04%</w:t>
      </w:r>
      <w:r>
        <w:rPr/>
        <w:t>调整为</w:t>
      </w:r>
      <w:r>
        <w:rPr>
          <w:spacing w:val="-46"/>
        </w:rPr>
        <w:t> </w:t>
      </w:r>
      <w:r>
        <w:rPr>
          <w:rFonts w:ascii="Times New Roman" w:hAnsi="Times New Roman" w:cs="Times New Roman" w:eastAsia="Times New Roman" w:hint="default"/>
        </w:rPr>
        <w:t>9.95%</w:t>
      </w:r>
      <w:r>
        <w:rPr/>
        <w:t>。</w:t>
      </w:r>
    </w:p>
    <w:p>
      <w:pPr>
        <w:spacing w:after="0" w:line="302" w:lineRule="auto"/>
        <w:jc w:val="left"/>
        <w:sectPr>
          <w:pgSz w:w="11910" w:h="16840"/>
          <w:pgMar w:header="0" w:footer="982" w:top="1060" w:bottom="1180" w:left="740" w:right="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公司报告期内盈利且母公司可供普通股股东分配利润为正但未提出普通股现金红利分配预案</w:t>
      </w:r>
    </w:p>
    <w:p>
      <w:pPr>
        <w:pStyle w:val="BodyText"/>
        <w:spacing w:line="240" w:lineRule="auto" w:before="116"/>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二、本报告期利润分配及资本公积金转增股本预案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240" w:lineRule="auto" w:before="44"/>
        <w:ind w:left="0" w:right="1140"/>
        <w:jc w:val="right"/>
      </w:pPr>
      <w:r>
        <w:rPr/>
        <w:pict>
          <v:shape style="position:absolute;margin-left:56.459999pt;margin-top:-273.188019pt;width:479.1pt;height:355.4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384"/>
                    <w:gridCol w:w="5184"/>
                  </w:tblGrid>
                  <w:tr>
                    <w:trPr>
                      <w:trHeight w:val="402" w:hRule="exact"/>
                    </w:trPr>
                    <w:tc>
                      <w:tcPr>
                        <w:tcW w:w="43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1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3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1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w w:val="95"/>
                            <w:sz w:val="18"/>
                          </w:rPr>
                          <w:t>0.11</w:t>
                        </w:r>
                      </w:p>
                    </w:tc>
                  </w:tr>
                  <w:tr>
                    <w:trPr>
                      <w:trHeight w:val="402" w:hRule="exact"/>
                    </w:trPr>
                    <w:tc>
                      <w:tcPr>
                        <w:tcW w:w="43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1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3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184"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1,017,698,410</w:t>
                        </w:r>
                      </w:p>
                    </w:tc>
                  </w:tr>
                  <w:tr>
                    <w:trPr>
                      <w:trHeight w:val="402" w:hRule="exact"/>
                    </w:trPr>
                    <w:tc>
                      <w:tcPr>
                        <w:tcW w:w="43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1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11,194,682.51</w:t>
                        </w:r>
                      </w:p>
                    </w:tc>
                  </w:tr>
                  <w:tr>
                    <w:trPr>
                      <w:trHeight w:val="402" w:hRule="exact"/>
                    </w:trPr>
                    <w:tc>
                      <w:tcPr>
                        <w:tcW w:w="43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1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3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184"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11,194,682.51</w:t>
                        </w:r>
                      </w:p>
                    </w:tc>
                  </w:tr>
                  <w:tr>
                    <w:trPr>
                      <w:trHeight w:val="402" w:hRule="exact"/>
                    </w:trPr>
                    <w:tc>
                      <w:tcPr>
                        <w:tcW w:w="43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1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133,727,747.36</w:t>
                        </w:r>
                      </w:p>
                    </w:tc>
                  </w:tr>
                  <w:tr>
                    <w:trPr>
                      <w:trHeight w:val="402" w:hRule="exact"/>
                    </w:trPr>
                    <w:tc>
                      <w:tcPr>
                        <w:tcW w:w="43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现金分红总额（含其他方式）占利润分配总额的比例</w:t>
                        </w:r>
                      </w:p>
                    </w:tc>
                    <w:tc>
                      <w:tcPr>
                        <w:tcW w:w="5184"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公司发展阶段属成熟期且无重大资金支出安排的，进行利润分配时，现金分红在本次利润分配中所占比例最低应达到</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274"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6"/>
                          <w:jc w:val="both"/>
                          <w:rPr>
                            <w:rFonts w:ascii="宋体" w:hAnsi="宋体" w:cs="宋体" w:eastAsia="宋体" w:hint="default"/>
                            <w:sz w:val="18"/>
                            <w:szCs w:val="18"/>
                          </w:rPr>
                        </w:pPr>
                        <w:r>
                          <w:rPr>
                            <w:rFonts w:ascii="宋体" w:hAnsi="宋体" w:cs="宋体" w:eastAsia="宋体" w:hint="default"/>
                            <w:spacing w:val="-3"/>
                            <w:sz w:val="18"/>
                            <w:szCs w:val="18"/>
                          </w:rPr>
                          <w:t>经瑞华会计师事务所（特殊普通合伙）审计，公司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年度实现归属于上市公司股东的净利润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105,180,270.19</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元，上年年</w:t>
                        </w:r>
                        <w:r>
                          <w:rPr>
                            <w:rFonts w:ascii="宋体" w:hAnsi="宋体" w:cs="宋体" w:eastAsia="宋体" w:hint="default"/>
                            <w:sz w:val="18"/>
                            <w:szCs w:val="18"/>
                          </w:rPr>
                          <w:t> </w:t>
                        </w:r>
                        <w:r>
                          <w:rPr>
                            <w:rFonts w:ascii="宋体" w:hAnsi="宋体" w:cs="宋体" w:eastAsia="宋体" w:hint="default"/>
                            <w:spacing w:val="11"/>
                            <w:sz w:val="18"/>
                            <w:szCs w:val="18"/>
                          </w:rPr>
                          <w:t>末未分配利润 </w:t>
                        </w:r>
                        <w:r>
                          <w:rPr>
                            <w:rFonts w:ascii="Times New Roman" w:hAnsi="Times New Roman" w:cs="Times New Roman" w:eastAsia="Times New Roman" w:hint="default"/>
                            <w:sz w:val="18"/>
                            <w:szCs w:val="18"/>
                          </w:rPr>
                          <w:t>943,649,656.35 </w:t>
                        </w:r>
                        <w:r>
                          <w:rPr>
                            <w:rFonts w:ascii="宋体" w:hAnsi="宋体" w:cs="宋体" w:eastAsia="宋体" w:hint="default"/>
                            <w:spacing w:val="12"/>
                            <w:sz w:val="18"/>
                            <w:szCs w:val="18"/>
                          </w:rPr>
                          <w:t>元，期初未分配利润 </w:t>
                        </w:r>
                        <w:r>
                          <w:rPr>
                            <w:rFonts w:ascii="Times New Roman" w:hAnsi="Times New Roman" w:cs="Times New Roman" w:eastAsia="Times New Roman" w:hint="default"/>
                            <w:sz w:val="18"/>
                            <w:szCs w:val="18"/>
                          </w:rPr>
                          <w:t>943,649,656.35 </w:t>
                        </w:r>
                        <w:r>
                          <w:rPr>
                            <w:rFonts w:ascii="宋体" w:hAnsi="宋体" w:cs="宋体" w:eastAsia="宋体" w:hint="default"/>
                            <w:spacing w:val="12"/>
                            <w:sz w:val="18"/>
                            <w:szCs w:val="18"/>
                          </w:rPr>
                          <w:t>元，提取法定盈余公积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8"/>
                            <w:sz w:val="18"/>
                            <w:szCs w:val="18"/>
                          </w:rPr>
                          <w:t> </w:t>
                        </w:r>
                        <w:r>
                          <w:rPr>
                            <w:rFonts w:ascii="宋体" w:hAnsi="宋体" w:cs="宋体" w:eastAsia="宋体" w:hint="default"/>
                            <w:spacing w:val="13"/>
                            <w:sz w:val="18"/>
                            <w:szCs w:val="18"/>
                          </w:rPr>
                          <w:t>元，向股东分配利润</w:t>
                        </w:r>
                        <w:r>
                          <w:rPr>
                            <w:rFonts w:ascii="宋体" w:hAnsi="宋体" w:cs="宋体" w:eastAsia="宋体" w:hint="default"/>
                            <w:spacing w:val="14"/>
                            <w:sz w:val="18"/>
                            <w:szCs w:val="18"/>
                          </w:rPr>
                          <w:t> </w:t>
                        </w:r>
                        <w:r>
                          <w:rPr>
                            <w:rFonts w:ascii="Times New Roman" w:hAnsi="Times New Roman" w:cs="Times New Roman" w:eastAsia="Times New Roman" w:hint="default"/>
                            <w:sz w:val="18"/>
                            <w:szCs w:val="18"/>
                          </w:rPr>
                          <w:t>15,265,476.15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元，期末可供股东分配的利润为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1,033,564,450.39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元。其中，母公司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年度实现净利润</w:t>
                        </w:r>
                        <w:r>
                          <w:rPr>
                            <w:rFonts w:ascii="Times New Roman" w:hAnsi="Times New Roman" w:cs="Times New Roman" w:eastAsia="Times New Roman" w:hint="default"/>
                            <w:sz w:val="18"/>
                            <w:szCs w:val="18"/>
                          </w:rPr>
                          <w:t>-24,569,042.94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173,562,266.45 </w:t>
                        </w:r>
                        <w:r>
                          <w:rPr>
                            <w:rFonts w:ascii="宋体" w:hAnsi="宋体" w:cs="宋体" w:eastAsia="宋体" w:hint="default"/>
                            <w:sz w:val="18"/>
                            <w:szCs w:val="18"/>
                          </w:rPr>
                          <w:t>元，向股东分配利润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15,265,476.15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元，期末可供股东分配的利润为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133,727,747.36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元。根</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据公司实际经营情况及《公司章程》的规定，</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年度利润分配预案为：以</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日总股本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1,017,698,410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股为</w:t>
                        </w:r>
                      </w:p>
                      <w:p>
                        <w:pPr>
                          <w:pStyle w:val="TableParagraph"/>
                          <w:spacing w:line="302" w:lineRule="auto" w:before="63"/>
                          <w:ind w:left="22" w:right="22"/>
                          <w:jc w:val="both"/>
                          <w:rPr>
                            <w:rFonts w:ascii="宋体" w:hAnsi="宋体" w:cs="宋体" w:eastAsia="宋体" w:hint="default"/>
                            <w:sz w:val="18"/>
                            <w:szCs w:val="18"/>
                          </w:rPr>
                        </w:pPr>
                        <w:r>
                          <w:rPr>
                            <w:rFonts w:ascii="宋体" w:hAnsi="宋体" w:cs="宋体" w:eastAsia="宋体" w:hint="default"/>
                            <w:sz w:val="18"/>
                            <w:szCs w:val="18"/>
                          </w:rPr>
                          <w:t>基数，每</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股派发现金红利</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，不送红股，不以公积金转增股本，总计派发现金红利</w:t>
                        </w:r>
                        <w:r>
                          <w:rPr>
                            <w:rFonts w:ascii="宋体" w:hAnsi="宋体" w:cs="宋体" w:eastAsia="宋体" w:hint="default"/>
                            <w:spacing w:val="-33"/>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1,194,68</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.51</w:t>
                        </w:r>
                        <w:r>
                          <w:rPr>
                            <w:rFonts w:ascii="Times New Roman" w:hAnsi="Times New Roman" w:cs="Times New Roman" w:eastAsia="Times New Roman" w:hint="default"/>
                            <w:spacing w:val="12"/>
                            <w:sz w:val="18"/>
                            <w:szCs w:val="18"/>
                          </w:rPr>
                          <w:t> </w:t>
                        </w:r>
                        <w:r>
                          <w:rPr>
                            <w:rFonts w:ascii="宋体" w:hAnsi="宋体" w:cs="宋体" w:eastAsia="宋体" w:hint="default"/>
                            <w:spacing w:val="-2"/>
                            <w:sz w:val="18"/>
                            <w:szCs w:val="18"/>
                          </w:rPr>
                          <w:t>元</w:t>
                        </w:r>
                        <w:r>
                          <w:rPr>
                            <w:rFonts w:ascii="宋体" w:hAnsi="宋体" w:cs="宋体" w:eastAsia="宋体" w:hint="default"/>
                            <w:sz w:val="18"/>
                            <w:szCs w:val="18"/>
                          </w:rPr>
                          <w:t>（含</w:t>
                        </w:r>
                        <w:r>
                          <w:rPr>
                            <w:rFonts w:ascii="宋体" w:hAnsi="宋体" w:cs="宋体" w:eastAsia="宋体" w:hint="default"/>
                            <w:sz w:val="18"/>
                            <w:szCs w:val="18"/>
                          </w:rPr>
                          <w:t> 税</w:t>
                        </w:r>
                        <w:r>
                          <w:rPr>
                            <w:rFonts w:ascii="宋体" w:hAnsi="宋体" w:cs="宋体" w:eastAsia="宋体" w:hint="default"/>
                            <w:spacing w:val="-90"/>
                            <w:sz w:val="18"/>
                            <w:szCs w:val="18"/>
                          </w:rPr>
                          <w:t>）</w:t>
                        </w:r>
                        <w:r>
                          <w:rPr>
                            <w:rFonts w:ascii="宋体" w:hAnsi="宋体" w:cs="宋体" w:eastAsia="宋体" w:hint="default"/>
                            <w:sz w:val="18"/>
                            <w:szCs w:val="18"/>
                          </w:rPr>
                          <w:t>，占归属于上市公司股东净利润的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10.64%</w:t>
                        </w:r>
                        <w:r>
                          <w:rPr>
                            <w:rFonts w:ascii="宋体" w:hAnsi="宋体" w:cs="宋体" w:eastAsia="宋体" w:hint="default"/>
                            <w:sz w:val="18"/>
                            <w:szCs w:val="18"/>
                          </w:rPr>
                          <w:t>，剩余未分配利润结转以后年度分配。</w:t>
                        </w:r>
                      </w:p>
                    </w:tc>
                  </w:tr>
                </w:tbl>
                <w:p>
                  <w:pPr/>
                </w:p>
              </w:txbxContent>
            </v:textbox>
            <w10:wrap type="none"/>
          </v:shape>
        </w:pict>
      </w:r>
      <w:r>
        <w:rPr>
          <w:spacing w:val="1"/>
        </w:rPr>
        <w:t>，</w:t>
      </w:r>
      <w:r>
        <w:rPr/>
      </w:r>
    </w:p>
    <w:p>
      <w:pPr>
        <w:spacing w:after="0" w:line="240" w:lineRule="auto"/>
        <w:jc w:val="right"/>
        <w:sectPr>
          <w:pgSz w:w="11910" w:h="16840"/>
          <w:pgMar w:header="0" w:footer="982" w:top="1060" w:bottom="1180" w:left="980" w:right="0"/>
        </w:sectPr>
      </w:pPr>
    </w:p>
    <w:p>
      <w:pPr>
        <w:pStyle w:val="Heading2"/>
        <w:spacing w:line="240" w:lineRule="auto" w:before="30"/>
        <w:ind w:left="399" w:right="0"/>
        <w:jc w:val="left"/>
        <w:rPr>
          <w:b w:val="0"/>
          <w:bCs w:val="0"/>
        </w:rPr>
      </w:pPr>
      <w:r>
        <w:rPr/>
        <w:pict>
          <v:group style="position:absolute;margin-left:70.490997pt;margin-top:2.25562pt;width:700.95pt;height:.1pt;mso-position-horizontal-relative:page;mso-position-vertical-relative:paragraph;z-index:-1149520" coordorigin="1410,45" coordsize="14019,2">
            <v:shape style="position:absolute;left:1410;top:45;width:14019;height:2" coordorigin="1410,45" coordsize="14019,0" path="m1410,45l15428,45e" filled="false" stroked="true" strokeweight=".72pt" strokecolor="#000000">
              <v:path arrowok="t"/>
            </v:shape>
            <w10:wrap type="none"/>
          </v:group>
        </w:pict>
      </w:r>
      <w:r>
        <w:rPr/>
        <w:pict>
          <v:group style="position:absolute;margin-left:58.070999pt;margin-top:262.440002pt;width:39.85pt;height:156pt;mso-position-horizontal-relative:page;mso-position-vertical-relative:page;z-index:-1149496" coordorigin="1161,5249" coordsize="797,3120">
            <v:group style="position:absolute;left:1161;top:5249;width:797;height:3120" coordorigin="1161,5249" coordsize="797,3120">
              <v:shape style="position:absolute;left:1161;top:5249;width:797;height:3120" coordorigin="1161,5249" coordsize="797,3120" path="m1958,7433l1958,5249,1161,5249,1719,7433,1958,7433xe" filled="true" fillcolor="#d3d3d3" stroked="false">
                <v:path arrowok="t"/>
                <v:fill type="solid"/>
              </v:shape>
              <v:shape style="position:absolute;left:1161;top:5249;width:797;height:3120" coordorigin="1161,5249" coordsize="797,3120" path="m1935,8369l1935,8280,1719,7433,1184,7433,1184,8369,1935,8369xe" filled="true" fillcolor="#d3d3d3" stroked="false">
                <v:path arrowok="t"/>
                <v:fill type="solid"/>
              </v:shape>
              <v:shape style="position:absolute;left:1161;top:5249;width:797;height:3120" coordorigin="1161,5249" coordsize="797,3120" path="m1958,8369l1958,7433,1935,7433,1935,8280,1958,8369xe" filled="true" fillcolor="#d3d3d3" stroked="false">
                <v:path arrowok="t"/>
                <v:fill type="solid"/>
              </v:shape>
            </v:group>
            <v:group style="position:absolute;left:1184;top:7433;width:752;height:312" coordorigin="1184,7433" coordsize="752,312">
              <v:shape style="position:absolute;left:1184;top:7433;width:752;height:312" coordorigin="1184,7433" coordsize="752,312" path="m1184,7433l1184,7745,1935,7745,1935,7433,1184,7433xe" filled="true" fillcolor="#d3d3d3" stroked="false">
                <v:path arrowok="t"/>
                <v:fill type="solid"/>
              </v:shape>
            </v:group>
            <v:group style="position:absolute;left:1184;top:7745;width:752;height:312" coordorigin="1184,7745" coordsize="752,312">
              <v:shape style="position:absolute;left:1184;top:7745;width:752;height:312" coordorigin="1184,7745" coordsize="752,312" path="m1184,7745l1184,8057,1935,8057,1935,7745,1184,7745xe" filled="true" fillcolor="#d3d3d3" stroked="false">
                <v:path arrowok="t"/>
                <v:fill type="solid"/>
              </v:shape>
            </v:group>
            <v:group style="position:absolute;left:1184;top:8057;width:752;height:312" coordorigin="1184,8057" coordsize="752,312">
              <v:shape style="position:absolute;left:1184;top:8057;width:752;height:312" coordorigin="1184,8057" coordsize="752,312" path="m1184,8057l1184,8369,1935,8369,1935,8057,1184,8057xe" filled="true" fillcolor="#d3d3d3" stroked="false">
                <v:path arrowok="t"/>
                <v:fill type="solid"/>
              </v:shape>
            </v:group>
            <w10:wrap type="none"/>
          </v:group>
        </w:pict>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399"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399"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808"/>
        <w:gridCol w:w="1321"/>
        <w:gridCol w:w="565"/>
        <w:gridCol w:w="9358"/>
        <w:gridCol w:w="848"/>
        <w:gridCol w:w="845"/>
        <w:gridCol w:w="524"/>
      </w:tblGrid>
      <w:tr>
        <w:trPr>
          <w:trHeight w:val="161" w:hRule="exact"/>
        </w:trPr>
        <w:tc>
          <w:tcPr>
            <w:tcW w:w="80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21" w:type="dxa"/>
            <w:tcBorders>
              <w:top w:val="single" w:sz="4" w:space="0" w:color="000000"/>
              <w:left w:val="single" w:sz="4" w:space="0" w:color="000000"/>
              <w:bottom w:val="nil" w:sz="6" w:space="0" w:color="auto"/>
              <w:right w:val="single" w:sz="4" w:space="0" w:color="000000"/>
            </w:tcBorders>
            <w:shd w:val="clear" w:color="auto" w:fill="D3D3D3"/>
          </w:tcPr>
          <w:p>
            <w:pPr/>
          </w:p>
        </w:tc>
        <w:tc>
          <w:tcPr>
            <w:tcW w:w="56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11"/>
              <w:ind w:left="97" w:right="96"/>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9358" w:type="dxa"/>
            <w:tcBorders>
              <w:top w:val="single" w:sz="4" w:space="0" w:color="000000"/>
              <w:left w:val="single" w:sz="4" w:space="0" w:color="000000"/>
              <w:bottom w:val="nil" w:sz="6" w:space="0" w:color="auto"/>
              <w:right w:val="single" w:sz="4" w:space="0" w:color="000000"/>
            </w:tcBorders>
            <w:shd w:val="clear" w:color="auto" w:fill="D3D3D3"/>
          </w:tcPr>
          <w:p>
            <w:pPr/>
          </w:p>
        </w:tc>
        <w:tc>
          <w:tcPr>
            <w:tcW w:w="848" w:type="dxa"/>
            <w:tcBorders>
              <w:top w:val="single" w:sz="4" w:space="0" w:color="000000"/>
              <w:left w:val="single" w:sz="4" w:space="0" w:color="000000"/>
              <w:bottom w:val="nil" w:sz="6" w:space="0" w:color="auto"/>
              <w:right w:val="single" w:sz="4" w:space="0" w:color="000000"/>
            </w:tcBorders>
            <w:shd w:val="clear" w:color="auto" w:fill="D3D3D3"/>
          </w:tcPr>
          <w:p>
            <w:pPr/>
          </w:p>
        </w:tc>
        <w:tc>
          <w:tcPr>
            <w:tcW w:w="845" w:type="dxa"/>
            <w:tcBorders>
              <w:top w:val="single" w:sz="4" w:space="0" w:color="000000"/>
              <w:left w:val="single" w:sz="4" w:space="0" w:color="000000"/>
              <w:bottom w:val="nil" w:sz="6" w:space="0" w:color="auto"/>
              <w:right w:val="single" w:sz="4" w:space="0" w:color="000000"/>
            </w:tcBorders>
            <w:shd w:val="clear" w:color="auto" w:fill="D3D3D3"/>
          </w:tcPr>
          <w:p>
            <w:pPr/>
          </w:p>
        </w:tc>
        <w:tc>
          <w:tcPr>
            <w:tcW w:w="52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11"/>
              <w:ind w:left="76" w:right="77"/>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312" w:hRule="exact"/>
        </w:trPr>
        <w:tc>
          <w:tcPr>
            <w:tcW w:w="80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39"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3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385"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565" w:type="dxa"/>
            <w:vMerge/>
            <w:tcBorders>
              <w:left w:val="single" w:sz="4" w:space="0" w:color="000000"/>
              <w:right w:val="single" w:sz="4" w:space="0" w:color="000000"/>
            </w:tcBorders>
            <w:shd w:val="clear" w:color="auto" w:fill="D3D3D3"/>
          </w:tcPr>
          <w:p>
            <w:pPr/>
          </w:p>
        </w:tc>
        <w:tc>
          <w:tcPr>
            <w:tcW w:w="93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4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58"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45" w:type="dxa"/>
            <w:tcBorders>
              <w:top w:val="nil" w:sz="6" w:space="0" w:color="auto"/>
              <w:left w:val="single" w:sz="23" w:space="0" w:color="D3D3D3"/>
              <w:bottom w:val="nil" w:sz="6" w:space="0" w:color="auto"/>
              <w:right w:val="single" w:sz="23" w:space="0" w:color="D3D3D3"/>
            </w:tcBorders>
          </w:tcPr>
          <w:p>
            <w:pPr>
              <w:pStyle w:val="TableParagraph"/>
              <w:spacing w:line="240" w:lineRule="auto" w:before="10"/>
              <w:ind w:left="3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承诺期限</w:t>
            </w:r>
            <w:r>
              <w:rPr>
                <w:rFonts w:ascii="宋体" w:hAnsi="宋体" w:cs="宋体" w:eastAsia="宋体" w:hint="default"/>
                <w:sz w:val="18"/>
                <w:szCs w:val="18"/>
              </w:rPr>
            </w:r>
          </w:p>
        </w:tc>
        <w:tc>
          <w:tcPr>
            <w:tcW w:w="524" w:type="dxa"/>
            <w:vMerge/>
            <w:tcBorders>
              <w:left w:val="single" w:sz="4" w:space="0" w:color="000000"/>
              <w:right w:val="single" w:sz="4" w:space="0" w:color="000000"/>
            </w:tcBorders>
            <w:shd w:val="clear" w:color="auto" w:fill="D3D3D3"/>
          </w:tcPr>
          <w:p>
            <w:pPr/>
          </w:p>
        </w:tc>
      </w:tr>
      <w:tr>
        <w:trPr>
          <w:trHeight w:val="161" w:hRule="exact"/>
        </w:trPr>
        <w:tc>
          <w:tcPr>
            <w:tcW w:w="80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21" w:type="dxa"/>
            <w:tcBorders>
              <w:top w:val="nil" w:sz="6" w:space="0" w:color="auto"/>
              <w:left w:val="single" w:sz="4" w:space="0" w:color="000000"/>
              <w:bottom w:val="single" w:sz="4" w:space="0" w:color="000000"/>
              <w:right w:val="single" w:sz="4" w:space="0" w:color="000000"/>
            </w:tcBorders>
            <w:shd w:val="clear" w:color="auto" w:fill="D3D3D3"/>
          </w:tcPr>
          <w:p>
            <w:pPr/>
          </w:p>
        </w:tc>
        <w:tc>
          <w:tcPr>
            <w:tcW w:w="565" w:type="dxa"/>
            <w:vMerge/>
            <w:tcBorders>
              <w:left w:val="single" w:sz="4" w:space="0" w:color="000000"/>
              <w:bottom w:val="single" w:sz="4" w:space="0" w:color="000000"/>
              <w:right w:val="single" w:sz="4" w:space="0" w:color="000000"/>
            </w:tcBorders>
            <w:shd w:val="clear" w:color="auto" w:fill="D3D3D3"/>
          </w:tcPr>
          <w:p>
            <w:pPr/>
          </w:p>
        </w:tc>
        <w:tc>
          <w:tcPr>
            <w:tcW w:w="9358" w:type="dxa"/>
            <w:tcBorders>
              <w:top w:val="nil" w:sz="6" w:space="0" w:color="auto"/>
              <w:left w:val="single" w:sz="4" w:space="0" w:color="000000"/>
              <w:bottom w:val="single" w:sz="4" w:space="0" w:color="000000"/>
              <w:right w:val="single" w:sz="4" w:space="0" w:color="000000"/>
            </w:tcBorders>
            <w:shd w:val="clear" w:color="auto" w:fill="D3D3D3"/>
          </w:tcPr>
          <w:p>
            <w:pPr/>
          </w:p>
        </w:tc>
        <w:tc>
          <w:tcPr>
            <w:tcW w:w="848" w:type="dxa"/>
            <w:tcBorders>
              <w:top w:val="nil" w:sz="6" w:space="0" w:color="auto"/>
              <w:left w:val="single" w:sz="4" w:space="0" w:color="000000"/>
              <w:bottom w:val="single" w:sz="4" w:space="0" w:color="000000"/>
              <w:right w:val="single" w:sz="4" w:space="0" w:color="000000"/>
            </w:tcBorders>
            <w:shd w:val="clear" w:color="auto" w:fill="D3D3D3"/>
          </w:tcPr>
          <w:p>
            <w:pPr/>
          </w:p>
        </w:tc>
        <w:tc>
          <w:tcPr>
            <w:tcW w:w="845" w:type="dxa"/>
            <w:tcBorders>
              <w:top w:val="nil" w:sz="6" w:space="0" w:color="auto"/>
              <w:left w:val="single" w:sz="4" w:space="0" w:color="000000"/>
              <w:bottom w:val="single" w:sz="4" w:space="0" w:color="000000"/>
              <w:right w:val="single" w:sz="4" w:space="0" w:color="000000"/>
            </w:tcBorders>
            <w:shd w:val="clear" w:color="auto" w:fill="D3D3D3"/>
          </w:tcPr>
          <w:p>
            <w:pPr/>
          </w:p>
        </w:tc>
        <w:tc>
          <w:tcPr>
            <w:tcW w:w="524" w:type="dxa"/>
            <w:vMerge/>
            <w:tcBorders>
              <w:left w:val="single" w:sz="4" w:space="0" w:color="000000"/>
              <w:bottom w:val="single" w:sz="4" w:space="0" w:color="000000"/>
              <w:right w:val="single" w:sz="4" w:space="0" w:color="000000"/>
            </w:tcBorders>
            <w:shd w:val="clear" w:color="auto" w:fill="D3D3D3"/>
          </w:tcPr>
          <w:p>
            <w:pPr/>
          </w:p>
        </w:tc>
      </w:tr>
      <w:tr>
        <w:trPr>
          <w:trHeight w:val="322" w:hRule="exact"/>
        </w:trPr>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321" w:type="dxa"/>
            <w:tcBorders>
              <w:top w:val="single" w:sz="4" w:space="0" w:color="000000"/>
              <w:left w:val="single" w:sz="13" w:space="0" w:color="D3D3D3"/>
              <w:bottom w:val="single" w:sz="4" w:space="0" w:color="000000"/>
              <w:right w:val="single" w:sz="4" w:space="0" w:color="000000"/>
            </w:tcBorders>
            <w:shd w:val="clear" w:color="auto" w:fill="C7EDCC"/>
          </w:tcPr>
          <w:p>
            <w:pPr/>
          </w:p>
        </w:tc>
        <w:tc>
          <w:tcPr>
            <w:tcW w:w="56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935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24"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317" w:hRule="exact"/>
        </w:trPr>
        <w:tc>
          <w:tcPr>
            <w:tcW w:w="80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收购报告</w:t>
            </w:r>
          </w:p>
        </w:tc>
        <w:tc>
          <w:tcPr>
            <w:tcW w:w="1321" w:type="dxa"/>
            <w:vMerge w:val="restart"/>
            <w:tcBorders>
              <w:top w:val="single" w:sz="4" w:space="0" w:color="000000"/>
              <w:left w:val="single" w:sz="9" w:space="0" w:color="D3D3D3"/>
              <w:right w:val="single" w:sz="4" w:space="0" w:color="000000"/>
            </w:tcBorders>
            <w:shd w:val="clear" w:color="auto" w:fill="C7EDCC"/>
          </w:tcPr>
          <w:p>
            <w:pPr/>
          </w:p>
        </w:tc>
        <w:tc>
          <w:tcPr>
            <w:tcW w:w="565" w:type="dxa"/>
            <w:vMerge w:val="restart"/>
            <w:tcBorders>
              <w:top w:val="single" w:sz="4" w:space="0" w:color="000000"/>
              <w:left w:val="single" w:sz="4" w:space="0" w:color="000000"/>
              <w:right w:val="single" w:sz="4" w:space="0" w:color="000000"/>
            </w:tcBorders>
            <w:shd w:val="clear" w:color="auto" w:fill="C7EDCC"/>
          </w:tcPr>
          <w:p>
            <w:pPr/>
          </w:p>
        </w:tc>
        <w:tc>
          <w:tcPr>
            <w:tcW w:w="9358" w:type="dxa"/>
            <w:vMerge w:val="restart"/>
            <w:tcBorders>
              <w:top w:val="single" w:sz="4" w:space="0" w:color="000000"/>
              <w:left w:val="single" w:sz="4" w:space="0" w:color="000000"/>
              <w:right w:val="single" w:sz="4" w:space="0" w:color="000000"/>
            </w:tcBorders>
            <w:shd w:val="clear" w:color="auto" w:fill="C7EDCC"/>
          </w:tcPr>
          <w:p>
            <w:pPr/>
          </w:p>
        </w:tc>
        <w:tc>
          <w:tcPr>
            <w:tcW w:w="848"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shd w:val="clear" w:color="auto" w:fill="C7EDCC"/>
          </w:tcPr>
          <w:p>
            <w:pPr/>
          </w:p>
        </w:tc>
        <w:tc>
          <w:tcPr>
            <w:tcW w:w="524" w:type="dxa"/>
            <w:vMerge w:val="restart"/>
            <w:tcBorders>
              <w:top w:val="single" w:sz="4" w:space="0" w:color="000000"/>
              <w:left w:val="single" w:sz="4" w:space="0" w:color="000000"/>
              <w:right w:val="single" w:sz="4" w:space="0" w:color="000000"/>
            </w:tcBorders>
            <w:shd w:val="clear" w:color="auto" w:fill="C7EDCC"/>
          </w:tcPr>
          <w:p>
            <w:pPr/>
          </w:p>
        </w:tc>
      </w:tr>
      <w:tr>
        <w:trPr>
          <w:trHeight w:val="312" w:hRule="exact"/>
        </w:trPr>
        <w:tc>
          <w:tcPr>
            <w:tcW w:w="80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书或权益</w:t>
            </w:r>
          </w:p>
        </w:tc>
        <w:tc>
          <w:tcPr>
            <w:tcW w:w="1321" w:type="dxa"/>
            <w:vMerge/>
            <w:tcBorders>
              <w:left w:val="single" w:sz="9" w:space="0" w:color="D3D3D3"/>
              <w:right w:val="single" w:sz="4" w:space="0" w:color="000000"/>
            </w:tcBorders>
            <w:shd w:val="clear" w:color="auto" w:fill="C7EDCC"/>
          </w:tcPr>
          <w:p>
            <w:pPr/>
          </w:p>
        </w:tc>
        <w:tc>
          <w:tcPr>
            <w:tcW w:w="565" w:type="dxa"/>
            <w:vMerge/>
            <w:tcBorders>
              <w:left w:val="single" w:sz="4" w:space="0" w:color="000000"/>
              <w:right w:val="single" w:sz="4" w:space="0" w:color="000000"/>
            </w:tcBorders>
            <w:shd w:val="clear" w:color="auto" w:fill="C7EDCC"/>
          </w:tcPr>
          <w:p>
            <w:pPr/>
          </w:p>
        </w:tc>
        <w:tc>
          <w:tcPr>
            <w:tcW w:w="9358" w:type="dxa"/>
            <w:vMerge/>
            <w:tcBorders>
              <w:left w:val="single" w:sz="4" w:space="0" w:color="000000"/>
              <w:right w:val="single" w:sz="4" w:space="0" w:color="000000"/>
            </w:tcBorders>
            <w:shd w:val="clear" w:color="auto" w:fill="C7EDCC"/>
          </w:tcPr>
          <w:p>
            <w:pPr/>
          </w:p>
        </w:tc>
        <w:tc>
          <w:tcPr>
            <w:tcW w:w="848"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vMerge/>
            <w:tcBorders>
              <w:left w:val="single" w:sz="4" w:space="0" w:color="000000"/>
              <w:right w:val="single" w:sz="4" w:space="0" w:color="000000"/>
            </w:tcBorders>
            <w:shd w:val="clear" w:color="auto" w:fill="C7EDCC"/>
          </w:tcPr>
          <w:p>
            <w:pPr/>
          </w:p>
        </w:tc>
      </w:tr>
      <w:tr>
        <w:trPr>
          <w:trHeight w:val="312" w:hRule="exact"/>
        </w:trPr>
        <w:tc>
          <w:tcPr>
            <w:tcW w:w="80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变动报告</w:t>
            </w:r>
          </w:p>
        </w:tc>
        <w:tc>
          <w:tcPr>
            <w:tcW w:w="1321" w:type="dxa"/>
            <w:vMerge/>
            <w:tcBorders>
              <w:left w:val="single" w:sz="9" w:space="0" w:color="D3D3D3"/>
              <w:right w:val="single" w:sz="4" w:space="0" w:color="000000"/>
            </w:tcBorders>
            <w:shd w:val="clear" w:color="auto" w:fill="C7EDCC"/>
          </w:tcPr>
          <w:p>
            <w:pPr/>
          </w:p>
        </w:tc>
        <w:tc>
          <w:tcPr>
            <w:tcW w:w="565" w:type="dxa"/>
            <w:vMerge/>
            <w:tcBorders>
              <w:left w:val="single" w:sz="4" w:space="0" w:color="000000"/>
              <w:right w:val="single" w:sz="4" w:space="0" w:color="000000"/>
            </w:tcBorders>
            <w:shd w:val="clear" w:color="auto" w:fill="C7EDCC"/>
          </w:tcPr>
          <w:p>
            <w:pPr/>
          </w:p>
        </w:tc>
        <w:tc>
          <w:tcPr>
            <w:tcW w:w="9358" w:type="dxa"/>
            <w:vMerge/>
            <w:tcBorders>
              <w:left w:val="single" w:sz="4" w:space="0" w:color="000000"/>
              <w:right w:val="single" w:sz="4" w:space="0" w:color="000000"/>
            </w:tcBorders>
            <w:shd w:val="clear" w:color="auto" w:fill="C7EDCC"/>
          </w:tcPr>
          <w:p>
            <w:pPr/>
          </w:p>
        </w:tc>
        <w:tc>
          <w:tcPr>
            <w:tcW w:w="848"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vMerge/>
            <w:tcBorders>
              <w:left w:val="single" w:sz="4" w:space="0" w:color="000000"/>
              <w:right w:val="single" w:sz="4" w:space="0" w:color="000000"/>
            </w:tcBorders>
            <w:shd w:val="clear" w:color="auto" w:fill="C7EDCC"/>
          </w:tcPr>
          <w:p>
            <w:pPr/>
          </w:p>
        </w:tc>
      </w:tr>
      <w:tr>
        <w:trPr>
          <w:trHeight w:val="312" w:hRule="exact"/>
        </w:trPr>
        <w:tc>
          <w:tcPr>
            <w:tcW w:w="80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书中所作</w:t>
            </w:r>
          </w:p>
        </w:tc>
        <w:tc>
          <w:tcPr>
            <w:tcW w:w="1321" w:type="dxa"/>
            <w:vMerge/>
            <w:tcBorders>
              <w:left w:val="single" w:sz="9" w:space="0" w:color="D3D3D3"/>
              <w:right w:val="single" w:sz="4" w:space="0" w:color="000000"/>
            </w:tcBorders>
            <w:shd w:val="clear" w:color="auto" w:fill="C7EDCC"/>
          </w:tcPr>
          <w:p>
            <w:pPr/>
          </w:p>
        </w:tc>
        <w:tc>
          <w:tcPr>
            <w:tcW w:w="565" w:type="dxa"/>
            <w:vMerge/>
            <w:tcBorders>
              <w:left w:val="single" w:sz="4" w:space="0" w:color="000000"/>
              <w:right w:val="single" w:sz="4" w:space="0" w:color="000000"/>
            </w:tcBorders>
            <w:shd w:val="clear" w:color="auto" w:fill="C7EDCC"/>
          </w:tcPr>
          <w:p>
            <w:pPr/>
          </w:p>
        </w:tc>
        <w:tc>
          <w:tcPr>
            <w:tcW w:w="9358" w:type="dxa"/>
            <w:vMerge/>
            <w:tcBorders>
              <w:left w:val="single" w:sz="4" w:space="0" w:color="000000"/>
              <w:right w:val="single" w:sz="4" w:space="0" w:color="000000"/>
            </w:tcBorders>
            <w:shd w:val="clear" w:color="auto" w:fill="C7EDCC"/>
          </w:tcPr>
          <w:p>
            <w:pPr/>
          </w:p>
        </w:tc>
        <w:tc>
          <w:tcPr>
            <w:tcW w:w="848"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vMerge/>
            <w:tcBorders>
              <w:left w:val="single" w:sz="4" w:space="0" w:color="000000"/>
              <w:right w:val="single" w:sz="4" w:space="0" w:color="000000"/>
            </w:tcBorders>
            <w:shd w:val="clear" w:color="auto" w:fill="C7EDCC"/>
          </w:tcPr>
          <w:p>
            <w:pPr/>
          </w:p>
        </w:tc>
      </w:tr>
      <w:tr>
        <w:trPr>
          <w:trHeight w:val="317" w:hRule="exact"/>
        </w:trPr>
        <w:tc>
          <w:tcPr>
            <w:tcW w:w="80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1321" w:type="dxa"/>
            <w:vMerge/>
            <w:tcBorders>
              <w:left w:val="single" w:sz="9" w:space="0" w:color="D3D3D3"/>
              <w:bottom w:val="single" w:sz="4" w:space="0" w:color="000000"/>
              <w:right w:val="single" w:sz="4" w:space="0" w:color="000000"/>
            </w:tcBorders>
            <w:shd w:val="clear" w:color="auto" w:fill="C7EDCC"/>
          </w:tcPr>
          <w:p>
            <w:pPr/>
          </w:p>
        </w:tc>
        <w:tc>
          <w:tcPr>
            <w:tcW w:w="565" w:type="dxa"/>
            <w:vMerge/>
            <w:tcBorders>
              <w:left w:val="single" w:sz="4" w:space="0" w:color="000000"/>
              <w:bottom w:val="single" w:sz="4" w:space="0" w:color="000000"/>
              <w:right w:val="single" w:sz="4" w:space="0" w:color="000000"/>
            </w:tcBorders>
            <w:shd w:val="clear" w:color="auto" w:fill="C7EDCC"/>
          </w:tcPr>
          <w:p>
            <w:pPr/>
          </w:p>
        </w:tc>
        <w:tc>
          <w:tcPr>
            <w:tcW w:w="9358" w:type="dxa"/>
            <w:vMerge/>
            <w:tcBorders>
              <w:left w:val="single" w:sz="4" w:space="0" w:color="000000"/>
              <w:bottom w:val="single" w:sz="4" w:space="0" w:color="000000"/>
              <w:right w:val="single" w:sz="4" w:space="0" w:color="000000"/>
            </w:tcBorders>
            <w:shd w:val="clear" w:color="auto" w:fill="C7EDCC"/>
          </w:tcPr>
          <w:p>
            <w:pPr/>
          </w:p>
        </w:tc>
        <w:tc>
          <w:tcPr>
            <w:tcW w:w="848"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shd w:val="clear" w:color="auto" w:fill="C7EDCC"/>
          </w:tcPr>
          <w:p>
            <w:pPr/>
          </w:p>
        </w:tc>
        <w:tc>
          <w:tcPr>
            <w:tcW w:w="524" w:type="dxa"/>
            <w:vMerge/>
            <w:tcBorders>
              <w:left w:val="single" w:sz="4" w:space="0" w:color="000000"/>
              <w:bottom w:val="single" w:sz="4" w:space="0" w:color="000000"/>
              <w:right w:val="single" w:sz="4" w:space="0" w:color="000000"/>
            </w:tcBorders>
            <w:shd w:val="clear" w:color="auto" w:fill="C7EDCC"/>
          </w:tcPr>
          <w:p>
            <w:pPr/>
          </w:p>
        </w:tc>
      </w:tr>
      <w:tr>
        <w:trPr>
          <w:trHeight w:val="318" w:hRule="exact"/>
        </w:trPr>
        <w:tc>
          <w:tcPr>
            <w:tcW w:w="808" w:type="dxa"/>
            <w:tcBorders>
              <w:top w:val="single" w:sz="4" w:space="0" w:color="000000"/>
              <w:left w:val="single" w:sz="4" w:space="0" w:color="000000"/>
              <w:bottom w:val="nil" w:sz="6" w:space="0" w:color="auto"/>
              <w:right w:val="single" w:sz="4" w:space="0" w:color="000000"/>
            </w:tcBorders>
          </w:tcPr>
          <w:p>
            <w:pPr/>
          </w:p>
        </w:tc>
        <w:tc>
          <w:tcPr>
            <w:tcW w:w="1321" w:type="dxa"/>
            <w:tcBorders>
              <w:top w:val="single" w:sz="4" w:space="0" w:color="000000"/>
              <w:left w:val="single" w:sz="4" w:space="0" w:color="000000"/>
              <w:bottom w:val="nil" w:sz="6" w:space="0" w:color="auto"/>
              <w:right w:val="single" w:sz="4" w:space="0" w:color="000000"/>
            </w:tcBorders>
            <w:shd w:val="clear" w:color="auto" w:fill="C7EDCC"/>
          </w:tcPr>
          <w:p>
            <w:pPr/>
          </w:p>
        </w:tc>
        <w:tc>
          <w:tcPr>
            <w:tcW w:w="565" w:type="dxa"/>
            <w:tcBorders>
              <w:top w:val="single" w:sz="4" w:space="0" w:color="000000"/>
              <w:left w:val="single" w:sz="4" w:space="0" w:color="000000"/>
              <w:bottom w:val="nil" w:sz="6" w:space="0" w:color="auto"/>
              <w:right w:val="single" w:sz="4" w:space="0" w:color="000000"/>
            </w:tcBorders>
            <w:shd w:val="clear" w:color="auto" w:fill="C7EDCC"/>
          </w:tcPr>
          <w:p>
            <w:pPr/>
          </w:p>
        </w:tc>
        <w:tc>
          <w:tcPr>
            <w:tcW w:w="935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pacing w:val="-2"/>
                <w:sz w:val="18"/>
                <w:szCs w:val="18"/>
              </w:rPr>
              <w:t>关于避免同业竞争的承诺：为避免今后与上市公司之间可能出现同业竞争，维护上市公司的利益，杭报集团与杭报集团</w:t>
            </w:r>
          </w:p>
        </w:tc>
        <w:tc>
          <w:tcPr>
            <w:tcW w:w="848" w:type="dxa"/>
            <w:tcBorders>
              <w:top w:val="single" w:sz="4" w:space="0" w:color="000000"/>
              <w:left w:val="single" w:sz="4" w:space="0" w:color="000000"/>
              <w:bottom w:val="nil" w:sz="6" w:space="0" w:color="auto"/>
              <w:right w:val="single" w:sz="4" w:space="0" w:color="000000"/>
            </w:tcBorders>
          </w:tcPr>
          <w:p>
            <w:pPr/>
          </w:p>
        </w:tc>
        <w:tc>
          <w:tcPr>
            <w:tcW w:w="845" w:type="dxa"/>
            <w:vMerge w:val="restart"/>
            <w:tcBorders>
              <w:top w:val="single" w:sz="4" w:space="0" w:color="000000"/>
              <w:left w:val="single" w:sz="4" w:space="0" w:color="000000"/>
              <w:right w:val="single" w:sz="4" w:space="0" w:color="000000"/>
            </w:tcBorders>
            <w:shd w:val="clear" w:color="auto" w:fill="C7EDCC"/>
          </w:tcPr>
          <w:p>
            <w:pPr/>
          </w:p>
        </w:tc>
        <w:tc>
          <w:tcPr>
            <w:tcW w:w="524"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12" w:hRule="exact"/>
        </w:trPr>
        <w:tc>
          <w:tcPr>
            <w:tcW w:w="808"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shd w:val="clear" w:color="auto" w:fill="C7EDCC"/>
          </w:tcPr>
          <w:p>
            <w:pPr/>
          </w:p>
        </w:tc>
        <w:tc>
          <w:tcPr>
            <w:tcW w:w="565" w:type="dxa"/>
            <w:tcBorders>
              <w:top w:val="nil" w:sz="6" w:space="0" w:color="auto"/>
              <w:left w:val="single" w:sz="4" w:space="0" w:color="000000"/>
              <w:bottom w:val="nil" w:sz="6" w:space="0" w:color="auto"/>
              <w:right w:val="single" w:sz="4" w:space="0" w:color="000000"/>
            </w:tcBorders>
            <w:shd w:val="clear" w:color="auto" w:fill="C7EDCC"/>
          </w:tcPr>
          <w:p>
            <w:pPr/>
          </w:p>
        </w:tc>
        <w:tc>
          <w:tcPr>
            <w:tcW w:w="93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2"/>
                <w:sz w:val="18"/>
                <w:szCs w:val="18"/>
              </w:rPr>
              <w:t>有限公司、都市快报社分别出具了关于避免同业竞争的承诺函：鉴于华智控股拟向杭州日报报业集团有限公司及都市快</w:t>
            </w:r>
          </w:p>
        </w:tc>
        <w:tc>
          <w:tcPr>
            <w:tcW w:w="848" w:type="dxa"/>
            <w:tcBorders>
              <w:top w:val="nil" w:sz="6" w:space="0" w:color="auto"/>
              <w:left w:val="single" w:sz="4" w:space="0" w:color="000000"/>
              <w:bottom w:val="nil" w:sz="6" w:space="0" w:color="auto"/>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808"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shd w:val="clear" w:color="auto" w:fill="C7EDCC"/>
          </w:tcPr>
          <w:p>
            <w:pPr/>
          </w:p>
        </w:tc>
        <w:tc>
          <w:tcPr>
            <w:tcW w:w="565" w:type="dxa"/>
            <w:tcBorders>
              <w:top w:val="nil" w:sz="6" w:space="0" w:color="auto"/>
              <w:left w:val="single" w:sz="4" w:space="0" w:color="000000"/>
              <w:bottom w:val="nil" w:sz="6" w:space="0" w:color="auto"/>
              <w:right w:val="single" w:sz="4" w:space="0" w:color="000000"/>
            </w:tcBorders>
            <w:shd w:val="clear" w:color="auto" w:fill="C7EDCC"/>
          </w:tcPr>
          <w:p>
            <w:pPr/>
          </w:p>
        </w:tc>
        <w:tc>
          <w:tcPr>
            <w:tcW w:w="93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2"/>
                <w:sz w:val="18"/>
                <w:szCs w:val="18"/>
              </w:rPr>
              <w:t>报社非公开发行股份购买资产，杭州日报报业集团有限公司将成为华智控股之控股股东，杭州日报报业集团（杭州日报</w:t>
            </w:r>
          </w:p>
        </w:tc>
        <w:tc>
          <w:tcPr>
            <w:tcW w:w="848" w:type="dxa"/>
            <w:tcBorders>
              <w:top w:val="nil" w:sz="6" w:space="0" w:color="auto"/>
              <w:left w:val="single" w:sz="4" w:space="0" w:color="000000"/>
              <w:bottom w:val="nil" w:sz="6" w:space="0" w:color="auto"/>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432" w:hRule="exact"/>
        </w:trPr>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316" w:lineRule="auto"/>
              <w:ind w:left="23" w:right="52"/>
              <w:jc w:val="both"/>
              <w:rPr>
                <w:rFonts w:ascii="宋体" w:hAnsi="宋体" w:cs="宋体" w:eastAsia="宋体" w:hint="default"/>
                <w:sz w:val="18"/>
                <w:szCs w:val="18"/>
              </w:rPr>
            </w:pPr>
            <w:r>
              <w:rPr>
                <w:rFonts w:ascii="宋体" w:hAnsi="宋体" w:cs="宋体" w:eastAsia="宋体" w:hint="default"/>
                <w:sz w:val="18"/>
                <w:szCs w:val="18"/>
              </w:rPr>
              <w:t>资产重组 时所作承 诺</w:t>
            </w:r>
          </w:p>
        </w:tc>
        <w:tc>
          <w:tcPr>
            <w:tcW w:w="132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00" w:lineRule="auto"/>
              <w:ind w:left="22" w:right="26"/>
              <w:jc w:val="both"/>
              <w:rPr>
                <w:rFonts w:ascii="宋体" w:hAnsi="宋体" w:cs="宋体" w:eastAsia="宋体" w:hint="default"/>
                <w:sz w:val="18"/>
                <w:szCs w:val="18"/>
              </w:rPr>
            </w:pPr>
            <w:r>
              <w:rPr>
                <w:rFonts w:ascii="宋体" w:hAnsi="宋体" w:cs="宋体" w:eastAsia="宋体" w:hint="default"/>
                <w:sz w:val="18"/>
                <w:szCs w:val="18"/>
              </w:rPr>
              <w:t>都市快报社</w:t>
            </w:r>
            <w:r>
              <w:rPr>
                <w:rFonts w:ascii="Times New Roman" w:hAnsi="Times New Roman" w:cs="Times New Roman" w:eastAsia="Times New Roman" w:hint="default"/>
                <w:sz w:val="18"/>
                <w:szCs w:val="18"/>
              </w:rPr>
              <w:t>;</w:t>
            </w:r>
            <w:r>
              <w:rPr>
                <w:rFonts w:ascii="宋体" w:hAnsi="宋体" w:cs="宋体" w:eastAsia="宋体" w:hint="default"/>
                <w:sz w:val="18"/>
                <w:szCs w:val="18"/>
              </w:rPr>
              <w:t>杭 州日报报业集团</w:t>
            </w:r>
          </w:p>
          <w:p>
            <w:pPr>
              <w:pStyle w:val="TableParagraph"/>
              <w:spacing w:line="309" w:lineRule="auto" w:before="31"/>
              <w:ind w:left="22" w:right="22"/>
              <w:jc w:val="both"/>
              <w:rPr>
                <w:rFonts w:ascii="宋体" w:hAnsi="宋体" w:cs="宋体" w:eastAsia="宋体" w:hint="default"/>
                <w:sz w:val="18"/>
                <w:szCs w:val="18"/>
              </w:rPr>
            </w:pPr>
            <w:r>
              <w:rPr>
                <w:rFonts w:ascii="宋体" w:hAnsi="宋体" w:cs="宋体" w:eastAsia="宋体" w:hint="default"/>
                <w:spacing w:val="-6"/>
                <w:sz w:val="18"/>
                <w:szCs w:val="18"/>
              </w:rPr>
              <w:t>（杭州日报社）</w:t>
            </w:r>
            <w:r>
              <w:rPr>
                <w:rFonts w:ascii="Times New Roman" w:hAnsi="Times New Roman" w:cs="Times New Roman" w:eastAsia="Times New Roman" w:hint="default"/>
                <w:spacing w:val="-6"/>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杭州日报报业集 团有限公司</w:t>
            </w:r>
          </w:p>
        </w:tc>
        <w:tc>
          <w:tcPr>
            <w:tcW w:w="56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 w:right="-8"/>
              <w:jc w:val="left"/>
              <w:rPr>
                <w:rFonts w:ascii="宋体" w:hAnsi="宋体" w:cs="宋体" w:eastAsia="宋体" w:hint="default"/>
                <w:sz w:val="18"/>
                <w:szCs w:val="18"/>
              </w:rPr>
            </w:pPr>
            <w:r>
              <w:rPr>
                <w:rFonts w:ascii="宋体" w:hAnsi="宋体" w:cs="宋体" w:eastAsia="宋体" w:hint="default"/>
                <w:sz w:val="18"/>
                <w:szCs w:val="18"/>
              </w:rPr>
              <w:t>关于 同业 竞争、 关联 交易、 资金 占用 方面 的承</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93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社</w:t>
            </w:r>
            <w:r>
              <w:rPr>
                <w:rFonts w:ascii="宋体" w:hAnsi="宋体" w:cs="宋体" w:eastAsia="宋体" w:hint="default"/>
                <w:spacing w:val="-5"/>
                <w:sz w:val="18"/>
                <w:szCs w:val="18"/>
              </w:rPr>
              <w:t>）</w:t>
            </w:r>
            <w:r>
              <w:rPr>
                <w:rFonts w:ascii="宋体" w:hAnsi="宋体" w:cs="宋体" w:eastAsia="宋体" w:hint="default"/>
                <w:sz w:val="18"/>
                <w:szCs w:val="18"/>
              </w:rPr>
              <w:t>将成为华智控股实际控制人</w:t>
            </w:r>
            <w:r>
              <w:rPr>
                <w:rFonts w:ascii="宋体" w:hAnsi="宋体" w:cs="宋体" w:eastAsia="宋体" w:hint="default"/>
                <w:spacing w:val="-5"/>
                <w:sz w:val="18"/>
                <w:szCs w:val="18"/>
              </w:rPr>
              <w:t>。</w:t>
            </w:r>
            <w:r>
              <w:rPr>
                <w:rFonts w:ascii="宋体" w:hAnsi="宋体" w:cs="宋体" w:eastAsia="宋体" w:hint="default"/>
                <w:sz w:val="18"/>
                <w:szCs w:val="18"/>
              </w:rPr>
              <w:t>在此基础上</w:t>
            </w:r>
            <w:r>
              <w:rPr>
                <w:rFonts w:ascii="宋体" w:hAnsi="宋体" w:cs="宋体" w:eastAsia="宋体" w:hint="default"/>
                <w:spacing w:val="-5"/>
                <w:sz w:val="18"/>
                <w:szCs w:val="18"/>
              </w:rPr>
              <w:t>，</w:t>
            </w:r>
            <w:r>
              <w:rPr>
                <w:rFonts w:ascii="宋体" w:hAnsi="宋体" w:cs="宋体" w:eastAsia="宋体" w:hint="default"/>
                <w:sz w:val="18"/>
                <w:szCs w:val="18"/>
              </w:rPr>
              <w:t>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本社承诺</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5"/>
                <w:sz w:val="18"/>
                <w:szCs w:val="18"/>
              </w:rPr>
              <w:t>）</w:t>
            </w:r>
            <w:r>
              <w:rPr>
                <w:rFonts w:ascii="宋体" w:hAnsi="宋体" w:cs="宋体" w:eastAsia="宋体" w:hint="default"/>
                <w:sz w:val="18"/>
                <w:szCs w:val="18"/>
              </w:rPr>
              <w:t>自本承诺函签署之日起</w:t>
            </w:r>
            <w:r>
              <w:rPr>
                <w:rFonts w:ascii="宋体" w:hAnsi="宋体" w:cs="宋体" w:eastAsia="宋体" w:hint="default"/>
                <w:spacing w:val="-5"/>
                <w:sz w:val="18"/>
                <w:szCs w:val="18"/>
              </w:rPr>
              <w:t>，</w:t>
            </w:r>
            <w:r>
              <w:rPr>
                <w:rFonts w:ascii="宋体" w:hAnsi="宋体" w:cs="宋体" w:eastAsia="宋体" w:hint="default"/>
                <w:sz w:val="18"/>
                <w:szCs w:val="18"/>
              </w:rPr>
              <w:t>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p>
          <w:p>
            <w:pPr>
              <w:pStyle w:val="TableParagraph"/>
              <w:spacing w:line="307" w:lineRule="auto" w:before="63"/>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本社将不会以任何方式直接或间接地从事与华智控股的业务及活动构成或可能构成竞争的业务及活动，也不会参与投 </w:t>
            </w:r>
            <w:r>
              <w:rPr>
                <w:rFonts w:ascii="宋体" w:hAnsi="宋体" w:cs="宋体" w:eastAsia="宋体" w:hint="default"/>
                <w:spacing w:val="-2"/>
                <w:sz w:val="18"/>
                <w:szCs w:val="18"/>
              </w:rPr>
              <w:t>资、拥有或控制任何与华智控股经营的业务及活动构成或可能构成竞争的任何法人及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或其他组织。（</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）如本集团</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本公</w:t>
            </w:r>
            <w:r>
              <w:rPr>
                <w:rFonts w:ascii="宋体" w:hAnsi="宋体" w:cs="宋体" w:eastAsia="宋体" w:hint="default"/>
                <w:spacing w:val="-72"/>
                <w:sz w:val="18"/>
                <w:szCs w:val="18"/>
              </w:rPr>
              <w:t> </w:t>
            </w:r>
            <w:r>
              <w:rPr>
                <w:rFonts w:ascii="宋体" w:hAnsi="宋体" w:cs="宋体" w:eastAsia="宋体" w:hint="default"/>
                <w:spacing w:val="-2"/>
                <w:sz w:val="18"/>
                <w:szCs w:val="18"/>
              </w:rPr>
              <w:t>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本社（包括本集团</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本社现有或将来以任何方式直接或间接地投资、拥有或控制的法人及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或其他组织）获得的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任何商业机会与华智控股所从事的业务及活动构成或可能构成竞争的，则本集团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本社将立即通知华智控股，并 优先将该商业机会给予华智控股。在本集团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本社与华智控股存在关联关系期间，本承诺函为有效之承诺。如上 述承诺被证明是不真实的或未被遵守，本集团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本社将向华智控股赔偿一切直接和间接损失，并承担相应的法律 </w:t>
            </w:r>
            <w:r>
              <w:rPr>
                <w:rFonts w:ascii="宋体" w:hAnsi="宋体" w:cs="宋体" w:eastAsia="宋体" w:hint="default"/>
                <w:spacing w:val="-2"/>
                <w:sz w:val="18"/>
                <w:szCs w:val="18"/>
              </w:rPr>
              <w:t>责任。关于减少和规范关联交易的承诺：为了减少和规范关联交易，维护上市公司及中小股东的合法权益，杭报集团及</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2"/>
                <w:sz w:val="18"/>
                <w:szCs w:val="18"/>
              </w:rPr>
              <w:t>杭报集团有限公司、都市快报社分别出具了关于规范与上市公司关联交易的承诺函：鉴于华智控股拟向杭州日报报业集</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团有限公司及都市快报社非公开发行股份购买资产，杭州日报报业集团有限公司及都市快报社将成为华智控股控股股 </w:t>
            </w:r>
            <w:r>
              <w:rPr>
                <w:rFonts w:ascii="宋体" w:hAnsi="宋体" w:cs="宋体" w:eastAsia="宋体" w:hint="default"/>
                <w:spacing w:val="-2"/>
                <w:sz w:val="18"/>
                <w:szCs w:val="18"/>
              </w:rPr>
              <w:t>东，杭州日报报业集团（杭州日报社）将成为华智控股实际控制人。在此基础上，为规范和减少关联交易，保护华智控</w:t>
            </w:r>
          </w:p>
        </w:tc>
        <w:tc>
          <w:tcPr>
            <w:tcW w:w="8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vMerge/>
            <w:tcBorders>
              <w:left w:val="single" w:sz="4" w:space="0" w:color="000000"/>
              <w:right w:val="single" w:sz="4" w:space="0" w:color="000000"/>
            </w:tcBorders>
            <w:shd w:val="clear" w:color="auto" w:fill="C7EDCC"/>
          </w:tcPr>
          <w:p>
            <w:pPr/>
          </w:p>
        </w:tc>
        <w:tc>
          <w:tcPr>
            <w:tcW w:w="52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履行 之中</w:t>
            </w:r>
          </w:p>
        </w:tc>
      </w:tr>
      <w:tr>
        <w:trPr>
          <w:trHeight w:val="317" w:hRule="exact"/>
        </w:trPr>
        <w:tc>
          <w:tcPr>
            <w:tcW w:w="808"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shd w:val="clear" w:color="auto" w:fill="C7EDCC"/>
          </w:tcPr>
          <w:p>
            <w:pPr/>
          </w:p>
        </w:tc>
        <w:tc>
          <w:tcPr>
            <w:tcW w:w="565" w:type="dxa"/>
            <w:tcBorders>
              <w:top w:val="nil" w:sz="6" w:space="0" w:color="auto"/>
              <w:left w:val="single" w:sz="4" w:space="0" w:color="000000"/>
              <w:bottom w:val="nil" w:sz="6" w:space="0" w:color="auto"/>
              <w:right w:val="single" w:sz="4" w:space="0" w:color="000000"/>
            </w:tcBorders>
            <w:shd w:val="clear" w:color="auto" w:fill="C7EDCC"/>
          </w:tcPr>
          <w:p>
            <w:pPr/>
          </w:p>
        </w:tc>
        <w:tc>
          <w:tcPr>
            <w:tcW w:w="93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股及其少数股东权益</w:t>
            </w:r>
            <w:r>
              <w:rPr>
                <w:rFonts w:ascii="宋体" w:hAnsi="宋体" w:cs="宋体" w:eastAsia="宋体" w:hint="default"/>
                <w:spacing w:val="-16"/>
                <w:sz w:val="18"/>
                <w:szCs w:val="18"/>
              </w:rPr>
              <w:t>，</w:t>
            </w:r>
            <w:r>
              <w:rPr>
                <w:rFonts w:ascii="宋体" w:hAnsi="宋体" w:cs="宋体" w:eastAsia="宋体" w:hint="default"/>
                <w:sz w:val="18"/>
                <w:szCs w:val="18"/>
              </w:rPr>
              <w:t>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r>
              <w:rPr>
                <w:rFonts w:ascii="宋体" w:hAnsi="宋体" w:cs="宋体" w:eastAsia="宋体" w:hint="default"/>
                <w:spacing w:val="-2"/>
                <w:sz w:val="18"/>
                <w:szCs w:val="18"/>
              </w:rPr>
              <w:t>社</w:t>
            </w:r>
            <w:r>
              <w:rPr>
                <w:rFonts w:ascii="宋体" w:hAnsi="宋体" w:cs="宋体" w:eastAsia="宋体" w:hint="default"/>
                <w:sz w:val="18"/>
                <w:szCs w:val="18"/>
              </w:rPr>
              <w:t>承诺如下</w:t>
            </w:r>
            <w:r>
              <w:rPr>
                <w:rFonts w:ascii="宋体" w:hAnsi="宋体" w:cs="宋体" w:eastAsia="宋体" w:hint="default"/>
                <w:spacing w:val="-106"/>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17"/>
                <w:sz w:val="18"/>
                <w:szCs w:val="18"/>
              </w:rPr>
              <w:t>）</w:t>
            </w:r>
            <w:r>
              <w:rPr>
                <w:rFonts w:ascii="宋体" w:hAnsi="宋体" w:cs="宋体" w:eastAsia="宋体" w:hint="default"/>
                <w:sz w:val="18"/>
                <w:szCs w:val="18"/>
              </w:rPr>
              <w:t>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本社及本集团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本社控制的法人及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w:t>
            </w:r>
          </w:p>
        </w:tc>
        <w:tc>
          <w:tcPr>
            <w:tcW w:w="848" w:type="dxa"/>
            <w:tcBorders>
              <w:top w:val="nil" w:sz="6" w:space="0" w:color="auto"/>
              <w:left w:val="single" w:sz="4" w:space="0" w:color="000000"/>
              <w:bottom w:val="nil" w:sz="6" w:space="0" w:color="auto"/>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808"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shd w:val="clear" w:color="auto" w:fill="C7EDCC"/>
          </w:tcPr>
          <w:p>
            <w:pPr/>
          </w:p>
        </w:tc>
        <w:tc>
          <w:tcPr>
            <w:tcW w:w="565" w:type="dxa"/>
            <w:tcBorders>
              <w:top w:val="nil" w:sz="6" w:space="0" w:color="auto"/>
              <w:left w:val="single" w:sz="4" w:space="0" w:color="000000"/>
              <w:bottom w:val="nil" w:sz="6" w:space="0" w:color="auto"/>
              <w:right w:val="single" w:sz="4" w:space="0" w:color="000000"/>
            </w:tcBorders>
            <w:shd w:val="clear" w:color="auto" w:fill="C7EDCC"/>
          </w:tcPr>
          <w:p>
            <w:pPr/>
          </w:p>
        </w:tc>
        <w:tc>
          <w:tcPr>
            <w:tcW w:w="93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他组织将尽量避免与华智控</w:t>
            </w:r>
            <w:r>
              <w:rPr>
                <w:rFonts w:ascii="宋体" w:hAnsi="宋体" w:cs="宋体" w:eastAsia="宋体" w:hint="default"/>
                <w:spacing w:val="-8"/>
                <w:sz w:val="18"/>
                <w:szCs w:val="18"/>
              </w:rPr>
              <w:t>股</w:t>
            </w:r>
            <w:r>
              <w:rPr>
                <w:rFonts w:ascii="宋体" w:hAnsi="宋体" w:cs="宋体" w:eastAsia="宋体" w:hint="default"/>
                <w:sz w:val="18"/>
                <w:szCs w:val="18"/>
              </w:rPr>
              <w:t>（包括其控制的法人及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或其他组织</w:t>
            </w:r>
            <w:r>
              <w:rPr>
                <w:rFonts w:ascii="宋体" w:hAnsi="宋体" w:cs="宋体" w:eastAsia="宋体" w:hint="default"/>
                <w:spacing w:val="-8"/>
                <w:sz w:val="18"/>
                <w:szCs w:val="18"/>
              </w:rPr>
              <w:t>）</w:t>
            </w:r>
            <w:r>
              <w:rPr>
                <w:rFonts w:ascii="宋体" w:hAnsi="宋体" w:cs="宋体" w:eastAsia="宋体" w:hint="default"/>
                <w:sz w:val="18"/>
                <w:szCs w:val="18"/>
              </w:rPr>
              <w:t>之间发生关联交易</w:t>
            </w:r>
            <w:r>
              <w:rPr>
                <w:rFonts w:ascii="宋体" w:hAnsi="宋体" w:cs="宋体" w:eastAsia="宋体" w:hint="default"/>
                <w:spacing w:val="-98"/>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8"/>
                <w:sz w:val="18"/>
                <w:szCs w:val="18"/>
              </w:rPr>
              <w:t>）</w:t>
            </w:r>
            <w:r>
              <w:rPr>
                <w:rFonts w:ascii="宋体" w:hAnsi="宋体" w:cs="宋体" w:eastAsia="宋体" w:hint="default"/>
                <w:sz w:val="18"/>
                <w:szCs w:val="18"/>
              </w:rPr>
              <w:t>如本集团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pacing w:val="-2"/>
                <w:sz w:val="18"/>
                <w:szCs w:val="18"/>
              </w:rPr>
              <w:t>本</w:t>
            </w:r>
            <w:r>
              <w:rPr>
                <w:rFonts w:ascii="宋体" w:hAnsi="宋体" w:cs="宋体" w:eastAsia="宋体" w:hint="default"/>
                <w:sz w:val="18"/>
                <w:szCs w:val="18"/>
              </w:rPr>
              <w:t>社及本</w:t>
            </w:r>
          </w:p>
        </w:tc>
        <w:tc>
          <w:tcPr>
            <w:tcW w:w="848" w:type="dxa"/>
            <w:tcBorders>
              <w:top w:val="nil" w:sz="6" w:space="0" w:color="auto"/>
              <w:left w:val="single" w:sz="4" w:space="0" w:color="000000"/>
              <w:bottom w:val="nil" w:sz="6" w:space="0" w:color="auto"/>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808" w:type="dxa"/>
            <w:tcBorders>
              <w:top w:val="nil" w:sz="6" w:space="0" w:color="auto"/>
              <w:left w:val="single" w:sz="4" w:space="0" w:color="000000"/>
              <w:bottom w:val="single" w:sz="4" w:space="0" w:color="000000"/>
              <w:right w:val="single" w:sz="4" w:space="0" w:color="000000"/>
            </w:tcBorders>
          </w:tcPr>
          <w:p>
            <w:pPr/>
          </w:p>
        </w:tc>
        <w:tc>
          <w:tcPr>
            <w:tcW w:w="1321" w:type="dxa"/>
            <w:tcBorders>
              <w:top w:val="nil" w:sz="6" w:space="0" w:color="auto"/>
              <w:left w:val="single" w:sz="4" w:space="0" w:color="000000"/>
              <w:bottom w:val="single" w:sz="4" w:space="0" w:color="000000"/>
              <w:right w:val="single" w:sz="4" w:space="0" w:color="000000"/>
            </w:tcBorders>
            <w:shd w:val="clear" w:color="auto" w:fill="C7EDCC"/>
          </w:tcPr>
          <w:p>
            <w:pPr/>
          </w:p>
        </w:tc>
        <w:tc>
          <w:tcPr>
            <w:tcW w:w="565" w:type="dxa"/>
            <w:tcBorders>
              <w:top w:val="nil" w:sz="6" w:space="0" w:color="auto"/>
              <w:left w:val="single" w:sz="4" w:space="0" w:color="000000"/>
              <w:bottom w:val="single" w:sz="4" w:space="0" w:color="000000"/>
              <w:right w:val="single" w:sz="4" w:space="0" w:color="000000"/>
            </w:tcBorders>
            <w:shd w:val="clear" w:color="auto" w:fill="C7EDCC"/>
          </w:tcPr>
          <w:p>
            <w:pPr/>
          </w:p>
        </w:tc>
        <w:tc>
          <w:tcPr>
            <w:tcW w:w="935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pacing w:val="-1"/>
                <w:sz w:val="18"/>
                <w:szCs w:val="18"/>
              </w:rPr>
              <w:t>集团</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本社控制的法人及</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或其他组织今后与华智控股不可避免地出现关联交易时，将依照市场规则，本着一般商</w:t>
            </w:r>
          </w:p>
        </w:tc>
        <w:tc>
          <w:tcPr>
            <w:tcW w:w="848" w:type="dxa"/>
            <w:tcBorders>
              <w:top w:val="nil" w:sz="6" w:space="0" w:color="auto"/>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shd w:val="clear" w:color="auto" w:fill="C7EDCC"/>
          </w:tcPr>
          <w:p>
            <w:pPr/>
          </w:p>
        </w:tc>
        <w:tc>
          <w:tcPr>
            <w:tcW w:w="524" w:type="dxa"/>
            <w:tcBorders>
              <w:top w:val="nil" w:sz="6" w:space="0" w:color="auto"/>
              <w:left w:val="single" w:sz="4" w:space="0" w:color="000000"/>
              <w:bottom w:val="single" w:sz="4" w:space="0" w:color="000000"/>
              <w:right w:val="single" w:sz="4" w:space="0" w:color="000000"/>
            </w:tcBorders>
            <w:shd w:val="clear" w:color="auto" w:fill="C7EDCC"/>
          </w:tcPr>
          <w:p>
            <w:pPr/>
          </w:p>
        </w:tc>
      </w:tr>
    </w:tbl>
    <w:p>
      <w:pPr>
        <w:spacing w:after="0"/>
        <w:sectPr>
          <w:headerReference w:type="default" r:id="rId16"/>
          <w:footerReference w:type="default" r:id="rId17"/>
          <w:pgSz w:w="16840" w:h="11910" w:orient="landscape"/>
          <w:pgMar w:header="867" w:footer="978" w:top="1060" w:bottom="1160" w:left="1040" w:right="1300"/>
          <w:pgNumType w:start="33"/>
        </w:sectPr>
      </w:pPr>
    </w:p>
    <w:p>
      <w:pPr>
        <w:spacing w:line="240" w:lineRule="auto" w:before="0"/>
        <w:rPr>
          <w:rFonts w:ascii="宋体" w:hAnsi="宋体" w:cs="宋体" w:eastAsia="宋体" w:hint="default"/>
          <w:sz w:val="20"/>
          <w:szCs w:val="20"/>
        </w:rPr>
      </w:pPr>
      <w:r>
        <w:rPr/>
        <w:pict>
          <v:shape style="position:absolute;margin-left:57.561008pt;margin-top:55.259998pt;width:714.15pt;height:470.95pt;mso-position-horizontal-relative:page;mso-position-vertical-relative:page;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07"/>
                    <w:gridCol w:w="1321"/>
                    <w:gridCol w:w="565"/>
                    <w:gridCol w:w="9358"/>
                    <w:gridCol w:w="848"/>
                    <w:gridCol w:w="845"/>
                    <w:gridCol w:w="524"/>
                  </w:tblGrid>
                  <w:tr>
                    <w:trPr>
                      <w:trHeight w:val="331" w:hRule="exact"/>
                    </w:trPr>
                    <w:tc>
                      <w:tcPr>
                        <w:tcW w:w="807" w:type="dxa"/>
                        <w:vMerge w:val="restart"/>
                        <w:tcBorders>
                          <w:top w:val="single" w:sz="15" w:space="0" w:color="000000"/>
                          <w:left w:val="single" w:sz="4" w:space="0" w:color="000000"/>
                          <w:right w:val="single" w:sz="4" w:space="0" w:color="000000"/>
                        </w:tcBorders>
                        <w:shd w:val="clear" w:color="auto" w:fill="D3D3D3"/>
                      </w:tcPr>
                      <w:p>
                        <w:pPr/>
                      </w:p>
                    </w:tc>
                    <w:tc>
                      <w:tcPr>
                        <w:tcW w:w="1321" w:type="dxa"/>
                        <w:vMerge w:val="restart"/>
                        <w:tcBorders>
                          <w:top w:val="single" w:sz="15" w:space="0" w:color="000000"/>
                          <w:left w:val="single" w:sz="4" w:space="0" w:color="000000"/>
                          <w:right w:val="single" w:sz="4" w:space="0" w:color="000000"/>
                        </w:tcBorders>
                        <w:shd w:val="clear" w:color="auto" w:fill="C7EDCC"/>
                      </w:tcPr>
                      <w:p>
                        <w:pPr/>
                      </w:p>
                    </w:tc>
                    <w:tc>
                      <w:tcPr>
                        <w:tcW w:w="565" w:type="dxa"/>
                        <w:vMerge w:val="restart"/>
                        <w:tcBorders>
                          <w:top w:val="single" w:sz="15" w:space="0" w:color="000000"/>
                          <w:left w:val="single" w:sz="4" w:space="0" w:color="000000"/>
                          <w:right w:val="single" w:sz="4" w:space="0" w:color="000000"/>
                        </w:tcBorders>
                        <w:shd w:val="clear" w:color="auto" w:fill="C7EDCC"/>
                      </w:tcPr>
                      <w:p>
                        <w:pPr/>
                      </w:p>
                    </w:tc>
                    <w:tc>
                      <w:tcPr>
                        <w:tcW w:w="9358" w:type="dxa"/>
                        <w:tcBorders>
                          <w:top w:val="single" w:sz="15" w:space="0" w:color="000000"/>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业原则，通过签订书面协议，并严格按照《中华人民共和国公司法</w:t>
                        </w:r>
                        <w:r>
                          <w:rPr>
                            <w:rFonts w:ascii="宋体" w:hAnsi="宋体" w:cs="宋体" w:eastAsia="宋体" w:hint="default"/>
                            <w:spacing w:val="-90"/>
                            <w:sz w:val="18"/>
                            <w:szCs w:val="18"/>
                          </w:rPr>
                          <w:t>》</w:t>
                        </w:r>
                        <w:r>
                          <w:rPr>
                            <w:rFonts w:ascii="宋体" w:hAnsi="宋体" w:cs="宋体" w:eastAsia="宋体" w:hint="default"/>
                            <w:sz w:val="18"/>
                            <w:szCs w:val="18"/>
                          </w:rPr>
                          <w:t>、华智控股公司章程及其关联交易管理制度所规定</w:t>
                        </w:r>
                      </w:p>
                    </w:tc>
                    <w:tc>
                      <w:tcPr>
                        <w:tcW w:w="848" w:type="dxa"/>
                        <w:vMerge w:val="restart"/>
                        <w:tcBorders>
                          <w:top w:val="single" w:sz="15" w:space="0" w:color="000000"/>
                          <w:left w:val="single" w:sz="4" w:space="0" w:color="000000"/>
                          <w:right w:val="single" w:sz="4" w:space="0" w:color="000000"/>
                        </w:tcBorders>
                      </w:tcPr>
                      <w:p>
                        <w:pPr/>
                      </w:p>
                    </w:tc>
                    <w:tc>
                      <w:tcPr>
                        <w:tcW w:w="845" w:type="dxa"/>
                        <w:vMerge w:val="restart"/>
                        <w:tcBorders>
                          <w:top w:val="single" w:sz="15" w:space="0" w:color="000000"/>
                          <w:left w:val="single" w:sz="4" w:space="0" w:color="000000"/>
                          <w:right w:val="single" w:sz="4" w:space="0" w:color="000000"/>
                        </w:tcBorders>
                        <w:shd w:val="clear" w:color="auto" w:fill="C7EDCC"/>
                      </w:tcPr>
                      <w:p>
                        <w:pPr/>
                      </w:p>
                    </w:tc>
                    <w:tc>
                      <w:tcPr>
                        <w:tcW w:w="524" w:type="dxa"/>
                        <w:vMerge w:val="restart"/>
                        <w:tcBorders>
                          <w:top w:val="single" w:sz="15" w:space="0" w:color="000000"/>
                          <w:left w:val="single" w:sz="4" w:space="0" w:color="000000"/>
                          <w:right w:val="single" w:sz="4" w:space="0" w:color="000000"/>
                        </w:tcBorders>
                        <w:shd w:val="clear" w:color="auto" w:fill="C7EDCC"/>
                      </w:tcPr>
                      <w:p>
                        <w:pPr/>
                      </w:p>
                    </w:tc>
                  </w:tr>
                  <w:tr>
                    <w:trPr>
                      <w:trHeight w:val="317" w:hRule="exact"/>
                    </w:trPr>
                    <w:tc>
                      <w:tcPr>
                        <w:tcW w:w="807" w:type="dxa"/>
                        <w:vMerge/>
                        <w:tcBorders>
                          <w:left w:val="single" w:sz="4" w:space="0" w:color="000000"/>
                          <w:right w:val="single" w:sz="4" w:space="0" w:color="000000"/>
                        </w:tcBorders>
                        <w:shd w:val="clear" w:color="auto" w:fill="D3D3D3"/>
                      </w:tcPr>
                      <w:p>
                        <w:pPr/>
                      </w:p>
                    </w:tc>
                    <w:tc>
                      <w:tcPr>
                        <w:tcW w:w="1321" w:type="dxa"/>
                        <w:vMerge/>
                        <w:tcBorders>
                          <w:left w:val="single" w:sz="4" w:space="0" w:color="000000"/>
                          <w:right w:val="single" w:sz="4" w:space="0" w:color="000000"/>
                        </w:tcBorders>
                        <w:shd w:val="clear" w:color="auto" w:fill="C7EDCC"/>
                      </w:tcPr>
                      <w:p>
                        <w:pPr/>
                      </w:p>
                    </w:tc>
                    <w:tc>
                      <w:tcPr>
                        <w:tcW w:w="565" w:type="dxa"/>
                        <w:vMerge/>
                        <w:tcBorders>
                          <w:left w:val="single" w:sz="4" w:space="0" w:color="000000"/>
                          <w:right w:val="single" w:sz="4" w:space="0" w:color="000000"/>
                        </w:tcBorders>
                        <w:shd w:val="clear" w:color="auto" w:fill="C7EDCC"/>
                      </w:tcPr>
                      <w:p>
                        <w:pPr/>
                      </w:p>
                    </w:tc>
                    <w:tc>
                      <w:tcPr>
                        <w:tcW w:w="93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的方式和程序履行关联交易审批程序，公平合理交易。涉及到本集团</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本社的关联交易，本集团</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本社将在</w:t>
                        </w:r>
                      </w:p>
                    </w:tc>
                    <w:tc>
                      <w:tcPr>
                        <w:tcW w:w="848"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vMerge/>
                        <w:tcBorders>
                          <w:left w:val="single" w:sz="4" w:space="0" w:color="000000"/>
                          <w:right w:val="single" w:sz="4" w:space="0" w:color="000000"/>
                        </w:tcBorders>
                        <w:shd w:val="clear" w:color="auto" w:fill="C7EDCC"/>
                      </w:tcPr>
                      <w:p>
                        <w:pPr/>
                      </w:p>
                    </w:tc>
                  </w:tr>
                  <w:tr>
                    <w:trPr>
                      <w:trHeight w:val="312" w:hRule="exact"/>
                    </w:trPr>
                    <w:tc>
                      <w:tcPr>
                        <w:tcW w:w="807" w:type="dxa"/>
                        <w:vMerge/>
                        <w:tcBorders>
                          <w:left w:val="single" w:sz="4" w:space="0" w:color="000000"/>
                          <w:right w:val="single" w:sz="4" w:space="0" w:color="000000"/>
                        </w:tcBorders>
                        <w:shd w:val="clear" w:color="auto" w:fill="D3D3D3"/>
                      </w:tcPr>
                      <w:p>
                        <w:pPr/>
                      </w:p>
                    </w:tc>
                    <w:tc>
                      <w:tcPr>
                        <w:tcW w:w="1321" w:type="dxa"/>
                        <w:vMerge/>
                        <w:tcBorders>
                          <w:left w:val="single" w:sz="4" w:space="0" w:color="000000"/>
                          <w:right w:val="single" w:sz="4" w:space="0" w:color="000000"/>
                        </w:tcBorders>
                        <w:shd w:val="clear" w:color="auto" w:fill="C7EDCC"/>
                      </w:tcPr>
                      <w:p>
                        <w:pPr/>
                      </w:p>
                    </w:tc>
                    <w:tc>
                      <w:tcPr>
                        <w:tcW w:w="565" w:type="dxa"/>
                        <w:vMerge/>
                        <w:tcBorders>
                          <w:left w:val="single" w:sz="4" w:space="0" w:color="000000"/>
                          <w:right w:val="single" w:sz="4" w:space="0" w:color="000000"/>
                        </w:tcBorders>
                        <w:shd w:val="clear" w:color="auto" w:fill="C7EDCC"/>
                      </w:tcPr>
                      <w:p>
                        <w:pPr/>
                      </w:p>
                    </w:tc>
                    <w:tc>
                      <w:tcPr>
                        <w:tcW w:w="93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相关股东大会中回避表决，不利用本集团</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本社在华智控股的股东地位，为本集团</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本社在与华智控股关联</w:t>
                        </w:r>
                      </w:p>
                    </w:tc>
                    <w:tc>
                      <w:tcPr>
                        <w:tcW w:w="848"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vMerge/>
                        <w:tcBorders>
                          <w:left w:val="single" w:sz="4" w:space="0" w:color="000000"/>
                          <w:right w:val="single" w:sz="4" w:space="0" w:color="000000"/>
                        </w:tcBorders>
                        <w:shd w:val="clear" w:color="auto" w:fill="C7EDCC"/>
                      </w:tcPr>
                      <w:p>
                        <w:pPr/>
                      </w:p>
                    </w:tc>
                  </w:tr>
                  <w:tr>
                    <w:trPr>
                      <w:trHeight w:val="312" w:hRule="exact"/>
                    </w:trPr>
                    <w:tc>
                      <w:tcPr>
                        <w:tcW w:w="807" w:type="dxa"/>
                        <w:vMerge/>
                        <w:tcBorders>
                          <w:left w:val="single" w:sz="4" w:space="0" w:color="000000"/>
                          <w:right w:val="single" w:sz="4" w:space="0" w:color="000000"/>
                        </w:tcBorders>
                        <w:shd w:val="clear" w:color="auto" w:fill="D3D3D3"/>
                      </w:tcPr>
                      <w:p>
                        <w:pPr/>
                      </w:p>
                    </w:tc>
                    <w:tc>
                      <w:tcPr>
                        <w:tcW w:w="1321" w:type="dxa"/>
                        <w:vMerge/>
                        <w:tcBorders>
                          <w:left w:val="single" w:sz="4" w:space="0" w:color="000000"/>
                          <w:right w:val="single" w:sz="4" w:space="0" w:color="000000"/>
                        </w:tcBorders>
                        <w:shd w:val="clear" w:color="auto" w:fill="C7EDCC"/>
                      </w:tcPr>
                      <w:p>
                        <w:pPr/>
                      </w:p>
                    </w:tc>
                    <w:tc>
                      <w:tcPr>
                        <w:tcW w:w="565" w:type="dxa"/>
                        <w:vMerge/>
                        <w:tcBorders>
                          <w:left w:val="single" w:sz="4" w:space="0" w:color="000000"/>
                          <w:right w:val="single" w:sz="4" w:space="0" w:color="000000"/>
                        </w:tcBorders>
                        <w:shd w:val="clear" w:color="auto" w:fill="C7EDCC"/>
                      </w:tcPr>
                      <w:p>
                        <w:pPr/>
                      </w:p>
                    </w:tc>
                    <w:tc>
                      <w:tcPr>
                        <w:tcW w:w="93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交易中谋取不正当利益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）保证不利用本集团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本社对华智控股的股东地位及重大影响，谋求华智控股在业务</w:t>
                        </w:r>
                      </w:p>
                    </w:tc>
                    <w:tc>
                      <w:tcPr>
                        <w:tcW w:w="848"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vMerge/>
                        <w:tcBorders>
                          <w:left w:val="single" w:sz="4" w:space="0" w:color="000000"/>
                          <w:right w:val="single" w:sz="4" w:space="0" w:color="000000"/>
                        </w:tcBorders>
                        <w:shd w:val="clear" w:color="auto" w:fill="C7EDCC"/>
                      </w:tcPr>
                      <w:p>
                        <w:pPr/>
                      </w:p>
                    </w:tc>
                  </w:tr>
                  <w:tr>
                    <w:trPr>
                      <w:trHeight w:val="312" w:hRule="exact"/>
                    </w:trPr>
                    <w:tc>
                      <w:tcPr>
                        <w:tcW w:w="807" w:type="dxa"/>
                        <w:vMerge/>
                        <w:tcBorders>
                          <w:left w:val="single" w:sz="4" w:space="0" w:color="000000"/>
                          <w:right w:val="single" w:sz="4" w:space="0" w:color="000000"/>
                        </w:tcBorders>
                        <w:shd w:val="clear" w:color="auto" w:fill="D3D3D3"/>
                      </w:tcPr>
                      <w:p>
                        <w:pPr/>
                      </w:p>
                    </w:tc>
                    <w:tc>
                      <w:tcPr>
                        <w:tcW w:w="1321" w:type="dxa"/>
                        <w:vMerge/>
                        <w:tcBorders>
                          <w:left w:val="single" w:sz="4" w:space="0" w:color="000000"/>
                          <w:right w:val="single" w:sz="4" w:space="0" w:color="000000"/>
                        </w:tcBorders>
                        <w:shd w:val="clear" w:color="auto" w:fill="C7EDCC"/>
                      </w:tcPr>
                      <w:p>
                        <w:pPr/>
                      </w:p>
                    </w:tc>
                    <w:tc>
                      <w:tcPr>
                        <w:tcW w:w="565" w:type="dxa"/>
                        <w:vMerge/>
                        <w:tcBorders>
                          <w:left w:val="single" w:sz="4" w:space="0" w:color="000000"/>
                          <w:right w:val="single" w:sz="4" w:space="0" w:color="000000"/>
                        </w:tcBorders>
                        <w:shd w:val="clear" w:color="auto" w:fill="C7EDCC"/>
                      </w:tcPr>
                      <w:p>
                        <w:pPr/>
                      </w:p>
                    </w:tc>
                    <w:tc>
                      <w:tcPr>
                        <w:tcW w:w="93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合作等方面给予本集团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本社优于市场第三方的权利</w:t>
                        </w:r>
                        <w:r>
                          <w:rPr>
                            <w:rFonts w:ascii="宋体" w:hAnsi="宋体" w:cs="宋体" w:eastAsia="宋体" w:hint="default"/>
                            <w:spacing w:val="-78"/>
                            <w:sz w:val="18"/>
                            <w:szCs w:val="18"/>
                          </w:rPr>
                          <w:t>，</w:t>
                        </w:r>
                        <w:r>
                          <w:rPr>
                            <w:rFonts w:ascii="宋体" w:hAnsi="宋体" w:cs="宋体" w:eastAsia="宋体" w:hint="default"/>
                            <w:sz w:val="18"/>
                            <w:szCs w:val="18"/>
                          </w:rPr>
                          <w:t>不利用本集团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r>
                          <w:rPr>
                            <w:rFonts w:ascii="宋体" w:hAnsi="宋体" w:cs="宋体" w:eastAsia="宋体" w:hint="default"/>
                            <w:spacing w:val="-2"/>
                            <w:sz w:val="18"/>
                            <w:szCs w:val="18"/>
                          </w:rPr>
                          <w:t>社</w:t>
                        </w:r>
                        <w:r>
                          <w:rPr>
                            <w:rFonts w:ascii="宋体" w:hAnsi="宋体" w:cs="宋体" w:eastAsia="宋体" w:hint="default"/>
                            <w:sz w:val="18"/>
                            <w:szCs w:val="18"/>
                          </w:rPr>
                          <w:t>对华智控股的股东地位及重大影</w:t>
                        </w:r>
                      </w:p>
                    </w:tc>
                    <w:tc>
                      <w:tcPr>
                        <w:tcW w:w="848"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vMerge/>
                        <w:tcBorders>
                          <w:left w:val="single" w:sz="4" w:space="0" w:color="000000"/>
                          <w:right w:val="single" w:sz="4" w:space="0" w:color="000000"/>
                        </w:tcBorders>
                        <w:shd w:val="clear" w:color="auto" w:fill="C7EDCC"/>
                      </w:tcPr>
                      <w:p>
                        <w:pPr/>
                      </w:p>
                    </w:tc>
                  </w:tr>
                  <w:tr>
                    <w:trPr>
                      <w:trHeight w:val="312" w:hRule="exact"/>
                    </w:trPr>
                    <w:tc>
                      <w:tcPr>
                        <w:tcW w:w="807" w:type="dxa"/>
                        <w:vMerge/>
                        <w:tcBorders>
                          <w:left w:val="single" w:sz="4" w:space="0" w:color="000000"/>
                          <w:right w:val="single" w:sz="4" w:space="0" w:color="000000"/>
                        </w:tcBorders>
                        <w:shd w:val="clear" w:color="auto" w:fill="D3D3D3"/>
                      </w:tcPr>
                      <w:p>
                        <w:pPr/>
                      </w:p>
                    </w:tc>
                    <w:tc>
                      <w:tcPr>
                        <w:tcW w:w="1321" w:type="dxa"/>
                        <w:vMerge/>
                        <w:tcBorders>
                          <w:left w:val="single" w:sz="4" w:space="0" w:color="000000"/>
                          <w:right w:val="single" w:sz="4" w:space="0" w:color="000000"/>
                        </w:tcBorders>
                        <w:shd w:val="clear" w:color="auto" w:fill="C7EDCC"/>
                      </w:tcPr>
                      <w:p>
                        <w:pPr/>
                      </w:p>
                    </w:tc>
                    <w:tc>
                      <w:tcPr>
                        <w:tcW w:w="565" w:type="dxa"/>
                        <w:vMerge/>
                        <w:tcBorders>
                          <w:left w:val="single" w:sz="4" w:space="0" w:color="000000"/>
                          <w:right w:val="single" w:sz="4" w:space="0" w:color="000000"/>
                        </w:tcBorders>
                        <w:shd w:val="clear" w:color="auto" w:fill="C7EDCC"/>
                      </w:tcPr>
                      <w:p>
                        <w:pPr/>
                      </w:p>
                    </w:tc>
                    <w:tc>
                      <w:tcPr>
                        <w:tcW w:w="93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响</w:t>
                        </w:r>
                        <w:r>
                          <w:rPr>
                            <w:rFonts w:ascii="宋体" w:hAnsi="宋体" w:cs="宋体" w:eastAsia="宋体" w:hint="default"/>
                            <w:spacing w:val="-10"/>
                            <w:sz w:val="18"/>
                            <w:szCs w:val="18"/>
                          </w:rPr>
                          <w:t>，</w:t>
                        </w:r>
                        <w:r>
                          <w:rPr>
                            <w:rFonts w:ascii="宋体" w:hAnsi="宋体" w:cs="宋体" w:eastAsia="宋体" w:hint="default"/>
                            <w:sz w:val="18"/>
                            <w:szCs w:val="18"/>
                          </w:rPr>
                          <w:t>谋求与华智控股达成交易的优先权利</w:t>
                        </w:r>
                        <w:r>
                          <w:rPr>
                            <w:rFonts w:ascii="宋体" w:hAnsi="宋体" w:cs="宋体" w:eastAsia="宋体" w:hint="default"/>
                            <w:spacing w:val="-10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10"/>
                            <w:sz w:val="18"/>
                            <w:szCs w:val="18"/>
                          </w:rPr>
                          <w:t>）</w:t>
                        </w:r>
                        <w:r>
                          <w:rPr>
                            <w:rFonts w:ascii="宋体" w:hAnsi="宋体" w:cs="宋体" w:eastAsia="宋体" w:hint="default"/>
                            <w:sz w:val="18"/>
                            <w:szCs w:val="18"/>
                          </w:rPr>
                          <w:t>根</w:t>
                        </w:r>
                        <w:r>
                          <w:rPr>
                            <w:rFonts w:ascii="宋体" w:hAnsi="宋体" w:cs="宋体" w:eastAsia="宋体" w:hint="default"/>
                            <w:spacing w:val="-10"/>
                            <w:sz w:val="18"/>
                            <w:szCs w:val="18"/>
                          </w:rPr>
                          <w:t>据</w:t>
                        </w:r>
                        <w:r>
                          <w:rPr>
                            <w:rFonts w:ascii="宋体" w:hAnsi="宋体" w:cs="宋体" w:eastAsia="宋体" w:hint="default"/>
                            <w:sz w:val="18"/>
                            <w:szCs w:val="18"/>
                          </w:rPr>
                          <w:t>《中华人民共和国公司法</w:t>
                        </w:r>
                        <w:r>
                          <w:rPr>
                            <w:rFonts w:ascii="宋体" w:hAnsi="宋体" w:cs="宋体" w:eastAsia="宋体" w:hint="default"/>
                            <w:spacing w:val="-90"/>
                            <w:sz w:val="18"/>
                            <w:szCs w:val="18"/>
                          </w:rPr>
                          <w:t>》</w:t>
                        </w:r>
                        <w:r>
                          <w:rPr>
                            <w:rFonts w:ascii="宋体" w:hAnsi="宋体" w:cs="宋体" w:eastAsia="宋体" w:hint="default"/>
                            <w:spacing w:val="-100"/>
                            <w:sz w:val="18"/>
                            <w:szCs w:val="18"/>
                          </w:rPr>
                          <w:t>、</w:t>
                        </w:r>
                        <w:r>
                          <w:rPr>
                            <w:rFonts w:ascii="宋体" w:hAnsi="宋体" w:cs="宋体" w:eastAsia="宋体" w:hint="default"/>
                            <w:sz w:val="18"/>
                            <w:szCs w:val="18"/>
                          </w:rPr>
                          <w:t>《深圳证券交易所股票上市规则</w:t>
                        </w:r>
                        <w:r>
                          <w:rPr>
                            <w:rFonts w:ascii="宋体" w:hAnsi="宋体" w:cs="宋体" w:eastAsia="宋体" w:hint="default"/>
                            <w:spacing w:val="-10"/>
                            <w:sz w:val="18"/>
                            <w:szCs w:val="18"/>
                          </w:rPr>
                          <w:t>》</w:t>
                        </w:r>
                        <w:r>
                          <w:rPr>
                            <w:rFonts w:ascii="宋体" w:hAnsi="宋体" w:cs="宋体" w:eastAsia="宋体" w:hint="default"/>
                            <w:sz w:val="18"/>
                            <w:szCs w:val="18"/>
                          </w:rPr>
                          <w:t>等有</w:t>
                        </w:r>
                      </w:p>
                    </w:tc>
                    <w:tc>
                      <w:tcPr>
                        <w:tcW w:w="848"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vMerge/>
                        <w:tcBorders>
                          <w:left w:val="single" w:sz="4" w:space="0" w:color="000000"/>
                          <w:right w:val="single" w:sz="4" w:space="0" w:color="000000"/>
                        </w:tcBorders>
                        <w:shd w:val="clear" w:color="auto" w:fill="C7EDCC"/>
                      </w:tcPr>
                      <w:p>
                        <w:pPr/>
                      </w:p>
                    </w:tc>
                  </w:tr>
                  <w:tr>
                    <w:trPr>
                      <w:trHeight w:val="307" w:hRule="exact"/>
                    </w:trPr>
                    <w:tc>
                      <w:tcPr>
                        <w:tcW w:w="807" w:type="dxa"/>
                        <w:vMerge/>
                        <w:tcBorders>
                          <w:left w:val="single" w:sz="4" w:space="0" w:color="000000"/>
                          <w:right w:val="single" w:sz="4" w:space="0" w:color="000000"/>
                        </w:tcBorders>
                        <w:shd w:val="clear" w:color="auto" w:fill="D3D3D3"/>
                      </w:tcPr>
                      <w:p>
                        <w:pPr/>
                      </w:p>
                    </w:tc>
                    <w:tc>
                      <w:tcPr>
                        <w:tcW w:w="1321" w:type="dxa"/>
                        <w:vMerge/>
                        <w:tcBorders>
                          <w:left w:val="single" w:sz="4" w:space="0" w:color="000000"/>
                          <w:right w:val="single" w:sz="4" w:space="0" w:color="000000"/>
                        </w:tcBorders>
                        <w:shd w:val="clear" w:color="auto" w:fill="C7EDCC"/>
                      </w:tcPr>
                      <w:p>
                        <w:pPr/>
                      </w:p>
                    </w:tc>
                    <w:tc>
                      <w:tcPr>
                        <w:tcW w:w="565" w:type="dxa"/>
                        <w:vMerge/>
                        <w:tcBorders>
                          <w:left w:val="single" w:sz="4" w:space="0" w:color="000000"/>
                          <w:right w:val="single" w:sz="4" w:space="0" w:color="000000"/>
                        </w:tcBorders>
                        <w:shd w:val="clear" w:color="auto" w:fill="C7EDCC"/>
                      </w:tcPr>
                      <w:p>
                        <w:pPr/>
                      </w:p>
                    </w:tc>
                    <w:tc>
                      <w:tcPr>
                        <w:tcW w:w="93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关法律、法规、规范性文件和华智控股章程的规定，督促华智控股依法履行信息披露义务和办理有关报批程序。在本集</w:t>
                        </w:r>
                      </w:p>
                    </w:tc>
                    <w:tc>
                      <w:tcPr>
                        <w:tcW w:w="848"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vMerge/>
                        <w:tcBorders>
                          <w:left w:val="single" w:sz="4" w:space="0" w:color="000000"/>
                          <w:right w:val="single" w:sz="4" w:space="0" w:color="000000"/>
                        </w:tcBorders>
                        <w:shd w:val="clear" w:color="auto" w:fill="C7EDCC"/>
                      </w:tcPr>
                      <w:p>
                        <w:pPr/>
                      </w:p>
                    </w:tc>
                  </w:tr>
                  <w:tr>
                    <w:trPr>
                      <w:trHeight w:val="317" w:hRule="exact"/>
                    </w:trPr>
                    <w:tc>
                      <w:tcPr>
                        <w:tcW w:w="807" w:type="dxa"/>
                        <w:vMerge/>
                        <w:tcBorders>
                          <w:left w:val="single" w:sz="4" w:space="0" w:color="000000"/>
                          <w:right w:val="single" w:sz="4" w:space="0" w:color="000000"/>
                        </w:tcBorders>
                        <w:shd w:val="clear" w:color="auto" w:fill="D3D3D3"/>
                      </w:tcPr>
                      <w:p>
                        <w:pPr/>
                      </w:p>
                    </w:tc>
                    <w:tc>
                      <w:tcPr>
                        <w:tcW w:w="1321" w:type="dxa"/>
                        <w:vMerge/>
                        <w:tcBorders>
                          <w:left w:val="single" w:sz="4" w:space="0" w:color="000000"/>
                          <w:right w:val="single" w:sz="4" w:space="0" w:color="000000"/>
                        </w:tcBorders>
                        <w:shd w:val="clear" w:color="auto" w:fill="C7EDCC"/>
                      </w:tcPr>
                      <w:p>
                        <w:pPr/>
                      </w:p>
                    </w:tc>
                    <w:tc>
                      <w:tcPr>
                        <w:tcW w:w="565" w:type="dxa"/>
                        <w:vMerge/>
                        <w:tcBorders>
                          <w:left w:val="single" w:sz="4" w:space="0" w:color="000000"/>
                          <w:right w:val="single" w:sz="4" w:space="0" w:color="000000"/>
                        </w:tcBorders>
                        <w:shd w:val="clear" w:color="auto" w:fill="C7EDCC"/>
                      </w:tcPr>
                      <w:p>
                        <w:pPr/>
                      </w:p>
                    </w:tc>
                    <w:tc>
                      <w:tcPr>
                        <w:tcW w:w="93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本社与华智控股存在关联关系期间，本承诺函为有效之承诺。如上述承诺被证明是不真实的或未被遵守，本</w:t>
                        </w:r>
                      </w:p>
                    </w:tc>
                    <w:tc>
                      <w:tcPr>
                        <w:tcW w:w="848"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vMerge/>
                        <w:tcBorders>
                          <w:left w:val="single" w:sz="4" w:space="0" w:color="000000"/>
                          <w:right w:val="single" w:sz="4" w:space="0" w:color="000000"/>
                        </w:tcBorders>
                        <w:shd w:val="clear" w:color="auto" w:fill="C7EDCC"/>
                      </w:tcPr>
                      <w:p>
                        <w:pPr/>
                      </w:p>
                    </w:tc>
                  </w:tr>
                  <w:tr>
                    <w:trPr>
                      <w:trHeight w:val="312" w:hRule="exact"/>
                    </w:trPr>
                    <w:tc>
                      <w:tcPr>
                        <w:tcW w:w="807" w:type="dxa"/>
                        <w:vMerge/>
                        <w:tcBorders>
                          <w:left w:val="single" w:sz="4" w:space="0" w:color="000000"/>
                          <w:right w:val="single" w:sz="4" w:space="0" w:color="000000"/>
                        </w:tcBorders>
                        <w:shd w:val="clear" w:color="auto" w:fill="D3D3D3"/>
                      </w:tcPr>
                      <w:p>
                        <w:pPr/>
                      </w:p>
                    </w:tc>
                    <w:tc>
                      <w:tcPr>
                        <w:tcW w:w="1321" w:type="dxa"/>
                        <w:vMerge/>
                        <w:tcBorders>
                          <w:left w:val="single" w:sz="4" w:space="0" w:color="000000"/>
                          <w:right w:val="single" w:sz="4" w:space="0" w:color="000000"/>
                        </w:tcBorders>
                        <w:shd w:val="clear" w:color="auto" w:fill="C7EDCC"/>
                      </w:tcPr>
                      <w:p>
                        <w:pPr/>
                      </w:p>
                    </w:tc>
                    <w:tc>
                      <w:tcPr>
                        <w:tcW w:w="565" w:type="dxa"/>
                        <w:vMerge/>
                        <w:tcBorders>
                          <w:left w:val="single" w:sz="4" w:space="0" w:color="000000"/>
                          <w:right w:val="single" w:sz="4" w:space="0" w:color="000000"/>
                        </w:tcBorders>
                        <w:shd w:val="clear" w:color="auto" w:fill="C7EDCC"/>
                      </w:tcPr>
                      <w:p>
                        <w:pPr/>
                      </w:p>
                    </w:tc>
                    <w:tc>
                      <w:tcPr>
                        <w:tcW w:w="93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本社将向华智控股赔偿一切直接和间接损失，并承担相应的法律责任。关于维护上市公司独立性的承诺：</w:t>
                        </w:r>
                      </w:p>
                    </w:tc>
                    <w:tc>
                      <w:tcPr>
                        <w:tcW w:w="848"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vMerge/>
                        <w:tcBorders>
                          <w:left w:val="single" w:sz="4" w:space="0" w:color="000000"/>
                          <w:right w:val="single" w:sz="4" w:space="0" w:color="000000"/>
                        </w:tcBorders>
                        <w:shd w:val="clear" w:color="auto" w:fill="C7EDCC"/>
                      </w:tcPr>
                      <w:p>
                        <w:pPr/>
                      </w:p>
                    </w:tc>
                  </w:tr>
                  <w:tr>
                    <w:trPr>
                      <w:trHeight w:val="307" w:hRule="exact"/>
                    </w:trPr>
                    <w:tc>
                      <w:tcPr>
                        <w:tcW w:w="807" w:type="dxa"/>
                        <w:vMerge/>
                        <w:tcBorders>
                          <w:left w:val="single" w:sz="4" w:space="0" w:color="000000"/>
                          <w:right w:val="single" w:sz="4" w:space="0" w:color="000000"/>
                        </w:tcBorders>
                        <w:shd w:val="clear" w:color="auto" w:fill="D3D3D3"/>
                      </w:tcPr>
                      <w:p>
                        <w:pPr/>
                      </w:p>
                    </w:tc>
                    <w:tc>
                      <w:tcPr>
                        <w:tcW w:w="1321" w:type="dxa"/>
                        <w:vMerge/>
                        <w:tcBorders>
                          <w:left w:val="single" w:sz="4" w:space="0" w:color="000000"/>
                          <w:right w:val="single" w:sz="4" w:space="0" w:color="000000"/>
                        </w:tcBorders>
                        <w:shd w:val="clear" w:color="auto" w:fill="C7EDCC"/>
                      </w:tcPr>
                      <w:p>
                        <w:pPr/>
                      </w:p>
                    </w:tc>
                    <w:tc>
                      <w:tcPr>
                        <w:tcW w:w="565" w:type="dxa"/>
                        <w:vMerge/>
                        <w:tcBorders>
                          <w:left w:val="single" w:sz="4" w:space="0" w:color="000000"/>
                          <w:right w:val="single" w:sz="4" w:space="0" w:color="000000"/>
                        </w:tcBorders>
                        <w:shd w:val="clear" w:color="auto" w:fill="C7EDCC"/>
                      </w:tcPr>
                      <w:p>
                        <w:pPr/>
                      </w:p>
                    </w:tc>
                    <w:tc>
                      <w:tcPr>
                        <w:tcW w:w="93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杭报集团承诺：在本次非公开发行股份购买资产完成后，杭报集团将保证上市公司建立健全股份公司法人治理结构，拥</w:t>
                        </w:r>
                      </w:p>
                    </w:tc>
                    <w:tc>
                      <w:tcPr>
                        <w:tcW w:w="848"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vMerge/>
                        <w:tcBorders>
                          <w:left w:val="single" w:sz="4" w:space="0" w:color="000000"/>
                          <w:right w:val="single" w:sz="4" w:space="0" w:color="000000"/>
                        </w:tcBorders>
                        <w:shd w:val="clear" w:color="auto" w:fill="C7EDCC"/>
                      </w:tcPr>
                      <w:p>
                        <w:pPr/>
                      </w:p>
                    </w:tc>
                  </w:tr>
                  <w:tr>
                    <w:trPr>
                      <w:trHeight w:val="312" w:hRule="exact"/>
                    </w:trPr>
                    <w:tc>
                      <w:tcPr>
                        <w:tcW w:w="807" w:type="dxa"/>
                        <w:vMerge/>
                        <w:tcBorders>
                          <w:left w:val="single" w:sz="4" w:space="0" w:color="000000"/>
                          <w:right w:val="single" w:sz="4" w:space="0" w:color="000000"/>
                        </w:tcBorders>
                        <w:shd w:val="clear" w:color="auto" w:fill="D3D3D3"/>
                      </w:tcPr>
                      <w:p>
                        <w:pPr/>
                      </w:p>
                    </w:tc>
                    <w:tc>
                      <w:tcPr>
                        <w:tcW w:w="1321" w:type="dxa"/>
                        <w:vMerge/>
                        <w:tcBorders>
                          <w:left w:val="single" w:sz="4" w:space="0" w:color="000000"/>
                          <w:right w:val="single" w:sz="4" w:space="0" w:color="000000"/>
                        </w:tcBorders>
                        <w:shd w:val="clear" w:color="auto" w:fill="C7EDCC"/>
                      </w:tcPr>
                      <w:p>
                        <w:pPr/>
                      </w:p>
                    </w:tc>
                    <w:tc>
                      <w:tcPr>
                        <w:tcW w:w="565" w:type="dxa"/>
                        <w:vMerge/>
                        <w:tcBorders>
                          <w:left w:val="single" w:sz="4" w:space="0" w:color="000000"/>
                          <w:right w:val="single" w:sz="4" w:space="0" w:color="000000"/>
                        </w:tcBorders>
                        <w:shd w:val="clear" w:color="auto" w:fill="C7EDCC"/>
                      </w:tcPr>
                      <w:p>
                        <w:pPr/>
                      </w:p>
                    </w:tc>
                    <w:tc>
                      <w:tcPr>
                        <w:tcW w:w="93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有独立、完整的组织机构；保证上市公司的股东大会、董事会、独立董事、监事会、总经理等依照法律、法规和公司章</w:t>
                        </w:r>
                      </w:p>
                    </w:tc>
                    <w:tc>
                      <w:tcPr>
                        <w:tcW w:w="848"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vMerge/>
                        <w:tcBorders>
                          <w:left w:val="single" w:sz="4" w:space="0" w:color="000000"/>
                          <w:right w:val="single" w:sz="4" w:space="0" w:color="000000"/>
                        </w:tcBorders>
                        <w:shd w:val="clear" w:color="auto" w:fill="C7EDCC"/>
                      </w:tcPr>
                      <w:p>
                        <w:pPr/>
                      </w:p>
                    </w:tc>
                  </w:tr>
                  <w:tr>
                    <w:trPr>
                      <w:trHeight w:val="312" w:hRule="exact"/>
                    </w:trPr>
                    <w:tc>
                      <w:tcPr>
                        <w:tcW w:w="807" w:type="dxa"/>
                        <w:vMerge/>
                        <w:tcBorders>
                          <w:left w:val="single" w:sz="4" w:space="0" w:color="000000"/>
                          <w:right w:val="single" w:sz="4" w:space="0" w:color="000000"/>
                        </w:tcBorders>
                        <w:shd w:val="clear" w:color="auto" w:fill="D3D3D3"/>
                      </w:tcPr>
                      <w:p>
                        <w:pPr/>
                      </w:p>
                    </w:tc>
                    <w:tc>
                      <w:tcPr>
                        <w:tcW w:w="1321" w:type="dxa"/>
                        <w:vMerge/>
                        <w:tcBorders>
                          <w:left w:val="single" w:sz="4" w:space="0" w:color="000000"/>
                          <w:right w:val="single" w:sz="4" w:space="0" w:color="000000"/>
                        </w:tcBorders>
                        <w:shd w:val="clear" w:color="auto" w:fill="C7EDCC"/>
                      </w:tcPr>
                      <w:p>
                        <w:pPr/>
                      </w:p>
                    </w:tc>
                    <w:tc>
                      <w:tcPr>
                        <w:tcW w:w="565" w:type="dxa"/>
                        <w:vMerge/>
                        <w:tcBorders>
                          <w:left w:val="single" w:sz="4" w:space="0" w:color="000000"/>
                          <w:right w:val="single" w:sz="4" w:space="0" w:color="000000"/>
                        </w:tcBorders>
                        <w:shd w:val="clear" w:color="auto" w:fill="C7EDCC"/>
                      </w:tcPr>
                      <w:p>
                        <w:pPr/>
                      </w:p>
                    </w:tc>
                    <w:tc>
                      <w:tcPr>
                        <w:tcW w:w="93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程独立行使职权；保证从业务、资产、财务、人员、机构等方面保障上市公司的独立性。杭报集团承诺：在作为华智控</w:t>
                        </w:r>
                      </w:p>
                    </w:tc>
                    <w:tc>
                      <w:tcPr>
                        <w:tcW w:w="848"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vMerge/>
                        <w:tcBorders>
                          <w:left w:val="single" w:sz="4" w:space="0" w:color="000000"/>
                          <w:right w:val="single" w:sz="4" w:space="0" w:color="000000"/>
                        </w:tcBorders>
                        <w:shd w:val="clear" w:color="auto" w:fill="C7EDCC"/>
                      </w:tcPr>
                      <w:p>
                        <w:pPr/>
                      </w:p>
                    </w:tc>
                  </w:tr>
                  <w:tr>
                    <w:trPr>
                      <w:trHeight w:val="312" w:hRule="exact"/>
                    </w:trPr>
                    <w:tc>
                      <w:tcPr>
                        <w:tcW w:w="807" w:type="dxa"/>
                        <w:vMerge/>
                        <w:tcBorders>
                          <w:left w:val="single" w:sz="4" w:space="0" w:color="000000"/>
                          <w:right w:val="single" w:sz="4" w:space="0" w:color="000000"/>
                        </w:tcBorders>
                        <w:shd w:val="clear" w:color="auto" w:fill="D3D3D3"/>
                      </w:tcPr>
                      <w:p>
                        <w:pPr/>
                      </w:p>
                    </w:tc>
                    <w:tc>
                      <w:tcPr>
                        <w:tcW w:w="1321" w:type="dxa"/>
                        <w:vMerge/>
                        <w:tcBorders>
                          <w:left w:val="single" w:sz="4" w:space="0" w:color="000000"/>
                          <w:right w:val="single" w:sz="4" w:space="0" w:color="000000"/>
                        </w:tcBorders>
                        <w:shd w:val="clear" w:color="auto" w:fill="C7EDCC"/>
                      </w:tcPr>
                      <w:p>
                        <w:pPr/>
                      </w:p>
                    </w:tc>
                    <w:tc>
                      <w:tcPr>
                        <w:tcW w:w="565" w:type="dxa"/>
                        <w:vMerge/>
                        <w:tcBorders>
                          <w:left w:val="single" w:sz="4" w:space="0" w:color="000000"/>
                          <w:right w:val="single" w:sz="4" w:space="0" w:color="000000"/>
                        </w:tcBorders>
                        <w:shd w:val="clear" w:color="auto" w:fill="C7EDCC"/>
                      </w:tcPr>
                      <w:p>
                        <w:pPr/>
                      </w:p>
                    </w:tc>
                    <w:tc>
                      <w:tcPr>
                        <w:tcW w:w="93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股实际控制人期间，杭报集团以及其直接或间接控制的企业均不以代垫费用或其他支出、直接或间接借款、代偿债务等</w:t>
                        </w:r>
                      </w:p>
                    </w:tc>
                    <w:tc>
                      <w:tcPr>
                        <w:tcW w:w="848"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vMerge/>
                        <w:tcBorders>
                          <w:left w:val="single" w:sz="4" w:space="0" w:color="000000"/>
                          <w:right w:val="single" w:sz="4" w:space="0" w:color="000000"/>
                        </w:tcBorders>
                        <w:shd w:val="clear" w:color="auto" w:fill="C7EDCC"/>
                      </w:tcPr>
                      <w:p>
                        <w:pPr/>
                      </w:p>
                    </w:tc>
                  </w:tr>
                  <w:tr>
                    <w:trPr>
                      <w:trHeight w:val="312" w:hRule="exact"/>
                    </w:trPr>
                    <w:tc>
                      <w:tcPr>
                        <w:tcW w:w="807" w:type="dxa"/>
                        <w:vMerge/>
                        <w:tcBorders>
                          <w:left w:val="single" w:sz="4" w:space="0" w:color="000000"/>
                          <w:right w:val="single" w:sz="4" w:space="0" w:color="000000"/>
                        </w:tcBorders>
                        <w:shd w:val="clear" w:color="auto" w:fill="D3D3D3"/>
                      </w:tcPr>
                      <w:p>
                        <w:pPr/>
                      </w:p>
                    </w:tc>
                    <w:tc>
                      <w:tcPr>
                        <w:tcW w:w="1321" w:type="dxa"/>
                        <w:vMerge/>
                        <w:tcBorders>
                          <w:left w:val="single" w:sz="4" w:space="0" w:color="000000"/>
                          <w:right w:val="single" w:sz="4" w:space="0" w:color="000000"/>
                        </w:tcBorders>
                        <w:shd w:val="clear" w:color="auto" w:fill="C7EDCC"/>
                      </w:tcPr>
                      <w:p>
                        <w:pPr/>
                      </w:p>
                    </w:tc>
                    <w:tc>
                      <w:tcPr>
                        <w:tcW w:w="565" w:type="dxa"/>
                        <w:vMerge/>
                        <w:tcBorders>
                          <w:left w:val="single" w:sz="4" w:space="0" w:color="000000"/>
                          <w:right w:val="single" w:sz="4" w:space="0" w:color="000000"/>
                        </w:tcBorders>
                        <w:shd w:val="clear" w:color="auto" w:fill="C7EDCC"/>
                      </w:tcPr>
                      <w:p>
                        <w:pPr/>
                      </w:p>
                    </w:tc>
                    <w:tc>
                      <w:tcPr>
                        <w:tcW w:w="93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任何方式违规占用华智控股及其子公司的资金，且将严格遵守中国证监会关于上市公司法人治理的有关规定，避免与华</w:t>
                        </w:r>
                      </w:p>
                    </w:tc>
                    <w:tc>
                      <w:tcPr>
                        <w:tcW w:w="848"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vMerge/>
                        <w:tcBorders>
                          <w:left w:val="single" w:sz="4" w:space="0" w:color="000000"/>
                          <w:right w:val="single" w:sz="4" w:space="0" w:color="000000"/>
                        </w:tcBorders>
                        <w:shd w:val="clear" w:color="auto" w:fill="C7EDCC"/>
                      </w:tcPr>
                      <w:p>
                        <w:pPr/>
                      </w:p>
                    </w:tc>
                  </w:tr>
                  <w:tr>
                    <w:trPr>
                      <w:trHeight w:val="312" w:hRule="exact"/>
                    </w:trPr>
                    <w:tc>
                      <w:tcPr>
                        <w:tcW w:w="807" w:type="dxa"/>
                        <w:vMerge/>
                        <w:tcBorders>
                          <w:left w:val="single" w:sz="4" w:space="0" w:color="000000"/>
                          <w:right w:val="single" w:sz="4" w:space="0" w:color="000000"/>
                        </w:tcBorders>
                        <w:shd w:val="clear" w:color="auto" w:fill="D3D3D3"/>
                      </w:tcPr>
                      <w:p>
                        <w:pPr/>
                      </w:p>
                    </w:tc>
                    <w:tc>
                      <w:tcPr>
                        <w:tcW w:w="1321" w:type="dxa"/>
                        <w:vMerge/>
                        <w:tcBorders>
                          <w:left w:val="single" w:sz="4" w:space="0" w:color="000000"/>
                          <w:right w:val="single" w:sz="4" w:space="0" w:color="000000"/>
                        </w:tcBorders>
                        <w:shd w:val="clear" w:color="auto" w:fill="C7EDCC"/>
                      </w:tcPr>
                      <w:p>
                        <w:pPr/>
                      </w:p>
                    </w:tc>
                    <w:tc>
                      <w:tcPr>
                        <w:tcW w:w="565" w:type="dxa"/>
                        <w:vMerge/>
                        <w:tcBorders>
                          <w:left w:val="single" w:sz="4" w:space="0" w:color="000000"/>
                          <w:right w:val="single" w:sz="4" w:space="0" w:color="000000"/>
                        </w:tcBorders>
                        <w:shd w:val="clear" w:color="auto" w:fill="C7EDCC"/>
                      </w:tcPr>
                      <w:p>
                        <w:pPr/>
                      </w:p>
                    </w:tc>
                    <w:tc>
                      <w:tcPr>
                        <w:tcW w:w="93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智控股发生与正常生产经营无关的资金往来行为。杭报集团有限公司及都市快报社承诺：不利用上市公司股东地位损害</w:t>
                        </w:r>
                      </w:p>
                    </w:tc>
                    <w:tc>
                      <w:tcPr>
                        <w:tcW w:w="848"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vMerge/>
                        <w:tcBorders>
                          <w:left w:val="single" w:sz="4" w:space="0" w:color="000000"/>
                          <w:right w:val="single" w:sz="4" w:space="0" w:color="000000"/>
                        </w:tcBorders>
                        <w:shd w:val="clear" w:color="auto" w:fill="C7EDCC"/>
                      </w:tcPr>
                      <w:p>
                        <w:pPr/>
                      </w:p>
                    </w:tc>
                  </w:tr>
                  <w:tr>
                    <w:trPr>
                      <w:trHeight w:val="312" w:hRule="exact"/>
                    </w:trPr>
                    <w:tc>
                      <w:tcPr>
                        <w:tcW w:w="807" w:type="dxa"/>
                        <w:vMerge/>
                        <w:tcBorders>
                          <w:left w:val="single" w:sz="4" w:space="0" w:color="000000"/>
                          <w:right w:val="single" w:sz="4" w:space="0" w:color="000000"/>
                        </w:tcBorders>
                        <w:shd w:val="clear" w:color="auto" w:fill="D3D3D3"/>
                      </w:tcPr>
                      <w:p>
                        <w:pPr/>
                      </w:p>
                    </w:tc>
                    <w:tc>
                      <w:tcPr>
                        <w:tcW w:w="1321" w:type="dxa"/>
                        <w:vMerge/>
                        <w:tcBorders>
                          <w:left w:val="single" w:sz="4" w:space="0" w:color="000000"/>
                          <w:right w:val="single" w:sz="4" w:space="0" w:color="000000"/>
                        </w:tcBorders>
                        <w:shd w:val="clear" w:color="auto" w:fill="C7EDCC"/>
                      </w:tcPr>
                      <w:p>
                        <w:pPr/>
                      </w:p>
                    </w:tc>
                    <w:tc>
                      <w:tcPr>
                        <w:tcW w:w="565" w:type="dxa"/>
                        <w:vMerge/>
                        <w:tcBorders>
                          <w:left w:val="single" w:sz="4" w:space="0" w:color="000000"/>
                          <w:right w:val="single" w:sz="4" w:space="0" w:color="000000"/>
                        </w:tcBorders>
                        <w:shd w:val="clear" w:color="auto" w:fill="C7EDCC"/>
                      </w:tcPr>
                      <w:p>
                        <w:pPr/>
                      </w:p>
                    </w:tc>
                    <w:tc>
                      <w:tcPr>
                        <w:tcW w:w="93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上市公司及其他社会公众股东的利益。在作为上市公司股东期间，与上市公司在人员、财务、资产、业务和机构等方面</w:t>
                        </w:r>
                      </w:p>
                    </w:tc>
                    <w:tc>
                      <w:tcPr>
                        <w:tcW w:w="848"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vMerge/>
                        <w:tcBorders>
                          <w:left w:val="single" w:sz="4" w:space="0" w:color="000000"/>
                          <w:right w:val="single" w:sz="4" w:space="0" w:color="000000"/>
                        </w:tcBorders>
                        <w:shd w:val="clear" w:color="auto" w:fill="C7EDCC"/>
                      </w:tcPr>
                      <w:p>
                        <w:pPr/>
                      </w:p>
                    </w:tc>
                  </w:tr>
                  <w:tr>
                    <w:trPr>
                      <w:trHeight w:val="317" w:hRule="exact"/>
                    </w:trPr>
                    <w:tc>
                      <w:tcPr>
                        <w:tcW w:w="807" w:type="dxa"/>
                        <w:vMerge/>
                        <w:tcBorders>
                          <w:left w:val="single" w:sz="4" w:space="0" w:color="000000"/>
                          <w:right w:val="single" w:sz="4" w:space="0" w:color="000000"/>
                        </w:tcBorders>
                        <w:shd w:val="clear" w:color="auto" w:fill="D3D3D3"/>
                      </w:tcPr>
                      <w:p>
                        <w:pPr/>
                      </w:p>
                    </w:tc>
                    <w:tc>
                      <w:tcPr>
                        <w:tcW w:w="1321" w:type="dxa"/>
                        <w:vMerge/>
                        <w:tcBorders>
                          <w:left w:val="single" w:sz="4" w:space="0" w:color="000000"/>
                          <w:bottom w:val="single" w:sz="4" w:space="0" w:color="000000"/>
                          <w:right w:val="single" w:sz="4" w:space="0" w:color="000000"/>
                        </w:tcBorders>
                        <w:shd w:val="clear" w:color="auto" w:fill="C7EDCC"/>
                      </w:tcPr>
                      <w:p>
                        <w:pPr/>
                      </w:p>
                    </w:tc>
                    <w:tc>
                      <w:tcPr>
                        <w:tcW w:w="565" w:type="dxa"/>
                        <w:vMerge/>
                        <w:tcBorders>
                          <w:left w:val="single" w:sz="4" w:space="0" w:color="000000"/>
                          <w:bottom w:val="single" w:sz="4" w:space="0" w:color="000000"/>
                          <w:right w:val="single" w:sz="4" w:space="0" w:color="000000"/>
                        </w:tcBorders>
                        <w:shd w:val="clear" w:color="auto" w:fill="C7EDCC"/>
                      </w:tcPr>
                      <w:p>
                        <w:pPr/>
                      </w:p>
                    </w:tc>
                    <w:tc>
                      <w:tcPr>
                        <w:tcW w:w="935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将保持相互独立。</w:t>
                        </w:r>
                      </w:p>
                    </w:tc>
                    <w:tc>
                      <w:tcPr>
                        <w:tcW w:w="848"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shd w:val="clear" w:color="auto" w:fill="C7EDCC"/>
                      </w:tcPr>
                      <w:p>
                        <w:pPr/>
                      </w:p>
                    </w:tc>
                    <w:tc>
                      <w:tcPr>
                        <w:tcW w:w="524" w:type="dxa"/>
                        <w:vMerge/>
                        <w:tcBorders>
                          <w:left w:val="single" w:sz="4" w:space="0" w:color="000000"/>
                          <w:bottom w:val="single" w:sz="4" w:space="0" w:color="000000"/>
                          <w:right w:val="single" w:sz="4" w:space="0" w:color="000000"/>
                        </w:tcBorders>
                        <w:shd w:val="clear" w:color="auto" w:fill="C7EDCC"/>
                      </w:tcPr>
                      <w:p>
                        <w:pPr/>
                      </w:p>
                    </w:tc>
                  </w:tr>
                  <w:tr>
                    <w:trPr>
                      <w:trHeight w:val="322" w:hRule="exact"/>
                    </w:trPr>
                    <w:tc>
                      <w:tcPr>
                        <w:tcW w:w="807" w:type="dxa"/>
                        <w:vMerge/>
                        <w:tcBorders>
                          <w:left w:val="single" w:sz="4" w:space="0" w:color="000000"/>
                          <w:right w:val="single" w:sz="4" w:space="0" w:color="000000"/>
                        </w:tcBorders>
                        <w:shd w:val="clear" w:color="auto" w:fill="D3D3D3"/>
                      </w:tcPr>
                      <w:p>
                        <w:pPr/>
                      </w:p>
                    </w:tc>
                    <w:tc>
                      <w:tcPr>
                        <w:tcW w:w="1321" w:type="dxa"/>
                        <w:tcBorders>
                          <w:top w:val="single" w:sz="4" w:space="0" w:color="000000"/>
                          <w:left w:val="single" w:sz="4" w:space="0" w:color="000000"/>
                          <w:bottom w:val="nil" w:sz="6" w:space="0" w:color="auto"/>
                          <w:right w:val="single" w:sz="4" w:space="0" w:color="000000"/>
                        </w:tcBorders>
                        <w:shd w:val="clear" w:color="auto" w:fill="C7EDCC"/>
                      </w:tcPr>
                      <w:p>
                        <w:pPr/>
                      </w:p>
                    </w:tc>
                    <w:tc>
                      <w:tcPr>
                        <w:tcW w:w="565" w:type="dxa"/>
                        <w:tcBorders>
                          <w:top w:val="single" w:sz="4" w:space="0" w:color="000000"/>
                          <w:left w:val="single" w:sz="4" w:space="0" w:color="000000"/>
                          <w:bottom w:val="nil" w:sz="6" w:space="0" w:color="auto"/>
                          <w:right w:val="single" w:sz="4" w:space="0" w:color="000000"/>
                        </w:tcBorders>
                        <w:shd w:val="clear" w:color="auto" w:fill="C7EDCC"/>
                      </w:tcPr>
                      <w:p>
                        <w:pPr/>
                      </w:p>
                    </w:tc>
                    <w:tc>
                      <w:tcPr>
                        <w:tcW w:w="9358" w:type="dxa"/>
                        <w:tcBorders>
                          <w:top w:val="single" w:sz="4" w:space="0" w:color="000000"/>
                          <w:left w:val="single" w:sz="4" w:space="0" w:color="000000"/>
                          <w:bottom w:val="nil" w:sz="6" w:space="0" w:color="auto"/>
                          <w:right w:val="single" w:sz="13" w:space="0" w:color="FFFFFF"/>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pacing w:val="-1"/>
                            <w:sz w:val="18"/>
                            <w:szCs w:val="18"/>
                          </w:rPr>
                          <w:t>关于采编资产注入的承诺：基于</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编营分离</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的行业政策，本次注入资产不包括报纸采编类资产。杭报集团承诺：自行业</w:t>
                        </w:r>
                      </w:p>
                    </w:tc>
                    <w:tc>
                      <w:tcPr>
                        <w:tcW w:w="848" w:type="dxa"/>
                        <w:tcBorders>
                          <w:top w:val="single" w:sz="4" w:space="0" w:color="000000"/>
                          <w:left w:val="single" w:sz="13" w:space="0" w:color="FFFFFF"/>
                          <w:bottom w:val="nil" w:sz="6" w:space="0" w:color="auto"/>
                          <w:right w:val="single" w:sz="4" w:space="0" w:color="000000"/>
                        </w:tcBorders>
                      </w:tcPr>
                      <w:p>
                        <w:pPr/>
                      </w:p>
                    </w:tc>
                    <w:tc>
                      <w:tcPr>
                        <w:tcW w:w="845" w:type="dxa"/>
                        <w:vMerge w:val="restart"/>
                        <w:tcBorders>
                          <w:top w:val="single" w:sz="4" w:space="0" w:color="000000"/>
                          <w:left w:val="single" w:sz="4" w:space="0" w:color="000000"/>
                          <w:right w:val="single" w:sz="4" w:space="0" w:color="000000"/>
                        </w:tcBorders>
                        <w:shd w:val="clear" w:color="auto" w:fill="C7EDCC"/>
                      </w:tcPr>
                      <w:p>
                        <w:pPr/>
                      </w:p>
                    </w:tc>
                    <w:tc>
                      <w:tcPr>
                        <w:tcW w:w="52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关于</w:t>
                        </w:r>
                      </w:p>
                    </w:tc>
                  </w:tr>
                  <w:tr>
                    <w:trPr>
                      <w:trHeight w:val="312" w:hRule="exact"/>
                    </w:trPr>
                    <w:tc>
                      <w:tcPr>
                        <w:tcW w:w="807" w:type="dxa"/>
                        <w:vMerge/>
                        <w:tcBorders>
                          <w:left w:val="single" w:sz="4" w:space="0" w:color="000000"/>
                          <w:right w:val="single" w:sz="4" w:space="0" w:color="000000"/>
                        </w:tcBorders>
                        <w:shd w:val="clear" w:color="auto" w:fill="D3D3D3"/>
                      </w:tcPr>
                      <w:p>
                        <w:pPr/>
                      </w:p>
                    </w:tc>
                    <w:tc>
                      <w:tcPr>
                        <w:tcW w:w="1321" w:type="dxa"/>
                        <w:tcBorders>
                          <w:top w:val="nil" w:sz="6" w:space="0" w:color="auto"/>
                          <w:left w:val="single" w:sz="4" w:space="0" w:color="000000"/>
                          <w:bottom w:val="nil" w:sz="6" w:space="0" w:color="auto"/>
                          <w:right w:val="single" w:sz="4" w:space="0" w:color="000000"/>
                        </w:tcBorders>
                        <w:shd w:val="clear" w:color="auto" w:fill="C7EDCC"/>
                      </w:tcPr>
                      <w:p>
                        <w:pPr/>
                      </w:p>
                    </w:tc>
                    <w:tc>
                      <w:tcPr>
                        <w:tcW w:w="565" w:type="dxa"/>
                        <w:tcBorders>
                          <w:top w:val="nil" w:sz="6" w:space="0" w:color="auto"/>
                          <w:left w:val="single" w:sz="4" w:space="0" w:color="000000"/>
                          <w:bottom w:val="nil" w:sz="6" w:space="0" w:color="auto"/>
                          <w:right w:val="single" w:sz="4" w:space="0" w:color="000000"/>
                        </w:tcBorders>
                        <w:shd w:val="clear" w:color="auto" w:fill="C7EDCC"/>
                      </w:tcPr>
                      <w:p>
                        <w:pPr/>
                      </w:p>
                    </w:tc>
                    <w:tc>
                      <w:tcPr>
                        <w:tcW w:w="9358" w:type="dxa"/>
                        <w:tcBorders>
                          <w:top w:val="nil" w:sz="6" w:space="0" w:color="auto"/>
                          <w:left w:val="single" w:sz="4" w:space="0" w:color="000000"/>
                          <w:bottom w:val="nil" w:sz="6" w:space="0" w:color="auto"/>
                          <w:right w:val="single" w:sz="13" w:space="0" w:color="FFFFFF"/>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政策允许采编资产上市之日起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个月内，杭报集团同意，经国家有关部门批准（如有）后，无条件允许华智控股择机</w:t>
                        </w:r>
                      </w:p>
                    </w:tc>
                    <w:tc>
                      <w:tcPr>
                        <w:tcW w:w="848" w:type="dxa"/>
                        <w:tcBorders>
                          <w:top w:val="nil" w:sz="6" w:space="0" w:color="auto"/>
                          <w:left w:val="single" w:sz="13" w:space="0" w:color="FFFFFF"/>
                          <w:bottom w:val="nil" w:sz="6" w:space="0" w:color="auto"/>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拟注</w:t>
                        </w:r>
                      </w:p>
                    </w:tc>
                  </w:tr>
                  <w:tr>
                    <w:trPr>
                      <w:trHeight w:val="307" w:hRule="exact"/>
                    </w:trPr>
                    <w:tc>
                      <w:tcPr>
                        <w:tcW w:w="807" w:type="dxa"/>
                        <w:vMerge/>
                        <w:tcBorders>
                          <w:left w:val="single" w:sz="4" w:space="0" w:color="000000"/>
                          <w:right w:val="single" w:sz="4" w:space="0" w:color="000000"/>
                        </w:tcBorders>
                        <w:shd w:val="clear" w:color="auto" w:fill="D3D3D3"/>
                      </w:tcPr>
                      <w:p>
                        <w:pPr/>
                      </w:p>
                    </w:tc>
                    <w:tc>
                      <w:tcPr>
                        <w:tcW w:w="1321" w:type="dxa"/>
                        <w:tcBorders>
                          <w:top w:val="nil" w:sz="6" w:space="0" w:color="auto"/>
                          <w:left w:val="single" w:sz="4" w:space="0" w:color="000000"/>
                          <w:bottom w:val="nil" w:sz="6" w:space="0" w:color="auto"/>
                          <w:right w:val="single" w:sz="4" w:space="0" w:color="000000"/>
                        </w:tcBorders>
                        <w:shd w:val="clear" w:color="auto" w:fill="C7EDCC"/>
                      </w:tcPr>
                      <w:p>
                        <w:pPr/>
                      </w:p>
                    </w:tc>
                    <w:tc>
                      <w:tcPr>
                        <w:tcW w:w="565" w:type="dxa"/>
                        <w:tcBorders>
                          <w:top w:val="nil" w:sz="6" w:space="0" w:color="auto"/>
                          <w:left w:val="single" w:sz="4" w:space="0" w:color="000000"/>
                          <w:bottom w:val="nil" w:sz="6" w:space="0" w:color="auto"/>
                          <w:right w:val="single" w:sz="4" w:space="0" w:color="000000"/>
                        </w:tcBorders>
                        <w:shd w:val="clear" w:color="auto" w:fill="C7EDCC"/>
                      </w:tcPr>
                      <w:p>
                        <w:pPr/>
                      </w:p>
                    </w:tc>
                    <w:tc>
                      <w:tcPr>
                        <w:tcW w:w="9358" w:type="dxa"/>
                        <w:tcBorders>
                          <w:top w:val="nil" w:sz="6" w:space="0" w:color="auto"/>
                          <w:left w:val="single" w:sz="4" w:space="0" w:color="000000"/>
                          <w:bottom w:val="nil" w:sz="6" w:space="0" w:color="auto"/>
                          <w:right w:val="single" w:sz="13" w:space="0" w:color="FFFFFF"/>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通过现金或股权等方式收购杭报集团及下属报社未进入上市范围之内的报刊采编业务资产。关于收入分成的承诺：杭报</w:t>
                        </w:r>
                      </w:p>
                    </w:tc>
                    <w:tc>
                      <w:tcPr>
                        <w:tcW w:w="848" w:type="dxa"/>
                        <w:tcBorders>
                          <w:top w:val="nil" w:sz="6" w:space="0" w:color="auto"/>
                          <w:left w:val="single" w:sz="13" w:space="0" w:color="FFFFFF"/>
                          <w:bottom w:val="nil" w:sz="6" w:space="0" w:color="auto"/>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入资</w:t>
                        </w:r>
                      </w:p>
                    </w:tc>
                  </w:tr>
                  <w:tr>
                    <w:trPr>
                      <w:trHeight w:val="317" w:hRule="exact"/>
                    </w:trPr>
                    <w:tc>
                      <w:tcPr>
                        <w:tcW w:w="807" w:type="dxa"/>
                        <w:vMerge/>
                        <w:tcBorders>
                          <w:left w:val="single" w:sz="4" w:space="0" w:color="000000"/>
                          <w:right w:val="single" w:sz="4" w:space="0" w:color="000000"/>
                        </w:tcBorders>
                        <w:shd w:val="clear" w:color="auto" w:fill="D3D3D3"/>
                      </w:tcPr>
                      <w:p>
                        <w:pPr/>
                      </w:p>
                    </w:tc>
                    <w:tc>
                      <w:tcPr>
                        <w:tcW w:w="1321" w:type="dxa"/>
                        <w:tcBorders>
                          <w:top w:val="nil" w:sz="6" w:space="0" w:color="auto"/>
                          <w:left w:val="single" w:sz="4" w:space="0" w:color="000000"/>
                          <w:bottom w:val="nil" w:sz="6" w:space="0" w:color="auto"/>
                          <w:right w:val="single" w:sz="4" w:space="0" w:color="000000"/>
                        </w:tcBorders>
                        <w:shd w:val="clear" w:color="auto" w:fill="C7EDCC"/>
                      </w:tcPr>
                      <w:p>
                        <w:pPr/>
                      </w:p>
                    </w:tc>
                    <w:tc>
                      <w:tcPr>
                        <w:tcW w:w="565" w:type="dxa"/>
                        <w:tcBorders>
                          <w:top w:val="nil" w:sz="6" w:space="0" w:color="auto"/>
                          <w:left w:val="single" w:sz="4" w:space="0" w:color="000000"/>
                          <w:bottom w:val="nil" w:sz="6" w:space="0" w:color="auto"/>
                          <w:right w:val="single" w:sz="4" w:space="0" w:color="000000"/>
                        </w:tcBorders>
                        <w:shd w:val="clear" w:color="auto" w:fill="C7EDCC"/>
                      </w:tcPr>
                      <w:p>
                        <w:pPr/>
                      </w:p>
                    </w:tc>
                    <w:tc>
                      <w:tcPr>
                        <w:tcW w:w="9358" w:type="dxa"/>
                        <w:tcBorders>
                          <w:top w:val="nil" w:sz="6" w:space="0" w:color="auto"/>
                          <w:left w:val="single" w:sz="4" w:space="0" w:color="000000"/>
                          <w:bottom w:val="nil" w:sz="6" w:space="0" w:color="auto"/>
                          <w:right w:val="single" w:sz="13" w:space="0" w:color="FFFFFF"/>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集团及下属报社与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家传</w:t>
                        </w:r>
                        <w:r>
                          <w:rPr>
                            <w:rFonts w:ascii="宋体" w:hAnsi="宋体" w:cs="宋体" w:eastAsia="宋体" w:hint="default"/>
                            <w:spacing w:val="1"/>
                            <w:sz w:val="18"/>
                            <w:szCs w:val="18"/>
                          </w:rPr>
                          <w:t>媒</w:t>
                        </w:r>
                        <w:r>
                          <w:rPr>
                            <w:rFonts w:ascii="宋体" w:hAnsi="宋体" w:cs="宋体" w:eastAsia="宋体" w:hint="default"/>
                            <w:sz w:val="18"/>
                            <w:szCs w:val="18"/>
                          </w:rPr>
                          <w:t>经营公司签订了《授权经营协议》和《收入分成协议</w:t>
                        </w:r>
                        <w:r>
                          <w:rPr>
                            <w:rFonts w:ascii="宋体" w:hAnsi="宋体" w:cs="宋体" w:eastAsia="宋体" w:hint="default"/>
                            <w:spacing w:val="-90"/>
                            <w:sz w:val="18"/>
                            <w:szCs w:val="18"/>
                          </w:rPr>
                          <w:t>》</w:t>
                        </w:r>
                        <w:r>
                          <w:rPr>
                            <w:rFonts w:ascii="宋体" w:hAnsi="宋体" w:cs="宋体" w:eastAsia="宋体" w:hint="default"/>
                            <w:sz w:val="18"/>
                            <w:szCs w:val="18"/>
                          </w:rPr>
                          <w:t>，杭报集团及下属报社将传媒经营业</w:t>
                        </w:r>
                      </w:p>
                    </w:tc>
                    <w:tc>
                      <w:tcPr>
                        <w:tcW w:w="848" w:type="dxa"/>
                        <w:tcBorders>
                          <w:top w:val="nil" w:sz="6" w:space="0" w:color="auto"/>
                          <w:left w:val="single" w:sz="13" w:space="0" w:color="FFFFFF"/>
                          <w:bottom w:val="nil" w:sz="6" w:space="0" w:color="auto"/>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产权</w:t>
                        </w:r>
                      </w:p>
                    </w:tc>
                  </w:tr>
                  <w:tr>
                    <w:trPr>
                      <w:trHeight w:val="307" w:hRule="exact"/>
                    </w:trPr>
                    <w:tc>
                      <w:tcPr>
                        <w:tcW w:w="807" w:type="dxa"/>
                        <w:vMerge/>
                        <w:tcBorders>
                          <w:left w:val="single" w:sz="4" w:space="0" w:color="000000"/>
                          <w:right w:val="single" w:sz="4" w:space="0" w:color="000000"/>
                        </w:tcBorders>
                        <w:shd w:val="clear" w:color="auto" w:fill="D3D3D3"/>
                      </w:tcPr>
                      <w:p>
                        <w:pPr/>
                      </w:p>
                    </w:tc>
                    <w:tc>
                      <w:tcPr>
                        <w:tcW w:w="132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w:t>
                        </w:r>
                      </w:p>
                    </w:tc>
                    <w:tc>
                      <w:tcPr>
                        <w:tcW w:w="565" w:type="dxa"/>
                        <w:tcBorders>
                          <w:top w:val="nil" w:sz="6" w:space="0" w:color="auto"/>
                          <w:left w:val="single" w:sz="4" w:space="0" w:color="000000"/>
                          <w:bottom w:val="nil" w:sz="6" w:space="0" w:color="auto"/>
                          <w:right w:val="single" w:sz="4" w:space="0" w:color="000000"/>
                        </w:tcBorders>
                        <w:shd w:val="clear" w:color="auto" w:fill="C7EDCC"/>
                      </w:tcPr>
                      <w:p>
                        <w:pPr/>
                      </w:p>
                    </w:tc>
                    <w:tc>
                      <w:tcPr>
                        <w:tcW w:w="9358" w:type="dxa"/>
                        <w:tcBorders>
                          <w:top w:val="nil" w:sz="6" w:space="0" w:color="auto"/>
                          <w:left w:val="single" w:sz="4" w:space="0" w:color="000000"/>
                          <w:bottom w:val="nil" w:sz="6" w:space="0" w:color="auto"/>
                          <w:right w:val="single" w:sz="13" w:space="0" w:color="FFFFFF"/>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务授权该等公司管理运作，按照运营管理报社经营性业务所形成的经营收入（母公司）进行分成。杭报集团承诺：在相</w:t>
                        </w:r>
                      </w:p>
                    </w:tc>
                    <w:tc>
                      <w:tcPr>
                        <w:tcW w:w="848" w:type="dxa"/>
                        <w:tcBorders>
                          <w:top w:val="nil" w:sz="6" w:space="0" w:color="auto"/>
                          <w:left w:val="single" w:sz="13" w:space="0" w:color="FFFFFF"/>
                          <w:bottom w:val="nil" w:sz="6" w:space="0" w:color="auto"/>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属状</w:t>
                        </w:r>
                      </w:p>
                    </w:tc>
                  </w:tr>
                  <w:tr>
                    <w:trPr>
                      <w:trHeight w:val="941" w:hRule="exact"/>
                    </w:trPr>
                    <w:tc>
                      <w:tcPr>
                        <w:tcW w:w="807" w:type="dxa"/>
                        <w:vMerge/>
                        <w:tcBorders>
                          <w:left w:val="single" w:sz="4" w:space="0" w:color="000000"/>
                          <w:right w:val="single" w:sz="4" w:space="0" w:color="000000"/>
                        </w:tcBorders>
                        <w:shd w:val="clear" w:color="auto" w:fill="D3D3D3"/>
                      </w:tcPr>
                      <w:p>
                        <w:pPr/>
                      </w:p>
                    </w:tc>
                    <w:tc>
                      <w:tcPr>
                        <w:tcW w:w="132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00" w:lineRule="auto" w:before="10"/>
                          <w:ind w:left="22" w:right="26"/>
                          <w:jc w:val="left"/>
                          <w:rPr>
                            <w:rFonts w:ascii="宋体" w:hAnsi="宋体" w:cs="宋体" w:eastAsia="宋体" w:hint="default"/>
                            <w:sz w:val="18"/>
                            <w:szCs w:val="18"/>
                          </w:rPr>
                        </w:pPr>
                        <w:r>
                          <w:rPr>
                            <w:rFonts w:ascii="宋体" w:hAnsi="宋体" w:cs="宋体" w:eastAsia="宋体" w:hint="default"/>
                            <w:sz w:val="18"/>
                            <w:szCs w:val="18"/>
                          </w:rPr>
                          <w:t>团有限公司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杭 州日报报业集团</w:t>
                        </w:r>
                      </w:p>
                      <w:p>
                        <w:pPr>
                          <w:pStyle w:val="TableParagraph"/>
                          <w:spacing w:line="240" w:lineRule="auto" w:before="31"/>
                          <w:ind w:left="22"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（杭州日报社）</w:t>
                        </w:r>
                        <w:r>
                          <w:rPr>
                            <w:rFonts w:ascii="Times New Roman" w:hAnsi="Times New Roman" w:cs="Times New Roman" w:eastAsia="Times New Roman" w:hint="default"/>
                            <w:spacing w:val="-6"/>
                            <w:sz w:val="18"/>
                            <w:szCs w:val="18"/>
                          </w:rPr>
                          <w:t>;</w:t>
                        </w:r>
                      </w:p>
                    </w:tc>
                    <w:tc>
                      <w:tcPr>
                        <w:tcW w:w="56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 w:right="170"/>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9358" w:type="dxa"/>
                        <w:tcBorders>
                          <w:top w:val="nil" w:sz="6" w:space="0" w:color="auto"/>
                          <w:left w:val="single" w:sz="4" w:space="0" w:color="000000"/>
                          <w:bottom w:val="nil" w:sz="6" w:space="0" w:color="auto"/>
                          <w:right w:val="single" w:sz="13" w:space="0" w:color="FFFFFF"/>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应报社所办报刊的版面、发行量以及外部市场环境不发生重大变化的条件下，涉及授权经营的</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家传媒经营公司在授权</w:t>
                        </w:r>
                      </w:p>
                      <w:p>
                        <w:pPr>
                          <w:pStyle w:val="TableParagraph"/>
                          <w:spacing w:line="300" w:lineRule="auto" w:before="63"/>
                          <w:ind w:left="22" w:right="10"/>
                          <w:jc w:val="left"/>
                          <w:rPr>
                            <w:rFonts w:ascii="宋体" w:hAnsi="宋体" w:cs="宋体" w:eastAsia="宋体" w:hint="default"/>
                            <w:sz w:val="18"/>
                            <w:szCs w:val="18"/>
                          </w:rPr>
                        </w:pPr>
                        <w:r>
                          <w:rPr>
                            <w:rFonts w:ascii="宋体" w:hAnsi="宋体" w:cs="宋体" w:eastAsia="宋体" w:hint="default"/>
                            <w:sz w:val="18"/>
                            <w:szCs w:val="18"/>
                          </w:rPr>
                          <w:t>经营期限内（即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年内）向相应报社的收入分成比例不超过该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家公司与相应报社已签订《收入分成协议》约定的水 </w:t>
                        </w:r>
                        <w:r>
                          <w:rPr>
                            <w:rFonts w:ascii="宋体" w:hAnsi="宋体" w:cs="宋体" w:eastAsia="宋体" w:hint="default"/>
                            <w:spacing w:val="-2"/>
                            <w:sz w:val="18"/>
                            <w:szCs w:val="18"/>
                          </w:rPr>
                          <w:t>平。关于部分资产待盈利后注入的承诺：杭报集团下属风盛新传媒、城市通媒体、闻达电子商务、地铁文化传媒等四家</w:t>
                        </w:r>
                      </w:p>
                    </w:tc>
                    <w:tc>
                      <w:tcPr>
                        <w:tcW w:w="848" w:type="dxa"/>
                        <w:tcBorders>
                          <w:top w:val="nil" w:sz="6" w:space="0" w:color="auto"/>
                          <w:left w:val="single" w:sz="13" w:space="0" w:color="FFFFFF"/>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vMerge/>
                        <w:tcBorders>
                          <w:left w:val="single" w:sz="4" w:space="0" w:color="000000"/>
                          <w:right w:val="single" w:sz="4" w:space="0" w:color="000000"/>
                        </w:tcBorders>
                        <w:shd w:val="clear" w:color="auto" w:fill="C7EDCC"/>
                      </w:tcPr>
                      <w:p>
                        <w:pPr/>
                      </w:p>
                    </w:tc>
                    <w:tc>
                      <w:tcPr>
                        <w:tcW w:w="52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131"/>
                          <w:jc w:val="both"/>
                          <w:rPr>
                            <w:rFonts w:ascii="宋体" w:hAnsi="宋体" w:cs="宋体" w:eastAsia="宋体" w:hint="default"/>
                            <w:sz w:val="18"/>
                            <w:szCs w:val="18"/>
                          </w:rPr>
                        </w:pPr>
                        <w:r>
                          <w:rPr>
                            <w:rFonts w:ascii="宋体" w:hAnsi="宋体" w:cs="宋体" w:eastAsia="宋体" w:hint="default"/>
                            <w:sz w:val="18"/>
                            <w:szCs w:val="18"/>
                          </w:rPr>
                          <w:t>况的 承诺 关于</w:t>
                        </w:r>
                      </w:p>
                    </w:tc>
                  </w:tr>
                  <w:tr>
                    <w:trPr>
                      <w:trHeight w:val="312" w:hRule="exact"/>
                    </w:trPr>
                    <w:tc>
                      <w:tcPr>
                        <w:tcW w:w="807" w:type="dxa"/>
                        <w:vMerge/>
                        <w:tcBorders>
                          <w:left w:val="single" w:sz="4" w:space="0" w:color="000000"/>
                          <w:right w:val="single" w:sz="4" w:space="0" w:color="000000"/>
                        </w:tcBorders>
                        <w:shd w:val="clear" w:color="auto" w:fill="D3D3D3"/>
                      </w:tcPr>
                      <w:p>
                        <w:pPr/>
                      </w:p>
                    </w:tc>
                    <w:tc>
                      <w:tcPr>
                        <w:tcW w:w="132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都市快报社</w:t>
                        </w:r>
                      </w:p>
                    </w:tc>
                    <w:tc>
                      <w:tcPr>
                        <w:tcW w:w="565" w:type="dxa"/>
                        <w:tcBorders>
                          <w:top w:val="nil" w:sz="6" w:space="0" w:color="auto"/>
                          <w:left w:val="single" w:sz="4" w:space="0" w:color="000000"/>
                          <w:bottom w:val="nil" w:sz="6" w:space="0" w:color="auto"/>
                          <w:right w:val="single" w:sz="4" w:space="0" w:color="000000"/>
                        </w:tcBorders>
                        <w:shd w:val="clear" w:color="auto" w:fill="C7EDCC"/>
                      </w:tcPr>
                      <w:p>
                        <w:pPr/>
                      </w:p>
                    </w:tc>
                    <w:tc>
                      <w:tcPr>
                        <w:tcW w:w="9358" w:type="dxa"/>
                        <w:tcBorders>
                          <w:top w:val="nil" w:sz="6" w:space="0" w:color="auto"/>
                          <w:left w:val="single" w:sz="4" w:space="0" w:color="000000"/>
                          <w:bottom w:val="nil" w:sz="6" w:space="0" w:color="auto"/>
                          <w:right w:val="single" w:sz="13" w:space="0" w:color="FFFFFF"/>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公司尚处于亏损状态，预计将有较长培育期。杭报集团承诺待上述公司实现盈利后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个月内，无条件允许上市公司择</w:t>
                        </w:r>
                      </w:p>
                    </w:tc>
                    <w:tc>
                      <w:tcPr>
                        <w:tcW w:w="848" w:type="dxa"/>
                        <w:tcBorders>
                          <w:top w:val="nil" w:sz="6" w:space="0" w:color="auto"/>
                          <w:left w:val="single" w:sz="13" w:space="0" w:color="FFFFFF"/>
                          <w:bottom w:val="nil" w:sz="6" w:space="0" w:color="auto"/>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拟购</w:t>
                        </w:r>
                      </w:p>
                    </w:tc>
                  </w:tr>
                  <w:tr>
                    <w:trPr>
                      <w:trHeight w:val="307" w:hRule="exact"/>
                    </w:trPr>
                    <w:tc>
                      <w:tcPr>
                        <w:tcW w:w="807" w:type="dxa"/>
                        <w:vMerge/>
                        <w:tcBorders>
                          <w:left w:val="single" w:sz="4" w:space="0" w:color="000000"/>
                          <w:right w:val="single" w:sz="4" w:space="0" w:color="000000"/>
                        </w:tcBorders>
                        <w:shd w:val="clear" w:color="auto" w:fill="D3D3D3"/>
                      </w:tcPr>
                      <w:p>
                        <w:pPr/>
                      </w:p>
                    </w:tc>
                    <w:tc>
                      <w:tcPr>
                        <w:tcW w:w="1321" w:type="dxa"/>
                        <w:tcBorders>
                          <w:top w:val="nil" w:sz="6" w:space="0" w:color="auto"/>
                          <w:left w:val="single" w:sz="4" w:space="0" w:color="000000"/>
                          <w:bottom w:val="nil" w:sz="6" w:space="0" w:color="auto"/>
                          <w:right w:val="single" w:sz="4" w:space="0" w:color="000000"/>
                        </w:tcBorders>
                        <w:shd w:val="clear" w:color="auto" w:fill="C7EDCC"/>
                      </w:tcPr>
                      <w:p>
                        <w:pPr/>
                      </w:p>
                    </w:tc>
                    <w:tc>
                      <w:tcPr>
                        <w:tcW w:w="565" w:type="dxa"/>
                        <w:tcBorders>
                          <w:top w:val="nil" w:sz="6" w:space="0" w:color="auto"/>
                          <w:left w:val="single" w:sz="4" w:space="0" w:color="000000"/>
                          <w:bottom w:val="nil" w:sz="6" w:space="0" w:color="auto"/>
                          <w:right w:val="single" w:sz="4" w:space="0" w:color="000000"/>
                        </w:tcBorders>
                        <w:shd w:val="clear" w:color="auto" w:fill="C7EDCC"/>
                      </w:tcPr>
                      <w:p>
                        <w:pPr/>
                      </w:p>
                    </w:tc>
                    <w:tc>
                      <w:tcPr>
                        <w:tcW w:w="9358" w:type="dxa"/>
                        <w:tcBorders>
                          <w:top w:val="nil" w:sz="6" w:space="0" w:color="auto"/>
                          <w:left w:val="single" w:sz="4" w:space="0" w:color="000000"/>
                          <w:bottom w:val="nil" w:sz="6" w:space="0" w:color="auto"/>
                          <w:right w:val="single" w:sz="13" w:space="0" w:color="FFFFFF"/>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机通过现金或股权等方式予以收购。关于拟注入资产权属状况的承诺：杭报集团有限公司与都市快报社承诺，所持标的</w:t>
                        </w:r>
                      </w:p>
                    </w:tc>
                    <w:tc>
                      <w:tcPr>
                        <w:tcW w:w="848" w:type="dxa"/>
                        <w:tcBorders>
                          <w:top w:val="nil" w:sz="6" w:space="0" w:color="auto"/>
                          <w:left w:val="single" w:sz="13" w:space="0" w:color="FFFFFF"/>
                          <w:bottom w:val="nil" w:sz="6" w:space="0" w:color="auto"/>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买资</w:t>
                        </w:r>
                      </w:p>
                    </w:tc>
                  </w:tr>
                  <w:tr>
                    <w:trPr>
                      <w:trHeight w:val="312" w:hRule="exact"/>
                    </w:trPr>
                    <w:tc>
                      <w:tcPr>
                        <w:tcW w:w="807" w:type="dxa"/>
                        <w:vMerge/>
                        <w:tcBorders>
                          <w:left w:val="single" w:sz="4" w:space="0" w:color="000000"/>
                          <w:right w:val="single" w:sz="4" w:space="0" w:color="000000"/>
                        </w:tcBorders>
                        <w:shd w:val="clear" w:color="auto" w:fill="D3D3D3"/>
                      </w:tcPr>
                      <w:p>
                        <w:pPr/>
                      </w:p>
                    </w:tc>
                    <w:tc>
                      <w:tcPr>
                        <w:tcW w:w="1321" w:type="dxa"/>
                        <w:tcBorders>
                          <w:top w:val="nil" w:sz="6" w:space="0" w:color="auto"/>
                          <w:left w:val="single" w:sz="4" w:space="0" w:color="000000"/>
                          <w:bottom w:val="nil" w:sz="6" w:space="0" w:color="auto"/>
                          <w:right w:val="single" w:sz="4" w:space="0" w:color="000000"/>
                        </w:tcBorders>
                        <w:shd w:val="clear" w:color="auto" w:fill="C7EDCC"/>
                      </w:tcPr>
                      <w:p>
                        <w:pPr/>
                      </w:p>
                    </w:tc>
                    <w:tc>
                      <w:tcPr>
                        <w:tcW w:w="565" w:type="dxa"/>
                        <w:tcBorders>
                          <w:top w:val="nil" w:sz="6" w:space="0" w:color="auto"/>
                          <w:left w:val="single" w:sz="4" w:space="0" w:color="000000"/>
                          <w:bottom w:val="nil" w:sz="6" w:space="0" w:color="auto"/>
                          <w:right w:val="single" w:sz="4" w:space="0" w:color="000000"/>
                        </w:tcBorders>
                        <w:shd w:val="clear" w:color="auto" w:fill="C7EDCC"/>
                      </w:tcPr>
                      <w:p>
                        <w:pPr/>
                      </w:p>
                    </w:tc>
                    <w:tc>
                      <w:tcPr>
                        <w:tcW w:w="9358" w:type="dxa"/>
                        <w:tcBorders>
                          <w:top w:val="nil" w:sz="6" w:space="0" w:color="auto"/>
                          <w:left w:val="single" w:sz="4" w:space="0" w:color="000000"/>
                          <w:bottom w:val="nil" w:sz="6" w:space="0" w:color="auto"/>
                          <w:right w:val="single" w:sz="13" w:space="0" w:color="FFFFFF"/>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公司相应股份股权权属清晰，不存在任何争议或潜在纠纷，不存在质押、查封、冻结或任何其他限制或禁止该等股份转</w:t>
                        </w:r>
                      </w:p>
                    </w:tc>
                    <w:tc>
                      <w:tcPr>
                        <w:tcW w:w="848" w:type="dxa"/>
                        <w:tcBorders>
                          <w:top w:val="nil" w:sz="6" w:space="0" w:color="auto"/>
                          <w:left w:val="single" w:sz="13" w:space="0" w:color="FFFFFF"/>
                          <w:bottom w:val="nil" w:sz="6" w:space="0" w:color="auto"/>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产瑕</w:t>
                        </w:r>
                      </w:p>
                    </w:tc>
                  </w:tr>
                  <w:tr>
                    <w:trPr>
                      <w:trHeight w:val="312" w:hRule="exact"/>
                    </w:trPr>
                    <w:tc>
                      <w:tcPr>
                        <w:tcW w:w="807" w:type="dxa"/>
                        <w:vMerge/>
                        <w:tcBorders>
                          <w:left w:val="single" w:sz="4" w:space="0" w:color="000000"/>
                          <w:right w:val="single" w:sz="4" w:space="0" w:color="000000"/>
                        </w:tcBorders>
                        <w:shd w:val="clear" w:color="auto" w:fill="D3D3D3"/>
                      </w:tcPr>
                      <w:p>
                        <w:pPr/>
                      </w:p>
                    </w:tc>
                    <w:tc>
                      <w:tcPr>
                        <w:tcW w:w="1321" w:type="dxa"/>
                        <w:tcBorders>
                          <w:top w:val="nil" w:sz="6" w:space="0" w:color="auto"/>
                          <w:left w:val="single" w:sz="4" w:space="0" w:color="000000"/>
                          <w:bottom w:val="nil" w:sz="6" w:space="0" w:color="auto"/>
                          <w:right w:val="single" w:sz="4" w:space="0" w:color="000000"/>
                        </w:tcBorders>
                        <w:shd w:val="clear" w:color="auto" w:fill="C7EDCC"/>
                      </w:tcPr>
                      <w:p>
                        <w:pPr/>
                      </w:p>
                    </w:tc>
                    <w:tc>
                      <w:tcPr>
                        <w:tcW w:w="565" w:type="dxa"/>
                        <w:tcBorders>
                          <w:top w:val="nil" w:sz="6" w:space="0" w:color="auto"/>
                          <w:left w:val="single" w:sz="4" w:space="0" w:color="000000"/>
                          <w:bottom w:val="nil" w:sz="6" w:space="0" w:color="auto"/>
                          <w:right w:val="single" w:sz="4" w:space="0" w:color="000000"/>
                        </w:tcBorders>
                        <w:shd w:val="clear" w:color="auto" w:fill="C7EDCC"/>
                      </w:tcPr>
                      <w:p>
                        <w:pPr/>
                      </w:p>
                    </w:tc>
                    <w:tc>
                      <w:tcPr>
                        <w:tcW w:w="9358" w:type="dxa"/>
                        <w:tcBorders>
                          <w:top w:val="nil" w:sz="6" w:space="0" w:color="auto"/>
                          <w:left w:val="single" w:sz="4" w:space="0" w:color="000000"/>
                          <w:bottom w:val="nil" w:sz="6" w:space="0" w:color="auto"/>
                          <w:right w:val="single" w:sz="13" w:space="0" w:color="FFFFFF"/>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让的情形。关于拟注入资产合规经营的承诺：杭报集团有限公司及都市快报社承诺：下属拟注入标的公司最近五年未受</w:t>
                        </w:r>
                      </w:p>
                    </w:tc>
                    <w:tc>
                      <w:tcPr>
                        <w:tcW w:w="848" w:type="dxa"/>
                        <w:tcBorders>
                          <w:top w:val="nil" w:sz="6" w:space="0" w:color="auto"/>
                          <w:left w:val="single" w:sz="13" w:space="0" w:color="FFFFFF"/>
                          <w:bottom w:val="nil" w:sz="6" w:space="0" w:color="auto"/>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疵房</w:t>
                        </w:r>
                      </w:p>
                    </w:tc>
                  </w:tr>
                  <w:tr>
                    <w:trPr>
                      <w:trHeight w:val="317" w:hRule="exact"/>
                    </w:trPr>
                    <w:tc>
                      <w:tcPr>
                        <w:tcW w:w="807" w:type="dxa"/>
                        <w:vMerge/>
                        <w:tcBorders>
                          <w:left w:val="single" w:sz="4" w:space="0" w:color="000000"/>
                          <w:bottom w:val="single" w:sz="4" w:space="0" w:color="000000"/>
                          <w:right w:val="single" w:sz="4" w:space="0" w:color="000000"/>
                        </w:tcBorders>
                        <w:shd w:val="clear" w:color="auto" w:fill="D3D3D3"/>
                      </w:tcPr>
                      <w:p>
                        <w:pPr/>
                      </w:p>
                    </w:tc>
                    <w:tc>
                      <w:tcPr>
                        <w:tcW w:w="1321" w:type="dxa"/>
                        <w:tcBorders>
                          <w:top w:val="nil" w:sz="6" w:space="0" w:color="auto"/>
                          <w:left w:val="single" w:sz="4" w:space="0" w:color="000000"/>
                          <w:bottom w:val="single" w:sz="4" w:space="0" w:color="000000"/>
                          <w:right w:val="single" w:sz="4" w:space="0" w:color="000000"/>
                        </w:tcBorders>
                        <w:shd w:val="clear" w:color="auto" w:fill="C7EDCC"/>
                      </w:tcPr>
                      <w:p>
                        <w:pPr/>
                      </w:p>
                    </w:tc>
                    <w:tc>
                      <w:tcPr>
                        <w:tcW w:w="565" w:type="dxa"/>
                        <w:tcBorders>
                          <w:top w:val="nil" w:sz="6" w:space="0" w:color="auto"/>
                          <w:left w:val="single" w:sz="4" w:space="0" w:color="000000"/>
                          <w:bottom w:val="single" w:sz="4" w:space="0" w:color="000000"/>
                          <w:right w:val="single" w:sz="4" w:space="0" w:color="000000"/>
                        </w:tcBorders>
                        <w:shd w:val="clear" w:color="auto" w:fill="C7EDCC"/>
                      </w:tcPr>
                      <w:p>
                        <w:pPr/>
                      </w:p>
                    </w:tc>
                    <w:tc>
                      <w:tcPr>
                        <w:tcW w:w="9358" w:type="dxa"/>
                        <w:tcBorders>
                          <w:top w:val="nil" w:sz="6" w:space="0" w:color="auto"/>
                          <w:left w:val="single" w:sz="4" w:space="0" w:color="000000"/>
                          <w:bottom w:val="single" w:sz="4" w:space="0" w:color="000000"/>
                          <w:right w:val="single" w:sz="13" w:space="0" w:color="FFFFFF"/>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过任何刑事处罚、证券市场相关的行政处罚，不存在与经济纠纷有关的重大民事诉讼或仲裁的情况。截至承诺签署之日</w:t>
                        </w:r>
                      </w:p>
                    </w:tc>
                    <w:tc>
                      <w:tcPr>
                        <w:tcW w:w="848" w:type="dxa"/>
                        <w:tcBorders>
                          <w:top w:val="nil" w:sz="6" w:space="0" w:color="auto"/>
                          <w:left w:val="single" w:sz="13" w:space="0" w:color="FFFFFF"/>
                          <w:bottom w:val="single" w:sz="4" w:space="0" w:color="000000"/>
                          <w:right w:val="single" w:sz="4" w:space="0" w:color="000000"/>
                        </w:tcBorders>
                      </w:tcPr>
                      <w:p>
                        <w:pPr>
                          <w:pStyle w:val="TableParagraph"/>
                          <w:spacing w:line="240" w:lineRule="auto" w:before="10"/>
                          <w:ind w:left="-134" w:right="0"/>
                          <w:jc w:val="left"/>
                          <w:rPr>
                            <w:rFonts w:ascii="宋体" w:hAnsi="宋体" w:cs="宋体" w:eastAsia="宋体" w:hint="default"/>
                            <w:sz w:val="18"/>
                            <w:szCs w:val="18"/>
                          </w:rPr>
                        </w:pPr>
                        <w:r>
                          <w:rPr>
                            <w:rFonts w:ascii="宋体" w:hAnsi="宋体" w:cs="宋体" w:eastAsia="宋体" w:hint="default"/>
                            <w:sz w:val="18"/>
                            <w:szCs w:val="18"/>
                          </w:rPr>
                          <w:t>，</w:t>
                        </w:r>
                      </w:p>
                    </w:tc>
                    <w:tc>
                      <w:tcPr>
                        <w:tcW w:w="845" w:type="dxa"/>
                        <w:vMerge/>
                        <w:tcBorders>
                          <w:left w:val="single" w:sz="4" w:space="0" w:color="000000"/>
                          <w:bottom w:val="single" w:sz="4" w:space="0" w:color="000000"/>
                          <w:right w:val="single" w:sz="4" w:space="0" w:color="000000"/>
                        </w:tcBorders>
                        <w:shd w:val="clear" w:color="auto" w:fill="C7EDCC"/>
                      </w:tcPr>
                      <w:p>
                        <w:pPr/>
                      </w:p>
                    </w:tc>
                    <w:tc>
                      <w:tcPr>
                        <w:tcW w:w="52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产的</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0" w:right="110"/>
        <w:jc w:val="right"/>
      </w:pPr>
      <w:r>
        <w:rPr/>
        <w:t>、</w:t>
      </w:r>
    </w:p>
    <w:p>
      <w:pPr>
        <w:spacing w:line="240" w:lineRule="auto" w:before="13"/>
        <w:rPr>
          <w:rFonts w:ascii="宋体" w:hAnsi="宋体" w:cs="宋体" w:eastAsia="宋体" w:hint="default"/>
          <w:sz w:val="16"/>
          <w:szCs w:val="16"/>
        </w:rPr>
      </w:pPr>
    </w:p>
    <w:p>
      <w:pPr>
        <w:spacing w:line="1716" w:lineRule="exact"/>
        <w:ind w:left="12194" w:right="0" w:firstLine="0"/>
        <w:rPr>
          <w:rFonts w:ascii="宋体" w:hAnsi="宋体" w:cs="宋体" w:eastAsia="宋体" w:hint="default"/>
          <w:sz w:val="20"/>
          <w:szCs w:val="20"/>
        </w:rPr>
      </w:pPr>
      <w:r>
        <w:rPr>
          <w:rFonts w:ascii="宋体" w:hAnsi="宋体" w:cs="宋体" w:eastAsia="宋体" w:hint="default"/>
          <w:position w:val="-33"/>
          <w:sz w:val="20"/>
          <w:szCs w:val="20"/>
        </w:rPr>
        <w:pict>
          <v:group style="width:40.75pt;height:85.8pt;mso-position-horizontal-relative:char;mso-position-vertical-relative:line" coordorigin="0,0" coordsize="815,1716">
            <v:group style="position:absolute;left:0;top:0;width:815;height:1716" coordorigin="0,0" coordsize="815,1716">
              <v:shape style="position:absolute;left:0;top:0;width:815;height:1716" coordorigin="0,0" coordsize="815,1716" path="m815,1716l815,0,0,0,0,1716,815,1716xe" filled="true" fillcolor="#ffffff" stroked="false">
                <v:path arrowok="t"/>
                <v:fill type="solid"/>
              </v:shape>
            </v:group>
          </v:group>
        </w:pict>
      </w:r>
      <w:r>
        <w:rPr>
          <w:rFonts w:ascii="宋体" w:hAnsi="宋体" w:cs="宋体" w:eastAsia="宋体" w:hint="default"/>
          <w:position w:val="-33"/>
          <w:sz w:val="20"/>
          <w:szCs w:val="20"/>
        </w:rPr>
      </w:r>
    </w:p>
    <w:p>
      <w:pPr>
        <w:spacing w:after="0" w:line="1716" w:lineRule="exact"/>
        <w:rPr>
          <w:rFonts w:ascii="宋体" w:hAnsi="宋体" w:cs="宋体" w:eastAsia="宋体" w:hint="default"/>
          <w:sz w:val="20"/>
          <w:szCs w:val="20"/>
        </w:rPr>
        <w:sectPr>
          <w:pgSz w:w="16840" w:h="11910" w:orient="landscape"/>
          <w:pgMar w:header="867" w:footer="978" w:top="1060" w:bottom="1160" w:left="1040" w:right="1260"/>
        </w:sectPr>
      </w:pPr>
    </w:p>
    <w:p>
      <w:pPr>
        <w:pStyle w:val="BodyText"/>
        <w:spacing w:line="240" w:lineRule="auto" w:before="87"/>
        <w:ind w:left="0" w:right="110"/>
        <w:jc w:val="right"/>
      </w:pPr>
      <w:r>
        <w:rPr/>
        <w:pict>
          <v:shape style="position:absolute;margin-left:645.411072pt;margin-top:57.18pt;width:57.1pt;height:468pt;mso-position-horizontal-relative:page;mso-position-vertical-relative:page;z-index:-114942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BodyText"/>
                    <w:spacing w:line="240" w:lineRule="auto"/>
                    <w:ind w:left="0" w:right="0"/>
                    <w:jc w:val="left"/>
                  </w:pPr>
                  <w:r>
                    <w:rPr/>
                    <w:t>日。</w:t>
                  </w:r>
                </w:p>
              </w:txbxContent>
            </v:textbox>
            <w10:wrap type="none"/>
          </v:shape>
        </w:pict>
      </w:r>
      <w:r>
        <w:rPr/>
        <w:pict>
          <v:group style="position:absolute;margin-left:660.591003pt;margin-top:57.18pt;width:41.9pt;height:468pt;mso-position-horizontal-relative:page;mso-position-vertical-relative:page;z-index:1312" coordorigin="13212,1144" coordsize="838,9360">
            <v:shape style="position:absolute;left:13212;top:1144;width:838;height:9360" coordorigin="13212,1144" coordsize="838,9360" path="m13212,1144l13212,10504,14049,10504,14049,1144,13212,1144xe" filled="true" fillcolor="#ffffff" stroked="false">
              <v:path arrowok="t"/>
              <v:fill type="solid"/>
            </v:shape>
            <w10:wrap type="none"/>
          </v:group>
        </w:pict>
      </w:r>
      <w:r>
        <w:rPr/>
        <w:pict>
          <v:shape style="position:absolute;margin-left:57.561008pt;margin-top:55.259998pt;width:714.15pt;height:470.45pt;mso-position-horizontal-relative:page;mso-position-vertical-relative:page;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07"/>
                    <w:gridCol w:w="1321"/>
                    <w:gridCol w:w="565"/>
                    <w:gridCol w:w="9358"/>
                    <w:gridCol w:w="848"/>
                    <w:gridCol w:w="845"/>
                    <w:gridCol w:w="524"/>
                  </w:tblGrid>
                  <w:tr>
                    <w:trPr>
                      <w:trHeight w:val="336" w:hRule="exact"/>
                    </w:trPr>
                    <w:tc>
                      <w:tcPr>
                        <w:tcW w:w="807" w:type="dxa"/>
                        <w:vMerge w:val="restart"/>
                        <w:tcBorders>
                          <w:top w:val="single" w:sz="15" w:space="0" w:color="000000"/>
                          <w:left w:val="single" w:sz="4" w:space="0" w:color="000000"/>
                          <w:right w:val="single" w:sz="4" w:space="0" w:color="000000"/>
                        </w:tcBorders>
                        <w:shd w:val="clear" w:color="auto" w:fill="D3D3D3"/>
                      </w:tcPr>
                      <w:p>
                        <w:pPr/>
                      </w:p>
                    </w:tc>
                    <w:tc>
                      <w:tcPr>
                        <w:tcW w:w="1321" w:type="dxa"/>
                        <w:vMerge w:val="restart"/>
                        <w:tcBorders>
                          <w:top w:val="single" w:sz="15" w:space="0" w:color="000000"/>
                          <w:left w:val="single" w:sz="4" w:space="0" w:color="000000"/>
                          <w:right w:val="single" w:sz="4" w:space="0" w:color="000000"/>
                        </w:tcBorders>
                        <w:shd w:val="clear" w:color="auto" w:fill="C7EDCC"/>
                      </w:tcPr>
                      <w:p>
                        <w:pPr/>
                      </w:p>
                    </w:tc>
                    <w:tc>
                      <w:tcPr>
                        <w:tcW w:w="565" w:type="dxa"/>
                        <w:vMerge w:val="restart"/>
                        <w:tcBorders>
                          <w:top w:val="single" w:sz="15" w:space="0" w:color="000000"/>
                          <w:left w:val="single" w:sz="4" w:space="0" w:color="000000"/>
                          <w:right w:val="single" w:sz="4" w:space="0" w:color="000000"/>
                        </w:tcBorders>
                        <w:shd w:val="clear" w:color="auto" w:fill="C7EDCC"/>
                      </w:tcPr>
                      <w:p>
                        <w:pPr/>
                      </w:p>
                    </w:tc>
                    <w:tc>
                      <w:tcPr>
                        <w:tcW w:w="9358" w:type="dxa"/>
                        <w:tcBorders>
                          <w:top w:val="single" w:sz="15" w:space="0" w:color="000000"/>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拟注入标的公司不存在对外担保的情况。拟注入标的公司不存在下列情形：</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）最近</w:t>
                        </w:r>
                        <w:r>
                          <w:rPr>
                            <w:rFonts w:ascii="宋体" w:hAnsi="宋体" w:cs="宋体" w:eastAsia="宋体" w:hint="default"/>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5"/>
                            <w:sz w:val="18"/>
                            <w:szCs w:val="18"/>
                          </w:rPr>
                          <w:t> </w:t>
                        </w:r>
                        <w:r>
                          <w:rPr>
                            <w:rFonts w:ascii="宋体" w:hAnsi="宋体" w:cs="宋体" w:eastAsia="宋体" w:hint="default"/>
                            <w:spacing w:val="-2"/>
                            <w:sz w:val="18"/>
                            <w:szCs w:val="18"/>
                          </w:rPr>
                          <w:t>个月内未经法定机关核准，擅自</w:t>
                        </w:r>
                      </w:p>
                    </w:tc>
                    <w:tc>
                      <w:tcPr>
                        <w:tcW w:w="848" w:type="dxa"/>
                        <w:vMerge w:val="restart"/>
                        <w:tcBorders>
                          <w:top w:val="single" w:sz="15"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tc>
                    <w:tc>
                      <w:tcPr>
                        <w:tcW w:w="845" w:type="dxa"/>
                        <w:vMerge w:val="restart"/>
                        <w:tcBorders>
                          <w:top w:val="single" w:sz="15" w:space="0" w:color="000000"/>
                          <w:left w:val="single" w:sz="4" w:space="0" w:color="000000"/>
                          <w:right w:val="single" w:sz="4" w:space="0" w:color="000000"/>
                        </w:tcBorders>
                        <w:shd w:val="clear" w:color="auto" w:fill="C7EDCC"/>
                      </w:tcPr>
                      <w:p>
                        <w:pPr/>
                      </w:p>
                    </w:tc>
                    <w:tc>
                      <w:tcPr>
                        <w:tcW w:w="524" w:type="dxa"/>
                        <w:tcBorders>
                          <w:top w:val="single" w:sz="15" w:space="0" w:color="000000"/>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w:t>
                        </w:r>
                      </w:p>
                    </w:tc>
                  </w:tr>
                  <w:tr>
                    <w:trPr>
                      <w:trHeight w:val="312" w:hRule="exact"/>
                    </w:trPr>
                    <w:tc>
                      <w:tcPr>
                        <w:tcW w:w="807" w:type="dxa"/>
                        <w:vMerge/>
                        <w:tcBorders>
                          <w:left w:val="single" w:sz="4" w:space="0" w:color="000000"/>
                          <w:right w:val="single" w:sz="4" w:space="0" w:color="000000"/>
                        </w:tcBorders>
                        <w:shd w:val="clear" w:color="auto" w:fill="D3D3D3"/>
                      </w:tcPr>
                      <w:p>
                        <w:pPr/>
                      </w:p>
                    </w:tc>
                    <w:tc>
                      <w:tcPr>
                        <w:tcW w:w="1321" w:type="dxa"/>
                        <w:vMerge/>
                        <w:tcBorders>
                          <w:left w:val="single" w:sz="4" w:space="0" w:color="000000"/>
                          <w:right w:val="single" w:sz="4" w:space="0" w:color="000000"/>
                        </w:tcBorders>
                        <w:shd w:val="clear" w:color="auto" w:fill="C7EDCC"/>
                      </w:tcPr>
                      <w:p>
                        <w:pPr/>
                      </w:p>
                    </w:tc>
                    <w:tc>
                      <w:tcPr>
                        <w:tcW w:w="565" w:type="dxa"/>
                        <w:vMerge/>
                        <w:tcBorders>
                          <w:left w:val="single" w:sz="4" w:space="0" w:color="000000"/>
                          <w:right w:val="single" w:sz="4" w:space="0" w:color="000000"/>
                        </w:tcBorders>
                        <w:shd w:val="clear" w:color="auto" w:fill="C7EDCC"/>
                      </w:tcPr>
                      <w:p>
                        <w:pPr/>
                      </w:p>
                    </w:tc>
                    <w:tc>
                      <w:tcPr>
                        <w:tcW w:w="93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公开或者变相公开发行过证券；或者有关违法行为虽然发生在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个月前，但目前仍处于持续状态；</w:t>
                        </w:r>
                        <w:r>
                          <w:rPr>
                            <w:rFonts w:ascii="Times New Roman" w:hAnsi="Times New Roman" w:cs="Times New Roman" w:eastAsia="Times New Roman" w:hint="default"/>
                            <w:sz w:val="18"/>
                            <w:szCs w:val="18"/>
                          </w:rPr>
                          <w:t>2</w:t>
                        </w: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w:t>
                        </w:r>
                      </w:p>
                    </w:tc>
                    <w:tc>
                      <w:tcPr>
                        <w:tcW w:w="848"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关于</w:t>
                        </w:r>
                      </w:p>
                    </w:tc>
                  </w:tr>
                  <w:tr>
                    <w:trPr>
                      <w:trHeight w:val="312" w:hRule="exact"/>
                    </w:trPr>
                    <w:tc>
                      <w:tcPr>
                        <w:tcW w:w="807" w:type="dxa"/>
                        <w:vMerge/>
                        <w:tcBorders>
                          <w:left w:val="single" w:sz="4" w:space="0" w:color="000000"/>
                          <w:right w:val="single" w:sz="4" w:space="0" w:color="000000"/>
                        </w:tcBorders>
                        <w:shd w:val="clear" w:color="auto" w:fill="D3D3D3"/>
                      </w:tcPr>
                      <w:p>
                        <w:pPr/>
                      </w:p>
                    </w:tc>
                    <w:tc>
                      <w:tcPr>
                        <w:tcW w:w="1321" w:type="dxa"/>
                        <w:vMerge/>
                        <w:tcBorders>
                          <w:left w:val="single" w:sz="4" w:space="0" w:color="000000"/>
                          <w:right w:val="single" w:sz="4" w:space="0" w:color="000000"/>
                        </w:tcBorders>
                        <w:shd w:val="clear" w:color="auto" w:fill="C7EDCC"/>
                      </w:tcPr>
                      <w:p>
                        <w:pPr/>
                      </w:p>
                    </w:tc>
                    <w:tc>
                      <w:tcPr>
                        <w:tcW w:w="565" w:type="dxa"/>
                        <w:vMerge/>
                        <w:tcBorders>
                          <w:left w:val="single" w:sz="4" w:space="0" w:color="000000"/>
                          <w:right w:val="single" w:sz="4" w:space="0" w:color="000000"/>
                        </w:tcBorders>
                        <w:shd w:val="clear" w:color="auto" w:fill="C7EDCC"/>
                      </w:tcPr>
                      <w:p>
                        <w:pPr/>
                      </w:p>
                    </w:tc>
                    <w:tc>
                      <w:tcPr>
                        <w:tcW w:w="93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违反工商、税收、土地、环保、海关以及其他法律、行政法规，受到行政处罚，且情节严重；</w:t>
                        </w:r>
                        <w:r>
                          <w:rPr>
                            <w:rFonts w:ascii="Times New Roman" w:hAnsi="Times New Roman" w:cs="Times New Roman" w:eastAsia="Times New Roman" w:hint="default"/>
                            <w:sz w:val="18"/>
                            <w:szCs w:val="18"/>
                          </w:rPr>
                          <w:t>3</w:t>
                        </w:r>
                        <w:r>
                          <w:rPr>
                            <w:rFonts w:ascii="宋体" w:hAnsi="宋体" w:cs="宋体" w:eastAsia="宋体" w:hint="default"/>
                            <w:sz w:val="18"/>
                            <w:szCs w:val="18"/>
                          </w:rPr>
                          <w:t>）最近</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个月内曾向中</w:t>
                        </w:r>
                      </w:p>
                    </w:tc>
                    <w:tc>
                      <w:tcPr>
                        <w:tcW w:w="848"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注入</w:t>
                        </w:r>
                      </w:p>
                    </w:tc>
                  </w:tr>
                  <w:tr>
                    <w:trPr>
                      <w:trHeight w:val="307" w:hRule="exact"/>
                    </w:trPr>
                    <w:tc>
                      <w:tcPr>
                        <w:tcW w:w="807" w:type="dxa"/>
                        <w:vMerge/>
                        <w:tcBorders>
                          <w:left w:val="single" w:sz="4" w:space="0" w:color="000000"/>
                          <w:right w:val="single" w:sz="4" w:space="0" w:color="000000"/>
                        </w:tcBorders>
                        <w:shd w:val="clear" w:color="auto" w:fill="D3D3D3"/>
                      </w:tcPr>
                      <w:p>
                        <w:pPr/>
                      </w:p>
                    </w:tc>
                    <w:tc>
                      <w:tcPr>
                        <w:tcW w:w="1321" w:type="dxa"/>
                        <w:vMerge/>
                        <w:tcBorders>
                          <w:left w:val="single" w:sz="4" w:space="0" w:color="000000"/>
                          <w:right w:val="single" w:sz="4" w:space="0" w:color="000000"/>
                        </w:tcBorders>
                        <w:shd w:val="clear" w:color="auto" w:fill="C7EDCC"/>
                      </w:tcPr>
                      <w:p>
                        <w:pPr/>
                      </w:p>
                    </w:tc>
                    <w:tc>
                      <w:tcPr>
                        <w:tcW w:w="565" w:type="dxa"/>
                        <w:vMerge/>
                        <w:tcBorders>
                          <w:left w:val="single" w:sz="4" w:space="0" w:color="000000"/>
                          <w:right w:val="single" w:sz="4" w:space="0" w:color="000000"/>
                        </w:tcBorders>
                        <w:shd w:val="clear" w:color="auto" w:fill="C7EDCC"/>
                      </w:tcPr>
                      <w:p>
                        <w:pPr/>
                      </w:p>
                    </w:tc>
                    <w:tc>
                      <w:tcPr>
                        <w:tcW w:w="93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国证监会提出发行申请，但报送的发行申请文件有虚假记载、误导性陈述或重大遗漏；或者不符合发行条件以欺骗手段</w:t>
                        </w:r>
                      </w:p>
                    </w:tc>
                    <w:tc>
                      <w:tcPr>
                        <w:tcW w:w="848"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资产</w:t>
                        </w:r>
                      </w:p>
                    </w:tc>
                  </w:tr>
                  <w:tr>
                    <w:trPr>
                      <w:trHeight w:val="312" w:hRule="exact"/>
                    </w:trPr>
                    <w:tc>
                      <w:tcPr>
                        <w:tcW w:w="807" w:type="dxa"/>
                        <w:vMerge/>
                        <w:tcBorders>
                          <w:left w:val="single" w:sz="4" w:space="0" w:color="000000"/>
                          <w:right w:val="single" w:sz="4" w:space="0" w:color="000000"/>
                        </w:tcBorders>
                        <w:shd w:val="clear" w:color="auto" w:fill="D3D3D3"/>
                      </w:tcPr>
                      <w:p>
                        <w:pPr/>
                      </w:p>
                    </w:tc>
                    <w:tc>
                      <w:tcPr>
                        <w:tcW w:w="1321" w:type="dxa"/>
                        <w:vMerge/>
                        <w:tcBorders>
                          <w:left w:val="single" w:sz="4" w:space="0" w:color="000000"/>
                          <w:right w:val="single" w:sz="4" w:space="0" w:color="000000"/>
                        </w:tcBorders>
                        <w:shd w:val="clear" w:color="auto" w:fill="C7EDCC"/>
                      </w:tcPr>
                      <w:p>
                        <w:pPr/>
                      </w:p>
                    </w:tc>
                    <w:tc>
                      <w:tcPr>
                        <w:tcW w:w="565" w:type="dxa"/>
                        <w:vMerge/>
                        <w:tcBorders>
                          <w:left w:val="single" w:sz="4" w:space="0" w:color="000000"/>
                          <w:right w:val="single" w:sz="4" w:space="0" w:color="000000"/>
                        </w:tcBorders>
                        <w:shd w:val="clear" w:color="auto" w:fill="C7EDCC"/>
                      </w:tcPr>
                      <w:p>
                        <w:pPr/>
                      </w:p>
                    </w:tc>
                    <w:tc>
                      <w:tcPr>
                        <w:tcW w:w="93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骗取发行核准；或者以不正当手段干扰中国证监会及其发行审核委员会审核工作；或者伪造、变造发行人或其董事、监</w:t>
                        </w:r>
                      </w:p>
                    </w:tc>
                    <w:tc>
                      <w:tcPr>
                        <w:tcW w:w="848"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税收</w:t>
                        </w:r>
                      </w:p>
                    </w:tc>
                  </w:tr>
                  <w:tr>
                    <w:trPr>
                      <w:trHeight w:val="317" w:hRule="exact"/>
                    </w:trPr>
                    <w:tc>
                      <w:tcPr>
                        <w:tcW w:w="807" w:type="dxa"/>
                        <w:vMerge/>
                        <w:tcBorders>
                          <w:left w:val="single" w:sz="4" w:space="0" w:color="000000"/>
                          <w:right w:val="single" w:sz="4" w:space="0" w:color="000000"/>
                        </w:tcBorders>
                        <w:shd w:val="clear" w:color="auto" w:fill="D3D3D3"/>
                      </w:tcPr>
                      <w:p>
                        <w:pPr/>
                      </w:p>
                    </w:tc>
                    <w:tc>
                      <w:tcPr>
                        <w:tcW w:w="1321" w:type="dxa"/>
                        <w:vMerge/>
                        <w:tcBorders>
                          <w:left w:val="single" w:sz="4" w:space="0" w:color="000000"/>
                          <w:right w:val="single" w:sz="4" w:space="0" w:color="000000"/>
                        </w:tcBorders>
                        <w:shd w:val="clear" w:color="auto" w:fill="C7EDCC"/>
                      </w:tcPr>
                      <w:p>
                        <w:pPr/>
                      </w:p>
                    </w:tc>
                    <w:tc>
                      <w:tcPr>
                        <w:tcW w:w="565" w:type="dxa"/>
                        <w:vMerge/>
                        <w:tcBorders>
                          <w:left w:val="single" w:sz="4" w:space="0" w:color="000000"/>
                          <w:right w:val="single" w:sz="4" w:space="0" w:color="000000"/>
                        </w:tcBorders>
                        <w:shd w:val="clear" w:color="auto" w:fill="C7EDCC"/>
                      </w:tcPr>
                      <w:p>
                        <w:pPr/>
                      </w:p>
                    </w:tc>
                    <w:tc>
                      <w:tcPr>
                        <w:tcW w:w="93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事、高级管理人员的签字、盖章；</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）本次报送的发行申请文件有虚假记载、误导性陈述或者重大遗漏；</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）涉嫌犯罪被</w:t>
                        </w:r>
                      </w:p>
                    </w:tc>
                    <w:tc>
                      <w:tcPr>
                        <w:tcW w:w="848"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优惠</w:t>
                        </w:r>
                      </w:p>
                    </w:tc>
                  </w:tr>
                  <w:tr>
                    <w:trPr>
                      <w:trHeight w:val="312" w:hRule="exact"/>
                    </w:trPr>
                    <w:tc>
                      <w:tcPr>
                        <w:tcW w:w="807" w:type="dxa"/>
                        <w:vMerge/>
                        <w:tcBorders>
                          <w:left w:val="single" w:sz="4" w:space="0" w:color="000000"/>
                          <w:right w:val="single" w:sz="4" w:space="0" w:color="000000"/>
                        </w:tcBorders>
                        <w:shd w:val="clear" w:color="auto" w:fill="D3D3D3"/>
                      </w:tcPr>
                      <w:p>
                        <w:pPr/>
                      </w:p>
                    </w:tc>
                    <w:tc>
                      <w:tcPr>
                        <w:tcW w:w="1321" w:type="dxa"/>
                        <w:vMerge/>
                        <w:tcBorders>
                          <w:left w:val="single" w:sz="4" w:space="0" w:color="000000"/>
                          <w:right w:val="single" w:sz="4" w:space="0" w:color="000000"/>
                        </w:tcBorders>
                        <w:shd w:val="clear" w:color="auto" w:fill="C7EDCC"/>
                      </w:tcPr>
                      <w:p>
                        <w:pPr/>
                      </w:p>
                    </w:tc>
                    <w:tc>
                      <w:tcPr>
                        <w:tcW w:w="565" w:type="dxa"/>
                        <w:vMerge/>
                        <w:tcBorders>
                          <w:left w:val="single" w:sz="4" w:space="0" w:color="000000"/>
                          <w:right w:val="single" w:sz="4" w:space="0" w:color="000000"/>
                        </w:tcBorders>
                        <w:shd w:val="clear" w:color="auto" w:fill="C7EDCC"/>
                      </w:tcPr>
                      <w:p>
                        <w:pPr/>
                      </w:p>
                    </w:tc>
                    <w:tc>
                      <w:tcPr>
                        <w:tcW w:w="93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司法机关立案侦查，尚未有明确结论意见；</w:t>
                        </w:r>
                        <w:r>
                          <w:rPr>
                            <w:rFonts w:ascii="Times New Roman" w:hAnsi="Times New Roman" w:cs="Times New Roman" w:eastAsia="Times New Roman" w:hint="default"/>
                            <w:sz w:val="18"/>
                            <w:szCs w:val="18"/>
                          </w:rPr>
                          <w:t>6</w:t>
                        </w:r>
                        <w:r>
                          <w:rPr>
                            <w:rFonts w:ascii="宋体" w:hAnsi="宋体" w:cs="宋体" w:eastAsia="宋体" w:hint="default"/>
                            <w:sz w:val="18"/>
                            <w:szCs w:val="18"/>
                          </w:rPr>
                          <w:t>）严重损害投资者合法权益和社会公共利益的其他情形。如上述承诺被证</w:t>
                        </w:r>
                      </w:p>
                    </w:tc>
                    <w:tc>
                      <w:tcPr>
                        <w:tcW w:w="848"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的承</w:t>
                        </w:r>
                      </w:p>
                    </w:tc>
                  </w:tr>
                  <w:tr>
                    <w:trPr>
                      <w:trHeight w:val="307" w:hRule="exact"/>
                    </w:trPr>
                    <w:tc>
                      <w:tcPr>
                        <w:tcW w:w="807" w:type="dxa"/>
                        <w:vMerge/>
                        <w:tcBorders>
                          <w:left w:val="single" w:sz="4" w:space="0" w:color="000000"/>
                          <w:right w:val="single" w:sz="4" w:space="0" w:color="000000"/>
                        </w:tcBorders>
                        <w:shd w:val="clear" w:color="auto" w:fill="D3D3D3"/>
                      </w:tcPr>
                      <w:p>
                        <w:pPr/>
                      </w:p>
                    </w:tc>
                    <w:tc>
                      <w:tcPr>
                        <w:tcW w:w="1321" w:type="dxa"/>
                        <w:vMerge/>
                        <w:tcBorders>
                          <w:left w:val="single" w:sz="4" w:space="0" w:color="000000"/>
                          <w:right w:val="single" w:sz="4" w:space="0" w:color="000000"/>
                        </w:tcBorders>
                        <w:shd w:val="clear" w:color="auto" w:fill="C7EDCC"/>
                      </w:tcPr>
                      <w:p>
                        <w:pPr/>
                      </w:p>
                    </w:tc>
                    <w:tc>
                      <w:tcPr>
                        <w:tcW w:w="565" w:type="dxa"/>
                        <w:vMerge/>
                        <w:tcBorders>
                          <w:left w:val="single" w:sz="4" w:space="0" w:color="000000"/>
                          <w:right w:val="single" w:sz="4" w:space="0" w:color="000000"/>
                        </w:tcBorders>
                        <w:shd w:val="clear" w:color="auto" w:fill="C7EDCC"/>
                      </w:tcPr>
                      <w:p>
                        <w:pPr/>
                      </w:p>
                    </w:tc>
                    <w:tc>
                      <w:tcPr>
                        <w:tcW w:w="93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明是不真实的或未被遵守，其将向华智控股赔偿一切直接和间接损失，并承担相应的法律责任。关于注入资产税收优惠</w:t>
                        </w:r>
                      </w:p>
                    </w:tc>
                    <w:tc>
                      <w:tcPr>
                        <w:tcW w:w="848"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诺已</w:t>
                        </w:r>
                      </w:p>
                    </w:tc>
                  </w:tr>
                  <w:tr>
                    <w:trPr>
                      <w:trHeight w:val="317" w:hRule="exact"/>
                    </w:trPr>
                    <w:tc>
                      <w:tcPr>
                        <w:tcW w:w="807" w:type="dxa"/>
                        <w:vMerge/>
                        <w:tcBorders>
                          <w:left w:val="single" w:sz="4" w:space="0" w:color="000000"/>
                          <w:right w:val="single" w:sz="4" w:space="0" w:color="000000"/>
                        </w:tcBorders>
                        <w:shd w:val="clear" w:color="auto" w:fill="D3D3D3"/>
                      </w:tcPr>
                      <w:p>
                        <w:pPr/>
                      </w:p>
                    </w:tc>
                    <w:tc>
                      <w:tcPr>
                        <w:tcW w:w="1321" w:type="dxa"/>
                        <w:vMerge/>
                        <w:tcBorders>
                          <w:left w:val="single" w:sz="4" w:space="0" w:color="000000"/>
                          <w:right w:val="single" w:sz="4" w:space="0" w:color="000000"/>
                        </w:tcBorders>
                        <w:shd w:val="clear" w:color="auto" w:fill="C7EDCC"/>
                      </w:tcPr>
                      <w:p>
                        <w:pPr/>
                      </w:p>
                    </w:tc>
                    <w:tc>
                      <w:tcPr>
                        <w:tcW w:w="565" w:type="dxa"/>
                        <w:vMerge/>
                        <w:tcBorders>
                          <w:left w:val="single" w:sz="4" w:space="0" w:color="000000"/>
                          <w:right w:val="single" w:sz="4" w:space="0" w:color="000000"/>
                        </w:tcBorders>
                        <w:shd w:val="clear" w:color="auto" w:fill="C7EDCC"/>
                      </w:tcPr>
                      <w:p>
                        <w:pPr/>
                      </w:p>
                    </w:tc>
                    <w:tc>
                      <w:tcPr>
                        <w:tcW w:w="93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的承诺</w:t>
                        </w:r>
                        <w:r>
                          <w:rPr>
                            <w:rFonts w:ascii="宋体" w:hAnsi="宋体" w:cs="宋体" w:eastAsia="宋体" w:hint="default"/>
                            <w:spacing w:val="-3"/>
                            <w:sz w:val="18"/>
                            <w:szCs w:val="18"/>
                          </w:rPr>
                          <w:t>：</w:t>
                        </w:r>
                        <w:r>
                          <w:rPr>
                            <w:rFonts w:ascii="宋体" w:hAnsi="宋体" w:cs="宋体" w:eastAsia="宋体" w:hint="default"/>
                            <w:sz w:val="18"/>
                            <w:szCs w:val="18"/>
                          </w:rPr>
                          <w:t>根据财政部</w:t>
                        </w:r>
                        <w:r>
                          <w:rPr>
                            <w:rFonts w:ascii="宋体" w:hAnsi="宋体" w:cs="宋体" w:eastAsia="宋体" w:hint="default"/>
                            <w:spacing w:val="-3"/>
                            <w:sz w:val="18"/>
                            <w:szCs w:val="18"/>
                          </w:rPr>
                          <w:t>、</w:t>
                        </w:r>
                        <w:r>
                          <w:rPr>
                            <w:rFonts w:ascii="宋体" w:hAnsi="宋体" w:cs="宋体" w:eastAsia="宋体" w:hint="default"/>
                            <w:sz w:val="18"/>
                            <w:szCs w:val="18"/>
                          </w:rPr>
                          <w:t>国家税务总</w:t>
                        </w:r>
                        <w:r>
                          <w:rPr>
                            <w:rFonts w:ascii="宋体" w:hAnsi="宋体" w:cs="宋体" w:eastAsia="宋体" w:hint="default"/>
                            <w:spacing w:val="-3"/>
                            <w:sz w:val="18"/>
                            <w:szCs w:val="18"/>
                          </w:rPr>
                          <w:t>局</w:t>
                        </w:r>
                        <w:r>
                          <w:rPr>
                            <w:rFonts w:ascii="宋体" w:hAnsi="宋体" w:cs="宋体" w:eastAsia="宋体" w:hint="default"/>
                            <w:sz w:val="18"/>
                            <w:szCs w:val="18"/>
                          </w:rPr>
                          <w:t>（财</w:t>
                        </w:r>
                        <w:r>
                          <w:rPr>
                            <w:rFonts w:ascii="宋体" w:hAnsi="宋体" w:cs="宋体" w:eastAsia="宋体" w:hint="default"/>
                            <w:spacing w:val="-3"/>
                            <w:sz w:val="18"/>
                            <w:szCs w:val="18"/>
                          </w:rPr>
                          <w:t>税</w:t>
                        </w:r>
                        <w:r>
                          <w:rPr>
                            <w:rFonts w:ascii="宋体" w:hAnsi="宋体" w:cs="宋体" w:eastAsia="宋体" w:hint="default"/>
                            <w:sz w:val="18"/>
                            <w:szCs w:val="18"/>
                          </w:rPr>
                          <w:t>［</w:t>
                        </w:r>
                        <w:r>
                          <w:rPr>
                            <w:rFonts w:ascii="Times New Roman" w:hAnsi="Times New Roman" w:cs="Times New Roman" w:eastAsia="Times New Roman" w:hint="default"/>
                            <w:sz w:val="18"/>
                            <w:szCs w:val="18"/>
                          </w:rPr>
                          <w:t>2009</w:t>
                        </w:r>
                        <w:r>
                          <w:rPr>
                            <w:rFonts w:ascii="宋体" w:hAnsi="宋体" w:cs="宋体" w:eastAsia="宋体" w:hint="default"/>
                            <w:spacing w:val="-3"/>
                            <w:sz w:val="18"/>
                            <w:szCs w:val="18"/>
                          </w:rPr>
                          <w:t>］</w:t>
                        </w:r>
                        <w:r>
                          <w:rPr>
                            <w:rFonts w:ascii="Times New Roman" w:hAnsi="Times New Roman" w:cs="Times New Roman" w:eastAsia="Times New Roman" w:hint="default"/>
                            <w:sz w:val="18"/>
                            <w:szCs w:val="18"/>
                          </w:rPr>
                          <w:t>34 </w:t>
                        </w:r>
                        <w:r>
                          <w:rPr>
                            <w:rFonts w:ascii="宋体" w:hAnsi="宋体" w:cs="宋体" w:eastAsia="宋体" w:hint="default"/>
                            <w:sz w:val="18"/>
                            <w:szCs w:val="18"/>
                          </w:rPr>
                          <w:t>号</w:t>
                        </w:r>
                        <w:r>
                          <w:rPr>
                            <w:rFonts w:ascii="宋体" w:hAnsi="宋体" w:cs="宋体" w:eastAsia="宋体" w:hint="default"/>
                            <w:spacing w:val="-93"/>
                            <w:sz w:val="18"/>
                            <w:szCs w:val="18"/>
                          </w:rPr>
                          <w:t>）</w:t>
                        </w:r>
                        <w:r>
                          <w:rPr>
                            <w:rFonts w:ascii="宋体" w:hAnsi="宋体" w:cs="宋体" w:eastAsia="宋体" w:hint="default"/>
                            <w:sz w:val="18"/>
                            <w:szCs w:val="18"/>
                          </w:rPr>
                          <w:t>《关于文化体制改革中经营性文化事业单位转制为企业的若</w:t>
                        </w:r>
                      </w:p>
                    </w:tc>
                    <w:tc>
                      <w:tcPr>
                        <w:tcW w:w="848"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w:t>
                        </w:r>
                      </w:p>
                    </w:tc>
                  </w:tr>
                  <w:tr>
                    <w:trPr>
                      <w:trHeight w:val="312" w:hRule="exact"/>
                    </w:trPr>
                    <w:tc>
                      <w:tcPr>
                        <w:tcW w:w="807" w:type="dxa"/>
                        <w:vMerge/>
                        <w:tcBorders>
                          <w:left w:val="single" w:sz="4" w:space="0" w:color="000000"/>
                          <w:right w:val="single" w:sz="4" w:space="0" w:color="000000"/>
                        </w:tcBorders>
                        <w:shd w:val="clear" w:color="auto" w:fill="D3D3D3"/>
                      </w:tcPr>
                      <w:p>
                        <w:pPr/>
                      </w:p>
                    </w:tc>
                    <w:tc>
                      <w:tcPr>
                        <w:tcW w:w="1321" w:type="dxa"/>
                        <w:vMerge/>
                        <w:tcBorders>
                          <w:left w:val="single" w:sz="4" w:space="0" w:color="000000"/>
                          <w:right w:val="single" w:sz="4" w:space="0" w:color="000000"/>
                        </w:tcBorders>
                        <w:shd w:val="clear" w:color="auto" w:fill="C7EDCC"/>
                      </w:tcPr>
                      <w:p>
                        <w:pPr/>
                      </w:p>
                    </w:tc>
                    <w:tc>
                      <w:tcPr>
                        <w:tcW w:w="565" w:type="dxa"/>
                        <w:vMerge/>
                        <w:tcBorders>
                          <w:left w:val="single" w:sz="4" w:space="0" w:color="000000"/>
                          <w:right w:val="single" w:sz="4" w:space="0" w:color="000000"/>
                        </w:tcBorders>
                        <w:shd w:val="clear" w:color="auto" w:fill="C7EDCC"/>
                      </w:tcPr>
                      <w:p>
                        <w:pPr/>
                      </w:p>
                    </w:tc>
                    <w:tc>
                      <w:tcPr>
                        <w:tcW w:w="93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干税收优惠政策的通知</w:t>
                        </w:r>
                        <w:r>
                          <w:rPr>
                            <w:rFonts w:ascii="宋体" w:hAnsi="宋体" w:cs="宋体" w:eastAsia="宋体" w:hint="default"/>
                            <w:spacing w:val="-90"/>
                            <w:sz w:val="18"/>
                            <w:szCs w:val="18"/>
                          </w:rPr>
                          <w:t>》</w:t>
                        </w:r>
                        <w:r>
                          <w:rPr>
                            <w:rFonts w:ascii="宋体" w:hAnsi="宋体" w:cs="宋体" w:eastAsia="宋体" w:hint="default"/>
                            <w:sz w:val="18"/>
                            <w:szCs w:val="18"/>
                          </w:rPr>
                          <w:t>，杭报集团享受免征企业所得税至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w:t>
                        </w:r>
                        <w:r>
                          <w:rPr>
                            <w:rFonts w:ascii="宋体" w:hAnsi="宋体" w:cs="宋体" w:eastAsia="宋体" w:hint="default"/>
                            <w:spacing w:val="1"/>
                            <w:sz w:val="18"/>
                            <w:szCs w:val="18"/>
                          </w:rPr>
                          <w:t>次</w:t>
                        </w:r>
                        <w:r>
                          <w:rPr>
                            <w:rFonts w:ascii="宋体" w:hAnsi="宋体" w:cs="宋体" w:eastAsia="宋体" w:hint="default"/>
                            <w:sz w:val="18"/>
                            <w:szCs w:val="18"/>
                          </w:rPr>
                          <w:t>注入资产中</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家公司目前均享受</w:t>
                        </w:r>
                      </w:p>
                    </w:tc>
                    <w:tc>
                      <w:tcPr>
                        <w:tcW w:w="848"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完毕</w:t>
                        </w:r>
                      </w:p>
                    </w:tc>
                  </w:tr>
                  <w:tr>
                    <w:trPr>
                      <w:trHeight w:val="312" w:hRule="exact"/>
                    </w:trPr>
                    <w:tc>
                      <w:tcPr>
                        <w:tcW w:w="807" w:type="dxa"/>
                        <w:vMerge/>
                        <w:tcBorders>
                          <w:left w:val="single" w:sz="4" w:space="0" w:color="000000"/>
                          <w:right w:val="single" w:sz="4" w:space="0" w:color="000000"/>
                        </w:tcBorders>
                        <w:shd w:val="clear" w:color="auto" w:fill="D3D3D3"/>
                      </w:tcPr>
                      <w:p>
                        <w:pPr/>
                      </w:p>
                    </w:tc>
                    <w:tc>
                      <w:tcPr>
                        <w:tcW w:w="1321" w:type="dxa"/>
                        <w:vMerge/>
                        <w:tcBorders>
                          <w:left w:val="single" w:sz="4" w:space="0" w:color="000000"/>
                          <w:right w:val="single" w:sz="4" w:space="0" w:color="000000"/>
                        </w:tcBorders>
                        <w:shd w:val="clear" w:color="auto" w:fill="C7EDCC"/>
                      </w:tcPr>
                      <w:p>
                        <w:pPr/>
                      </w:p>
                    </w:tc>
                    <w:tc>
                      <w:tcPr>
                        <w:tcW w:w="565" w:type="dxa"/>
                        <w:vMerge/>
                        <w:tcBorders>
                          <w:left w:val="single" w:sz="4" w:space="0" w:color="000000"/>
                          <w:right w:val="single" w:sz="4" w:space="0" w:color="000000"/>
                        </w:tcBorders>
                        <w:shd w:val="clear" w:color="auto" w:fill="C7EDCC"/>
                      </w:tcPr>
                      <w:p>
                        <w:pPr/>
                      </w:p>
                    </w:tc>
                    <w:tc>
                      <w:tcPr>
                        <w:tcW w:w="93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上述政策优惠。根据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日《国务院办公厅关于印发文化体制改革中经营性文化事业单位转制为企业和进一</w:t>
                        </w:r>
                      </w:p>
                    </w:tc>
                    <w:tc>
                      <w:tcPr>
                        <w:tcW w:w="848"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其余</w:t>
                        </w:r>
                      </w:p>
                    </w:tc>
                  </w:tr>
                  <w:tr>
                    <w:trPr>
                      <w:trHeight w:val="312" w:hRule="exact"/>
                    </w:trPr>
                    <w:tc>
                      <w:tcPr>
                        <w:tcW w:w="807" w:type="dxa"/>
                        <w:vMerge/>
                        <w:tcBorders>
                          <w:left w:val="single" w:sz="4" w:space="0" w:color="000000"/>
                          <w:right w:val="single" w:sz="4" w:space="0" w:color="000000"/>
                        </w:tcBorders>
                        <w:shd w:val="clear" w:color="auto" w:fill="D3D3D3"/>
                      </w:tcPr>
                      <w:p>
                        <w:pPr/>
                      </w:p>
                    </w:tc>
                    <w:tc>
                      <w:tcPr>
                        <w:tcW w:w="1321" w:type="dxa"/>
                        <w:vMerge/>
                        <w:tcBorders>
                          <w:left w:val="single" w:sz="4" w:space="0" w:color="000000"/>
                          <w:right w:val="single" w:sz="4" w:space="0" w:color="000000"/>
                        </w:tcBorders>
                        <w:shd w:val="clear" w:color="auto" w:fill="C7EDCC"/>
                      </w:tcPr>
                      <w:p>
                        <w:pPr/>
                      </w:p>
                    </w:tc>
                    <w:tc>
                      <w:tcPr>
                        <w:tcW w:w="565" w:type="dxa"/>
                        <w:vMerge/>
                        <w:tcBorders>
                          <w:left w:val="single" w:sz="4" w:space="0" w:color="000000"/>
                          <w:right w:val="single" w:sz="4" w:space="0" w:color="000000"/>
                        </w:tcBorders>
                        <w:shd w:val="clear" w:color="auto" w:fill="C7EDCC"/>
                      </w:tcPr>
                      <w:p>
                        <w:pPr/>
                      </w:p>
                    </w:tc>
                    <w:tc>
                      <w:tcPr>
                        <w:tcW w:w="93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步支持文化企业发展两个规定的通知</w:t>
                        </w:r>
                        <w:r>
                          <w:rPr>
                            <w:rFonts w:ascii="宋体" w:hAnsi="宋体" w:cs="宋体" w:eastAsia="宋体" w:hint="default"/>
                            <w:spacing w:val="-93"/>
                            <w:sz w:val="18"/>
                            <w:szCs w:val="18"/>
                          </w:rPr>
                          <w:t>》</w:t>
                        </w:r>
                        <w:r>
                          <w:rPr>
                            <w:rFonts w:ascii="宋体" w:hAnsi="宋体" w:cs="宋体" w:eastAsia="宋体" w:hint="default"/>
                            <w:sz w:val="18"/>
                            <w:szCs w:val="18"/>
                          </w:rPr>
                          <w:t>（国办</w:t>
                        </w:r>
                        <w:r>
                          <w:rPr>
                            <w:rFonts w:ascii="宋体" w:hAnsi="宋体" w:cs="宋体" w:eastAsia="宋体" w:hint="default"/>
                            <w:spacing w:val="-3"/>
                            <w:sz w:val="18"/>
                            <w:szCs w:val="18"/>
                          </w:rPr>
                          <w:t>发</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pacing w:val="-3"/>
                            <w:sz w:val="18"/>
                            <w:szCs w:val="18"/>
                          </w:rPr>
                          <w:t>〕</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3"/>
                            <w:sz w:val="18"/>
                            <w:szCs w:val="18"/>
                          </w:rPr>
                          <w:t>）</w:t>
                        </w:r>
                        <w:r>
                          <w:rPr>
                            <w:rFonts w:ascii="宋体" w:hAnsi="宋体" w:cs="宋体" w:eastAsia="宋体" w:hint="default"/>
                            <w:sz w:val="18"/>
                            <w:szCs w:val="18"/>
                          </w:rPr>
                          <w:t>中</w:t>
                        </w:r>
                        <w:r>
                          <w:rPr>
                            <w:rFonts w:ascii="宋体" w:hAnsi="宋体" w:cs="宋体" w:eastAsia="宋体" w:hint="default"/>
                            <w:spacing w:val="-3"/>
                            <w:sz w:val="18"/>
                            <w:szCs w:val="18"/>
                          </w:rPr>
                          <w:t>的</w:t>
                        </w:r>
                        <w:r>
                          <w:rPr>
                            <w:rFonts w:ascii="宋体" w:hAnsi="宋体" w:cs="宋体" w:eastAsia="宋体" w:hint="default"/>
                            <w:sz w:val="18"/>
                            <w:szCs w:val="18"/>
                          </w:rPr>
                          <w:t>《文化体制改革中经营性文化事业单位转制为企业</w:t>
                        </w:r>
                      </w:p>
                    </w:tc>
                    <w:tc>
                      <w:tcPr>
                        <w:tcW w:w="848"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正常</w:t>
                        </w:r>
                      </w:p>
                    </w:tc>
                  </w:tr>
                  <w:tr>
                    <w:trPr>
                      <w:trHeight w:val="312" w:hRule="exact"/>
                    </w:trPr>
                    <w:tc>
                      <w:tcPr>
                        <w:tcW w:w="807" w:type="dxa"/>
                        <w:vMerge/>
                        <w:tcBorders>
                          <w:left w:val="single" w:sz="4" w:space="0" w:color="000000"/>
                          <w:right w:val="single" w:sz="4" w:space="0" w:color="000000"/>
                        </w:tcBorders>
                        <w:shd w:val="clear" w:color="auto" w:fill="D3D3D3"/>
                      </w:tcPr>
                      <w:p>
                        <w:pPr/>
                      </w:p>
                    </w:tc>
                    <w:tc>
                      <w:tcPr>
                        <w:tcW w:w="1321" w:type="dxa"/>
                        <w:vMerge/>
                        <w:tcBorders>
                          <w:left w:val="single" w:sz="4" w:space="0" w:color="000000"/>
                          <w:right w:val="single" w:sz="4" w:space="0" w:color="000000"/>
                        </w:tcBorders>
                        <w:shd w:val="clear" w:color="auto" w:fill="C7EDCC"/>
                      </w:tcPr>
                      <w:p>
                        <w:pPr/>
                      </w:p>
                    </w:tc>
                    <w:tc>
                      <w:tcPr>
                        <w:tcW w:w="565" w:type="dxa"/>
                        <w:vMerge/>
                        <w:tcBorders>
                          <w:left w:val="single" w:sz="4" w:space="0" w:color="000000"/>
                          <w:right w:val="single" w:sz="4" w:space="0" w:color="000000"/>
                        </w:tcBorders>
                        <w:shd w:val="clear" w:color="auto" w:fill="C7EDCC"/>
                      </w:tcPr>
                      <w:p>
                        <w:pPr/>
                      </w:p>
                    </w:tc>
                    <w:tc>
                      <w:tcPr>
                        <w:tcW w:w="93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的规定》第二十条</w:t>
                        </w:r>
                        <w:r>
                          <w:rPr>
                            <w:rFonts w:ascii="Times New Roman" w:hAnsi="Times New Roman" w:cs="Times New Roman" w:eastAsia="Times New Roman" w:hint="default"/>
                            <w:sz w:val="18"/>
                            <w:szCs w:val="18"/>
                          </w:rPr>
                          <w:t>“</w:t>
                        </w:r>
                        <w:r>
                          <w:rPr>
                            <w:rFonts w:ascii="宋体" w:hAnsi="宋体" w:cs="宋体" w:eastAsia="宋体" w:hint="default"/>
                            <w:sz w:val="18"/>
                            <w:szCs w:val="18"/>
                          </w:rPr>
                          <w:t>经营性文化事业单位转制为企业后，免征企业所得税</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上述政策适用于开展文化体制改革的地区</w:t>
                        </w:r>
                      </w:p>
                    </w:tc>
                    <w:tc>
                      <w:tcPr>
                        <w:tcW w:w="848"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履行</w:t>
                        </w:r>
                      </w:p>
                    </w:tc>
                  </w:tr>
                  <w:tr>
                    <w:trPr>
                      <w:trHeight w:val="307" w:hRule="exact"/>
                    </w:trPr>
                    <w:tc>
                      <w:tcPr>
                        <w:tcW w:w="807" w:type="dxa"/>
                        <w:vMerge/>
                        <w:tcBorders>
                          <w:left w:val="single" w:sz="4" w:space="0" w:color="000000"/>
                          <w:right w:val="single" w:sz="4" w:space="0" w:color="000000"/>
                        </w:tcBorders>
                        <w:shd w:val="clear" w:color="auto" w:fill="D3D3D3"/>
                      </w:tcPr>
                      <w:p>
                        <w:pPr/>
                      </w:p>
                    </w:tc>
                    <w:tc>
                      <w:tcPr>
                        <w:tcW w:w="1321" w:type="dxa"/>
                        <w:vMerge/>
                        <w:tcBorders>
                          <w:left w:val="single" w:sz="4" w:space="0" w:color="000000"/>
                          <w:right w:val="single" w:sz="4" w:space="0" w:color="000000"/>
                        </w:tcBorders>
                        <w:shd w:val="clear" w:color="auto" w:fill="C7EDCC"/>
                      </w:tcPr>
                      <w:p>
                        <w:pPr/>
                      </w:p>
                    </w:tc>
                    <w:tc>
                      <w:tcPr>
                        <w:tcW w:w="565" w:type="dxa"/>
                        <w:vMerge/>
                        <w:tcBorders>
                          <w:left w:val="single" w:sz="4" w:space="0" w:color="000000"/>
                          <w:right w:val="single" w:sz="4" w:space="0" w:color="000000"/>
                        </w:tcBorders>
                        <w:shd w:val="clear" w:color="auto" w:fill="C7EDCC"/>
                      </w:tcPr>
                      <w:p>
                        <w:pPr/>
                      </w:p>
                    </w:tc>
                    <w:tc>
                      <w:tcPr>
                        <w:tcW w:w="93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和转制企业。中央所属转制文化企业的认定，由中央宣传部会同财政部、税务总局确定并发布名单；地方所属转制文化</w:t>
                        </w:r>
                      </w:p>
                    </w:tc>
                    <w:tc>
                      <w:tcPr>
                        <w:tcW w:w="848"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之中</w:t>
                        </w:r>
                      </w:p>
                    </w:tc>
                  </w:tr>
                  <w:tr>
                    <w:trPr>
                      <w:trHeight w:val="312" w:hRule="exact"/>
                    </w:trPr>
                    <w:tc>
                      <w:tcPr>
                        <w:tcW w:w="807" w:type="dxa"/>
                        <w:vMerge/>
                        <w:tcBorders>
                          <w:left w:val="single" w:sz="4" w:space="0" w:color="000000"/>
                          <w:right w:val="single" w:sz="4" w:space="0" w:color="000000"/>
                        </w:tcBorders>
                        <w:shd w:val="clear" w:color="auto" w:fill="D3D3D3"/>
                      </w:tcPr>
                      <w:p>
                        <w:pPr/>
                      </w:p>
                    </w:tc>
                    <w:tc>
                      <w:tcPr>
                        <w:tcW w:w="1321" w:type="dxa"/>
                        <w:vMerge/>
                        <w:tcBorders>
                          <w:left w:val="single" w:sz="4" w:space="0" w:color="000000"/>
                          <w:right w:val="single" w:sz="4" w:space="0" w:color="000000"/>
                        </w:tcBorders>
                        <w:shd w:val="clear" w:color="auto" w:fill="C7EDCC"/>
                      </w:tcPr>
                      <w:p>
                        <w:pPr/>
                      </w:p>
                    </w:tc>
                    <w:tc>
                      <w:tcPr>
                        <w:tcW w:w="565" w:type="dxa"/>
                        <w:vMerge/>
                        <w:tcBorders>
                          <w:left w:val="single" w:sz="4" w:space="0" w:color="000000"/>
                          <w:right w:val="single" w:sz="4" w:space="0" w:color="000000"/>
                        </w:tcBorders>
                        <w:shd w:val="clear" w:color="auto" w:fill="C7EDCC"/>
                      </w:tcPr>
                      <w:p>
                        <w:pPr/>
                      </w:p>
                    </w:tc>
                    <w:tc>
                      <w:tcPr>
                        <w:tcW w:w="93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企业的认定，按照登记管理权限，由地方各级宣传部门会同同级财政、税务部门确定和发布名单，并按程序抄送中央宣</w:t>
                        </w:r>
                      </w:p>
                    </w:tc>
                    <w:tc>
                      <w:tcPr>
                        <w:tcW w:w="848"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7" w:hRule="exact"/>
                    </w:trPr>
                    <w:tc>
                      <w:tcPr>
                        <w:tcW w:w="807" w:type="dxa"/>
                        <w:vMerge/>
                        <w:tcBorders>
                          <w:left w:val="single" w:sz="4" w:space="0" w:color="000000"/>
                          <w:right w:val="single" w:sz="4" w:space="0" w:color="000000"/>
                        </w:tcBorders>
                        <w:shd w:val="clear" w:color="auto" w:fill="D3D3D3"/>
                      </w:tcPr>
                      <w:p>
                        <w:pPr/>
                      </w:p>
                    </w:tc>
                    <w:tc>
                      <w:tcPr>
                        <w:tcW w:w="1321" w:type="dxa"/>
                        <w:vMerge/>
                        <w:tcBorders>
                          <w:left w:val="single" w:sz="4" w:space="0" w:color="000000"/>
                          <w:right w:val="single" w:sz="4" w:space="0" w:color="000000"/>
                        </w:tcBorders>
                        <w:shd w:val="clear" w:color="auto" w:fill="C7EDCC"/>
                      </w:tcPr>
                      <w:p>
                        <w:pPr/>
                      </w:p>
                    </w:tc>
                    <w:tc>
                      <w:tcPr>
                        <w:tcW w:w="565" w:type="dxa"/>
                        <w:vMerge/>
                        <w:tcBorders>
                          <w:left w:val="single" w:sz="4" w:space="0" w:color="000000"/>
                          <w:right w:val="single" w:sz="4" w:space="0" w:color="000000"/>
                        </w:tcBorders>
                        <w:shd w:val="clear" w:color="auto" w:fill="C7EDCC"/>
                      </w:tcPr>
                      <w:p>
                        <w:pPr/>
                      </w:p>
                    </w:tc>
                    <w:tc>
                      <w:tcPr>
                        <w:tcW w:w="93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传部、财政部和税务总局。执行期限为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拟购买资产评估时点，杭州市宣传部</w:t>
                        </w:r>
                      </w:p>
                    </w:tc>
                    <w:tc>
                      <w:tcPr>
                        <w:tcW w:w="848"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07" w:hRule="exact"/>
                    </w:trPr>
                    <w:tc>
                      <w:tcPr>
                        <w:tcW w:w="807" w:type="dxa"/>
                        <w:vMerge/>
                        <w:tcBorders>
                          <w:left w:val="single" w:sz="4" w:space="0" w:color="000000"/>
                          <w:right w:val="single" w:sz="4" w:space="0" w:color="000000"/>
                        </w:tcBorders>
                        <w:shd w:val="clear" w:color="auto" w:fill="D3D3D3"/>
                      </w:tcPr>
                      <w:p>
                        <w:pPr/>
                      </w:p>
                    </w:tc>
                    <w:tc>
                      <w:tcPr>
                        <w:tcW w:w="1321" w:type="dxa"/>
                        <w:vMerge/>
                        <w:tcBorders>
                          <w:left w:val="single" w:sz="4" w:space="0" w:color="000000"/>
                          <w:right w:val="single" w:sz="4" w:space="0" w:color="000000"/>
                        </w:tcBorders>
                        <w:shd w:val="clear" w:color="auto" w:fill="C7EDCC"/>
                      </w:tcPr>
                      <w:p>
                        <w:pPr/>
                      </w:p>
                    </w:tc>
                    <w:tc>
                      <w:tcPr>
                        <w:tcW w:w="565" w:type="dxa"/>
                        <w:vMerge/>
                        <w:tcBorders>
                          <w:left w:val="single" w:sz="4" w:space="0" w:color="000000"/>
                          <w:right w:val="single" w:sz="4" w:space="0" w:color="000000"/>
                        </w:tcBorders>
                        <w:shd w:val="clear" w:color="auto" w:fill="C7EDCC"/>
                      </w:tcPr>
                      <w:p>
                        <w:pPr/>
                      </w:p>
                    </w:tc>
                    <w:tc>
                      <w:tcPr>
                        <w:tcW w:w="93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门尚未会同财政、税务部门确定和发布名单。评估机构按照前次名单，假设拟购买资产相关企业继续享受免征企业所得</w:t>
                        </w:r>
                      </w:p>
                    </w:tc>
                    <w:tc>
                      <w:tcPr>
                        <w:tcW w:w="848"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7" w:hRule="exact"/>
                    </w:trPr>
                    <w:tc>
                      <w:tcPr>
                        <w:tcW w:w="807" w:type="dxa"/>
                        <w:vMerge/>
                        <w:tcBorders>
                          <w:left w:val="single" w:sz="4" w:space="0" w:color="000000"/>
                          <w:right w:val="single" w:sz="4" w:space="0" w:color="000000"/>
                        </w:tcBorders>
                        <w:shd w:val="clear" w:color="auto" w:fill="D3D3D3"/>
                      </w:tcPr>
                      <w:p>
                        <w:pPr/>
                      </w:p>
                    </w:tc>
                    <w:tc>
                      <w:tcPr>
                        <w:tcW w:w="1321" w:type="dxa"/>
                        <w:vMerge/>
                        <w:tcBorders>
                          <w:left w:val="single" w:sz="4" w:space="0" w:color="000000"/>
                          <w:right w:val="single" w:sz="4" w:space="0" w:color="000000"/>
                        </w:tcBorders>
                        <w:shd w:val="clear" w:color="auto" w:fill="C7EDCC"/>
                      </w:tcPr>
                      <w:p>
                        <w:pPr/>
                      </w:p>
                    </w:tc>
                    <w:tc>
                      <w:tcPr>
                        <w:tcW w:w="565" w:type="dxa"/>
                        <w:vMerge/>
                        <w:tcBorders>
                          <w:left w:val="single" w:sz="4" w:space="0" w:color="000000"/>
                          <w:right w:val="single" w:sz="4" w:space="0" w:color="000000"/>
                        </w:tcBorders>
                        <w:shd w:val="clear" w:color="auto" w:fill="C7EDCC"/>
                      </w:tcPr>
                      <w:p>
                        <w:pPr/>
                      </w:p>
                    </w:tc>
                    <w:tc>
                      <w:tcPr>
                        <w:tcW w:w="93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税政策到期后延期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年及以后按照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税率预测企业所得税。杭报集团承诺：如</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家</w:t>
                        </w:r>
                      </w:p>
                    </w:tc>
                    <w:tc>
                      <w:tcPr>
                        <w:tcW w:w="848"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807" w:type="dxa"/>
                        <w:vMerge/>
                        <w:tcBorders>
                          <w:left w:val="single" w:sz="4" w:space="0" w:color="000000"/>
                          <w:right w:val="single" w:sz="4" w:space="0" w:color="000000"/>
                        </w:tcBorders>
                        <w:shd w:val="clear" w:color="auto" w:fill="D3D3D3"/>
                      </w:tcPr>
                      <w:p>
                        <w:pPr/>
                      </w:p>
                    </w:tc>
                    <w:tc>
                      <w:tcPr>
                        <w:tcW w:w="1321" w:type="dxa"/>
                        <w:vMerge/>
                        <w:tcBorders>
                          <w:left w:val="single" w:sz="4" w:space="0" w:color="000000"/>
                          <w:right w:val="single" w:sz="4" w:space="0" w:color="000000"/>
                        </w:tcBorders>
                        <w:shd w:val="clear" w:color="auto" w:fill="C7EDCC"/>
                      </w:tcPr>
                      <w:p>
                        <w:pPr/>
                      </w:p>
                    </w:tc>
                    <w:tc>
                      <w:tcPr>
                        <w:tcW w:w="565" w:type="dxa"/>
                        <w:vMerge/>
                        <w:tcBorders>
                          <w:left w:val="single" w:sz="4" w:space="0" w:color="000000"/>
                          <w:right w:val="single" w:sz="4" w:space="0" w:color="000000"/>
                        </w:tcBorders>
                        <w:shd w:val="clear" w:color="auto" w:fill="C7EDCC"/>
                      </w:tcPr>
                      <w:p>
                        <w:pPr/>
                      </w:p>
                    </w:tc>
                    <w:tc>
                      <w:tcPr>
                        <w:tcW w:w="93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标的公司在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日前不能持续具备享受上述免征企业所得税的税收优惠政策条件，或者未来上述税收优惠</w:t>
                        </w:r>
                      </w:p>
                    </w:tc>
                    <w:tc>
                      <w:tcPr>
                        <w:tcW w:w="848"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807" w:type="dxa"/>
                        <w:vMerge/>
                        <w:tcBorders>
                          <w:left w:val="single" w:sz="4" w:space="0" w:color="000000"/>
                          <w:right w:val="single" w:sz="4" w:space="0" w:color="000000"/>
                        </w:tcBorders>
                        <w:shd w:val="clear" w:color="auto" w:fill="D3D3D3"/>
                      </w:tcPr>
                      <w:p>
                        <w:pPr/>
                      </w:p>
                    </w:tc>
                    <w:tc>
                      <w:tcPr>
                        <w:tcW w:w="1321" w:type="dxa"/>
                        <w:vMerge/>
                        <w:tcBorders>
                          <w:left w:val="single" w:sz="4" w:space="0" w:color="000000"/>
                          <w:right w:val="single" w:sz="4" w:space="0" w:color="000000"/>
                        </w:tcBorders>
                        <w:shd w:val="clear" w:color="auto" w:fill="C7EDCC"/>
                      </w:tcPr>
                      <w:p>
                        <w:pPr/>
                      </w:p>
                    </w:tc>
                    <w:tc>
                      <w:tcPr>
                        <w:tcW w:w="565" w:type="dxa"/>
                        <w:vMerge/>
                        <w:tcBorders>
                          <w:left w:val="single" w:sz="4" w:space="0" w:color="000000"/>
                          <w:right w:val="single" w:sz="4" w:space="0" w:color="000000"/>
                        </w:tcBorders>
                        <w:shd w:val="clear" w:color="auto" w:fill="C7EDCC"/>
                      </w:tcPr>
                      <w:p>
                        <w:pPr/>
                      </w:p>
                    </w:tc>
                    <w:tc>
                      <w:tcPr>
                        <w:tcW w:w="93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政策发生变化，导致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家标的公司在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日前不能继续享受上述税收优惠政策，本集团将在</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家标的公</w:t>
                        </w:r>
                      </w:p>
                    </w:tc>
                    <w:tc>
                      <w:tcPr>
                        <w:tcW w:w="848"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807" w:type="dxa"/>
                        <w:vMerge/>
                        <w:tcBorders>
                          <w:left w:val="single" w:sz="4" w:space="0" w:color="000000"/>
                          <w:right w:val="single" w:sz="4" w:space="0" w:color="000000"/>
                        </w:tcBorders>
                        <w:shd w:val="clear" w:color="auto" w:fill="D3D3D3"/>
                      </w:tcPr>
                      <w:p>
                        <w:pPr/>
                      </w:p>
                    </w:tc>
                    <w:tc>
                      <w:tcPr>
                        <w:tcW w:w="1321" w:type="dxa"/>
                        <w:vMerge/>
                        <w:tcBorders>
                          <w:left w:val="single" w:sz="4" w:space="0" w:color="000000"/>
                          <w:right w:val="single" w:sz="4" w:space="0" w:color="000000"/>
                        </w:tcBorders>
                        <w:shd w:val="clear" w:color="auto" w:fill="C7EDCC"/>
                      </w:tcPr>
                      <w:p>
                        <w:pPr/>
                      </w:p>
                    </w:tc>
                    <w:tc>
                      <w:tcPr>
                        <w:tcW w:w="565" w:type="dxa"/>
                        <w:vMerge/>
                        <w:tcBorders>
                          <w:left w:val="single" w:sz="4" w:space="0" w:color="000000"/>
                          <w:right w:val="single" w:sz="4" w:space="0" w:color="000000"/>
                        </w:tcBorders>
                        <w:shd w:val="clear" w:color="auto" w:fill="C7EDCC"/>
                      </w:tcPr>
                      <w:p>
                        <w:pPr/>
                      </w:p>
                    </w:tc>
                    <w:tc>
                      <w:tcPr>
                        <w:tcW w:w="93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司该年度所得税汇算清缴完成后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日内，按</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家标的公司各自该年度的应纳税所得额</w:t>
                        </w:r>
                        <w:r>
                          <w:rPr>
                            <w:rFonts w:ascii="Times New Roman" w:hAnsi="Times New Roman" w:cs="Times New Roman" w:eastAsia="Times New Roman" w:hint="default"/>
                            <w:sz w:val="18"/>
                            <w:szCs w:val="18"/>
                          </w:rPr>
                          <w:t>×(</w:t>
                        </w:r>
                        <w:r>
                          <w:rPr>
                            <w:rFonts w:ascii="宋体" w:hAnsi="宋体" w:cs="宋体" w:eastAsia="宋体" w:hint="default"/>
                            <w:sz w:val="18"/>
                            <w:szCs w:val="18"/>
                          </w:rPr>
                          <w:t>各公司该年度实际执行所得税</w:t>
                        </w:r>
                      </w:p>
                    </w:tc>
                    <w:tc>
                      <w:tcPr>
                        <w:tcW w:w="848"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807" w:type="dxa"/>
                        <w:vMerge/>
                        <w:tcBorders>
                          <w:left w:val="single" w:sz="4" w:space="0" w:color="000000"/>
                          <w:right w:val="single" w:sz="4" w:space="0" w:color="000000"/>
                        </w:tcBorders>
                        <w:shd w:val="clear" w:color="auto" w:fill="D3D3D3"/>
                      </w:tcPr>
                      <w:p>
                        <w:pPr/>
                      </w:p>
                    </w:tc>
                    <w:tc>
                      <w:tcPr>
                        <w:tcW w:w="1321" w:type="dxa"/>
                        <w:vMerge/>
                        <w:tcBorders>
                          <w:left w:val="single" w:sz="4" w:space="0" w:color="000000"/>
                          <w:right w:val="single" w:sz="4" w:space="0" w:color="000000"/>
                        </w:tcBorders>
                        <w:shd w:val="clear" w:color="auto" w:fill="C7EDCC"/>
                      </w:tcPr>
                      <w:p>
                        <w:pPr/>
                      </w:p>
                    </w:tc>
                    <w:tc>
                      <w:tcPr>
                        <w:tcW w:w="565" w:type="dxa"/>
                        <w:vMerge/>
                        <w:tcBorders>
                          <w:left w:val="single" w:sz="4" w:space="0" w:color="000000"/>
                          <w:right w:val="single" w:sz="4" w:space="0" w:color="000000"/>
                        </w:tcBorders>
                        <w:shd w:val="clear" w:color="auto" w:fill="C7EDCC"/>
                      </w:tcPr>
                      <w:p>
                        <w:pPr/>
                      </w:p>
                    </w:tc>
                    <w:tc>
                      <w:tcPr>
                        <w:tcW w:w="93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率</w:t>
                        </w:r>
                        <w:r>
                          <w:rPr>
                            <w:rFonts w:ascii="Times New Roman" w:hAnsi="Times New Roman" w:cs="Times New Roman" w:eastAsia="Times New Roman" w:hint="default"/>
                            <w:sz w:val="18"/>
                            <w:szCs w:val="18"/>
                          </w:rPr>
                          <w:t>-0%)/(1-</w:t>
                        </w:r>
                        <w:r>
                          <w:rPr>
                            <w:rFonts w:ascii="宋体" w:hAnsi="宋体" w:cs="宋体" w:eastAsia="宋体" w:hint="default"/>
                            <w:sz w:val="18"/>
                            <w:szCs w:val="18"/>
                          </w:rPr>
                          <w:t>各公司该年度实际执行所得税率</w:t>
                        </w:r>
                        <w:r>
                          <w:rPr>
                            <w:rFonts w:ascii="Times New Roman" w:hAnsi="Times New Roman" w:cs="Times New Roman" w:eastAsia="Times New Roman" w:hint="default"/>
                            <w:sz w:val="18"/>
                            <w:szCs w:val="18"/>
                          </w:rPr>
                          <w:t>)</w:t>
                        </w:r>
                        <w:r>
                          <w:rPr>
                            <w:rFonts w:ascii="宋体" w:hAnsi="宋体" w:cs="宋体" w:eastAsia="宋体" w:hint="default"/>
                            <w:sz w:val="18"/>
                            <w:szCs w:val="18"/>
                          </w:rPr>
                          <w:t>给予各公司全额现金补偿。</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日，杭州市财政局、杭州市国家</w:t>
                        </w:r>
                      </w:p>
                    </w:tc>
                    <w:tc>
                      <w:tcPr>
                        <w:tcW w:w="848"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807" w:type="dxa"/>
                        <w:vMerge/>
                        <w:tcBorders>
                          <w:left w:val="single" w:sz="4" w:space="0" w:color="000000"/>
                          <w:right w:val="single" w:sz="4" w:space="0" w:color="000000"/>
                        </w:tcBorders>
                        <w:shd w:val="clear" w:color="auto" w:fill="D3D3D3"/>
                      </w:tcPr>
                      <w:p>
                        <w:pPr/>
                      </w:p>
                    </w:tc>
                    <w:tc>
                      <w:tcPr>
                        <w:tcW w:w="1321" w:type="dxa"/>
                        <w:vMerge/>
                        <w:tcBorders>
                          <w:left w:val="single" w:sz="4" w:space="0" w:color="000000"/>
                          <w:right w:val="single" w:sz="4" w:space="0" w:color="000000"/>
                        </w:tcBorders>
                        <w:shd w:val="clear" w:color="auto" w:fill="C7EDCC"/>
                      </w:tcPr>
                      <w:p>
                        <w:pPr/>
                      </w:p>
                    </w:tc>
                    <w:tc>
                      <w:tcPr>
                        <w:tcW w:w="565" w:type="dxa"/>
                        <w:vMerge/>
                        <w:tcBorders>
                          <w:left w:val="single" w:sz="4" w:space="0" w:color="000000"/>
                          <w:right w:val="single" w:sz="4" w:space="0" w:color="000000"/>
                        </w:tcBorders>
                        <w:shd w:val="clear" w:color="auto" w:fill="C7EDCC"/>
                      </w:tcPr>
                      <w:p>
                        <w:pPr/>
                      </w:p>
                    </w:tc>
                    <w:tc>
                      <w:tcPr>
                        <w:tcW w:w="93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税务局、杭州市地方税务局、中共杭州市委宣传部联合发布《关于明确杭州日报传媒有限公司等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家企业可继续享受</w:t>
                        </w:r>
                      </w:p>
                    </w:tc>
                    <w:tc>
                      <w:tcPr>
                        <w:tcW w:w="848"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807" w:type="dxa"/>
                        <w:vMerge/>
                        <w:tcBorders>
                          <w:left w:val="single" w:sz="4" w:space="0" w:color="000000"/>
                          <w:right w:val="single" w:sz="4" w:space="0" w:color="000000"/>
                        </w:tcBorders>
                        <w:shd w:val="clear" w:color="auto" w:fill="D3D3D3"/>
                      </w:tcPr>
                      <w:p>
                        <w:pPr/>
                      </w:p>
                    </w:tc>
                    <w:tc>
                      <w:tcPr>
                        <w:tcW w:w="1321" w:type="dxa"/>
                        <w:vMerge/>
                        <w:tcBorders>
                          <w:left w:val="single" w:sz="4" w:space="0" w:color="000000"/>
                          <w:right w:val="single" w:sz="4" w:space="0" w:color="000000"/>
                        </w:tcBorders>
                        <w:shd w:val="clear" w:color="auto" w:fill="C7EDCC"/>
                      </w:tcPr>
                      <w:p>
                        <w:pPr/>
                      </w:p>
                    </w:tc>
                    <w:tc>
                      <w:tcPr>
                        <w:tcW w:w="565" w:type="dxa"/>
                        <w:vMerge/>
                        <w:tcBorders>
                          <w:left w:val="single" w:sz="4" w:space="0" w:color="000000"/>
                          <w:right w:val="single" w:sz="4" w:space="0" w:color="000000"/>
                        </w:tcBorders>
                        <w:shd w:val="clear" w:color="auto" w:fill="C7EDCC"/>
                      </w:tcPr>
                      <w:p>
                        <w:pPr/>
                      </w:p>
                    </w:tc>
                    <w:tc>
                      <w:tcPr>
                        <w:tcW w:w="93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文化体制改革税收优惠政策的通知</w:t>
                        </w:r>
                        <w:r>
                          <w:rPr>
                            <w:rFonts w:ascii="宋体" w:hAnsi="宋体" w:cs="宋体" w:eastAsia="宋体" w:hint="default"/>
                            <w:spacing w:val="-90"/>
                            <w:sz w:val="18"/>
                            <w:szCs w:val="18"/>
                          </w:rPr>
                          <w:t>》</w:t>
                        </w:r>
                        <w:r>
                          <w:rPr>
                            <w:rFonts w:ascii="宋体" w:hAnsi="宋体" w:cs="宋体" w:eastAsia="宋体" w:hint="default"/>
                            <w:sz w:val="18"/>
                            <w:szCs w:val="18"/>
                          </w:rPr>
                          <w:t>（市宣通</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89"/>
                            <w:sz w:val="18"/>
                            <w:szCs w:val="18"/>
                          </w:rPr>
                          <w:t>）</w:t>
                        </w:r>
                        <w:r>
                          <w:rPr>
                            <w:rFonts w:ascii="宋体" w:hAnsi="宋体" w:cs="宋体" w:eastAsia="宋体" w:hint="default"/>
                            <w:sz w:val="18"/>
                            <w:szCs w:val="18"/>
                          </w:rPr>
                          <w:t>，明确</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w:t>
                        </w:r>
                        <w:r>
                          <w:rPr>
                            <w:rFonts w:ascii="宋体" w:hAnsi="宋体" w:cs="宋体" w:eastAsia="宋体" w:hint="default"/>
                            <w:spacing w:val="1"/>
                            <w:sz w:val="18"/>
                            <w:szCs w:val="18"/>
                          </w:rPr>
                          <w:t>标</w:t>
                        </w:r>
                        <w:r>
                          <w:rPr>
                            <w:rFonts w:ascii="宋体" w:hAnsi="宋体" w:cs="宋体" w:eastAsia="宋体" w:hint="default"/>
                            <w:sz w:val="18"/>
                            <w:szCs w:val="18"/>
                          </w:rPr>
                          <w:t>的公司及其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家下属公司可按国办发〔</w:t>
                        </w:r>
                        <w:r>
                          <w:rPr>
                            <w:rFonts w:ascii="Times New Roman" w:hAnsi="Times New Roman" w:cs="Times New Roman" w:eastAsia="Times New Roman" w:hint="default"/>
                            <w:sz w:val="18"/>
                            <w:szCs w:val="18"/>
                          </w:rPr>
                          <w:t>2014</w:t>
                        </w:r>
                        <w:r>
                          <w:rPr>
                            <w:rFonts w:ascii="宋体" w:hAnsi="宋体" w:cs="宋体" w:eastAsia="宋体" w:hint="default"/>
                            <w:sz w:val="18"/>
                            <w:szCs w:val="18"/>
                          </w:rPr>
                          <w:t>〕</w:t>
                        </w:r>
                      </w:p>
                    </w:tc>
                    <w:tc>
                      <w:tcPr>
                        <w:tcW w:w="848"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807" w:type="dxa"/>
                        <w:vMerge/>
                        <w:tcBorders>
                          <w:left w:val="single" w:sz="4" w:space="0" w:color="000000"/>
                          <w:right w:val="single" w:sz="4" w:space="0" w:color="000000"/>
                        </w:tcBorders>
                        <w:shd w:val="clear" w:color="auto" w:fill="D3D3D3"/>
                      </w:tcPr>
                      <w:p>
                        <w:pPr/>
                      </w:p>
                    </w:tc>
                    <w:tc>
                      <w:tcPr>
                        <w:tcW w:w="1321" w:type="dxa"/>
                        <w:vMerge/>
                        <w:tcBorders>
                          <w:left w:val="single" w:sz="4" w:space="0" w:color="000000"/>
                          <w:right w:val="single" w:sz="4" w:space="0" w:color="000000"/>
                        </w:tcBorders>
                        <w:shd w:val="clear" w:color="auto" w:fill="C7EDCC"/>
                      </w:tcPr>
                      <w:p>
                        <w:pPr/>
                      </w:p>
                    </w:tc>
                    <w:tc>
                      <w:tcPr>
                        <w:tcW w:w="565" w:type="dxa"/>
                        <w:vMerge/>
                        <w:tcBorders>
                          <w:left w:val="single" w:sz="4" w:space="0" w:color="000000"/>
                          <w:right w:val="single" w:sz="4" w:space="0" w:color="000000"/>
                        </w:tcBorders>
                        <w:shd w:val="clear" w:color="auto" w:fill="C7EDCC"/>
                      </w:tcPr>
                      <w:p>
                        <w:pPr/>
                      </w:p>
                    </w:tc>
                    <w:tc>
                      <w:tcPr>
                        <w:tcW w:w="93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号文件继续享受文化体制改革税收优惠政策，免征企业所得税，执行期限为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848"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807" w:type="dxa"/>
                        <w:vMerge/>
                        <w:tcBorders>
                          <w:left w:val="single" w:sz="4" w:space="0" w:color="000000"/>
                          <w:right w:val="single" w:sz="4" w:space="0" w:color="000000"/>
                        </w:tcBorders>
                        <w:shd w:val="clear" w:color="auto" w:fill="D3D3D3"/>
                      </w:tcPr>
                      <w:p>
                        <w:pPr/>
                      </w:p>
                    </w:tc>
                    <w:tc>
                      <w:tcPr>
                        <w:tcW w:w="1321" w:type="dxa"/>
                        <w:vMerge/>
                        <w:tcBorders>
                          <w:left w:val="single" w:sz="4" w:space="0" w:color="000000"/>
                          <w:right w:val="single" w:sz="4" w:space="0" w:color="000000"/>
                        </w:tcBorders>
                        <w:shd w:val="clear" w:color="auto" w:fill="C7EDCC"/>
                      </w:tcPr>
                      <w:p>
                        <w:pPr/>
                      </w:p>
                    </w:tc>
                    <w:tc>
                      <w:tcPr>
                        <w:tcW w:w="565" w:type="dxa"/>
                        <w:vMerge/>
                        <w:tcBorders>
                          <w:left w:val="single" w:sz="4" w:space="0" w:color="000000"/>
                          <w:right w:val="single" w:sz="4" w:space="0" w:color="000000"/>
                        </w:tcBorders>
                        <w:shd w:val="clear" w:color="auto" w:fill="C7EDCC"/>
                      </w:tcPr>
                      <w:p>
                        <w:pPr/>
                      </w:p>
                    </w:tc>
                    <w:tc>
                      <w:tcPr>
                        <w:tcW w:w="93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至此，</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家标的公司的税收优惠风险已不存在。关于拟购买资产瑕疵房产的承诺：拟购买资产评估时点，标的公司盛</w:t>
                        </w:r>
                      </w:p>
                    </w:tc>
                    <w:tc>
                      <w:tcPr>
                        <w:tcW w:w="848"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07" w:hRule="exact"/>
                    </w:trPr>
                    <w:tc>
                      <w:tcPr>
                        <w:tcW w:w="807" w:type="dxa"/>
                        <w:vMerge/>
                        <w:tcBorders>
                          <w:left w:val="single" w:sz="4" w:space="0" w:color="000000"/>
                          <w:right w:val="single" w:sz="4" w:space="0" w:color="000000"/>
                        </w:tcBorders>
                        <w:shd w:val="clear" w:color="auto" w:fill="D3D3D3"/>
                      </w:tcPr>
                      <w:p>
                        <w:pPr/>
                      </w:p>
                    </w:tc>
                    <w:tc>
                      <w:tcPr>
                        <w:tcW w:w="1321" w:type="dxa"/>
                        <w:vMerge/>
                        <w:tcBorders>
                          <w:left w:val="single" w:sz="4" w:space="0" w:color="000000"/>
                          <w:right w:val="single" w:sz="4" w:space="0" w:color="000000"/>
                        </w:tcBorders>
                        <w:shd w:val="clear" w:color="auto" w:fill="C7EDCC"/>
                      </w:tcPr>
                      <w:p>
                        <w:pPr/>
                      </w:p>
                    </w:tc>
                    <w:tc>
                      <w:tcPr>
                        <w:tcW w:w="565" w:type="dxa"/>
                        <w:vMerge/>
                        <w:tcBorders>
                          <w:left w:val="single" w:sz="4" w:space="0" w:color="000000"/>
                          <w:right w:val="single" w:sz="4" w:space="0" w:color="000000"/>
                        </w:tcBorders>
                        <w:shd w:val="clear" w:color="auto" w:fill="C7EDCC"/>
                      </w:tcPr>
                      <w:p>
                        <w:pPr/>
                      </w:p>
                    </w:tc>
                    <w:tc>
                      <w:tcPr>
                        <w:tcW w:w="93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元印务名下三项房产的相关权证尚在办理之中，该等房屋相对应的土地使用权证已办理完毕，房产测绘已基本完成。对</w:t>
                        </w:r>
                      </w:p>
                    </w:tc>
                    <w:tc>
                      <w:tcPr>
                        <w:tcW w:w="848"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807" w:type="dxa"/>
                        <w:vMerge/>
                        <w:tcBorders>
                          <w:left w:val="single" w:sz="4" w:space="0" w:color="000000"/>
                          <w:right w:val="single" w:sz="4" w:space="0" w:color="000000"/>
                        </w:tcBorders>
                        <w:shd w:val="clear" w:color="auto" w:fill="D3D3D3"/>
                      </w:tcPr>
                      <w:p>
                        <w:pPr/>
                      </w:p>
                    </w:tc>
                    <w:tc>
                      <w:tcPr>
                        <w:tcW w:w="1321" w:type="dxa"/>
                        <w:vMerge/>
                        <w:tcBorders>
                          <w:left w:val="single" w:sz="4" w:space="0" w:color="000000"/>
                          <w:right w:val="single" w:sz="4" w:space="0" w:color="000000"/>
                        </w:tcBorders>
                        <w:shd w:val="clear" w:color="auto" w:fill="C7EDCC"/>
                      </w:tcPr>
                      <w:p>
                        <w:pPr/>
                      </w:p>
                    </w:tc>
                    <w:tc>
                      <w:tcPr>
                        <w:tcW w:w="565" w:type="dxa"/>
                        <w:vMerge/>
                        <w:tcBorders>
                          <w:left w:val="single" w:sz="4" w:space="0" w:color="000000"/>
                          <w:right w:val="single" w:sz="4" w:space="0" w:color="000000"/>
                        </w:tcBorders>
                        <w:shd w:val="clear" w:color="auto" w:fill="C7EDCC"/>
                      </w:tcPr>
                      <w:p>
                        <w:pPr/>
                      </w:p>
                    </w:tc>
                    <w:tc>
                      <w:tcPr>
                        <w:tcW w:w="93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于上述瑕疵资产，杭报集团承诺：如果交割上述房产时，相关方无法办理权属证明文件以及办理手续存在法律或其他实</w:t>
                        </w:r>
                      </w:p>
                    </w:tc>
                    <w:tc>
                      <w:tcPr>
                        <w:tcW w:w="848"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807" w:type="dxa"/>
                        <w:vMerge/>
                        <w:tcBorders>
                          <w:left w:val="single" w:sz="4" w:space="0" w:color="000000"/>
                          <w:right w:val="single" w:sz="4" w:space="0" w:color="000000"/>
                        </w:tcBorders>
                        <w:shd w:val="clear" w:color="auto" w:fill="D3D3D3"/>
                      </w:tcPr>
                      <w:p>
                        <w:pPr/>
                      </w:p>
                    </w:tc>
                    <w:tc>
                      <w:tcPr>
                        <w:tcW w:w="1321" w:type="dxa"/>
                        <w:vMerge/>
                        <w:tcBorders>
                          <w:left w:val="single" w:sz="4" w:space="0" w:color="000000"/>
                          <w:right w:val="single" w:sz="4" w:space="0" w:color="000000"/>
                        </w:tcBorders>
                        <w:shd w:val="clear" w:color="auto" w:fill="C7EDCC"/>
                      </w:tcPr>
                      <w:p>
                        <w:pPr/>
                      </w:p>
                    </w:tc>
                    <w:tc>
                      <w:tcPr>
                        <w:tcW w:w="565" w:type="dxa"/>
                        <w:vMerge/>
                        <w:tcBorders>
                          <w:left w:val="single" w:sz="4" w:space="0" w:color="000000"/>
                          <w:right w:val="single" w:sz="4" w:space="0" w:color="000000"/>
                        </w:tcBorders>
                        <w:shd w:val="clear" w:color="auto" w:fill="C7EDCC"/>
                      </w:tcPr>
                      <w:p>
                        <w:pPr/>
                      </w:p>
                    </w:tc>
                    <w:tc>
                      <w:tcPr>
                        <w:tcW w:w="93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质性障碍或出现产权纠纷等情况，对此造成华智控股一切直接和间接损失，杭报集团愿意承担包括以现金补足等方式在</w:t>
                        </w:r>
                      </w:p>
                    </w:tc>
                    <w:tc>
                      <w:tcPr>
                        <w:tcW w:w="848"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7" w:hRule="exact"/>
                    </w:trPr>
                    <w:tc>
                      <w:tcPr>
                        <w:tcW w:w="807" w:type="dxa"/>
                        <w:vMerge/>
                        <w:tcBorders>
                          <w:left w:val="single" w:sz="4" w:space="0" w:color="000000"/>
                          <w:bottom w:val="single" w:sz="4" w:space="0" w:color="000000"/>
                          <w:right w:val="single" w:sz="4" w:space="0" w:color="000000"/>
                        </w:tcBorders>
                        <w:shd w:val="clear" w:color="auto" w:fill="D3D3D3"/>
                      </w:tcPr>
                      <w:p>
                        <w:pPr/>
                      </w:p>
                    </w:tc>
                    <w:tc>
                      <w:tcPr>
                        <w:tcW w:w="1321" w:type="dxa"/>
                        <w:vMerge/>
                        <w:tcBorders>
                          <w:left w:val="single" w:sz="4" w:space="0" w:color="000000"/>
                          <w:bottom w:val="single" w:sz="4" w:space="0" w:color="000000"/>
                          <w:right w:val="single" w:sz="4" w:space="0" w:color="000000"/>
                        </w:tcBorders>
                        <w:shd w:val="clear" w:color="auto" w:fill="C7EDCC"/>
                      </w:tcPr>
                      <w:p>
                        <w:pPr/>
                      </w:p>
                    </w:tc>
                    <w:tc>
                      <w:tcPr>
                        <w:tcW w:w="565" w:type="dxa"/>
                        <w:vMerge/>
                        <w:tcBorders>
                          <w:left w:val="single" w:sz="4" w:space="0" w:color="000000"/>
                          <w:bottom w:val="single" w:sz="4" w:space="0" w:color="000000"/>
                          <w:right w:val="single" w:sz="4" w:space="0" w:color="000000"/>
                        </w:tcBorders>
                        <w:shd w:val="clear" w:color="auto" w:fill="C7EDCC"/>
                      </w:tcPr>
                      <w:p>
                        <w:pPr/>
                      </w:p>
                    </w:tc>
                    <w:tc>
                      <w:tcPr>
                        <w:tcW w:w="935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内的全部法律责任。</w:t>
                        </w:r>
                      </w:p>
                    </w:tc>
                    <w:tc>
                      <w:tcPr>
                        <w:tcW w:w="848"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shd w:val="clear" w:color="auto" w:fill="C7EDCC"/>
                      </w:tcPr>
                      <w:p>
                        <w:pPr/>
                      </w:p>
                    </w:tc>
                    <w:tc>
                      <w:tcPr>
                        <w:tcW w:w="524" w:type="dxa"/>
                        <w:tcBorders>
                          <w:top w:val="nil" w:sz="6" w:space="0" w:color="auto"/>
                          <w:left w:val="single" w:sz="4" w:space="0" w:color="000000"/>
                          <w:bottom w:val="single" w:sz="4" w:space="0" w:color="000000"/>
                          <w:right w:val="single" w:sz="4" w:space="0" w:color="000000"/>
                        </w:tcBorders>
                        <w:shd w:val="clear" w:color="auto" w:fill="C7EDCC"/>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0" w:right="11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240" w:lineRule="auto" w:before="44"/>
        <w:ind w:left="0" w:right="110"/>
        <w:jc w:val="right"/>
      </w:pPr>
      <w:r>
        <w:rPr/>
        <w:t>。</w:t>
      </w:r>
    </w:p>
    <w:p>
      <w:pPr>
        <w:spacing w:after="0" w:line="240" w:lineRule="auto"/>
        <w:jc w:val="right"/>
        <w:sectPr>
          <w:pgSz w:w="16840" w:h="11910" w:orient="landscape"/>
          <w:pgMar w:header="867" w:footer="978" w:top="1060" w:bottom="1160" w:left="1040" w:right="1260"/>
        </w:sectPr>
      </w:pPr>
    </w:p>
    <w:p>
      <w:pPr>
        <w:spacing w:line="240" w:lineRule="auto" w:before="4"/>
        <w:rPr>
          <w:rFonts w:ascii="Times New Roman" w:hAnsi="Times New Roman" w:cs="Times New Roman" w:eastAsia="Times New Roman" w:hint="default"/>
          <w:sz w:val="3"/>
          <w:szCs w:val="3"/>
        </w:rPr>
      </w:pPr>
      <w:r>
        <w:rPr/>
        <w:pict>
          <v:group style="position:absolute;margin-left:58.070999pt;margin-top:151.800003pt;width:39.85pt;height:218.65pt;mso-position-horizontal-relative:page;mso-position-vertical-relative:page;z-index:-1149352" coordorigin="1161,3036" coordsize="797,4373">
            <v:group style="position:absolute;left:1161;top:3036;width:797;height:4373" coordorigin="1161,3036" coordsize="797,4373">
              <v:shape style="position:absolute;left:1161;top:3036;width:797;height:4373" coordorigin="1161,3036" coordsize="797,4373" path="m1958,6161l1958,3036,1161,3036,1731,6161,1958,6161xe" filled="true" fillcolor="#d3d3d3" stroked="false">
                <v:path arrowok="t"/>
                <v:fill type="solid"/>
              </v:shape>
              <v:shape style="position:absolute;left:1161;top:3036;width:797;height:4373" coordorigin="1161,3036" coordsize="797,4373" path="m1935,7409l1935,7284,1731,6161,1184,6161,1184,7409,1935,7409xe" filled="true" fillcolor="#d3d3d3" stroked="false">
                <v:path arrowok="t"/>
                <v:fill type="solid"/>
              </v:shape>
              <v:shape style="position:absolute;left:1161;top:3036;width:797;height:4373" coordorigin="1161,3036" coordsize="797,4373" path="m1958,7409l1958,6161,1935,6161,1935,7284,1958,7409xe" filled="true" fillcolor="#d3d3d3" stroked="false">
                <v:path arrowok="t"/>
                <v:fill type="solid"/>
              </v:shape>
            </v:group>
            <v:group style="position:absolute;left:1184;top:6161;width:752;height:312" coordorigin="1184,6161" coordsize="752,312">
              <v:shape style="position:absolute;left:1184;top:6161;width:752;height:312" coordorigin="1184,6161" coordsize="752,312" path="m1184,6161l1184,6473,1935,6473,1935,6161,1184,6161xe" filled="true" fillcolor="#d3d3d3" stroked="false">
                <v:path arrowok="t"/>
                <v:fill type="solid"/>
              </v:shape>
            </v:group>
            <v:group style="position:absolute;left:1184;top:6473;width:752;height:312" coordorigin="1184,6473" coordsize="752,312">
              <v:shape style="position:absolute;left:1184;top:6473;width:752;height:312" coordorigin="1184,6473" coordsize="752,312" path="m1184,6473l1184,6785,1935,6785,1935,6473,1184,6473xe" filled="true" fillcolor="#d3d3d3" stroked="false">
                <v:path arrowok="t"/>
                <v:fill type="solid"/>
              </v:shape>
            </v:group>
            <v:group style="position:absolute;left:1184;top:6785;width:752;height:312" coordorigin="1184,6785" coordsize="752,312">
              <v:shape style="position:absolute;left:1184;top:6785;width:752;height:312" coordorigin="1184,6785" coordsize="752,312" path="m1184,6785l1184,7097,1935,7097,1935,6785,1184,6785xe" filled="true" fillcolor="#d3d3d3" stroked="false">
                <v:path arrowok="t"/>
                <v:fill type="solid"/>
              </v:shape>
            </v:group>
            <v:group style="position:absolute;left:1184;top:7097;width:752;height:312" coordorigin="1184,7097" coordsize="752,312">
              <v:shape style="position:absolute;left:1184;top:7097;width:752;height:312" coordorigin="1184,7097" coordsize="752,312" path="m1184,7097l1184,7409,1935,7409,1935,7097,1184,7097xe" filled="true" fillcolor="#d3d3d3" stroked="false">
                <v:path arrowok="t"/>
                <v:fill type="solid"/>
              </v:shape>
            </v:group>
            <w10:wrap type="none"/>
          </v:group>
        </w:pict>
      </w:r>
      <w:r>
        <w:rPr/>
        <w:pict>
          <v:group style="position:absolute;margin-left:661.700012pt;margin-top:323.880005pt;width:40.8pt;height:85.8pt;mso-position-horizontal-relative:page;mso-position-vertical-relative:page;z-index:-1149328" coordorigin="13234,6478" coordsize="816,1716">
            <v:shape style="position:absolute;left:13234;top:6478;width:816;height:1716" coordorigin="13234,6478" coordsize="816,1716" path="m13234,6478l13234,8194,14050,8194,14050,6478,13234,6478xe" filled="true" fillcolor="#ffffff" stroked="false">
              <v:path arrowok="t"/>
              <v:fill type="solid"/>
            </v:shape>
            <w10:wrap type="none"/>
          </v:group>
        </w:pict>
      </w:r>
      <w:r>
        <w:rPr/>
        <w:pict>
          <v:group style="position:absolute;margin-left:661.731018pt;margin-top:440.880005pt;width:40.75pt;height:85.8pt;mso-position-horizontal-relative:page;mso-position-vertical-relative:page;z-index:-1149304" coordorigin="13235,8818" coordsize="815,1716">
            <v:shape style="position:absolute;left:13235;top:8818;width:815;height:1716" coordorigin="13235,8818" coordsize="815,1716" path="m14049,10534l14049,8818,13235,8818,13235,10534,14049,10534xe" filled="true" fillcolor="#ffffff" stroked="false">
              <v:path arrowok="t"/>
              <v:fill type="solid"/>
            </v:shape>
            <w10:wrap type="none"/>
          </v:group>
        </w:pict>
      </w:r>
    </w:p>
    <w:tbl>
      <w:tblPr>
        <w:tblW w:w="0" w:type="auto"/>
        <w:jc w:val="left"/>
        <w:tblInd w:w="110" w:type="dxa"/>
        <w:tblLayout w:type="fixed"/>
        <w:tblCellMar>
          <w:top w:w="0" w:type="dxa"/>
          <w:left w:w="0" w:type="dxa"/>
          <w:bottom w:w="0" w:type="dxa"/>
          <w:right w:w="0" w:type="dxa"/>
        </w:tblCellMar>
        <w:tblLook w:val="01E0"/>
      </w:tblPr>
      <w:tblGrid>
        <w:gridCol w:w="808"/>
        <w:gridCol w:w="1321"/>
        <w:gridCol w:w="565"/>
        <w:gridCol w:w="9353"/>
        <w:gridCol w:w="853"/>
        <w:gridCol w:w="845"/>
        <w:gridCol w:w="524"/>
      </w:tblGrid>
      <w:tr>
        <w:trPr>
          <w:trHeight w:val="331" w:hRule="exact"/>
        </w:trPr>
        <w:tc>
          <w:tcPr>
            <w:tcW w:w="808" w:type="dxa"/>
            <w:tcBorders>
              <w:top w:val="single" w:sz="15"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首次公开</w:t>
            </w:r>
          </w:p>
        </w:tc>
        <w:tc>
          <w:tcPr>
            <w:tcW w:w="1321" w:type="dxa"/>
            <w:vMerge w:val="restart"/>
            <w:tcBorders>
              <w:top w:val="single" w:sz="15" w:space="0" w:color="000000"/>
              <w:left w:val="single" w:sz="4" w:space="0" w:color="000000"/>
              <w:right w:val="single" w:sz="4" w:space="0" w:color="000000"/>
            </w:tcBorders>
            <w:shd w:val="clear" w:color="auto" w:fill="C7EDCC"/>
          </w:tcPr>
          <w:p>
            <w:pPr/>
          </w:p>
        </w:tc>
        <w:tc>
          <w:tcPr>
            <w:tcW w:w="565" w:type="dxa"/>
            <w:vMerge w:val="restart"/>
            <w:tcBorders>
              <w:top w:val="single" w:sz="15" w:space="0" w:color="000000"/>
              <w:left w:val="single" w:sz="4" w:space="0" w:color="000000"/>
              <w:right w:val="single" w:sz="4" w:space="0" w:color="000000"/>
            </w:tcBorders>
            <w:shd w:val="clear" w:color="auto" w:fill="C7EDCC"/>
          </w:tcPr>
          <w:p>
            <w:pPr/>
          </w:p>
        </w:tc>
        <w:tc>
          <w:tcPr>
            <w:tcW w:w="9353" w:type="dxa"/>
            <w:vMerge w:val="restart"/>
            <w:tcBorders>
              <w:top w:val="single" w:sz="15" w:space="0" w:color="000000"/>
              <w:left w:val="single" w:sz="4" w:space="0" w:color="000000"/>
              <w:right w:val="single" w:sz="4" w:space="0" w:color="000000"/>
            </w:tcBorders>
            <w:shd w:val="clear" w:color="auto" w:fill="C7EDCC"/>
          </w:tcPr>
          <w:p>
            <w:pPr/>
          </w:p>
        </w:tc>
        <w:tc>
          <w:tcPr>
            <w:tcW w:w="853" w:type="dxa"/>
            <w:vMerge w:val="restart"/>
            <w:tcBorders>
              <w:top w:val="single" w:sz="15" w:space="0" w:color="000000"/>
              <w:left w:val="single" w:sz="4" w:space="0" w:color="000000"/>
              <w:right w:val="single" w:sz="4" w:space="0" w:color="000000"/>
            </w:tcBorders>
          </w:tcPr>
          <w:p>
            <w:pPr/>
          </w:p>
        </w:tc>
        <w:tc>
          <w:tcPr>
            <w:tcW w:w="845" w:type="dxa"/>
            <w:vMerge w:val="restart"/>
            <w:tcBorders>
              <w:top w:val="single" w:sz="15" w:space="0" w:color="000000"/>
              <w:left w:val="single" w:sz="4" w:space="0" w:color="000000"/>
              <w:right w:val="single" w:sz="4" w:space="0" w:color="000000"/>
            </w:tcBorders>
            <w:shd w:val="clear" w:color="auto" w:fill="C7EDCC"/>
          </w:tcPr>
          <w:p>
            <w:pPr/>
          </w:p>
        </w:tc>
        <w:tc>
          <w:tcPr>
            <w:tcW w:w="524" w:type="dxa"/>
            <w:vMerge w:val="restart"/>
            <w:tcBorders>
              <w:top w:val="single" w:sz="15" w:space="0" w:color="000000"/>
              <w:left w:val="single" w:sz="4" w:space="0" w:color="000000"/>
              <w:right w:val="single" w:sz="4" w:space="0" w:color="000000"/>
            </w:tcBorders>
            <w:shd w:val="clear" w:color="auto" w:fill="C7EDCC"/>
          </w:tcPr>
          <w:p>
            <w:pPr/>
          </w:p>
        </w:tc>
      </w:tr>
      <w:tr>
        <w:trPr>
          <w:trHeight w:val="312" w:hRule="exact"/>
        </w:trPr>
        <w:tc>
          <w:tcPr>
            <w:tcW w:w="80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发行或再</w:t>
            </w:r>
          </w:p>
        </w:tc>
        <w:tc>
          <w:tcPr>
            <w:tcW w:w="1321" w:type="dxa"/>
            <w:vMerge/>
            <w:tcBorders>
              <w:left w:val="single" w:sz="4" w:space="0" w:color="000000"/>
              <w:right w:val="single" w:sz="4" w:space="0" w:color="000000"/>
            </w:tcBorders>
            <w:shd w:val="clear" w:color="auto" w:fill="C7EDCC"/>
          </w:tcPr>
          <w:p>
            <w:pPr/>
          </w:p>
        </w:tc>
        <w:tc>
          <w:tcPr>
            <w:tcW w:w="565" w:type="dxa"/>
            <w:vMerge/>
            <w:tcBorders>
              <w:left w:val="single" w:sz="4" w:space="0" w:color="000000"/>
              <w:right w:val="single" w:sz="4" w:space="0" w:color="000000"/>
            </w:tcBorders>
            <w:shd w:val="clear" w:color="auto" w:fill="C7EDCC"/>
          </w:tcPr>
          <w:p>
            <w:pPr/>
          </w:p>
        </w:tc>
        <w:tc>
          <w:tcPr>
            <w:tcW w:w="9353" w:type="dxa"/>
            <w:vMerge/>
            <w:tcBorders>
              <w:left w:val="single" w:sz="4" w:space="0" w:color="000000"/>
              <w:right w:val="single" w:sz="4" w:space="0" w:color="000000"/>
            </w:tcBorders>
            <w:shd w:val="clear" w:color="auto" w:fill="C7EDCC"/>
          </w:tcPr>
          <w:p>
            <w:pPr/>
          </w:p>
        </w:tc>
        <w:tc>
          <w:tcPr>
            <w:tcW w:w="853"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vMerge/>
            <w:tcBorders>
              <w:left w:val="single" w:sz="4" w:space="0" w:color="000000"/>
              <w:right w:val="single" w:sz="4" w:space="0" w:color="000000"/>
            </w:tcBorders>
            <w:shd w:val="clear" w:color="auto" w:fill="C7EDCC"/>
          </w:tcPr>
          <w:p>
            <w:pPr/>
          </w:p>
        </w:tc>
      </w:tr>
      <w:tr>
        <w:trPr>
          <w:trHeight w:val="312" w:hRule="exact"/>
        </w:trPr>
        <w:tc>
          <w:tcPr>
            <w:tcW w:w="80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融资时所</w:t>
            </w:r>
          </w:p>
        </w:tc>
        <w:tc>
          <w:tcPr>
            <w:tcW w:w="1321" w:type="dxa"/>
            <w:vMerge/>
            <w:tcBorders>
              <w:left w:val="single" w:sz="4" w:space="0" w:color="000000"/>
              <w:right w:val="single" w:sz="4" w:space="0" w:color="000000"/>
            </w:tcBorders>
            <w:shd w:val="clear" w:color="auto" w:fill="C7EDCC"/>
          </w:tcPr>
          <w:p>
            <w:pPr/>
          </w:p>
        </w:tc>
        <w:tc>
          <w:tcPr>
            <w:tcW w:w="565" w:type="dxa"/>
            <w:vMerge/>
            <w:tcBorders>
              <w:left w:val="single" w:sz="4" w:space="0" w:color="000000"/>
              <w:right w:val="single" w:sz="4" w:space="0" w:color="000000"/>
            </w:tcBorders>
            <w:shd w:val="clear" w:color="auto" w:fill="C7EDCC"/>
          </w:tcPr>
          <w:p>
            <w:pPr/>
          </w:p>
        </w:tc>
        <w:tc>
          <w:tcPr>
            <w:tcW w:w="9353" w:type="dxa"/>
            <w:vMerge/>
            <w:tcBorders>
              <w:left w:val="single" w:sz="4" w:space="0" w:color="000000"/>
              <w:right w:val="single" w:sz="4" w:space="0" w:color="000000"/>
            </w:tcBorders>
            <w:shd w:val="clear" w:color="auto" w:fill="C7EDCC"/>
          </w:tcPr>
          <w:p>
            <w:pPr/>
          </w:p>
        </w:tc>
        <w:tc>
          <w:tcPr>
            <w:tcW w:w="853"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shd w:val="clear" w:color="auto" w:fill="C7EDCC"/>
          </w:tcPr>
          <w:p>
            <w:pPr/>
          </w:p>
        </w:tc>
        <w:tc>
          <w:tcPr>
            <w:tcW w:w="524" w:type="dxa"/>
            <w:vMerge/>
            <w:tcBorders>
              <w:left w:val="single" w:sz="4" w:space="0" w:color="000000"/>
              <w:right w:val="single" w:sz="4" w:space="0" w:color="000000"/>
            </w:tcBorders>
            <w:shd w:val="clear" w:color="auto" w:fill="C7EDCC"/>
          </w:tcPr>
          <w:p>
            <w:pPr/>
          </w:p>
        </w:tc>
      </w:tr>
      <w:tr>
        <w:trPr>
          <w:trHeight w:val="317" w:hRule="exact"/>
        </w:trPr>
        <w:tc>
          <w:tcPr>
            <w:tcW w:w="80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作承诺</w:t>
            </w:r>
          </w:p>
        </w:tc>
        <w:tc>
          <w:tcPr>
            <w:tcW w:w="1321" w:type="dxa"/>
            <w:vMerge/>
            <w:tcBorders>
              <w:left w:val="single" w:sz="4" w:space="0" w:color="000000"/>
              <w:bottom w:val="single" w:sz="4" w:space="0" w:color="000000"/>
              <w:right w:val="single" w:sz="4" w:space="0" w:color="000000"/>
            </w:tcBorders>
            <w:shd w:val="clear" w:color="auto" w:fill="C7EDCC"/>
          </w:tcPr>
          <w:p>
            <w:pPr/>
          </w:p>
        </w:tc>
        <w:tc>
          <w:tcPr>
            <w:tcW w:w="565" w:type="dxa"/>
            <w:vMerge/>
            <w:tcBorders>
              <w:left w:val="single" w:sz="4" w:space="0" w:color="000000"/>
              <w:bottom w:val="single" w:sz="4" w:space="0" w:color="000000"/>
              <w:right w:val="single" w:sz="4" w:space="0" w:color="000000"/>
            </w:tcBorders>
            <w:shd w:val="clear" w:color="auto" w:fill="C7EDCC"/>
          </w:tcPr>
          <w:p>
            <w:pPr/>
          </w:p>
        </w:tc>
        <w:tc>
          <w:tcPr>
            <w:tcW w:w="9353" w:type="dxa"/>
            <w:vMerge/>
            <w:tcBorders>
              <w:left w:val="single" w:sz="4" w:space="0" w:color="000000"/>
              <w:bottom w:val="single" w:sz="4" w:space="0" w:color="000000"/>
              <w:right w:val="single" w:sz="4" w:space="0" w:color="000000"/>
            </w:tcBorders>
            <w:shd w:val="clear" w:color="auto" w:fill="C7EDCC"/>
          </w:tcPr>
          <w:p>
            <w:pPr/>
          </w:p>
        </w:tc>
        <w:tc>
          <w:tcPr>
            <w:tcW w:w="853"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shd w:val="clear" w:color="auto" w:fill="C7EDCC"/>
          </w:tcPr>
          <w:p>
            <w:pPr/>
          </w:p>
        </w:tc>
        <w:tc>
          <w:tcPr>
            <w:tcW w:w="524" w:type="dxa"/>
            <w:vMerge/>
            <w:tcBorders>
              <w:left w:val="single" w:sz="4" w:space="0" w:color="000000"/>
              <w:bottom w:val="single" w:sz="4" w:space="0" w:color="000000"/>
              <w:right w:val="single" w:sz="4" w:space="0" w:color="000000"/>
            </w:tcBorders>
            <w:shd w:val="clear" w:color="auto" w:fill="C7EDCC"/>
          </w:tcPr>
          <w:p>
            <w:pPr/>
          </w:p>
        </w:tc>
      </w:tr>
      <w:tr>
        <w:trPr>
          <w:trHeight w:val="634" w:hRule="exact"/>
        </w:trPr>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1"/>
              <w:ind w:left="23" w:right="52"/>
              <w:jc w:val="left"/>
              <w:rPr>
                <w:rFonts w:ascii="宋体" w:hAnsi="宋体" w:cs="宋体" w:eastAsia="宋体" w:hint="default"/>
                <w:sz w:val="18"/>
                <w:szCs w:val="18"/>
              </w:rPr>
            </w:pPr>
            <w:r>
              <w:rPr>
                <w:rFonts w:ascii="宋体" w:hAnsi="宋体" w:cs="宋体" w:eastAsia="宋体" w:hint="default"/>
                <w:sz w:val="18"/>
                <w:szCs w:val="18"/>
              </w:rPr>
              <w:t>股权激励 承诺</w:t>
            </w:r>
          </w:p>
        </w:tc>
        <w:tc>
          <w:tcPr>
            <w:tcW w:w="132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6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935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24"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317" w:hRule="exact"/>
        </w:trPr>
        <w:tc>
          <w:tcPr>
            <w:tcW w:w="808" w:type="dxa"/>
            <w:tcBorders>
              <w:top w:val="single" w:sz="4" w:space="0" w:color="000000"/>
              <w:left w:val="single" w:sz="4" w:space="0" w:color="000000"/>
              <w:bottom w:val="nil" w:sz="6" w:space="0" w:color="auto"/>
              <w:right w:val="single" w:sz="4" w:space="0" w:color="000000"/>
            </w:tcBorders>
          </w:tcPr>
          <w:p>
            <w:pPr/>
          </w:p>
        </w:tc>
        <w:tc>
          <w:tcPr>
            <w:tcW w:w="1321"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曲水华航投资有</w:t>
            </w:r>
          </w:p>
        </w:tc>
        <w:tc>
          <w:tcPr>
            <w:tcW w:w="565" w:type="dxa"/>
            <w:tcBorders>
              <w:top w:val="single" w:sz="4" w:space="0" w:color="000000"/>
              <w:left w:val="single" w:sz="4" w:space="0" w:color="000000"/>
              <w:bottom w:val="nil" w:sz="6" w:space="0" w:color="auto"/>
              <w:right w:val="single" w:sz="4" w:space="0" w:color="000000"/>
            </w:tcBorders>
            <w:shd w:val="clear" w:color="auto" w:fill="C7EDCC"/>
          </w:tcPr>
          <w:p>
            <w:pPr/>
          </w:p>
        </w:tc>
        <w:tc>
          <w:tcPr>
            <w:tcW w:w="9353" w:type="dxa"/>
            <w:tcBorders>
              <w:top w:val="single" w:sz="4" w:space="0" w:color="000000"/>
              <w:left w:val="single" w:sz="4" w:space="0" w:color="000000"/>
              <w:bottom w:val="nil" w:sz="6" w:space="0" w:color="auto"/>
              <w:right w:val="single" w:sz="4" w:space="0" w:color="000000"/>
            </w:tcBorders>
            <w:shd w:val="clear" w:color="auto" w:fill="C7EDCC"/>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845" w:type="dxa"/>
            <w:tcBorders>
              <w:top w:val="single" w:sz="4" w:space="0" w:color="000000"/>
              <w:left w:val="single" w:sz="4" w:space="0" w:color="000000"/>
              <w:bottom w:val="nil" w:sz="6" w:space="0" w:color="auto"/>
              <w:right w:val="single" w:sz="4" w:space="0" w:color="000000"/>
            </w:tcBorders>
            <w:shd w:val="clear" w:color="auto" w:fill="C7EDCC"/>
          </w:tcPr>
          <w:p>
            <w:pPr/>
          </w:p>
        </w:tc>
        <w:tc>
          <w:tcPr>
            <w:tcW w:w="524"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17" w:hRule="exact"/>
        </w:trPr>
        <w:tc>
          <w:tcPr>
            <w:tcW w:w="808"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宁波高</w:t>
            </w:r>
          </w:p>
        </w:tc>
        <w:tc>
          <w:tcPr>
            <w:tcW w:w="565" w:type="dxa"/>
            <w:tcBorders>
              <w:top w:val="nil" w:sz="6" w:space="0" w:color="auto"/>
              <w:left w:val="single" w:sz="4" w:space="0" w:color="000000"/>
              <w:bottom w:val="nil" w:sz="6" w:space="0" w:color="auto"/>
              <w:right w:val="single" w:sz="4" w:space="0" w:color="000000"/>
            </w:tcBorders>
            <w:shd w:val="clear" w:color="auto" w:fill="C7EDCC"/>
          </w:tcPr>
          <w:p>
            <w:pPr/>
          </w:p>
        </w:tc>
        <w:tc>
          <w:tcPr>
            <w:tcW w:w="9353" w:type="dxa"/>
            <w:tcBorders>
              <w:top w:val="nil" w:sz="6" w:space="0" w:color="auto"/>
              <w:left w:val="single" w:sz="4" w:space="0" w:color="000000"/>
              <w:bottom w:val="nil" w:sz="6" w:space="0" w:color="auto"/>
              <w:right w:val="single" w:sz="4" w:space="0" w:color="000000"/>
            </w:tcBorders>
            <w:shd w:val="clear" w:color="auto" w:fill="C7EDCC"/>
          </w:tcPr>
          <w:p>
            <w:pPr/>
          </w:p>
        </w:tc>
        <w:tc>
          <w:tcPr>
            <w:tcW w:w="853"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shd w:val="clear" w:color="auto" w:fill="C7EDCC"/>
          </w:tcPr>
          <w:p>
            <w:pPr/>
          </w:p>
        </w:tc>
        <w:tc>
          <w:tcPr>
            <w:tcW w:w="524"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808"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新区新愿景股权</w:t>
            </w:r>
          </w:p>
        </w:tc>
        <w:tc>
          <w:tcPr>
            <w:tcW w:w="565" w:type="dxa"/>
            <w:tcBorders>
              <w:top w:val="nil" w:sz="6" w:space="0" w:color="auto"/>
              <w:left w:val="single" w:sz="4" w:space="0" w:color="000000"/>
              <w:bottom w:val="nil" w:sz="6" w:space="0" w:color="auto"/>
              <w:right w:val="single" w:sz="4" w:space="0" w:color="000000"/>
            </w:tcBorders>
            <w:shd w:val="clear" w:color="auto" w:fill="C7EDCC"/>
          </w:tcPr>
          <w:p>
            <w:pPr/>
          </w:p>
        </w:tc>
        <w:tc>
          <w:tcPr>
            <w:tcW w:w="935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标的公司在利润补偿期间即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2017 </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2018 </w:t>
            </w:r>
            <w:r>
              <w:rPr>
                <w:rFonts w:ascii="宋体" w:hAnsi="宋体" w:cs="宋体" w:eastAsia="宋体" w:hint="default"/>
                <w:sz w:val="18"/>
                <w:szCs w:val="18"/>
              </w:rPr>
              <w:t>年实现的净利润（根据标的企业扣除非经常性损益前后孰低原则确</w:t>
            </w:r>
          </w:p>
        </w:tc>
        <w:tc>
          <w:tcPr>
            <w:tcW w:w="853"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shd w:val="clear" w:color="auto" w:fill="C7EDCC"/>
          </w:tcPr>
          <w:p>
            <w:pPr/>
          </w:p>
        </w:tc>
        <w:tc>
          <w:tcPr>
            <w:tcW w:w="524"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808"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投资有限公司</w:t>
            </w:r>
            <w:r>
              <w:rPr>
                <w:rFonts w:ascii="Times New Roman" w:hAnsi="Times New Roman" w:cs="Times New Roman" w:eastAsia="Times New Roman" w:hint="default"/>
                <w:sz w:val="18"/>
                <w:szCs w:val="18"/>
              </w:rPr>
              <w:t>;</w:t>
            </w:r>
          </w:p>
        </w:tc>
        <w:tc>
          <w:tcPr>
            <w:tcW w:w="56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业绩</w:t>
            </w:r>
          </w:p>
        </w:tc>
        <w:tc>
          <w:tcPr>
            <w:tcW w:w="935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定，标的公司净利润是指标的公司合并报表中归属于母公司所有者的全部净利润，该母公司指中教未来）分别为不低于</w:t>
            </w:r>
          </w:p>
        </w:tc>
        <w:tc>
          <w:tcPr>
            <w:tcW w:w="853"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shd w:val="clear" w:color="auto" w:fill="C7EDCC"/>
          </w:tcPr>
          <w:p>
            <w:pPr/>
          </w:p>
        </w:tc>
        <w:tc>
          <w:tcPr>
            <w:tcW w:w="524"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936" w:hRule="exact"/>
        </w:trPr>
        <w:tc>
          <w:tcPr>
            <w:tcW w:w="808"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5"/>
              <w:ind w:left="22" w:right="26"/>
              <w:jc w:val="both"/>
              <w:rPr>
                <w:rFonts w:ascii="宋体" w:hAnsi="宋体" w:cs="宋体" w:eastAsia="宋体" w:hint="default"/>
                <w:sz w:val="18"/>
                <w:szCs w:val="18"/>
              </w:rPr>
            </w:pPr>
            <w:r>
              <w:rPr>
                <w:rFonts w:ascii="宋体" w:hAnsi="宋体" w:cs="宋体" w:eastAsia="宋体" w:hint="default"/>
                <w:sz w:val="18"/>
                <w:szCs w:val="18"/>
              </w:rPr>
              <w:t>宁波高新区新未 来教育科技有限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曲水华唐</w:t>
            </w:r>
          </w:p>
        </w:tc>
        <w:tc>
          <w:tcPr>
            <w:tcW w:w="56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5"/>
              <w:ind w:left="22" w:right="170"/>
              <w:jc w:val="both"/>
              <w:rPr>
                <w:rFonts w:ascii="宋体" w:hAnsi="宋体" w:cs="宋体" w:eastAsia="宋体" w:hint="default"/>
                <w:sz w:val="18"/>
                <w:szCs w:val="18"/>
              </w:rPr>
            </w:pPr>
            <w:r>
              <w:rPr>
                <w:rFonts w:ascii="宋体" w:hAnsi="宋体" w:cs="宋体" w:eastAsia="宋体" w:hint="default"/>
                <w:sz w:val="18"/>
                <w:szCs w:val="18"/>
              </w:rPr>
              <w:t>承诺 及补 偿安</w:t>
            </w:r>
          </w:p>
        </w:tc>
        <w:tc>
          <w:tcPr>
            <w:tcW w:w="935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09" w:lineRule="auto" w:before="5"/>
              <w:ind w:left="22" w:right="16"/>
              <w:jc w:val="both"/>
              <w:rPr>
                <w:rFonts w:ascii="宋体" w:hAnsi="宋体" w:cs="宋体" w:eastAsia="宋体" w:hint="default"/>
                <w:sz w:val="18"/>
                <w:szCs w:val="18"/>
              </w:rPr>
            </w:pPr>
            <w:r>
              <w:rPr>
                <w:rFonts w:ascii="Times New Roman" w:hAnsi="Times New Roman" w:cs="Times New Roman" w:eastAsia="Times New Roman" w:hint="default"/>
                <w:sz w:val="18"/>
                <w:szCs w:val="18"/>
              </w:rPr>
              <w:t>5,800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6,800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7,900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万元。在各业绩承诺期结束之日后，上市公司聘请具有证券期货从业资格的审计机构对 </w:t>
            </w:r>
            <w:r>
              <w:rPr>
                <w:rFonts w:ascii="宋体" w:hAnsi="宋体" w:cs="宋体" w:eastAsia="宋体" w:hint="default"/>
                <w:spacing w:val="-2"/>
                <w:sz w:val="18"/>
                <w:szCs w:val="18"/>
              </w:rPr>
              <w:t>标的公司每年度实现的实际净利润等经营成果予以审核，如标的公司实现净利润未达到承诺利润的，交易对方应在该年</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度的专项审核报告披露之日起十日之内，按下列公式计算的金额对上市公司进行现金补偿：当期应补偿的现金</w:t>
            </w:r>
            <w:r>
              <w:rPr>
                <w:rFonts w:ascii="Times New Roman" w:hAnsi="Times New Roman" w:cs="Times New Roman" w:eastAsia="Times New Roman" w:hint="default"/>
                <w:sz w:val="18"/>
                <w:szCs w:val="18"/>
              </w:rPr>
              <w:t>=</w:t>
            </w:r>
            <w:r>
              <w:rPr>
                <w:rFonts w:ascii="宋体" w:hAnsi="宋体" w:cs="宋体" w:eastAsia="宋体" w:hint="default"/>
                <w:sz w:val="18"/>
                <w:szCs w:val="18"/>
              </w:rPr>
              <w:t>（截至</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61"/>
              <w:ind w:left="22" w:right="131"/>
              <w:jc w:val="left"/>
              <w:rPr>
                <w:rFonts w:ascii="宋体" w:hAnsi="宋体" w:cs="宋体" w:eastAsia="宋体" w:hint="default"/>
                <w:sz w:val="18"/>
                <w:szCs w:val="18"/>
              </w:rPr>
            </w:pPr>
            <w:r>
              <w:rPr>
                <w:rFonts w:ascii="宋体" w:hAnsi="宋体" w:cs="宋体" w:eastAsia="宋体" w:hint="default"/>
                <w:sz w:val="18"/>
                <w:szCs w:val="18"/>
              </w:rPr>
              <w:t>履行 完毕</w:t>
            </w:r>
          </w:p>
        </w:tc>
      </w:tr>
      <w:tr>
        <w:trPr>
          <w:trHeight w:val="312" w:hRule="exact"/>
        </w:trPr>
        <w:tc>
          <w:tcPr>
            <w:tcW w:w="808"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投资有限公司</w:t>
            </w:r>
            <w:r>
              <w:rPr>
                <w:rFonts w:ascii="Times New Roman" w:hAnsi="Times New Roman" w:cs="Times New Roman" w:eastAsia="Times New Roman" w:hint="default"/>
                <w:sz w:val="18"/>
                <w:szCs w:val="18"/>
              </w:rPr>
              <w:t>;</w:t>
            </w:r>
          </w:p>
        </w:tc>
        <w:tc>
          <w:tcPr>
            <w:tcW w:w="56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排</w:t>
            </w:r>
          </w:p>
        </w:tc>
        <w:tc>
          <w:tcPr>
            <w:tcW w:w="935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当期期末累积承诺净利润数－截至当期期末累积实际净利润数</w:t>
            </w:r>
            <w:r>
              <w:rPr>
                <w:rFonts w:ascii="宋体" w:hAnsi="宋体" w:cs="宋体" w:eastAsia="宋体" w:hint="default"/>
                <w:spacing w:val="-78"/>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补偿期限内各年的承诺净利润数总和</w:t>
            </w:r>
            <w:r>
              <w:rPr>
                <w:rFonts w:ascii="Times New Roman" w:hAnsi="Times New Roman" w:cs="Times New Roman" w:eastAsia="Times New Roman" w:hint="default"/>
                <w:sz w:val="18"/>
                <w:szCs w:val="18"/>
              </w:rPr>
              <w:t>×</w:t>
            </w:r>
            <w:r>
              <w:rPr>
                <w:rFonts w:ascii="宋体" w:hAnsi="宋体" w:cs="宋体" w:eastAsia="宋体" w:hint="default"/>
                <w:sz w:val="18"/>
                <w:szCs w:val="18"/>
              </w:rPr>
              <w:t>转让标的转让价</w:t>
            </w:r>
          </w:p>
        </w:tc>
        <w:tc>
          <w:tcPr>
            <w:tcW w:w="853"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shd w:val="clear" w:color="auto" w:fill="C7EDCC"/>
          </w:tcPr>
          <w:p>
            <w:pPr/>
          </w:p>
        </w:tc>
        <w:tc>
          <w:tcPr>
            <w:tcW w:w="524"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07" w:hRule="exact"/>
        </w:trPr>
        <w:tc>
          <w:tcPr>
            <w:tcW w:w="808"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宁波高新区红山</w:t>
            </w:r>
          </w:p>
        </w:tc>
        <w:tc>
          <w:tcPr>
            <w:tcW w:w="565" w:type="dxa"/>
            <w:tcBorders>
              <w:top w:val="nil" w:sz="6" w:space="0" w:color="auto"/>
              <w:left w:val="single" w:sz="4" w:space="0" w:color="000000"/>
              <w:bottom w:val="nil" w:sz="6" w:space="0" w:color="auto"/>
              <w:right w:val="single" w:sz="4" w:space="0" w:color="000000"/>
            </w:tcBorders>
            <w:shd w:val="clear" w:color="auto" w:fill="C7EDCC"/>
          </w:tcPr>
          <w:p>
            <w:pPr/>
          </w:p>
        </w:tc>
        <w:tc>
          <w:tcPr>
            <w:tcW w:w="935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款－已补偿的现金</w:t>
            </w:r>
          </w:p>
        </w:tc>
        <w:tc>
          <w:tcPr>
            <w:tcW w:w="853"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shd w:val="clear" w:color="auto" w:fill="C7EDCC"/>
          </w:tcPr>
          <w:p>
            <w:pPr/>
          </w:p>
        </w:tc>
        <w:tc>
          <w:tcPr>
            <w:tcW w:w="524"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808"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远景投资管理中</w:t>
            </w:r>
          </w:p>
        </w:tc>
        <w:tc>
          <w:tcPr>
            <w:tcW w:w="565" w:type="dxa"/>
            <w:tcBorders>
              <w:top w:val="nil" w:sz="6" w:space="0" w:color="auto"/>
              <w:left w:val="single" w:sz="4" w:space="0" w:color="000000"/>
              <w:bottom w:val="nil" w:sz="6" w:space="0" w:color="auto"/>
              <w:right w:val="single" w:sz="4" w:space="0" w:color="000000"/>
            </w:tcBorders>
            <w:shd w:val="clear" w:color="auto" w:fill="C7EDCC"/>
          </w:tcPr>
          <w:p>
            <w:pPr/>
          </w:p>
        </w:tc>
        <w:tc>
          <w:tcPr>
            <w:tcW w:w="9353" w:type="dxa"/>
            <w:tcBorders>
              <w:top w:val="nil" w:sz="6" w:space="0" w:color="auto"/>
              <w:left w:val="single" w:sz="4" w:space="0" w:color="000000"/>
              <w:bottom w:val="nil" w:sz="6" w:space="0" w:color="auto"/>
              <w:right w:val="single" w:sz="4" w:space="0" w:color="000000"/>
            </w:tcBorders>
            <w:shd w:val="clear" w:color="auto" w:fill="C7EDCC"/>
          </w:tcPr>
          <w:p>
            <w:pPr/>
          </w:p>
        </w:tc>
        <w:tc>
          <w:tcPr>
            <w:tcW w:w="853"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shd w:val="clear" w:color="auto" w:fill="C7EDCC"/>
          </w:tcPr>
          <w:p>
            <w:pPr/>
          </w:p>
        </w:tc>
        <w:tc>
          <w:tcPr>
            <w:tcW w:w="524"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7" w:hRule="exact"/>
        </w:trPr>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其他对公</w:t>
            </w:r>
          </w:p>
        </w:tc>
        <w:tc>
          <w:tcPr>
            <w:tcW w:w="1321"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心（有限合伙）</w:t>
            </w:r>
          </w:p>
        </w:tc>
        <w:tc>
          <w:tcPr>
            <w:tcW w:w="565" w:type="dxa"/>
            <w:tcBorders>
              <w:top w:val="nil" w:sz="6" w:space="0" w:color="auto"/>
              <w:left w:val="single" w:sz="4" w:space="0" w:color="000000"/>
              <w:bottom w:val="single" w:sz="4" w:space="0" w:color="000000"/>
              <w:right w:val="single" w:sz="4" w:space="0" w:color="000000"/>
            </w:tcBorders>
            <w:shd w:val="clear" w:color="auto" w:fill="C7EDCC"/>
          </w:tcPr>
          <w:p>
            <w:pPr/>
          </w:p>
        </w:tc>
        <w:tc>
          <w:tcPr>
            <w:tcW w:w="9353" w:type="dxa"/>
            <w:tcBorders>
              <w:top w:val="nil" w:sz="6" w:space="0" w:color="auto"/>
              <w:left w:val="single" w:sz="4" w:space="0" w:color="000000"/>
              <w:bottom w:val="single" w:sz="4" w:space="0" w:color="000000"/>
              <w:right w:val="single" w:sz="4" w:space="0" w:color="000000"/>
            </w:tcBorders>
            <w:shd w:val="clear" w:color="auto" w:fill="C7EDCC"/>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845" w:type="dxa"/>
            <w:tcBorders>
              <w:top w:val="nil" w:sz="6" w:space="0" w:color="auto"/>
              <w:left w:val="single" w:sz="4" w:space="0" w:color="000000"/>
              <w:bottom w:val="single" w:sz="4" w:space="0" w:color="000000"/>
              <w:right w:val="single" w:sz="4" w:space="0" w:color="000000"/>
            </w:tcBorders>
            <w:shd w:val="clear" w:color="auto" w:fill="C7EDCC"/>
          </w:tcPr>
          <w:p>
            <w:pPr/>
          </w:p>
        </w:tc>
        <w:tc>
          <w:tcPr>
            <w:tcW w:w="524"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315" w:hRule="exact"/>
        </w:trPr>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司中小股</w:t>
            </w:r>
          </w:p>
        </w:tc>
        <w:tc>
          <w:tcPr>
            <w:tcW w:w="1321" w:type="dxa"/>
            <w:tcBorders>
              <w:top w:val="single" w:sz="4" w:space="0" w:color="000000"/>
              <w:left w:val="single" w:sz="4" w:space="0" w:color="000000"/>
              <w:bottom w:val="nil" w:sz="6" w:space="0" w:color="auto"/>
              <w:right w:val="single" w:sz="4" w:space="0" w:color="000000"/>
            </w:tcBorders>
            <w:shd w:val="clear" w:color="auto" w:fill="C7EDCC"/>
          </w:tcPr>
          <w:p>
            <w:pPr/>
          </w:p>
        </w:tc>
        <w:tc>
          <w:tcPr>
            <w:tcW w:w="565" w:type="dxa"/>
            <w:tcBorders>
              <w:top w:val="single" w:sz="4" w:space="0" w:color="000000"/>
              <w:left w:val="single" w:sz="4" w:space="0" w:color="000000"/>
              <w:bottom w:val="nil" w:sz="6" w:space="0" w:color="auto"/>
              <w:right w:val="single" w:sz="4" w:space="0" w:color="000000"/>
            </w:tcBorders>
            <w:shd w:val="clear" w:color="auto" w:fill="C7EDCC"/>
          </w:tcPr>
          <w:p>
            <w:pPr/>
          </w:p>
        </w:tc>
        <w:tc>
          <w:tcPr>
            <w:tcW w:w="9353" w:type="dxa"/>
            <w:tcBorders>
              <w:top w:val="single" w:sz="4" w:space="0" w:color="000000"/>
              <w:left w:val="single" w:sz="4" w:space="0" w:color="000000"/>
              <w:bottom w:val="nil" w:sz="6" w:space="0" w:color="auto"/>
              <w:right w:val="single" w:sz="13" w:space="0" w:color="FFFFFF"/>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乙方（即：宁波高新区尚兆教育科技发展有限公司、宁波高新区育维德教育科技发展有限公司</w:t>
            </w:r>
            <w:r>
              <w:rPr>
                <w:rFonts w:ascii="宋体" w:hAnsi="宋体" w:cs="宋体" w:eastAsia="宋体" w:hint="default"/>
                <w:spacing w:val="-90"/>
                <w:sz w:val="18"/>
                <w:szCs w:val="18"/>
              </w:rPr>
              <w:t>）</w:t>
            </w:r>
            <w:r>
              <w:rPr>
                <w:rFonts w:ascii="宋体" w:hAnsi="宋体" w:cs="宋体" w:eastAsia="宋体" w:hint="default"/>
                <w:sz w:val="18"/>
                <w:szCs w:val="18"/>
              </w:rPr>
              <w:t>、丙方（即：马驰、郭</w:t>
            </w:r>
          </w:p>
        </w:tc>
        <w:tc>
          <w:tcPr>
            <w:tcW w:w="853" w:type="dxa"/>
            <w:tcBorders>
              <w:top w:val="single" w:sz="4" w:space="0" w:color="000000"/>
              <w:left w:val="single" w:sz="13" w:space="0" w:color="FFFFFF"/>
              <w:bottom w:val="nil" w:sz="6" w:space="0" w:color="auto"/>
              <w:right w:val="single" w:sz="4" w:space="0" w:color="000000"/>
            </w:tcBorders>
          </w:tcPr>
          <w:p>
            <w:pPr/>
          </w:p>
        </w:tc>
        <w:tc>
          <w:tcPr>
            <w:tcW w:w="845" w:type="dxa"/>
            <w:tcBorders>
              <w:top w:val="single" w:sz="4" w:space="0" w:color="000000"/>
              <w:left w:val="single" w:sz="4" w:space="0" w:color="000000"/>
              <w:bottom w:val="nil" w:sz="6" w:space="0" w:color="auto"/>
              <w:right w:val="single" w:sz="4" w:space="0" w:color="000000"/>
            </w:tcBorders>
            <w:shd w:val="clear" w:color="auto" w:fill="C7EDCC"/>
          </w:tcPr>
          <w:p>
            <w:pPr/>
          </w:p>
        </w:tc>
        <w:tc>
          <w:tcPr>
            <w:tcW w:w="524"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17" w:hRule="exact"/>
        </w:trPr>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东所作承</w:t>
            </w:r>
          </w:p>
        </w:tc>
        <w:tc>
          <w:tcPr>
            <w:tcW w:w="1321" w:type="dxa"/>
            <w:tcBorders>
              <w:top w:val="nil" w:sz="6" w:space="0" w:color="auto"/>
              <w:left w:val="single" w:sz="4" w:space="0" w:color="000000"/>
              <w:bottom w:val="nil" w:sz="6" w:space="0" w:color="auto"/>
              <w:right w:val="single" w:sz="4" w:space="0" w:color="000000"/>
            </w:tcBorders>
            <w:shd w:val="clear" w:color="auto" w:fill="C7EDCC"/>
          </w:tcPr>
          <w:p>
            <w:pPr/>
          </w:p>
        </w:tc>
        <w:tc>
          <w:tcPr>
            <w:tcW w:w="565" w:type="dxa"/>
            <w:tcBorders>
              <w:top w:val="nil" w:sz="6" w:space="0" w:color="auto"/>
              <w:left w:val="single" w:sz="4" w:space="0" w:color="000000"/>
              <w:bottom w:val="nil" w:sz="6" w:space="0" w:color="auto"/>
              <w:right w:val="single" w:sz="4" w:space="0" w:color="000000"/>
            </w:tcBorders>
            <w:shd w:val="clear" w:color="auto" w:fill="C7EDCC"/>
          </w:tcPr>
          <w:p>
            <w:pPr/>
          </w:p>
        </w:tc>
        <w:tc>
          <w:tcPr>
            <w:tcW w:w="9353" w:type="dxa"/>
            <w:tcBorders>
              <w:top w:val="nil" w:sz="6" w:space="0" w:color="auto"/>
              <w:left w:val="single" w:sz="4" w:space="0" w:color="000000"/>
              <w:bottom w:val="nil" w:sz="6" w:space="0" w:color="auto"/>
              <w:right w:val="single" w:sz="13" w:space="0" w:color="FFFFFF"/>
            </w:tcBorders>
            <w:shd w:val="clear" w:color="auto" w:fill="C7EDCC"/>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倩卿）郑重承诺：标的公司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年实现的净利润（根据标的公司扣除非经常性损益前后孰低原则确定，标的公司净利</w:t>
            </w:r>
          </w:p>
        </w:tc>
        <w:tc>
          <w:tcPr>
            <w:tcW w:w="853" w:type="dxa"/>
            <w:tcBorders>
              <w:top w:val="nil" w:sz="6" w:space="0" w:color="auto"/>
              <w:left w:val="single" w:sz="13" w:space="0" w:color="FFFFFF"/>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shd w:val="clear" w:color="auto" w:fill="C7EDCC"/>
          </w:tcPr>
          <w:p>
            <w:pPr/>
          </w:p>
        </w:tc>
        <w:tc>
          <w:tcPr>
            <w:tcW w:w="524"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4" w:hRule="exact"/>
        </w:trPr>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1321" w:type="dxa"/>
            <w:tcBorders>
              <w:top w:val="nil" w:sz="6" w:space="0" w:color="auto"/>
              <w:left w:val="single" w:sz="4" w:space="0" w:color="000000"/>
              <w:bottom w:val="nil" w:sz="6" w:space="0" w:color="auto"/>
              <w:right w:val="single" w:sz="4" w:space="0" w:color="000000"/>
            </w:tcBorders>
            <w:shd w:val="clear" w:color="auto" w:fill="C7EDCC"/>
          </w:tcPr>
          <w:p>
            <w:pPr/>
          </w:p>
        </w:tc>
        <w:tc>
          <w:tcPr>
            <w:tcW w:w="565" w:type="dxa"/>
            <w:tcBorders>
              <w:top w:val="nil" w:sz="6" w:space="0" w:color="auto"/>
              <w:left w:val="single" w:sz="4" w:space="0" w:color="000000"/>
              <w:bottom w:val="nil" w:sz="6" w:space="0" w:color="auto"/>
              <w:right w:val="single" w:sz="4" w:space="0" w:color="000000"/>
            </w:tcBorders>
            <w:shd w:val="clear" w:color="auto" w:fill="C7EDCC"/>
          </w:tcPr>
          <w:p>
            <w:pPr/>
          </w:p>
        </w:tc>
        <w:tc>
          <w:tcPr>
            <w:tcW w:w="9353" w:type="dxa"/>
            <w:tcBorders>
              <w:top w:val="nil" w:sz="6" w:space="0" w:color="auto"/>
              <w:left w:val="single" w:sz="4" w:space="0" w:color="000000"/>
              <w:bottom w:val="nil" w:sz="6" w:space="0" w:color="auto"/>
              <w:right w:val="single" w:sz="13" w:space="0" w:color="FFFFFF"/>
            </w:tcBorders>
            <w:shd w:val="clear" w:color="auto" w:fill="C7EDCC"/>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润是指标的公司以及标的公司合并报表范围内子公司的全部净利润，下同）</w:t>
            </w:r>
            <w:r>
              <w:rPr>
                <w:rFonts w:ascii="Times New Roman" w:hAnsi="Times New Roman" w:cs="Times New Roman" w:eastAsia="Times New Roman" w:hint="default"/>
                <w:sz w:val="18"/>
                <w:szCs w:val="18"/>
              </w:rPr>
              <w:t>,</w:t>
            </w:r>
            <w:r>
              <w:rPr>
                <w:rFonts w:ascii="宋体" w:hAnsi="宋体" w:cs="宋体" w:eastAsia="宋体" w:hint="default"/>
                <w:sz w:val="18"/>
                <w:szCs w:val="18"/>
              </w:rPr>
              <w:t>合计不少于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万元；标的公司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53" w:type="dxa"/>
            <w:tcBorders>
              <w:top w:val="nil" w:sz="6" w:space="0" w:color="auto"/>
              <w:left w:val="single" w:sz="13" w:space="0" w:color="FFFFFF"/>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shd w:val="clear" w:color="auto" w:fill="C7EDCC"/>
          </w:tcPr>
          <w:p>
            <w:pPr/>
          </w:p>
        </w:tc>
        <w:tc>
          <w:tcPr>
            <w:tcW w:w="524"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179" w:hRule="exact"/>
        </w:trPr>
        <w:tc>
          <w:tcPr>
            <w:tcW w:w="808"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2" w:lineRule="auto" w:before="161"/>
              <w:ind w:left="22" w:right="26"/>
              <w:jc w:val="left"/>
              <w:rPr>
                <w:rFonts w:ascii="宋体" w:hAnsi="宋体" w:cs="宋体" w:eastAsia="宋体" w:hint="default"/>
                <w:sz w:val="18"/>
                <w:szCs w:val="18"/>
              </w:rPr>
            </w:pPr>
            <w:r>
              <w:rPr>
                <w:rFonts w:ascii="宋体" w:hAnsi="宋体" w:cs="宋体" w:eastAsia="宋体" w:hint="default"/>
                <w:sz w:val="18"/>
                <w:szCs w:val="18"/>
              </w:rPr>
              <w:t>郭倩卿</w:t>
            </w:r>
            <w:r>
              <w:rPr>
                <w:rFonts w:ascii="Times New Roman" w:hAnsi="Times New Roman" w:cs="Times New Roman" w:eastAsia="Times New Roman" w:hint="default"/>
                <w:sz w:val="18"/>
                <w:szCs w:val="18"/>
              </w:rPr>
              <w:t>;</w:t>
            </w:r>
            <w:r>
              <w:rPr>
                <w:rFonts w:ascii="宋体" w:hAnsi="宋体" w:cs="宋体" w:eastAsia="宋体" w:hint="default"/>
                <w:sz w:val="18"/>
                <w:szCs w:val="18"/>
              </w:rPr>
              <w:t>马驰</w:t>
            </w:r>
            <w:r>
              <w:rPr>
                <w:rFonts w:ascii="Times New Roman" w:hAnsi="Times New Roman" w:cs="Times New Roman" w:eastAsia="Times New Roman" w:hint="default"/>
                <w:sz w:val="18"/>
                <w:szCs w:val="18"/>
              </w:rPr>
              <w:t>;</w:t>
            </w:r>
            <w:r>
              <w:rPr>
                <w:rFonts w:ascii="宋体" w:hAnsi="宋体" w:cs="宋体" w:eastAsia="宋体" w:hint="default"/>
                <w:sz w:val="18"/>
                <w:szCs w:val="18"/>
              </w:rPr>
              <w:t>宁 波高新区尚兆教 育科技发展有限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宁波高新 区育维德教育科 技发展有限公司</w:t>
            </w:r>
          </w:p>
        </w:tc>
        <w:tc>
          <w:tcPr>
            <w:tcW w:w="56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2" w:right="170"/>
              <w:jc w:val="both"/>
              <w:rPr>
                <w:rFonts w:ascii="宋体" w:hAnsi="宋体" w:cs="宋体" w:eastAsia="宋体" w:hint="default"/>
                <w:sz w:val="18"/>
                <w:szCs w:val="18"/>
              </w:rPr>
            </w:pPr>
            <w:r>
              <w:rPr>
                <w:rFonts w:ascii="宋体" w:hAnsi="宋体" w:cs="宋体" w:eastAsia="宋体" w:hint="default"/>
                <w:sz w:val="18"/>
                <w:szCs w:val="18"/>
              </w:rPr>
              <w:t>业绩 承诺 及补 偿安 排</w:t>
            </w:r>
          </w:p>
        </w:tc>
        <w:tc>
          <w:tcPr>
            <w:tcW w:w="9353" w:type="dxa"/>
            <w:tcBorders>
              <w:top w:val="nil" w:sz="6" w:space="0" w:color="auto"/>
              <w:left w:val="single" w:sz="4" w:space="0" w:color="000000"/>
              <w:bottom w:val="nil" w:sz="6" w:space="0" w:color="auto"/>
              <w:right w:val="single" w:sz="13" w:space="0" w:color="FFFFFF"/>
            </w:tcBorders>
            <w:shd w:val="clear" w:color="auto" w:fill="C7EDCC"/>
          </w:tcPr>
          <w:p>
            <w:pPr>
              <w:pStyle w:val="TableParagraph"/>
              <w:spacing w:line="307" w:lineRule="auto" w:before="5"/>
              <w:ind w:left="22" w:right="6"/>
              <w:jc w:val="left"/>
              <w:rPr>
                <w:rFonts w:ascii="Times New Roman" w:hAnsi="Times New Roman" w:cs="Times New Roman" w:eastAsia="Times New Roman" w:hint="default"/>
                <w:sz w:val="18"/>
                <w:szCs w:val="18"/>
              </w:rPr>
            </w:pPr>
            <w:r>
              <w:rPr>
                <w:rFonts w:ascii="宋体" w:hAnsi="宋体" w:cs="宋体" w:eastAsia="宋体" w:hint="default"/>
                <w:sz w:val="18"/>
                <w:szCs w:val="18"/>
              </w:rPr>
              <w:t>实现的净利润，合计不少于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3,210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万元。在各业绩承诺期结束之日起，甲方（即：中教未来国际教育科技（北京）有限 </w:t>
            </w:r>
            <w:r>
              <w:rPr>
                <w:rFonts w:ascii="宋体" w:hAnsi="宋体" w:cs="宋体" w:eastAsia="宋体" w:hint="default"/>
                <w:spacing w:val="-3"/>
                <w:sz w:val="18"/>
                <w:szCs w:val="18"/>
              </w:rPr>
              <w:t>公司）聘请具有证券期货从业资格的审计机构，对标的公司业绩承诺期内每年度实现的实际净利润等经营成果予以审核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出具专项审核报告。根据本协议</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款的专项审核报告，如标的公司实现净利润未达到承诺利润标准的，乙方、丙方应 在该年度的专项审核报告披露之日起十个工作日内，按下列公式计算的金额对甲方进行现金补偿：当期应补偿的现金</w:t>
            </w:r>
            <w:r>
              <w:rPr>
                <w:rFonts w:ascii="Times New Roman" w:hAnsi="Times New Roman" w:cs="Times New Roman" w:eastAsia="Times New Roman" w:hint="default"/>
                <w:sz w:val="18"/>
                <w:szCs w:val="18"/>
              </w:rPr>
              <w:t>=</w:t>
            </w:r>
          </w:p>
          <w:p>
            <w:pPr>
              <w:pStyle w:val="TableParagraph"/>
              <w:spacing w:line="309" w:lineRule="auto" w:before="7"/>
              <w:ind w:left="22" w:right="4"/>
              <w:jc w:val="both"/>
              <w:rPr>
                <w:rFonts w:ascii="宋体" w:hAnsi="宋体" w:cs="宋体" w:eastAsia="宋体" w:hint="default"/>
                <w:sz w:val="18"/>
                <w:szCs w:val="18"/>
              </w:rPr>
            </w:pPr>
            <w:r>
              <w:rPr>
                <w:rFonts w:ascii="宋体" w:hAnsi="宋体" w:cs="宋体" w:eastAsia="宋体" w:hint="default"/>
                <w:spacing w:val="-2"/>
                <w:sz w:val="18"/>
                <w:szCs w:val="18"/>
              </w:rPr>
              <w:t>（截至当期期末累积承诺净利润数－截至当期期末累积实际净利润数）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补偿期限内各年的承诺净利润数总和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转让标的</w:t>
            </w:r>
            <w:r>
              <w:rPr>
                <w:rFonts w:ascii="宋体" w:hAnsi="宋体" w:cs="宋体" w:eastAsia="宋体" w:hint="default"/>
                <w:spacing w:val="-63"/>
                <w:sz w:val="18"/>
                <w:szCs w:val="18"/>
              </w:rPr>
              <w:t> </w:t>
            </w:r>
            <w:r>
              <w:rPr>
                <w:rFonts w:ascii="宋体" w:hAnsi="宋体" w:cs="宋体" w:eastAsia="宋体" w:hint="default"/>
                <w:spacing w:val="-2"/>
                <w:sz w:val="18"/>
                <w:szCs w:val="18"/>
              </w:rPr>
              <w:t>转让价款－已补偿的现金。双方同意，甲方有权在未支付的交易款项中扣除该现金补偿部分。同时，如标的公司上年度</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超额完成承诺利润，则超额部分可以用于填补以后年度承诺净利润。根据上述公式计算的当期应补偿的现金为负数的</w:t>
            </w:r>
          </w:p>
        </w:tc>
        <w:tc>
          <w:tcPr>
            <w:tcW w:w="853" w:type="dxa"/>
            <w:tcBorders>
              <w:top w:val="nil" w:sz="6" w:space="0" w:color="auto"/>
              <w:left w:val="single" w:sz="13"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162" w:right="0"/>
              <w:jc w:val="left"/>
              <w:rPr>
                <w:rFonts w:ascii="宋体" w:hAnsi="宋体" w:cs="宋体" w:eastAsia="宋体" w:hint="default"/>
                <w:sz w:val="18"/>
                <w:szCs w:val="18"/>
              </w:rPr>
            </w:pPr>
            <w:r>
              <w:rPr>
                <w:rFonts w:ascii="宋体" w:hAnsi="宋体" w:cs="宋体" w:eastAsia="宋体" w:hint="default"/>
                <w:sz w:val="18"/>
                <w:szCs w:val="18"/>
              </w:rPr>
              <w:t>，</w:t>
            </w:r>
          </w:p>
        </w:tc>
        <w:tc>
          <w:tcPr>
            <w:tcW w:w="84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履行 完毕</w:t>
            </w:r>
          </w:p>
        </w:tc>
      </w:tr>
      <w:tr>
        <w:trPr>
          <w:trHeight w:val="312" w:hRule="exact"/>
        </w:trPr>
        <w:tc>
          <w:tcPr>
            <w:tcW w:w="808"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shd w:val="clear" w:color="auto" w:fill="C7EDCC"/>
          </w:tcPr>
          <w:p>
            <w:pPr/>
          </w:p>
        </w:tc>
        <w:tc>
          <w:tcPr>
            <w:tcW w:w="565" w:type="dxa"/>
            <w:tcBorders>
              <w:top w:val="nil" w:sz="6" w:space="0" w:color="auto"/>
              <w:left w:val="single" w:sz="4" w:space="0" w:color="000000"/>
              <w:bottom w:val="nil" w:sz="6" w:space="0" w:color="auto"/>
              <w:right w:val="single" w:sz="4" w:space="0" w:color="000000"/>
            </w:tcBorders>
            <w:shd w:val="clear" w:color="auto" w:fill="C7EDCC"/>
          </w:tcPr>
          <w:p>
            <w:pPr/>
          </w:p>
        </w:tc>
        <w:tc>
          <w:tcPr>
            <w:tcW w:w="9353" w:type="dxa"/>
            <w:tcBorders>
              <w:top w:val="nil" w:sz="6" w:space="0" w:color="auto"/>
              <w:left w:val="single" w:sz="4" w:space="0" w:color="000000"/>
              <w:bottom w:val="nil" w:sz="6" w:space="0" w:color="auto"/>
              <w:right w:val="single" w:sz="13" w:space="0" w:color="FFFFFF"/>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甲方没有义务向乙方、丙方退还此前向乙方、丙方收取的任何补偿款项。甲方在业绩承诺期间届满后将聘请具有证券期</w:t>
            </w:r>
          </w:p>
        </w:tc>
        <w:tc>
          <w:tcPr>
            <w:tcW w:w="853" w:type="dxa"/>
            <w:tcBorders>
              <w:top w:val="nil" w:sz="6" w:space="0" w:color="auto"/>
              <w:left w:val="single" w:sz="13" w:space="0" w:color="FFFFFF"/>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shd w:val="clear" w:color="auto" w:fill="C7EDCC"/>
          </w:tcPr>
          <w:p>
            <w:pPr/>
          </w:p>
        </w:tc>
        <w:tc>
          <w:tcPr>
            <w:tcW w:w="524"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808"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shd w:val="clear" w:color="auto" w:fill="C7EDCC"/>
          </w:tcPr>
          <w:p>
            <w:pPr/>
          </w:p>
        </w:tc>
        <w:tc>
          <w:tcPr>
            <w:tcW w:w="565" w:type="dxa"/>
            <w:tcBorders>
              <w:top w:val="nil" w:sz="6" w:space="0" w:color="auto"/>
              <w:left w:val="single" w:sz="4" w:space="0" w:color="000000"/>
              <w:bottom w:val="nil" w:sz="6" w:space="0" w:color="auto"/>
              <w:right w:val="single" w:sz="4" w:space="0" w:color="000000"/>
            </w:tcBorders>
            <w:shd w:val="clear" w:color="auto" w:fill="C7EDCC"/>
          </w:tcPr>
          <w:p>
            <w:pPr/>
          </w:p>
        </w:tc>
        <w:tc>
          <w:tcPr>
            <w:tcW w:w="9353" w:type="dxa"/>
            <w:tcBorders>
              <w:top w:val="nil" w:sz="6" w:space="0" w:color="auto"/>
              <w:left w:val="single" w:sz="4" w:space="0" w:color="000000"/>
              <w:bottom w:val="nil" w:sz="6" w:space="0" w:color="auto"/>
              <w:right w:val="single" w:sz="13" w:space="0" w:color="FFFFFF"/>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货业务资格的会计师事务所对标的公司进行减值测试，并出具专项审核意见。根据上述专项审核意见，如标的公司期末</w:t>
            </w:r>
          </w:p>
        </w:tc>
        <w:tc>
          <w:tcPr>
            <w:tcW w:w="853" w:type="dxa"/>
            <w:tcBorders>
              <w:top w:val="nil" w:sz="6" w:space="0" w:color="auto"/>
              <w:left w:val="single" w:sz="13" w:space="0" w:color="FFFFFF"/>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shd w:val="clear" w:color="auto" w:fill="C7EDCC"/>
          </w:tcPr>
          <w:p>
            <w:pPr/>
          </w:p>
        </w:tc>
        <w:tc>
          <w:tcPr>
            <w:tcW w:w="524"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7" w:hRule="exact"/>
        </w:trPr>
        <w:tc>
          <w:tcPr>
            <w:tcW w:w="808" w:type="dxa"/>
            <w:tcBorders>
              <w:top w:val="nil" w:sz="6" w:space="0" w:color="auto"/>
              <w:left w:val="single" w:sz="4" w:space="0" w:color="000000"/>
              <w:bottom w:val="single" w:sz="4" w:space="0" w:color="000000"/>
              <w:right w:val="single" w:sz="4" w:space="0" w:color="000000"/>
            </w:tcBorders>
          </w:tcPr>
          <w:p>
            <w:pPr/>
          </w:p>
        </w:tc>
        <w:tc>
          <w:tcPr>
            <w:tcW w:w="1321" w:type="dxa"/>
            <w:tcBorders>
              <w:top w:val="nil" w:sz="6" w:space="0" w:color="auto"/>
              <w:left w:val="single" w:sz="4" w:space="0" w:color="000000"/>
              <w:bottom w:val="single" w:sz="4" w:space="0" w:color="000000"/>
              <w:right w:val="single" w:sz="4" w:space="0" w:color="000000"/>
            </w:tcBorders>
            <w:shd w:val="clear" w:color="auto" w:fill="C7EDCC"/>
          </w:tcPr>
          <w:p>
            <w:pPr/>
          </w:p>
        </w:tc>
        <w:tc>
          <w:tcPr>
            <w:tcW w:w="565" w:type="dxa"/>
            <w:tcBorders>
              <w:top w:val="nil" w:sz="6" w:space="0" w:color="auto"/>
              <w:left w:val="single" w:sz="4" w:space="0" w:color="000000"/>
              <w:bottom w:val="single" w:sz="4" w:space="0" w:color="000000"/>
              <w:right w:val="single" w:sz="4" w:space="0" w:color="000000"/>
            </w:tcBorders>
            <w:shd w:val="clear" w:color="auto" w:fill="C7EDCC"/>
          </w:tcPr>
          <w:p>
            <w:pPr/>
          </w:p>
        </w:tc>
        <w:tc>
          <w:tcPr>
            <w:tcW w:w="9353" w:type="dxa"/>
            <w:tcBorders>
              <w:top w:val="nil" w:sz="6" w:space="0" w:color="auto"/>
              <w:left w:val="single" w:sz="4" w:space="0" w:color="000000"/>
              <w:bottom w:val="single" w:sz="4" w:space="0" w:color="000000"/>
              <w:right w:val="single" w:sz="13" w:space="0" w:color="FFFFFF"/>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减值额</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标的公司评估值</w:t>
            </w:r>
            <w:r>
              <w:rPr>
                <w:rFonts w:ascii="Times New Roman" w:hAnsi="Times New Roman" w:cs="Times New Roman" w:eastAsia="Times New Roman" w:hint="default"/>
                <w:spacing w:val="-2"/>
                <w:sz w:val="18"/>
                <w:szCs w:val="18"/>
              </w:rPr>
              <w:t>&gt;</w:t>
            </w:r>
            <w:r>
              <w:rPr>
                <w:rFonts w:ascii="宋体" w:hAnsi="宋体" w:cs="宋体" w:eastAsia="宋体" w:hint="default"/>
                <w:spacing w:val="-2"/>
                <w:sz w:val="18"/>
                <w:szCs w:val="18"/>
              </w:rPr>
              <w:t>业绩承诺期间乙方、丙方已补偿现金总数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标的公司转让价款，则乙方、丙方将另行补偿现金</w:t>
            </w:r>
          </w:p>
        </w:tc>
        <w:tc>
          <w:tcPr>
            <w:tcW w:w="853" w:type="dxa"/>
            <w:tcBorders>
              <w:top w:val="nil" w:sz="6" w:space="0" w:color="auto"/>
              <w:left w:val="single" w:sz="13" w:space="0" w:color="FFFFFF"/>
              <w:bottom w:val="single" w:sz="4" w:space="0" w:color="000000"/>
              <w:right w:val="single" w:sz="4" w:space="0" w:color="000000"/>
            </w:tcBorders>
          </w:tcPr>
          <w:p>
            <w:pPr>
              <w:pStyle w:val="TableParagraph"/>
              <w:spacing w:line="240" w:lineRule="auto" w:before="10"/>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845" w:type="dxa"/>
            <w:tcBorders>
              <w:top w:val="nil" w:sz="6" w:space="0" w:color="auto"/>
              <w:left w:val="single" w:sz="4" w:space="0" w:color="000000"/>
              <w:bottom w:val="single" w:sz="4" w:space="0" w:color="000000"/>
              <w:right w:val="single" w:sz="4" w:space="0" w:color="000000"/>
            </w:tcBorders>
            <w:shd w:val="clear" w:color="auto" w:fill="C7EDCC"/>
          </w:tcPr>
          <w:p>
            <w:pPr/>
          </w:p>
        </w:tc>
        <w:tc>
          <w:tcPr>
            <w:tcW w:w="524" w:type="dxa"/>
            <w:tcBorders>
              <w:top w:val="nil" w:sz="6" w:space="0" w:color="auto"/>
              <w:left w:val="single" w:sz="4" w:space="0" w:color="000000"/>
              <w:bottom w:val="single" w:sz="4" w:space="0" w:color="000000"/>
              <w:right w:val="single" w:sz="4" w:space="0" w:color="000000"/>
            </w:tcBorders>
            <w:shd w:val="clear" w:color="auto" w:fill="C7EDCC"/>
          </w:tcPr>
          <w:p>
            <w:pPr/>
          </w:p>
        </w:tc>
      </w:tr>
    </w:tbl>
    <w:p>
      <w:pPr>
        <w:spacing w:after="0"/>
        <w:sectPr>
          <w:pgSz w:w="16840" w:h="11910" w:orient="landscape"/>
          <w:pgMar w:header="867" w:footer="978" w:top="1060" w:bottom="1160" w:left="104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1"/>
          <w:szCs w:val="21"/>
        </w:rPr>
      </w:pPr>
    </w:p>
    <w:p>
      <w:pPr>
        <w:spacing w:line="1560" w:lineRule="exact"/>
        <w:ind w:left="1219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0"/>
          <w:sz w:val="20"/>
          <w:szCs w:val="20"/>
        </w:rPr>
        <w:pict>
          <v:group style="width:40.8pt;height:78pt;mso-position-horizontal-relative:char;mso-position-vertical-relative:line" coordorigin="0,0" coordsize="816,1560">
            <v:group style="position:absolute;left:0;top:0;width:816;height:1560" coordorigin="0,0" coordsize="816,1560">
              <v:shape style="position:absolute;left:0;top:0;width:816;height:1560" coordorigin="0,0" coordsize="816,1560" path="m0,0l0,1560,816,1560,816,0,0,0xe" filled="true" fillcolor="#ffffff" stroked="false">
                <v:path arrowok="t"/>
                <v:fill type="solid"/>
              </v:shape>
            </v:group>
          </v:group>
        </w:pict>
      </w:r>
      <w:r>
        <w:rPr>
          <w:rFonts w:ascii="Times New Roman" w:hAnsi="Times New Roman" w:cs="Times New Roman" w:eastAsia="Times New Roman" w:hint="default"/>
          <w:position w:val="-30"/>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7"/>
          <w:szCs w:val="17"/>
        </w:rPr>
      </w:pPr>
    </w:p>
    <w:p>
      <w:pPr>
        <w:pStyle w:val="BodyText"/>
        <w:spacing w:line="240" w:lineRule="auto" w:before="44"/>
        <w:ind w:left="0" w:right="110"/>
        <w:jc w:val="right"/>
      </w:pPr>
      <w:r>
        <w:rPr/>
        <w:pict>
          <v:shape style="position:absolute;margin-left:57.561008pt;margin-top:-133.38826pt;width:714.15pt;height:347.65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07"/>
                    <w:gridCol w:w="1321"/>
                    <w:gridCol w:w="565"/>
                    <w:gridCol w:w="9358"/>
                    <w:gridCol w:w="848"/>
                    <w:gridCol w:w="845"/>
                    <w:gridCol w:w="524"/>
                  </w:tblGrid>
                  <w:tr>
                    <w:trPr>
                      <w:trHeight w:val="649" w:hRule="exact"/>
                    </w:trPr>
                    <w:tc>
                      <w:tcPr>
                        <w:tcW w:w="807" w:type="dxa"/>
                        <w:vMerge w:val="restart"/>
                        <w:tcBorders>
                          <w:top w:val="single" w:sz="15" w:space="0" w:color="000000"/>
                          <w:left w:val="single" w:sz="4" w:space="0" w:color="000000"/>
                          <w:right w:val="single" w:sz="4" w:space="0" w:color="000000"/>
                        </w:tcBorders>
                        <w:shd w:val="clear" w:color="auto" w:fill="D3D3D3"/>
                      </w:tcPr>
                      <w:p>
                        <w:pPr/>
                      </w:p>
                    </w:tc>
                    <w:tc>
                      <w:tcPr>
                        <w:tcW w:w="1321" w:type="dxa"/>
                        <w:tcBorders>
                          <w:top w:val="single" w:sz="15" w:space="0" w:color="000000"/>
                          <w:left w:val="single" w:sz="4" w:space="0" w:color="000000"/>
                          <w:bottom w:val="single" w:sz="4" w:space="0" w:color="000000"/>
                          <w:right w:val="single" w:sz="4" w:space="0" w:color="000000"/>
                        </w:tcBorders>
                        <w:shd w:val="clear" w:color="auto" w:fill="C7EDCC"/>
                      </w:tcPr>
                      <w:p>
                        <w:pPr/>
                      </w:p>
                    </w:tc>
                    <w:tc>
                      <w:tcPr>
                        <w:tcW w:w="565" w:type="dxa"/>
                        <w:tcBorders>
                          <w:top w:val="single" w:sz="15" w:space="0" w:color="000000"/>
                          <w:left w:val="single" w:sz="4" w:space="0" w:color="000000"/>
                          <w:bottom w:val="single" w:sz="4" w:space="0" w:color="000000"/>
                          <w:right w:val="single" w:sz="4" w:space="0" w:color="000000"/>
                        </w:tcBorders>
                        <w:shd w:val="clear" w:color="auto" w:fill="C7EDCC"/>
                      </w:tcPr>
                      <w:p>
                        <w:pPr/>
                      </w:p>
                    </w:tc>
                    <w:tc>
                      <w:tcPr>
                        <w:tcW w:w="9358" w:type="dxa"/>
                        <w:tcBorders>
                          <w:top w:val="single" w:sz="15"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pacing w:val="-2"/>
                            <w:sz w:val="18"/>
                            <w:szCs w:val="18"/>
                          </w:rPr>
                          <w:t>另需补偿的现金数量为：标的公司期末减值额－已补偿的现金。乙方、丙方应在前述专项审核意见出具之日起十个工作</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日内支付因减值而发生的现金补偿。</w:t>
                        </w:r>
                      </w:p>
                    </w:tc>
                    <w:tc>
                      <w:tcPr>
                        <w:tcW w:w="848" w:type="dxa"/>
                        <w:tcBorders>
                          <w:top w:val="single" w:sz="15" w:space="0" w:color="000000"/>
                          <w:left w:val="single" w:sz="4" w:space="0" w:color="000000"/>
                          <w:bottom w:val="single" w:sz="4" w:space="0" w:color="000000"/>
                          <w:right w:val="single" w:sz="4" w:space="0" w:color="000000"/>
                        </w:tcBorders>
                      </w:tcPr>
                      <w:p>
                        <w:pPr/>
                      </w:p>
                    </w:tc>
                    <w:tc>
                      <w:tcPr>
                        <w:tcW w:w="845" w:type="dxa"/>
                        <w:tcBorders>
                          <w:top w:val="single" w:sz="15" w:space="0" w:color="000000"/>
                          <w:left w:val="single" w:sz="4" w:space="0" w:color="000000"/>
                          <w:bottom w:val="single" w:sz="4" w:space="0" w:color="000000"/>
                          <w:right w:val="single" w:sz="4" w:space="0" w:color="000000"/>
                        </w:tcBorders>
                        <w:shd w:val="clear" w:color="auto" w:fill="C7EDCC"/>
                      </w:tcPr>
                      <w:p>
                        <w:pPr/>
                      </w:p>
                    </w:tc>
                    <w:tc>
                      <w:tcPr>
                        <w:tcW w:w="524" w:type="dxa"/>
                        <w:tcBorders>
                          <w:top w:val="single" w:sz="15" w:space="0" w:color="000000"/>
                          <w:left w:val="single" w:sz="4" w:space="0" w:color="000000"/>
                          <w:bottom w:val="single" w:sz="4" w:space="0" w:color="000000"/>
                          <w:right w:val="single" w:sz="4" w:space="0" w:color="000000"/>
                        </w:tcBorders>
                        <w:shd w:val="clear" w:color="auto" w:fill="C7EDCC"/>
                      </w:tcPr>
                      <w:p>
                        <w:pPr/>
                      </w:p>
                    </w:tc>
                  </w:tr>
                  <w:tr>
                    <w:trPr>
                      <w:trHeight w:val="3754" w:hRule="exact"/>
                    </w:trPr>
                    <w:tc>
                      <w:tcPr>
                        <w:tcW w:w="807" w:type="dxa"/>
                        <w:vMerge/>
                        <w:tcBorders>
                          <w:left w:val="single" w:sz="4" w:space="0" w:color="000000"/>
                          <w:right w:val="single" w:sz="4" w:space="0" w:color="000000"/>
                        </w:tcBorders>
                        <w:shd w:val="clear" w:color="auto" w:fill="D3D3D3"/>
                      </w:tcPr>
                      <w:p>
                        <w:pPr/>
                      </w:p>
                    </w:tc>
                    <w:tc>
                      <w:tcPr>
                        <w:tcW w:w="132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8"/>
                          <w:ind w:left="22" w:right="26"/>
                          <w:jc w:val="left"/>
                          <w:rPr>
                            <w:rFonts w:ascii="宋体" w:hAnsi="宋体" w:cs="宋体" w:eastAsia="宋体" w:hint="default"/>
                            <w:sz w:val="18"/>
                            <w:szCs w:val="18"/>
                          </w:rPr>
                        </w:pPr>
                        <w:r>
                          <w:rPr>
                            <w:rFonts w:ascii="宋体" w:hAnsi="宋体" w:cs="宋体" w:eastAsia="宋体" w:hint="default"/>
                            <w:sz w:val="18"/>
                            <w:szCs w:val="18"/>
                          </w:rPr>
                          <w:t>杭州日报报业集 团有限公司</w:t>
                        </w:r>
                      </w:p>
                    </w:tc>
                    <w:tc>
                      <w:tcPr>
                        <w:tcW w:w="56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22" w:right="170"/>
                          <w:jc w:val="both"/>
                          <w:rPr>
                            <w:rFonts w:ascii="宋体" w:hAnsi="宋体" w:cs="宋体" w:eastAsia="宋体" w:hint="default"/>
                            <w:sz w:val="18"/>
                            <w:szCs w:val="18"/>
                          </w:rPr>
                        </w:pPr>
                        <w:r>
                          <w:rPr>
                            <w:rFonts w:ascii="宋体" w:hAnsi="宋体" w:cs="宋体" w:eastAsia="宋体" w:hint="default"/>
                            <w:sz w:val="18"/>
                            <w:szCs w:val="18"/>
                          </w:rPr>
                          <w:t>业绩 承诺 及补 偿安 排</w:t>
                        </w:r>
                      </w:p>
                    </w:tc>
                    <w:tc>
                      <w:tcPr>
                        <w:tcW w:w="9358" w:type="dxa"/>
                        <w:tcBorders>
                          <w:top w:val="single" w:sz="4" w:space="0" w:color="000000"/>
                          <w:left w:val="single" w:sz="4" w:space="0" w:color="000000"/>
                          <w:bottom w:val="single" w:sz="4" w:space="0" w:color="000000"/>
                          <w:right w:val="single" w:sz="13" w:space="0" w:color="FFFFFF"/>
                        </w:tcBorders>
                        <w:shd w:val="clear" w:color="auto" w:fill="C7EDCC"/>
                      </w:tcPr>
                      <w:p>
                        <w:pPr>
                          <w:pStyle w:val="TableParagraph"/>
                          <w:spacing w:line="309" w:lineRule="auto" w:before="11"/>
                          <w:ind w:left="22" w:right="9"/>
                          <w:jc w:val="left"/>
                          <w:rPr>
                            <w:rFonts w:ascii="宋体" w:hAnsi="宋体" w:cs="宋体" w:eastAsia="宋体" w:hint="default"/>
                            <w:sz w:val="18"/>
                            <w:szCs w:val="18"/>
                          </w:rPr>
                        </w:pPr>
                        <w:r>
                          <w:rPr>
                            <w:rFonts w:ascii="宋体" w:hAnsi="宋体" w:cs="宋体" w:eastAsia="宋体" w:hint="default"/>
                            <w:sz w:val="18"/>
                            <w:szCs w:val="18"/>
                          </w:rPr>
                          <w:t>杭州日报报业集团有限公司承诺，标的公司（杭州萧山萧报教育咨询有限公司）</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年度经具 有合法证券从业资质的会计师事务所审计的扣除非经常性损益后实现净利润分别不低于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163</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w:t>
                        </w:r>
                        <w:r>
                          <w:rPr>
                            <w:rFonts w:ascii="Times New Roman" w:hAnsi="Times New Roman" w:cs="Times New Roman" w:eastAsia="Times New Roman" w:hint="default"/>
                            <w:spacing w:val="-5"/>
                            <w:sz w:val="18"/>
                            <w:szCs w:val="18"/>
                          </w:rPr>
                          <w:t>182</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w:t>
                        </w:r>
                        <w:r>
                          <w:rPr>
                            <w:rFonts w:ascii="Times New Roman" w:hAnsi="Times New Roman" w:cs="Times New Roman" w:eastAsia="Times New Roman" w:hint="default"/>
                            <w:spacing w:val="-5"/>
                            <w:sz w:val="18"/>
                            <w:szCs w:val="18"/>
                          </w:rPr>
                          <w:t>145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w:t>
                        </w:r>
                        <w:r>
                          <w:rPr>
                            <w:rFonts w:ascii="宋体" w:hAnsi="宋体" w:cs="宋体" w:eastAsia="宋体" w:hint="default"/>
                            <w:spacing w:val="-2"/>
                            <w:sz w:val="18"/>
                            <w:szCs w:val="18"/>
                          </w:rPr>
                          <w:t>标的公司的财务报表编制应符合《企业会计准则》及其他法律、法规的规定，并与华媒教育会计政策及会计估计不存在</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2"/>
                            <w:sz w:val="18"/>
                            <w:szCs w:val="18"/>
                          </w:rPr>
                          <w:t>重大差异。除非法律法规规定或华媒教育在法律允许的范围内改变会计政策、会计估计，否则，业绩承诺期内，未经标</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2"/>
                            <w:sz w:val="18"/>
                            <w:szCs w:val="18"/>
                          </w:rPr>
                          <w:t>的公司董事会批准，不得改变标的公司会计政策、会计估计。经双方确认，在业绩承诺期的每一会计年度结束后，浙江</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2"/>
                            <w:sz w:val="18"/>
                            <w:szCs w:val="18"/>
                          </w:rPr>
                          <w:t>华媒教育科技有限公司应聘请经双方共同认可的具有合法证券从业资质的会计师事务所出具《专项审计报告》，标的公</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司在业绩承诺期间各年度的实际净利润金额，以该等专项审计报告确定的数值为准。杭报集团公司承诺，若标的公司在</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上述承诺期间内未达到各期经营目标，则通过现金方式对华媒教育予以补偿，计算方式为：每年现金补偿款金额</w:t>
                        </w:r>
                        <w:r>
                          <w:rPr>
                            <w:rFonts w:ascii="Times New Roman" w:hAnsi="Times New Roman" w:cs="Times New Roman" w:eastAsia="Times New Roman" w:hint="default"/>
                            <w:sz w:val="18"/>
                            <w:szCs w:val="18"/>
                          </w:rPr>
                          <w:t>=</w:t>
                        </w:r>
                        <w:r>
                          <w:rPr>
                            <w:rFonts w:ascii="宋体" w:hAnsi="宋体" w:cs="宋体" w:eastAsia="宋体" w:hint="default"/>
                            <w:sz w:val="18"/>
                            <w:szCs w:val="18"/>
                          </w:rPr>
                          <w:t>华媒 教育投资总额</w:t>
                        </w:r>
                        <w:r>
                          <w:rPr>
                            <w:rFonts w:ascii="Times New Roman" w:hAnsi="Times New Roman" w:cs="Times New Roman" w:eastAsia="Times New Roman" w:hint="default"/>
                            <w:sz w:val="18"/>
                            <w:szCs w:val="18"/>
                          </w:rPr>
                          <w:t>×(1-</w:t>
                        </w:r>
                        <w:r>
                          <w:rPr>
                            <w:rFonts w:ascii="宋体" w:hAnsi="宋体" w:cs="宋体" w:eastAsia="宋体" w:hint="default"/>
                            <w:sz w:val="18"/>
                            <w:szCs w:val="18"/>
                          </w:rPr>
                          <w:t>当年度实际净利润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当年度承诺净利润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。华媒教育要求上述补偿，应向杭报集团公司发出书面通知， 杭报集团公司应在收到华媒教育书面通知后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日内将所需补偿的现金支付至华媒教育指定的银行账户内。如杭报集团 </w:t>
                        </w:r>
                        <w:r>
                          <w:rPr>
                            <w:rFonts w:ascii="宋体" w:hAnsi="宋体" w:cs="宋体" w:eastAsia="宋体" w:hint="default"/>
                            <w:spacing w:val="-2"/>
                            <w:sz w:val="18"/>
                            <w:szCs w:val="18"/>
                          </w:rPr>
                          <w:t>公司未能依据本协议的约定按期履行补偿义务，杭报集团公司应按照未补偿金额每日万分之五的标准向华媒教育支付违</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约金。</w:t>
                        </w:r>
                      </w:p>
                    </w:tc>
                    <w:tc>
                      <w:tcPr>
                        <w:tcW w:w="84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both"/>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both"/>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6"/>
                          <w:ind w:left="22" w:right="0"/>
                          <w:jc w:val="both"/>
                          <w:rPr>
                            <w:rFonts w:ascii="Times New Roman" w:hAnsi="Times New Roman" w:cs="Times New Roman" w:eastAsia="Times New Roman" w:hint="default"/>
                            <w:sz w:val="18"/>
                            <w:szCs w:val="18"/>
                          </w:rPr>
                        </w:pPr>
                        <w:r>
                          <w:rPr>
                            <w:rFonts w:ascii="Times New Roman"/>
                            <w:sz w:val="18"/>
                          </w:rPr>
                          <w:t>2018</w:t>
                        </w:r>
                      </w:p>
                      <w:p>
                        <w:pPr>
                          <w:pStyle w:val="TableParagraph"/>
                          <w:spacing w:line="316" w:lineRule="auto" w:before="65"/>
                          <w:ind w:left="22" w:right="131"/>
                          <w:jc w:val="both"/>
                          <w:rPr>
                            <w:rFonts w:ascii="宋体" w:hAnsi="宋体" w:cs="宋体" w:eastAsia="宋体" w:hint="default"/>
                            <w:sz w:val="18"/>
                            <w:szCs w:val="18"/>
                          </w:rPr>
                        </w:pPr>
                        <w:r>
                          <w:rPr>
                            <w:rFonts w:ascii="宋体" w:hAnsi="宋体" w:cs="宋体" w:eastAsia="宋体" w:hint="default"/>
                            <w:sz w:val="18"/>
                            <w:szCs w:val="18"/>
                          </w:rPr>
                          <w:t>年承 诺已 履行 完毕 其余 正常 履行 中</w:t>
                        </w:r>
                      </w:p>
                    </w:tc>
                  </w:tr>
                  <w:tr>
                    <w:trPr>
                      <w:trHeight w:val="946" w:hRule="exact"/>
                    </w:trPr>
                    <w:tc>
                      <w:tcPr>
                        <w:tcW w:w="807" w:type="dxa"/>
                        <w:vMerge/>
                        <w:tcBorders>
                          <w:left w:val="single" w:sz="4" w:space="0" w:color="000000"/>
                          <w:right w:val="single" w:sz="4" w:space="0" w:color="000000"/>
                        </w:tcBorders>
                        <w:shd w:val="clear" w:color="auto" w:fill="D3D3D3"/>
                      </w:tcPr>
                      <w:p>
                        <w:pPr/>
                      </w:p>
                    </w:tc>
                    <w:tc>
                      <w:tcPr>
                        <w:tcW w:w="132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26"/>
                          <w:jc w:val="left"/>
                          <w:rPr>
                            <w:rFonts w:ascii="宋体" w:hAnsi="宋体" w:cs="宋体" w:eastAsia="宋体" w:hint="default"/>
                            <w:sz w:val="18"/>
                            <w:szCs w:val="18"/>
                          </w:rPr>
                        </w:pPr>
                        <w:r>
                          <w:rPr>
                            <w:rFonts w:ascii="宋体" w:hAnsi="宋体" w:cs="宋体" w:eastAsia="宋体" w:hint="default"/>
                            <w:sz w:val="18"/>
                            <w:szCs w:val="18"/>
                          </w:rPr>
                          <w:t>浙江华媒控股股 份有限公司</w:t>
                        </w:r>
                      </w:p>
                    </w:tc>
                    <w:tc>
                      <w:tcPr>
                        <w:tcW w:w="56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70"/>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93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10"/>
                          <w:ind w:left="22" w:right="53"/>
                          <w:jc w:val="both"/>
                          <w:rPr>
                            <w:rFonts w:ascii="宋体" w:hAnsi="宋体" w:cs="宋体" w:eastAsia="宋体" w:hint="default"/>
                            <w:sz w:val="18"/>
                            <w:szCs w:val="18"/>
                          </w:rPr>
                        </w:pPr>
                        <w:r>
                          <w:rPr>
                            <w:rFonts w:ascii="宋体" w:hAnsi="宋体" w:cs="宋体" w:eastAsia="宋体" w:hint="default"/>
                            <w:spacing w:val="-2"/>
                            <w:sz w:val="18"/>
                            <w:szCs w:val="18"/>
                          </w:rPr>
                          <w:t>在参与投资后的十二个月内（涉及分期投资的，为分期投资期间及全部投资完毕后的十二个月内），不使用闲置募集资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金暂时补充流动资金、将募集资金投向变更为永久性补充流动资金（不含节余募集资金）、将超募资金永久性用于补充</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流动资金或者归还银行贷款。</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10"/>
                          <w:ind w:left="22" w:right="131"/>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946" w:hRule="exact"/>
                    </w:trPr>
                    <w:tc>
                      <w:tcPr>
                        <w:tcW w:w="807" w:type="dxa"/>
                        <w:vMerge/>
                        <w:tcBorders>
                          <w:left w:val="single" w:sz="4" w:space="0" w:color="000000"/>
                          <w:bottom w:val="single" w:sz="4" w:space="0" w:color="000000"/>
                          <w:right w:val="single" w:sz="4" w:space="0" w:color="000000"/>
                        </w:tcBorders>
                        <w:shd w:val="clear" w:color="auto" w:fill="D3D3D3"/>
                      </w:tcPr>
                      <w:p>
                        <w:pPr/>
                      </w:p>
                    </w:tc>
                    <w:tc>
                      <w:tcPr>
                        <w:tcW w:w="132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26"/>
                          <w:jc w:val="left"/>
                          <w:rPr>
                            <w:rFonts w:ascii="宋体" w:hAnsi="宋体" w:cs="宋体" w:eastAsia="宋体" w:hint="default"/>
                            <w:sz w:val="18"/>
                            <w:szCs w:val="18"/>
                          </w:rPr>
                        </w:pPr>
                        <w:r>
                          <w:rPr>
                            <w:rFonts w:ascii="宋体" w:hAnsi="宋体" w:cs="宋体" w:eastAsia="宋体" w:hint="default"/>
                            <w:sz w:val="18"/>
                            <w:szCs w:val="18"/>
                          </w:rPr>
                          <w:t>浙江华媒控股股 份有限公司</w:t>
                        </w:r>
                      </w:p>
                    </w:tc>
                    <w:tc>
                      <w:tcPr>
                        <w:tcW w:w="56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70"/>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93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10"/>
                          <w:ind w:left="22" w:right="53"/>
                          <w:jc w:val="both"/>
                          <w:rPr>
                            <w:rFonts w:ascii="宋体" w:hAnsi="宋体" w:cs="宋体" w:eastAsia="宋体" w:hint="default"/>
                            <w:sz w:val="18"/>
                            <w:szCs w:val="18"/>
                          </w:rPr>
                        </w:pPr>
                        <w:r>
                          <w:rPr>
                            <w:rFonts w:ascii="宋体" w:hAnsi="宋体" w:cs="宋体" w:eastAsia="宋体" w:hint="default"/>
                            <w:spacing w:val="-2"/>
                            <w:sz w:val="18"/>
                            <w:szCs w:val="18"/>
                          </w:rPr>
                          <w:t>在参与投资或设立投资基金后的十二个月内（涉及分期投资的，为分期投资期间及全部投资完毕后的十二个月内），不</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使用闲置募集资金暂时补充流动资金、将募集资金投向变更为永久性补充流动资金（不含节余募集资金）、将超募资金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永久性用于补充流动资金或者归还银行贷款。</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10"/>
                          <w:ind w:left="22" w:right="131"/>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635" w:hRule="exact"/>
                    </w:trPr>
                    <w:tc>
                      <w:tcPr>
                        <w:tcW w:w="8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1"/>
                          <w:ind w:left="23" w:right="52"/>
                          <w:jc w:val="left"/>
                          <w:rPr>
                            <w:rFonts w:ascii="宋体" w:hAnsi="宋体" w:cs="宋体" w:eastAsia="宋体" w:hint="default"/>
                            <w:sz w:val="18"/>
                            <w:szCs w:val="18"/>
                          </w:rPr>
                        </w:pPr>
                        <w:r>
                          <w:rPr>
                            <w:rFonts w:ascii="宋体" w:hAnsi="宋体" w:cs="宋体" w:eastAsia="宋体" w:hint="default"/>
                            <w:sz w:val="18"/>
                            <w:szCs w:val="18"/>
                          </w:rPr>
                          <w:t>承诺是否 按时履行</w:t>
                        </w:r>
                      </w:p>
                    </w:tc>
                    <w:tc>
                      <w:tcPr>
                        <w:tcW w:w="1346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
              </w:txbxContent>
            </v:textbox>
            <w10:wrap type="none"/>
          </v:shape>
        </w:pict>
      </w:r>
      <w:r>
        <w:rPr/>
        <w:t>，</w:t>
      </w:r>
    </w:p>
    <w:p>
      <w:pPr>
        <w:spacing w:after="0" w:line="240" w:lineRule="auto"/>
        <w:jc w:val="right"/>
        <w:sectPr>
          <w:pgSz w:w="16840" w:h="11910" w:orient="landscape"/>
          <w:pgMar w:header="867" w:footer="978" w:top="1060" w:bottom="1160" w:left="1040" w:right="12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Heading3"/>
        <w:spacing w:line="259" w:lineRule="auto" w:before="35"/>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787"/>
        <w:gridCol w:w="865"/>
        <w:gridCol w:w="865"/>
        <w:gridCol w:w="1019"/>
        <w:gridCol w:w="1152"/>
        <w:gridCol w:w="1134"/>
        <w:gridCol w:w="865"/>
        <w:gridCol w:w="979"/>
      </w:tblGrid>
      <w:tr>
        <w:trPr>
          <w:trHeight w:val="1026" w:hRule="exact"/>
        </w:trPr>
        <w:tc>
          <w:tcPr>
            <w:tcW w:w="2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98" w:right="0"/>
              <w:jc w:val="left"/>
              <w:rPr>
                <w:rFonts w:ascii="宋体" w:hAnsi="宋体" w:cs="宋体" w:eastAsia="宋体" w:hint="default"/>
                <w:sz w:val="18"/>
                <w:szCs w:val="18"/>
              </w:rPr>
            </w:pPr>
            <w:r>
              <w:rPr>
                <w:rFonts w:ascii="宋体" w:hAnsi="宋体" w:cs="宋体" w:eastAsia="宋体" w:hint="default"/>
                <w:sz w:val="18"/>
                <w:szCs w:val="18"/>
              </w:rPr>
              <w:t>盈利预测资产或项目名称</w:t>
            </w:r>
          </w:p>
        </w:tc>
        <w:tc>
          <w:tcPr>
            <w:tcW w:w="8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预测起始 时间</w:t>
            </w:r>
          </w:p>
        </w:tc>
        <w:tc>
          <w:tcPr>
            <w:tcW w:w="8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8" w:right="65" w:hanging="180"/>
              <w:jc w:val="left"/>
              <w:rPr>
                <w:rFonts w:ascii="宋体" w:hAnsi="宋体" w:cs="宋体" w:eastAsia="宋体" w:hint="default"/>
                <w:sz w:val="18"/>
                <w:szCs w:val="18"/>
              </w:rPr>
            </w:pPr>
            <w:r>
              <w:rPr>
                <w:rFonts w:ascii="宋体" w:hAnsi="宋体" w:cs="宋体" w:eastAsia="宋体" w:hint="default"/>
                <w:sz w:val="18"/>
                <w:szCs w:val="18"/>
              </w:rPr>
              <w:t>预测终止 时间</w:t>
            </w:r>
          </w:p>
        </w:tc>
        <w:tc>
          <w:tcPr>
            <w:tcW w:w="10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4" w:right="53"/>
              <w:jc w:val="left"/>
              <w:rPr>
                <w:rFonts w:ascii="宋体" w:hAnsi="宋体" w:cs="宋体" w:eastAsia="宋体" w:hint="default"/>
                <w:sz w:val="18"/>
                <w:szCs w:val="18"/>
              </w:rPr>
            </w:pPr>
            <w:r>
              <w:rPr>
                <w:rFonts w:ascii="宋体" w:hAnsi="宋体" w:cs="宋体" w:eastAsia="宋体" w:hint="default"/>
                <w:sz w:val="18"/>
                <w:szCs w:val="18"/>
              </w:rPr>
              <w:t>当期预测业 绩（万元）</w:t>
            </w:r>
          </w:p>
        </w:tc>
        <w:tc>
          <w:tcPr>
            <w:tcW w:w="11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2" w:right="109"/>
              <w:jc w:val="center"/>
              <w:rPr>
                <w:rFonts w:ascii="宋体" w:hAnsi="宋体" w:cs="宋体" w:eastAsia="宋体" w:hint="default"/>
                <w:sz w:val="18"/>
                <w:szCs w:val="18"/>
              </w:rPr>
            </w:pPr>
            <w:r>
              <w:rPr>
                <w:rFonts w:ascii="宋体" w:hAnsi="宋体" w:cs="宋体" w:eastAsia="宋体" w:hint="default"/>
                <w:sz w:val="18"/>
                <w:szCs w:val="18"/>
              </w:rPr>
              <w:t>未达预测的 原因（如适 用）</w:t>
            </w:r>
          </w:p>
        </w:tc>
        <w:tc>
          <w:tcPr>
            <w:tcW w:w="8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8" w:right="65" w:hanging="90"/>
              <w:jc w:val="left"/>
              <w:rPr>
                <w:rFonts w:ascii="宋体" w:hAnsi="宋体" w:cs="宋体" w:eastAsia="宋体" w:hint="default"/>
                <w:sz w:val="18"/>
                <w:szCs w:val="18"/>
              </w:rPr>
            </w:pPr>
            <w:r>
              <w:rPr>
                <w:rFonts w:ascii="宋体" w:hAnsi="宋体" w:cs="宋体" w:eastAsia="宋体" w:hint="default"/>
                <w:sz w:val="18"/>
                <w:szCs w:val="18"/>
              </w:rPr>
              <w:t>原预测披 露日期</w:t>
            </w:r>
          </w:p>
        </w:tc>
        <w:tc>
          <w:tcPr>
            <w:tcW w:w="9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03" w:right="35" w:hanging="270"/>
              <w:jc w:val="left"/>
              <w:rPr>
                <w:rFonts w:ascii="宋体" w:hAnsi="宋体" w:cs="宋体" w:eastAsia="宋体" w:hint="default"/>
                <w:sz w:val="18"/>
                <w:szCs w:val="18"/>
              </w:rPr>
            </w:pPr>
            <w:r>
              <w:rPr>
                <w:rFonts w:ascii="宋体" w:hAnsi="宋体" w:cs="宋体" w:eastAsia="宋体" w:hint="default"/>
                <w:sz w:val="18"/>
                <w:szCs w:val="18"/>
              </w:rPr>
              <w:t>原预测披露 索引</w:t>
            </w:r>
          </w:p>
        </w:tc>
      </w:tr>
      <w:tr>
        <w:trPr>
          <w:trHeight w:val="714" w:hRule="exact"/>
        </w:trPr>
        <w:tc>
          <w:tcPr>
            <w:tcW w:w="27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中教未来国际教育科技（北京）有 限公司</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7,733.13</w:t>
            </w:r>
          </w:p>
        </w:tc>
        <w:tc>
          <w:tcPr>
            <w:tcW w:w="11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1026" w:hRule="exact"/>
        </w:trPr>
        <w:tc>
          <w:tcPr>
            <w:tcW w:w="27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52"/>
              <w:jc w:val="both"/>
              <w:rPr>
                <w:rFonts w:ascii="宋体" w:hAnsi="宋体" w:cs="宋体" w:eastAsia="宋体" w:hint="default"/>
                <w:sz w:val="18"/>
                <w:szCs w:val="18"/>
              </w:rPr>
            </w:pPr>
            <w:r>
              <w:rPr>
                <w:rFonts w:ascii="宋体" w:hAnsi="宋体" w:cs="宋体" w:eastAsia="宋体" w:hint="default"/>
                <w:sz w:val="18"/>
                <w:szCs w:val="18"/>
              </w:rPr>
              <w:t>布朗睿智（北京）国际教育科技有 限公司、布朗时代（北京）教育投 资有限公司</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3,210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3,914.22</w:t>
            </w:r>
          </w:p>
        </w:tc>
        <w:tc>
          <w:tcPr>
            <w:tcW w:w="11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714" w:hRule="exact"/>
        </w:trPr>
        <w:tc>
          <w:tcPr>
            <w:tcW w:w="27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杭州萧山萧报教育咨询有限公司</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182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186.84</w:t>
            </w:r>
          </w:p>
        </w:tc>
        <w:tc>
          <w:tcPr>
            <w:tcW w:w="11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公告</w:t>
            </w:r>
          </w:p>
        </w:tc>
      </w:tr>
    </w:tbl>
    <w:p>
      <w:pPr>
        <w:pStyle w:val="BodyText"/>
        <w:spacing w:line="240" w:lineRule="auto" w:before="51"/>
        <w:ind w:right="0"/>
        <w:jc w:val="left"/>
      </w:pPr>
      <w:r>
        <w:rPr/>
        <w:t>公司股东、交易对手方在报告年度经营业绩做出的承诺情况</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7" w:lineRule="auto" w:before="101"/>
        <w:ind w:right="1029" w:firstLine="420"/>
        <w:jc w:val="left"/>
      </w:pPr>
      <w:r>
        <w:rPr/>
        <w:t>曲水华航投资有限公司、宁波高新区新愿景股权投资有限公司、宁波高新区新未来教育科技有限公司、曲水华唐投资 </w:t>
      </w:r>
      <w:r>
        <w:rPr>
          <w:spacing w:val="-2"/>
        </w:rPr>
        <w:t>有限公司、宁波高新区红山远景投资管理中心（有限合伙）承诺中教未来</w:t>
      </w:r>
      <w:r>
        <w:rPr>
          <w:rFonts w:ascii="Times New Roman" w:hAnsi="Times New Roman" w:cs="Times New Roman" w:eastAsia="Times New Roman" w:hint="default"/>
          <w:spacing w:val="-2"/>
        </w:rPr>
        <w:t>2016</w:t>
      </w:r>
      <w:r>
        <w:rPr>
          <w:spacing w:val="-2"/>
        </w:rPr>
        <w:t>、</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2018</w:t>
      </w:r>
      <w:r>
        <w:rPr>
          <w:spacing w:val="-2"/>
        </w:rPr>
        <w:t>年归属母公司净利润（根据标的</w:t>
      </w:r>
      <w:r>
        <w:rPr>
          <w:spacing w:val="-56"/>
        </w:rPr>
        <w:t> </w:t>
      </w:r>
      <w:r>
        <w:rPr>
          <w:spacing w:val="-56"/>
        </w:rPr>
      </w:r>
      <w:r>
        <w:rPr>
          <w:spacing w:val="-2"/>
        </w:rPr>
        <w:t>企业扣除非经常性损益前后孰低原则确定）分别为不低于</w:t>
      </w:r>
      <w:r>
        <w:rPr>
          <w:rFonts w:ascii="Times New Roman" w:hAnsi="Times New Roman" w:cs="Times New Roman" w:eastAsia="Times New Roman" w:hint="default"/>
          <w:spacing w:val="-2"/>
        </w:rPr>
        <w:t>5,800</w:t>
      </w:r>
      <w:r>
        <w:rPr>
          <w:spacing w:val="-2"/>
        </w:rPr>
        <w:t>万元、</w:t>
      </w:r>
      <w:r>
        <w:rPr>
          <w:rFonts w:ascii="Times New Roman" w:hAnsi="Times New Roman" w:cs="Times New Roman" w:eastAsia="Times New Roman" w:hint="default"/>
          <w:spacing w:val="-2"/>
        </w:rPr>
        <w:t>6,800</w:t>
      </w:r>
      <w:r>
        <w:rPr>
          <w:spacing w:val="-2"/>
        </w:rPr>
        <w:t>万元、</w:t>
      </w:r>
      <w:r>
        <w:rPr>
          <w:rFonts w:ascii="Times New Roman" w:hAnsi="Times New Roman" w:cs="Times New Roman" w:eastAsia="Times New Roman" w:hint="default"/>
          <w:spacing w:val="-2"/>
        </w:rPr>
        <w:t>7,900</w:t>
      </w:r>
      <w:r>
        <w:rPr>
          <w:spacing w:val="-2"/>
        </w:rPr>
        <w:t>万元。</w:t>
      </w:r>
      <w:r>
        <w:rPr>
          <w:rFonts w:ascii="Times New Roman" w:hAnsi="Times New Roman" w:cs="Times New Roman" w:eastAsia="Times New Roman" w:hint="default"/>
          <w:spacing w:val="-2"/>
        </w:rPr>
        <w:t>2016</w:t>
      </w:r>
      <w:r>
        <w:rPr>
          <w:spacing w:val="-2"/>
        </w:rPr>
        <w:t>、</w:t>
      </w:r>
      <w:r>
        <w:rPr>
          <w:rFonts w:ascii="Times New Roman" w:hAnsi="Times New Roman" w:cs="Times New Roman" w:eastAsia="Times New Roman" w:hint="default"/>
          <w:spacing w:val="-2"/>
        </w:rPr>
        <w:t>2017</w:t>
      </w:r>
      <w:r>
        <w:rPr>
          <w:spacing w:val="-2"/>
        </w:rPr>
        <w:t>年业绩承诺已完成。</w:t>
      </w:r>
      <w:r>
        <w:rPr/>
        <w:t> </w:t>
      </w:r>
      <w:r>
        <w:rPr>
          <w:rFonts w:ascii="Times New Roman" w:hAnsi="Times New Roman" w:cs="Times New Roman" w:eastAsia="Times New Roman" w:hint="default"/>
        </w:rPr>
        <w:t>2018</w:t>
      </w:r>
      <w:r>
        <w:rPr/>
        <w:t>年实际实现</w:t>
      </w:r>
      <w:r>
        <w:rPr>
          <w:rFonts w:ascii="Times New Roman" w:hAnsi="Times New Roman" w:cs="Times New Roman" w:eastAsia="Times New Roman" w:hint="default"/>
        </w:rPr>
        <w:t>7,733.13</w:t>
      </w:r>
      <w:r>
        <w:rPr/>
        <w:t>万元，三年累计完成业绩承诺。</w:t>
      </w:r>
    </w:p>
    <w:p>
      <w:pPr>
        <w:pStyle w:val="BodyText"/>
        <w:spacing w:line="307" w:lineRule="auto" w:before="46"/>
        <w:ind w:right="1129" w:firstLine="420"/>
        <w:jc w:val="both"/>
      </w:pPr>
      <w:r>
        <w:rPr/>
        <w:t>宁波高新区尚兆教育科技发展有限公司、宁波高新区育维德教育科技发展有限公司、马驰、郭倩卿承诺布朗睿智（北 </w:t>
      </w:r>
      <w:r>
        <w:rPr>
          <w:spacing w:val="-2"/>
        </w:rPr>
        <w:t>京）国际教育科技有限公司、布朗时代（北京）教育投资有限公司</w:t>
      </w:r>
      <w:r>
        <w:rPr>
          <w:rFonts w:ascii="Times New Roman" w:hAnsi="Times New Roman" w:cs="Times New Roman" w:eastAsia="Times New Roman" w:hint="default"/>
          <w:spacing w:val="-2"/>
        </w:rPr>
        <w:t>2017</w:t>
      </w:r>
      <w:r>
        <w:rPr>
          <w:spacing w:val="-2"/>
        </w:rPr>
        <w:t>年实现的净利润（根据标的公司扣除非经常性损益前</w:t>
      </w:r>
      <w:r>
        <w:rPr>
          <w:spacing w:val="-63"/>
        </w:rPr>
        <w:t> </w:t>
      </w:r>
      <w:r>
        <w:rPr>
          <w:spacing w:val="-63"/>
        </w:rPr>
      </w:r>
      <w:r>
        <w:rPr>
          <w:spacing w:val="-6"/>
        </w:rPr>
        <w:t>后孰低原则确定，标的公司净利润是指标的公司以及标的公司合并报表范围内子公司的全部净利润，下同），合计不少于</w:t>
      </w:r>
      <w:r>
        <w:rPr>
          <w:rFonts w:ascii="Times New Roman" w:hAnsi="Times New Roman" w:cs="Times New Roman" w:eastAsia="Times New Roman" w:hint="default"/>
          <w:spacing w:val="-6"/>
        </w:rPr>
        <w:t>2,910</w:t>
      </w:r>
      <w:r>
        <w:rPr>
          <w:rFonts w:ascii="Times New Roman" w:hAnsi="Times New Roman" w:cs="Times New Roman" w:eastAsia="Times New Roman" w:hint="default"/>
          <w:spacing w:val="-5"/>
        </w:rPr>
        <w:t> </w:t>
      </w:r>
      <w:r>
        <w:rPr/>
        <w:t>万元，</w:t>
      </w:r>
      <w:r>
        <w:rPr>
          <w:rFonts w:ascii="Times New Roman" w:hAnsi="Times New Roman" w:cs="Times New Roman" w:eastAsia="Times New Roman" w:hint="default"/>
        </w:rPr>
        <w:t>2018</w:t>
      </w:r>
      <w:r>
        <w:rPr/>
        <w:t>年实现的净利润，合计不少于</w:t>
      </w:r>
      <w:r>
        <w:rPr>
          <w:rFonts w:ascii="Times New Roman" w:hAnsi="Times New Roman" w:cs="Times New Roman" w:eastAsia="Times New Roman" w:hint="default"/>
        </w:rPr>
        <w:t>3,210</w:t>
      </w:r>
      <w:r>
        <w:rPr/>
        <w:t>万元。</w:t>
      </w:r>
      <w:r>
        <w:rPr>
          <w:rFonts w:ascii="Times New Roman" w:hAnsi="Times New Roman" w:cs="Times New Roman" w:eastAsia="Times New Roman" w:hint="default"/>
        </w:rPr>
        <w:t>2018</w:t>
      </w:r>
      <w:r>
        <w:rPr/>
        <w:t>年实际实现</w:t>
      </w:r>
      <w:r>
        <w:rPr>
          <w:rFonts w:ascii="Times New Roman" w:hAnsi="Times New Roman" w:cs="Times New Roman" w:eastAsia="Times New Roman" w:hint="default"/>
        </w:rPr>
        <w:t>3,914.22</w:t>
      </w:r>
      <w:r>
        <w:rPr/>
        <w:t>万元，完成当年度业绩承诺。</w:t>
      </w:r>
    </w:p>
    <w:p>
      <w:pPr>
        <w:pStyle w:val="BodyText"/>
        <w:spacing w:line="319" w:lineRule="auto" w:before="45"/>
        <w:ind w:right="1150" w:firstLine="420"/>
        <w:jc w:val="left"/>
      </w:pPr>
      <w:r>
        <w:rPr/>
        <w:t>杭州日报报业集团有限公司承诺杭州萧山萧报教育咨询有限公司</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2018</w:t>
      </w:r>
      <w:r>
        <w:rPr/>
        <w:t>年度、</w:t>
      </w:r>
      <w:r>
        <w:rPr>
          <w:rFonts w:ascii="Times New Roman" w:hAnsi="Times New Roman" w:cs="Times New Roman" w:eastAsia="Times New Roman" w:hint="default"/>
        </w:rPr>
        <w:t>2019</w:t>
      </w:r>
      <w:r>
        <w:rPr/>
        <w:t>年度扣除非经常性损益后 实现的净利润分别不低于</w:t>
      </w:r>
      <w:r>
        <w:rPr>
          <w:rFonts w:ascii="Times New Roman" w:hAnsi="Times New Roman" w:cs="Times New Roman" w:eastAsia="Times New Roman" w:hint="default"/>
        </w:rPr>
        <w:t>163</w:t>
      </w:r>
      <w:r>
        <w:rPr/>
        <w:t>万元、</w:t>
      </w:r>
      <w:r>
        <w:rPr>
          <w:rFonts w:ascii="Times New Roman" w:hAnsi="Times New Roman" w:cs="Times New Roman" w:eastAsia="Times New Roman" w:hint="default"/>
        </w:rPr>
        <w:t>182</w:t>
      </w:r>
      <w:r>
        <w:rPr/>
        <w:t>万元、</w:t>
      </w:r>
      <w:r>
        <w:rPr>
          <w:rFonts w:ascii="Times New Roman" w:hAnsi="Times New Roman" w:cs="Times New Roman" w:eastAsia="Times New Roman" w:hint="default"/>
        </w:rPr>
        <w:t>145</w:t>
      </w:r>
      <w:r>
        <w:rPr/>
        <w:t>万元。</w:t>
      </w:r>
      <w:r>
        <w:rPr>
          <w:rFonts w:ascii="Times New Roman" w:hAnsi="Times New Roman" w:cs="Times New Roman" w:eastAsia="Times New Roman" w:hint="default"/>
        </w:rPr>
        <w:t>2018</w:t>
      </w:r>
      <w:r>
        <w:rPr/>
        <w:t>年实际实现</w:t>
      </w:r>
      <w:r>
        <w:rPr>
          <w:rFonts w:ascii="Times New Roman" w:hAnsi="Times New Roman" w:cs="Times New Roman" w:eastAsia="Times New Roman" w:hint="default"/>
        </w:rPr>
        <w:t>186.84</w:t>
      </w:r>
      <w:r>
        <w:rPr/>
        <w:t>万元，完成当年度业绩承诺。 业绩承诺的完成情况及其对商誉减值测试的影响</w:t>
      </w:r>
    </w:p>
    <w:p>
      <w:pPr>
        <w:pStyle w:val="BodyText"/>
        <w:spacing w:line="302" w:lineRule="auto" w:before="56"/>
        <w:ind w:right="1118" w:firstLine="420"/>
        <w:jc w:val="left"/>
      </w:pPr>
      <w:r>
        <w:rPr>
          <w:spacing w:val="-1"/>
        </w:rPr>
        <w:t>中教未来</w:t>
      </w:r>
      <w:r>
        <w:rPr>
          <w:rFonts w:ascii="Times New Roman" w:hAnsi="Times New Roman" w:cs="Times New Roman" w:eastAsia="Times New Roman" w:hint="default"/>
          <w:spacing w:val="-1"/>
        </w:rPr>
        <w:t>2018</w:t>
      </w:r>
      <w:r>
        <w:rPr>
          <w:spacing w:val="-1"/>
        </w:rPr>
        <w:t>年实际业绩为</w:t>
      </w:r>
      <w:r>
        <w:rPr>
          <w:rFonts w:ascii="Times New Roman" w:hAnsi="Times New Roman" w:cs="Times New Roman" w:eastAsia="Times New Roman" w:hint="default"/>
          <w:spacing w:val="-1"/>
        </w:rPr>
        <w:t>7,733.13</w:t>
      </w:r>
      <w:r>
        <w:rPr>
          <w:spacing w:val="-1"/>
        </w:rPr>
        <w:t>万元。经审计，已完成累计三年业绩承诺。根据企业会计准则的规定，无需对该部</w:t>
      </w:r>
      <w:r>
        <w:rPr/>
        <w:t> 分商誉计提减值准备。</w:t>
      </w:r>
    </w:p>
    <w:p>
      <w:pPr>
        <w:pStyle w:val="BodyText"/>
        <w:spacing w:line="302" w:lineRule="auto" w:before="68"/>
        <w:ind w:right="1118" w:firstLine="420"/>
        <w:jc w:val="left"/>
      </w:pPr>
      <w:r>
        <w:rPr>
          <w:spacing w:val="-1"/>
        </w:rPr>
        <w:t>布朗睿智（北京）国际教育科技有限公司、布朗时代（北京）教育投资有限公司</w:t>
      </w:r>
      <w:r>
        <w:rPr>
          <w:rFonts w:ascii="Times New Roman" w:hAnsi="Times New Roman" w:cs="Times New Roman" w:eastAsia="Times New Roman" w:hint="default"/>
          <w:spacing w:val="-1"/>
        </w:rPr>
        <w:t>2018</w:t>
      </w:r>
      <w:r>
        <w:rPr>
          <w:spacing w:val="-1"/>
        </w:rPr>
        <w:t>年实际业绩为</w:t>
      </w:r>
      <w:r>
        <w:rPr>
          <w:rFonts w:ascii="Times New Roman" w:hAnsi="Times New Roman" w:cs="Times New Roman" w:eastAsia="Times New Roman" w:hint="default"/>
          <w:spacing w:val="-1"/>
        </w:rPr>
        <w:t>3,914.22</w:t>
      </w:r>
      <w:r>
        <w:rPr>
          <w:spacing w:val="-1"/>
        </w:rPr>
        <w:t>万元。经审</w:t>
      </w:r>
      <w:r>
        <w:rPr/>
        <w:t> 计，已完成累计两年业绩承诺。该笔长期股权投资未发生减值。</w:t>
      </w:r>
    </w:p>
    <w:p>
      <w:pPr>
        <w:pStyle w:val="BodyText"/>
        <w:spacing w:line="240" w:lineRule="auto" w:before="69"/>
        <w:ind w:left="573" w:right="0"/>
        <w:jc w:val="left"/>
      </w:pPr>
      <w:r>
        <w:rPr/>
        <w:t>杭州萧山萧报教育咨询有限公司</w:t>
      </w:r>
      <w:r>
        <w:rPr>
          <w:rFonts w:ascii="Times New Roman" w:hAnsi="Times New Roman" w:cs="Times New Roman" w:eastAsia="Times New Roman" w:hint="default"/>
        </w:rPr>
        <w:t>2018</w:t>
      </w:r>
      <w:r>
        <w:rPr/>
        <w:t>年实际业绩为</w:t>
      </w:r>
      <w:r>
        <w:rPr>
          <w:rFonts w:ascii="Times New Roman" w:hAnsi="Times New Roman" w:cs="Times New Roman" w:eastAsia="Times New Roman" w:hint="default"/>
        </w:rPr>
        <w:t>186.84</w:t>
      </w:r>
      <w:r>
        <w:rPr/>
        <w:t>万元，完成业绩承诺。本公司针对该笔股权不存在商誉。</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9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headerReference w:type="default" r:id="rId18"/>
          <w:footerReference w:type="default" r:id="rId19"/>
          <w:pgSz w:w="11910" w:h="16840"/>
          <w:pgMar w:header="877" w:footer="982" w:top="1100" w:bottom="1180" w:left="980" w:right="0"/>
          <w:pgNumType w:start="38"/>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20"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日，财政部颁布《关于修订印发</w:t>
      </w:r>
      <w:r>
        <w:rPr>
          <w:rFonts w:ascii="Times New Roman" w:hAnsi="Times New Roman" w:cs="Times New Roman" w:eastAsia="Times New Roman" w:hint="default"/>
        </w:rPr>
        <w:t>2018</w:t>
      </w:r>
      <w:r>
        <w:rPr/>
        <w:t>年度一般企业财务报表格式的通知》（财会〔</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15</w:t>
      </w:r>
      <w:r>
        <w:rPr/>
        <w:t>号）。本公司 按照企业会计准则和上述颁布及修订的会计准则的要求编制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年度及以后期间的财务报表。</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6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公司报告期无合并报表范围发生变化的情况。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88"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88"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徐殷鹏、秦松涛</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88"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徐殷鹏审计服务已连续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年，秦松涛审计服务已连续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r>
    </w:tbl>
    <w:p>
      <w:pPr>
        <w:pStyle w:val="BodyText"/>
        <w:spacing w:line="240" w:lineRule="auto" w:before="51"/>
        <w:ind w:right="0"/>
        <w:jc w:val="left"/>
      </w:pPr>
      <w:r>
        <w:rPr/>
        <w:t>当期是否改聘会计师事务所</w:t>
      </w:r>
    </w:p>
    <w:p>
      <w:pPr>
        <w:pStyle w:val="BodyText"/>
        <w:spacing w:line="338" w:lineRule="auto" w:before="117"/>
        <w:ind w:right="62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338" w:lineRule="auto" w:before="42"/>
        <w:ind w:right="21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报告期内，公司聘请瑞华会计师事务所（特殊普通合伙）为内部控制审计会计师事务所，支付费用为</w:t>
      </w:r>
      <w:r>
        <w:rPr>
          <w:rFonts w:ascii="Times New Roman" w:hAnsi="Times New Roman" w:cs="Times New Roman" w:eastAsia="Times New Roman" w:hint="default"/>
        </w:rPr>
        <w:t>30</w:t>
      </w:r>
      <w:r>
        <w:rPr/>
        <w:t>万元。</w:t>
      </w: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82" w:top="1100" w:bottom="1180" w:left="980" w:right="0"/>
        </w:sectPr>
      </w:pPr>
    </w:p>
    <w:p>
      <w:pPr>
        <w:spacing w:line="240" w:lineRule="auto" w:before="13"/>
        <w:rPr>
          <w:rFonts w:ascii="宋体" w:hAnsi="宋体" w:cs="宋体" w:eastAsia="宋体" w:hint="default"/>
          <w:sz w:val="21"/>
          <w:szCs w:val="21"/>
        </w:rPr>
      </w:pPr>
    </w:p>
    <w:p>
      <w:pPr>
        <w:pStyle w:val="BodyText"/>
        <w:spacing w:line="240" w:lineRule="auto" w:before="44"/>
        <w:ind w:left="153" w:right="0"/>
        <w:jc w:val="left"/>
      </w:pPr>
      <w:r>
        <w:rPr/>
        <w:t>本报告期公司无重大诉讼、仲裁事项。</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十三、处罚及整改情况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4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公司报告期无股权激励计划、员工持股计划或其他员工激励措施及其实施情况。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778"/>
        <w:gridCol w:w="654"/>
        <w:gridCol w:w="654"/>
        <w:gridCol w:w="682"/>
        <w:gridCol w:w="655"/>
        <w:gridCol w:w="686"/>
        <w:gridCol w:w="776"/>
        <w:gridCol w:w="650"/>
        <w:gridCol w:w="776"/>
        <w:gridCol w:w="650"/>
        <w:gridCol w:w="652"/>
        <w:gridCol w:w="685"/>
        <w:gridCol w:w="648"/>
        <w:gridCol w:w="746"/>
      </w:tblGrid>
      <w:tr>
        <w:trPr>
          <w:trHeight w:val="1338" w:hRule="exact"/>
        </w:trPr>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94" w:right="23"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31" w:right="50"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51" w:right="50"/>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6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65" w:right="65"/>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2" w:right="50"/>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67" w:right="67"/>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0" w:right="48"/>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12" w:right="23" w:hanging="90"/>
              <w:jc w:val="left"/>
              <w:rPr>
                <w:rFonts w:ascii="宋体" w:hAnsi="宋体" w:cs="宋体" w:eastAsia="宋体" w:hint="default"/>
                <w:sz w:val="18"/>
                <w:szCs w:val="18"/>
              </w:rPr>
            </w:pPr>
            <w:r>
              <w:rPr>
                <w:rFonts w:ascii="宋体" w:hAnsi="宋体" w:cs="宋体" w:eastAsia="宋体" w:hint="default"/>
                <w:sz w:val="18"/>
                <w:szCs w:val="18"/>
              </w:rPr>
              <w:t>获批的交 易额度</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0" w:right="48"/>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0" w:right="49"/>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7" w:right="66"/>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9" w:right="47"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7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8" w:right="96"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026" w:hRule="exact"/>
        </w:trPr>
        <w:tc>
          <w:tcPr>
            <w:tcW w:w="7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都市快报 社</w:t>
            </w:r>
          </w:p>
        </w:tc>
        <w:tc>
          <w:tcPr>
            <w:tcW w:w="6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9"/>
              <w:jc w:val="both"/>
              <w:rPr>
                <w:rFonts w:ascii="宋体" w:hAnsi="宋体" w:cs="宋体" w:eastAsia="宋体" w:hint="default"/>
                <w:sz w:val="18"/>
                <w:szCs w:val="18"/>
              </w:rPr>
            </w:pPr>
            <w:r>
              <w:rPr>
                <w:rFonts w:ascii="宋体" w:hAnsi="宋体" w:cs="宋体" w:eastAsia="宋体" w:hint="default"/>
                <w:sz w:val="18"/>
                <w:szCs w:val="18"/>
              </w:rPr>
              <w:t>同一最 终控制 方控制</w:t>
            </w:r>
          </w:p>
        </w:tc>
        <w:tc>
          <w:tcPr>
            <w:tcW w:w="6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79"/>
              <w:jc w:val="left"/>
              <w:rPr>
                <w:rFonts w:ascii="宋体" w:hAnsi="宋体" w:cs="宋体" w:eastAsia="宋体" w:hint="default"/>
                <w:sz w:val="18"/>
                <w:szCs w:val="18"/>
              </w:rPr>
            </w:pPr>
            <w:r>
              <w:rPr>
                <w:rFonts w:ascii="宋体" w:hAnsi="宋体" w:cs="宋体" w:eastAsia="宋体" w:hint="default"/>
                <w:sz w:val="18"/>
                <w:szCs w:val="18"/>
              </w:rPr>
              <w:t>采编服 务</w:t>
            </w:r>
          </w:p>
        </w:tc>
        <w:tc>
          <w:tcPr>
            <w:tcW w:w="6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07"/>
              <w:jc w:val="left"/>
              <w:rPr>
                <w:rFonts w:ascii="宋体" w:hAnsi="宋体" w:cs="宋体" w:eastAsia="宋体" w:hint="default"/>
                <w:sz w:val="18"/>
                <w:szCs w:val="18"/>
              </w:rPr>
            </w:pPr>
            <w:r>
              <w:rPr>
                <w:rFonts w:ascii="宋体" w:hAnsi="宋体" w:cs="宋体" w:eastAsia="宋体" w:hint="default"/>
                <w:sz w:val="18"/>
                <w:szCs w:val="18"/>
              </w:rPr>
              <w:t>采编服 务</w:t>
            </w:r>
          </w:p>
        </w:tc>
        <w:tc>
          <w:tcPr>
            <w:tcW w:w="65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3" w:right="79"/>
              <w:jc w:val="both"/>
              <w:rPr>
                <w:rFonts w:ascii="宋体" w:hAnsi="宋体" w:cs="宋体" w:eastAsia="宋体" w:hint="default"/>
                <w:sz w:val="18"/>
                <w:szCs w:val="18"/>
              </w:rPr>
            </w:pPr>
            <w:r>
              <w:rPr>
                <w:rFonts w:ascii="宋体" w:hAnsi="宋体" w:cs="宋体" w:eastAsia="宋体" w:hint="default"/>
                <w:sz w:val="18"/>
                <w:szCs w:val="18"/>
              </w:rPr>
              <w:t>《收入 分成协 议》</w:t>
            </w:r>
          </w:p>
        </w:tc>
        <w:tc>
          <w:tcPr>
            <w:tcW w:w="6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9,036</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9,036</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40.84%</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9,036</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6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9,036</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2018-019</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1338" w:hRule="exact"/>
        </w:trPr>
        <w:tc>
          <w:tcPr>
            <w:tcW w:w="7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杭州日报 报业集团</w:t>
            </w:r>
          </w:p>
          <w:p>
            <w:pPr>
              <w:pStyle w:val="TableParagraph"/>
              <w:spacing w:line="319" w:lineRule="auto" w:before="19"/>
              <w:ind w:left="22" w:right="23"/>
              <w:jc w:val="left"/>
              <w:rPr>
                <w:rFonts w:ascii="宋体" w:hAnsi="宋体" w:cs="宋体" w:eastAsia="宋体" w:hint="default"/>
                <w:sz w:val="18"/>
                <w:szCs w:val="18"/>
              </w:rPr>
            </w:pPr>
            <w:r>
              <w:rPr>
                <w:rFonts w:ascii="宋体" w:hAnsi="宋体" w:cs="宋体" w:eastAsia="宋体" w:hint="default"/>
                <w:sz w:val="18"/>
                <w:szCs w:val="18"/>
              </w:rPr>
              <w:t>（杭州日 报社）</w:t>
            </w:r>
          </w:p>
        </w:tc>
        <w:tc>
          <w:tcPr>
            <w:tcW w:w="6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79"/>
              <w:jc w:val="both"/>
              <w:rPr>
                <w:rFonts w:ascii="宋体" w:hAnsi="宋体" w:cs="宋体" w:eastAsia="宋体" w:hint="default"/>
                <w:sz w:val="18"/>
                <w:szCs w:val="18"/>
              </w:rPr>
            </w:pPr>
            <w:r>
              <w:rPr>
                <w:rFonts w:ascii="宋体" w:hAnsi="宋体" w:cs="宋体" w:eastAsia="宋体" w:hint="default"/>
                <w:sz w:val="18"/>
                <w:szCs w:val="18"/>
              </w:rPr>
              <w:t>同一最 终控制 方控制</w:t>
            </w:r>
          </w:p>
        </w:tc>
        <w:tc>
          <w:tcPr>
            <w:tcW w:w="6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79"/>
              <w:jc w:val="left"/>
              <w:rPr>
                <w:rFonts w:ascii="宋体" w:hAnsi="宋体" w:cs="宋体" w:eastAsia="宋体" w:hint="default"/>
                <w:sz w:val="18"/>
                <w:szCs w:val="18"/>
              </w:rPr>
            </w:pPr>
            <w:r>
              <w:rPr>
                <w:rFonts w:ascii="宋体" w:hAnsi="宋体" w:cs="宋体" w:eastAsia="宋体" w:hint="default"/>
                <w:sz w:val="18"/>
                <w:szCs w:val="18"/>
              </w:rPr>
              <w:t>采编服 务</w:t>
            </w:r>
          </w:p>
        </w:tc>
        <w:tc>
          <w:tcPr>
            <w:tcW w:w="6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07"/>
              <w:jc w:val="left"/>
              <w:rPr>
                <w:rFonts w:ascii="宋体" w:hAnsi="宋体" w:cs="宋体" w:eastAsia="宋体" w:hint="default"/>
                <w:sz w:val="18"/>
                <w:szCs w:val="18"/>
              </w:rPr>
            </w:pPr>
            <w:r>
              <w:rPr>
                <w:rFonts w:ascii="宋体" w:hAnsi="宋体" w:cs="宋体" w:eastAsia="宋体" w:hint="default"/>
                <w:sz w:val="18"/>
                <w:szCs w:val="18"/>
              </w:rPr>
              <w:t>采编服 务</w:t>
            </w:r>
          </w:p>
        </w:tc>
        <w:tc>
          <w:tcPr>
            <w:tcW w:w="65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79"/>
              <w:jc w:val="both"/>
              <w:rPr>
                <w:rFonts w:ascii="宋体" w:hAnsi="宋体" w:cs="宋体" w:eastAsia="宋体" w:hint="default"/>
                <w:sz w:val="18"/>
                <w:szCs w:val="18"/>
              </w:rPr>
            </w:pPr>
            <w:r>
              <w:rPr>
                <w:rFonts w:ascii="宋体" w:hAnsi="宋体" w:cs="宋体" w:eastAsia="宋体" w:hint="default"/>
                <w:sz w:val="18"/>
                <w:szCs w:val="18"/>
              </w:rPr>
              <w:t>《收入 分成协 议》</w:t>
            </w:r>
          </w:p>
        </w:tc>
        <w:tc>
          <w:tcPr>
            <w:tcW w:w="6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7,181.33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7,181.33</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32.45%</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6,757.02</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6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7,181.33</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2018-019</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1026" w:hRule="exact"/>
        </w:trPr>
        <w:tc>
          <w:tcPr>
            <w:tcW w:w="7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每日商报 社</w:t>
            </w:r>
          </w:p>
        </w:tc>
        <w:tc>
          <w:tcPr>
            <w:tcW w:w="6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9"/>
              <w:jc w:val="both"/>
              <w:rPr>
                <w:rFonts w:ascii="宋体" w:hAnsi="宋体" w:cs="宋体" w:eastAsia="宋体" w:hint="default"/>
                <w:sz w:val="18"/>
                <w:szCs w:val="18"/>
              </w:rPr>
            </w:pPr>
            <w:r>
              <w:rPr>
                <w:rFonts w:ascii="宋体" w:hAnsi="宋体" w:cs="宋体" w:eastAsia="宋体" w:hint="default"/>
                <w:sz w:val="18"/>
                <w:szCs w:val="18"/>
              </w:rPr>
              <w:t>同一最 终控制 方控制</w:t>
            </w:r>
          </w:p>
        </w:tc>
        <w:tc>
          <w:tcPr>
            <w:tcW w:w="6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79"/>
              <w:jc w:val="left"/>
              <w:rPr>
                <w:rFonts w:ascii="宋体" w:hAnsi="宋体" w:cs="宋体" w:eastAsia="宋体" w:hint="default"/>
                <w:sz w:val="18"/>
                <w:szCs w:val="18"/>
              </w:rPr>
            </w:pPr>
            <w:r>
              <w:rPr>
                <w:rFonts w:ascii="宋体" w:hAnsi="宋体" w:cs="宋体" w:eastAsia="宋体" w:hint="default"/>
                <w:sz w:val="18"/>
                <w:szCs w:val="18"/>
              </w:rPr>
              <w:t>采编服 务</w:t>
            </w:r>
          </w:p>
        </w:tc>
        <w:tc>
          <w:tcPr>
            <w:tcW w:w="6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07"/>
              <w:jc w:val="left"/>
              <w:rPr>
                <w:rFonts w:ascii="宋体" w:hAnsi="宋体" w:cs="宋体" w:eastAsia="宋体" w:hint="default"/>
                <w:sz w:val="18"/>
                <w:szCs w:val="18"/>
              </w:rPr>
            </w:pPr>
            <w:r>
              <w:rPr>
                <w:rFonts w:ascii="宋体" w:hAnsi="宋体" w:cs="宋体" w:eastAsia="宋体" w:hint="default"/>
                <w:sz w:val="18"/>
                <w:szCs w:val="18"/>
              </w:rPr>
              <w:t>采编服 务</w:t>
            </w:r>
          </w:p>
        </w:tc>
        <w:tc>
          <w:tcPr>
            <w:tcW w:w="65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3" w:right="79"/>
              <w:jc w:val="both"/>
              <w:rPr>
                <w:rFonts w:ascii="宋体" w:hAnsi="宋体" w:cs="宋体" w:eastAsia="宋体" w:hint="default"/>
                <w:sz w:val="18"/>
                <w:szCs w:val="18"/>
              </w:rPr>
            </w:pPr>
            <w:r>
              <w:rPr>
                <w:rFonts w:ascii="宋体" w:hAnsi="宋体" w:cs="宋体" w:eastAsia="宋体" w:hint="default"/>
                <w:sz w:val="18"/>
                <w:szCs w:val="18"/>
              </w:rPr>
              <w:t>《收入 分成协 议》</w:t>
            </w:r>
          </w:p>
        </w:tc>
        <w:tc>
          <w:tcPr>
            <w:tcW w:w="6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1,750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7.91%</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6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1,750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2018-019</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1026" w:hRule="exact"/>
        </w:trPr>
        <w:tc>
          <w:tcPr>
            <w:tcW w:w="7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萧山日报 社</w:t>
            </w:r>
          </w:p>
        </w:tc>
        <w:tc>
          <w:tcPr>
            <w:tcW w:w="6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9"/>
              <w:jc w:val="both"/>
              <w:rPr>
                <w:rFonts w:ascii="宋体" w:hAnsi="宋体" w:cs="宋体" w:eastAsia="宋体" w:hint="default"/>
                <w:sz w:val="18"/>
                <w:szCs w:val="18"/>
              </w:rPr>
            </w:pPr>
            <w:r>
              <w:rPr>
                <w:rFonts w:ascii="宋体" w:hAnsi="宋体" w:cs="宋体" w:eastAsia="宋体" w:hint="default"/>
                <w:sz w:val="18"/>
                <w:szCs w:val="18"/>
              </w:rPr>
              <w:t>同一最 终控制 方控制</w:t>
            </w:r>
          </w:p>
        </w:tc>
        <w:tc>
          <w:tcPr>
            <w:tcW w:w="6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79"/>
              <w:jc w:val="left"/>
              <w:rPr>
                <w:rFonts w:ascii="宋体" w:hAnsi="宋体" w:cs="宋体" w:eastAsia="宋体" w:hint="default"/>
                <w:sz w:val="18"/>
                <w:szCs w:val="18"/>
              </w:rPr>
            </w:pPr>
            <w:r>
              <w:rPr>
                <w:rFonts w:ascii="宋体" w:hAnsi="宋体" w:cs="宋体" w:eastAsia="宋体" w:hint="default"/>
                <w:sz w:val="18"/>
                <w:szCs w:val="18"/>
              </w:rPr>
              <w:t>采编服 务</w:t>
            </w:r>
          </w:p>
        </w:tc>
        <w:tc>
          <w:tcPr>
            <w:tcW w:w="6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07"/>
              <w:jc w:val="left"/>
              <w:rPr>
                <w:rFonts w:ascii="宋体" w:hAnsi="宋体" w:cs="宋体" w:eastAsia="宋体" w:hint="default"/>
                <w:sz w:val="18"/>
                <w:szCs w:val="18"/>
              </w:rPr>
            </w:pPr>
            <w:r>
              <w:rPr>
                <w:rFonts w:ascii="宋体" w:hAnsi="宋体" w:cs="宋体" w:eastAsia="宋体" w:hint="default"/>
                <w:sz w:val="18"/>
                <w:szCs w:val="18"/>
              </w:rPr>
              <w:t>采编服 务</w:t>
            </w:r>
          </w:p>
        </w:tc>
        <w:tc>
          <w:tcPr>
            <w:tcW w:w="65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3" w:right="79"/>
              <w:jc w:val="both"/>
              <w:rPr>
                <w:rFonts w:ascii="宋体" w:hAnsi="宋体" w:cs="宋体" w:eastAsia="宋体" w:hint="default"/>
                <w:sz w:val="18"/>
                <w:szCs w:val="18"/>
              </w:rPr>
            </w:pPr>
            <w:r>
              <w:rPr>
                <w:rFonts w:ascii="宋体" w:hAnsi="宋体" w:cs="宋体" w:eastAsia="宋体" w:hint="default"/>
                <w:sz w:val="18"/>
                <w:szCs w:val="18"/>
              </w:rPr>
              <w:t>《收入 分成协 议》</w:t>
            </w:r>
          </w:p>
        </w:tc>
        <w:tc>
          <w:tcPr>
            <w:tcW w:w="6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2,279.62</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2,279.62</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2,068.94</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6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2,279.62</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2018-019</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1026" w:hRule="exact"/>
        </w:trPr>
        <w:tc>
          <w:tcPr>
            <w:tcW w:w="7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余杭晨报 社</w:t>
            </w:r>
          </w:p>
        </w:tc>
        <w:tc>
          <w:tcPr>
            <w:tcW w:w="6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9"/>
              <w:jc w:val="both"/>
              <w:rPr>
                <w:rFonts w:ascii="宋体" w:hAnsi="宋体" w:cs="宋体" w:eastAsia="宋体" w:hint="default"/>
                <w:sz w:val="18"/>
                <w:szCs w:val="18"/>
              </w:rPr>
            </w:pPr>
            <w:r>
              <w:rPr>
                <w:rFonts w:ascii="宋体" w:hAnsi="宋体" w:cs="宋体" w:eastAsia="宋体" w:hint="default"/>
                <w:sz w:val="18"/>
                <w:szCs w:val="18"/>
              </w:rPr>
              <w:t>同一最 终控制 方控制</w:t>
            </w:r>
          </w:p>
        </w:tc>
        <w:tc>
          <w:tcPr>
            <w:tcW w:w="6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79"/>
              <w:jc w:val="left"/>
              <w:rPr>
                <w:rFonts w:ascii="宋体" w:hAnsi="宋体" w:cs="宋体" w:eastAsia="宋体" w:hint="default"/>
                <w:sz w:val="18"/>
                <w:szCs w:val="18"/>
              </w:rPr>
            </w:pPr>
            <w:r>
              <w:rPr>
                <w:rFonts w:ascii="宋体" w:hAnsi="宋体" w:cs="宋体" w:eastAsia="宋体" w:hint="default"/>
                <w:sz w:val="18"/>
                <w:szCs w:val="18"/>
              </w:rPr>
              <w:t>采编服 务</w:t>
            </w:r>
          </w:p>
        </w:tc>
        <w:tc>
          <w:tcPr>
            <w:tcW w:w="6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07"/>
              <w:jc w:val="left"/>
              <w:rPr>
                <w:rFonts w:ascii="宋体" w:hAnsi="宋体" w:cs="宋体" w:eastAsia="宋体" w:hint="default"/>
                <w:sz w:val="18"/>
                <w:szCs w:val="18"/>
              </w:rPr>
            </w:pPr>
            <w:r>
              <w:rPr>
                <w:rFonts w:ascii="宋体" w:hAnsi="宋体" w:cs="宋体" w:eastAsia="宋体" w:hint="default"/>
                <w:sz w:val="18"/>
                <w:szCs w:val="18"/>
              </w:rPr>
              <w:t>采编服 务</w:t>
            </w:r>
          </w:p>
        </w:tc>
        <w:tc>
          <w:tcPr>
            <w:tcW w:w="65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3" w:right="79"/>
              <w:jc w:val="both"/>
              <w:rPr>
                <w:rFonts w:ascii="宋体" w:hAnsi="宋体" w:cs="宋体" w:eastAsia="宋体" w:hint="default"/>
                <w:sz w:val="18"/>
                <w:szCs w:val="18"/>
              </w:rPr>
            </w:pPr>
            <w:r>
              <w:rPr>
                <w:rFonts w:ascii="宋体" w:hAnsi="宋体" w:cs="宋体" w:eastAsia="宋体" w:hint="default"/>
                <w:sz w:val="18"/>
                <w:szCs w:val="18"/>
              </w:rPr>
              <w:t>《收入 分成协 议》</w:t>
            </w:r>
          </w:p>
        </w:tc>
        <w:tc>
          <w:tcPr>
            <w:tcW w:w="6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971.47</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971.47</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4.39%</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1,138.31</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6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971.47</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2018-019</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403" w:hRule="exact"/>
        </w:trPr>
        <w:tc>
          <w:tcPr>
            <w:tcW w:w="7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富阳日报</w:t>
            </w:r>
          </w:p>
        </w:tc>
        <w:tc>
          <w:tcPr>
            <w:tcW w:w="6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同一最</w:t>
            </w:r>
          </w:p>
        </w:tc>
        <w:tc>
          <w:tcPr>
            <w:tcW w:w="6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采编服</w:t>
            </w:r>
          </w:p>
        </w:tc>
        <w:tc>
          <w:tcPr>
            <w:tcW w:w="6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采编服</w:t>
            </w:r>
          </w:p>
        </w:tc>
        <w:tc>
          <w:tcPr>
            <w:tcW w:w="65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6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2"/>
              <w:ind w:left="112" w:right="0"/>
              <w:jc w:val="left"/>
              <w:rPr>
                <w:rFonts w:ascii="Times New Roman" w:hAnsi="Times New Roman" w:cs="Times New Roman" w:eastAsia="Times New Roman" w:hint="default"/>
                <w:sz w:val="18"/>
                <w:szCs w:val="18"/>
              </w:rPr>
            </w:pPr>
            <w:r>
              <w:rPr>
                <w:rFonts w:ascii="Times New Roman"/>
                <w:sz w:val="18"/>
              </w:rPr>
              <w:t>909</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909</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4.11%</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1,094.56</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6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2"/>
              <w:ind w:left="112" w:right="0"/>
              <w:jc w:val="left"/>
              <w:rPr>
                <w:rFonts w:ascii="Times New Roman" w:hAnsi="Times New Roman" w:cs="Times New Roman" w:eastAsia="Times New Roman" w:hint="default"/>
                <w:sz w:val="18"/>
                <w:szCs w:val="18"/>
              </w:rPr>
            </w:pPr>
            <w:r>
              <w:rPr>
                <w:rFonts w:ascii="Times New Roman"/>
                <w:sz w:val="18"/>
              </w:rPr>
              <w:t>909</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4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1"/>
              <w:ind w:left="23" w:right="0"/>
              <w:jc w:val="left"/>
              <w:rPr>
                <w:rFonts w:ascii="Times New Roman" w:hAnsi="Times New Roman" w:cs="Times New Roman" w:eastAsia="Times New Roman" w:hint="default"/>
                <w:sz w:val="18"/>
                <w:szCs w:val="18"/>
              </w:rPr>
            </w:pPr>
            <w:r>
              <w:rPr>
                <w:rFonts w:ascii="Times New Roman"/>
                <w:sz w:val="18"/>
              </w:rPr>
              <w:t>2018-019</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ind w:left="0" w:right="1039"/>
        <w:jc w:val="right"/>
      </w:pPr>
      <w:r>
        <w:rPr/>
        <w:pict>
          <v:shape style="position:absolute;margin-left:55.650002pt;margin-top:-84.768044pt;width:484.85pt;height:161.4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66"/>
                    <w:gridCol w:w="654"/>
                    <w:gridCol w:w="654"/>
                    <w:gridCol w:w="670"/>
                    <w:gridCol w:w="667"/>
                    <w:gridCol w:w="686"/>
                    <w:gridCol w:w="776"/>
                    <w:gridCol w:w="650"/>
                    <w:gridCol w:w="776"/>
                    <w:gridCol w:w="650"/>
                    <w:gridCol w:w="652"/>
                    <w:gridCol w:w="685"/>
                    <w:gridCol w:w="648"/>
                    <w:gridCol w:w="746"/>
                  </w:tblGrid>
                  <w:tr>
                    <w:trPr>
                      <w:trHeight w:val="674" w:hRule="exact"/>
                    </w:trPr>
                    <w:tc>
                      <w:tcPr>
                        <w:tcW w:w="7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社</w:t>
                        </w:r>
                      </w:p>
                    </w:tc>
                    <w:tc>
                      <w:tcPr>
                        <w:tcW w:w="6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10"/>
                          <w:ind w:left="22" w:right="79"/>
                          <w:jc w:val="left"/>
                          <w:rPr>
                            <w:rFonts w:ascii="宋体" w:hAnsi="宋体" w:cs="宋体" w:eastAsia="宋体" w:hint="default"/>
                            <w:sz w:val="18"/>
                            <w:szCs w:val="18"/>
                          </w:rPr>
                        </w:pPr>
                        <w:r>
                          <w:rPr>
                            <w:rFonts w:ascii="宋体" w:hAnsi="宋体" w:cs="宋体" w:eastAsia="宋体" w:hint="default"/>
                            <w:sz w:val="18"/>
                            <w:szCs w:val="18"/>
                          </w:rPr>
                          <w:t>终控制 方控制</w:t>
                        </w:r>
                      </w:p>
                    </w:tc>
                    <w:tc>
                      <w:tcPr>
                        <w:tcW w:w="6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务</w:t>
                        </w:r>
                      </w:p>
                    </w:tc>
                    <w:tc>
                      <w:tcPr>
                        <w:tcW w:w="6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务</w:t>
                        </w:r>
                      </w:p>
                    </w:tc>
                    <w:tc>
                      <w:tcPr>
                        <w:tcW w:w="6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10"/>
                          <w:ind w:left="35" w:right="79"/>
                          <w:jc w:val="left"/>
                          <w:rPr>
                            <w:rFonts w:ascii="宋体" w:hAnsi="宋体" w:cs="宋体" w:eastAsia="宋体" w:hint="default"/>
                            <w:sz w:val="18"/>
                            <w:szCs w:val="18"/>
                          </w:rPr>
                        </w:pPr>
                        <w:r>
                          <w:rPr>
                            <w:rFonts w:ascii="宋体" w:hAnsi="宋体" w:cs="宋体" w:eastAsia="宋体" w:hint="default"/>
                            <w:sz w:val="18"/>
                            <w:szCs w:val="18"/>
                          </w:rPr>
                          <w:t>分成协 议》</w:t>
                        </w:r>
                      </w:p>
                    </w:tc>
                    <w:tc>
                      <w:tcPr>
                        <w:tcW w:w="68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68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402" w:hRule="exact"/>
                    </w:trPr>
                    <w:tc>
                      <w:tcPr>
                        <w:tcW w:w="274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22,127.42</w:t>
                        </w:r>
                      </w:p>
                    </w:tc>
                    <w:tc>
                      <w:tcPr>
                        <w:tcW w:w="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21,844.83</w:t>
                        </w:r>
                      </w:p>
                    </w:tc>
                    <w:tc>
                      <w:tcPr>
                        <w:tcW w:w="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74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938" w:type="dxa"/>
                        <w:gridSpan w:val="10"/>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274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21"/>
                          <w:jc w:val="both"/>
                          <w:rPr>
                            <w:rFonts w:ascii="宋体" w:hAnsi="宋体" w:cs="宋体" w:eastAsia="宋体" w:hint="default"/>
                            <w:sz w:val="18"/>
                            <w:szCs w:val="18"/>
                          </w:rPr>
                        </w:pPr>
                        <w:r>
                          <w:rPr>
                            <w:rFonts w:ascii="宋体" w:hAnsi="宋体" w:cs="宋体" w:eastAsia="宋体" w:hint="default"/>
                            <w:sz w:val="18"/>
                            <w:szCs w:val="18"/>
                          </w:rPr>
                          <w:t>按类别对本期将发生的日常关联交 易进行总金额预计的，在报告期内 的实际履行情况</w:t>
                        </w:r>
                      </w:p>
                    </w:tc>
                    <w:tc>
                      <w:tcPr>
                        <w:tcW w:w="6938" w:type="dxa"/>
                        <w:gridSpan w:val="10"/>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预计向关联人采购原材料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22,770.25</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万元，实际发生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23,117.14 </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万元；向关联人销售产品</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2,436.50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万元，实际发生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2,878.42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4" w:hRule="exact"/>
                    </w:trPr>
                    <w:tc>
                      <w:tcPr>
                        <w:tcW w:w="274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21"/>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w:t>
                        </w:r>
                      </w:p>
                    </w:tc>
                    <w:tc>
                      <w:tcPr>
                        <w:tcW w:w="6938" w:type="dxa"/>
                        <w:gridSpan w:val="10"/>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87"/>
        <w:gridCol w:w="811"/>
        <w:gridCol w:w="796"/>
        <w:gridCol w:w="793"/>
        <w:gridCol w:w="808"/>
        <w:gridCol w:w="800"/>
        <w:gridCol w:w="796"/>
        <w:gridCol w:w="798"/>
        <w:gridCol w:w="797"/>
        <w:gridCol w:w="798"/>
        <w:gridCol w:w="796"/>
        <w:gridCol w:w="780"/>
      </w:tblGrid>
      <w:tr>
        <w:trPr>
          <w:trHeight w:val="1025" w:hRule="exact"/>
        </w:trPr>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8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5"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2" w:right="31"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7" w:right="24"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4" w:right="31"/>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33" w:firstLine="12"/>
              <w:jc w:val="both"/>
              <w:rPr>
                <w:rFonts w:ascii="宋体" w:hAnsi="宋体" w:cs="宋体" w:eastAsia="宋体" w:hint="default"/>
                <w:sz w:val="18"/>
                <w:szCs w:val="18"/>
              </w:rPr>
            </w:pPr>
            <w:r>
              <w:rPr>
                <w:rFonts w:ascii="宋体" w:hAnsi="宋体" w:cs="宋体" w:eastAsia="宋体" w:hint="default"/>
                <w:sz w:val="18"/>
                <w:szCs w:val="18"/>
              </w:rPr>
              <w:t>转让资产 的账面价 </w:t>
            </w:r>
            <w:r>
              <w:rPr>
                <w:rFonts w:ascii="宋体" w:hAnsi="宋体" w:cs="宋体" w:eastAsia="宋体" w:hint="default"/>
                <w:spacing w:val="-20"/>
                <w:sz w:val="18"/>
                <w:szCs w:val="18"/>
              </w:rPr>
              <w:t>值（万元）</w:t>
            </w:r>
            <w:r>
              <w:rPr>
                <w:rFonts w:ascii="宋体" w:hAnsi="宋体" w:cs="宋体" w:eastAsia="宋体" w:hint="default"/>
                <w:sz w:val="18"/>
                <w:szCs w:val="18"/>
              </w:rPr>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31" w:firstLine="9"/>
              <w:jc w:val="both"/>
              <w:rPr>
                <w:rFonts w:ascii="宋体" w:hAnsi="宋体" w:cs="宋体" w:eastAsia="宋体" w:hint="default"/>
                <w:sz w:val="18"/>
                <w:szCs w:val="18"/>
              </w:rPr>
            </w:pPr>
            <w:r>
              <w:rPr>
                <w:rFonts w:ascii="宋体" w:hAnsi="宋体" w:cs="宋体" w:eastAsia="宋体" w:hint="default"/>
                <w:sz w:val="18"/>
                <w:szCs w:val="18"/>
              </w:rPr>
              <w:t>转让资产 的评估价 </w:t>
            </w:r>
            <w:r>
              <w:rPr>
                <w:rFonts w:ascii="宋体" w:hAnsi="宋体" w:cs="宋体" w:eastAsia="宋体" w:hint="default"/>
                <w:spacing w:val="-18"/>
                <w:sz w:val="18"/>
                <w:szCs w:val="18"/>
              </w:rPr>
              <w:t>值（万元</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转让价格</w:t>
            </w:r>
          </w:p>
          <w:p>
            <w:pPr>
              <w:pStyle w:val="TableParagraph"/>
              <w:spacing w:line="196" w:lineRule="exact" w:before="76"/>
              <w:ind w:left="33" w:right="0"/>
              <w:jc w:val="left"/>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2" w:right="32"/>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76"/>
              <w:ind w:left="3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2" w:hRule="exact"/>
        </w:trPr>
        <w:tc>
          <w:tcPr>
            <w:tcW w:w="787" w:type="dxa"/>
            <w:tcBorders>
              <w:top w:val="single" w:sz="4" w:space="0" w:color="000000"/>
              <w:left w:val="single" w:sz="4" w:space="0" w:color="000000"/>
              <w:bottom w:val="nil" w:sz="6" w:space="0" w:color="auto"/>
              <w:right w:val="single" w:sz="4" w:space="0" w:color="000000"/>
            </w:tcBorders>
            <w:shd w:val="clear" w:color="auto" w:fill="C7EDCC"/>
          </w:tcPr>
          <w:p>
            <w:pPr/>
          </w:p>
        </w:tc>
        <w:tc>
          <w:tcPr>
            <w:tcW w:w="811" w:type="dxa"/>
            <w:vMerge w:val="restart"/>
            <w:tcBorders>
              <w:top w:val="single" w:sz="4" w:space="0" w:color="000000"/>
              <w:left w:val="single" w:sz="4" w:space="0" w:color="000000"/>
              <w:right w:val="single" w:sz="4" w:space="0" w:color="000000"/>
            </w:tcBorders>
            <w:shd w:val="clear" w:color="auto" w:fill="C7EDCC"/>
          </w:tcPr>
          <w:p>
            <w:pPr/>
          </w:p>
        </w:tc>
        <w:tc>
          <w:tcPr>
            <w:tcW w:w="796" w:type="dxa"/>
            <w:vMerge w:val="restart"/>
            <w:tcBorders>
              <w:top w:val="single" w:sz="4" w:space="0" w:color="000000"/>
              <w:left w:val="single" w:sz="4" w:space="0" w:color="000000"/>
              <w:right w:val="single" w:sz="4" w:space="0" w:color="000000"/>
            </w:tcBorders>
            <w:shd w:val="clear" w:color="auto" w:fill="C7EDCC"/>
          </w:tcPr>
          <w:p>
            <w:pPr/>
          </w:p>
        </w:tc>
        <w:tc>
          <w:tcPr>
            <w:tcW w:w="793" w:type="dxa"/>
            <w:vMerge w:val="restart"/>
            <w:tcBorders>
              <w:top w:val="single" w:sz="4" w:space="0" w:color="000000"/>
              <w:left w:val="single" w:sz="4" w:space="0" w:color="000000"/>
              <w:right w:val="single" w:sz="4" w:space="0" w:color="000000"/>
            </w:tcBorders>
            <w:shd w:val="clear" w:color="auto" w:fill="C7EDCC"/>
          </w:tcPr>
          <w:p>
            <w:pPr>
              <w:pStyle w:val="TableParagraph"/>
              <w:spacing w:line="312" w:lineRule="auto" w:before="52"/>
              <w:ind w:left="22" w:right="24"/>
              <w:jc w:val="both"/>
              <w:rPr>
                <w:rFonts w:ascii="宋体" w:hAnsi="宋体" w:cs="宋体" w:eastAsia="宋体" w:hint="default"/>
                <w:sz w:val="18"/>
                <w:szCs w:val="18"/>
              </w:rPr>
            </w:pPr>
            <w:r>
              <w:rPr>
                <w:rFonts w:ascii="宋体" w:hAnsi="宋体" w:cs="宋体" w:eastAsia="宋体" w:hint="default"/>
                <w:sz w:val="18"/>
                <w:szCs w:val="18"/>
              </w:rPr>
              <w:t>杭州萧文 置业有限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 </w:t>
            </w:r>
            <w:r>
              <w:rPr>
                <w:rFonts w:ascii="宋体" w:hAnsi="宋体" w:cs="宋体" w:eastAsia="宋体" w:hint="default"/>
                <w:sz w:val="18"/>
                <w:szCs w:val="18"/>
              </w:rPr>
              <w:t>股权</w:t>
            </w:r>
          </w:p>
        </w:tc>
        <w:tc>
          <w:tcPr>
            <w:tcW w:w="808" w:type="dxa"/>
            <w:vMerge w:val="restart"/>
            <w:tcBorders>
              <w:top w:val="single" w:sz="4" w:space="0" w:color="000000"/>
              <w:left w:val="single" w:sz="4" w:space="0" w:color="000000"/>
              <w:right w:val="single" w:sz="4" w:space="0" w:color="000000"/>
            </w:tcBorders>
            <w:shd w:val="clear" w:color="auto" w:fill="C7EDCC"/>
          </w:tcPr>
          <w:p>
            <w:pPr/>
          </w:p>
        </w:tc>
        <w:tc>
          <w:tcPr>
            <w:tcW w:w="800" w:type="dxa"/>
            <w:vMerge w:val="restart"/>
            <w:tcBorders>
              <w:top w:val="single" w:sz="4" w:space="0" w:color="000000"/>
              <w:left w:val="single" w:sz="9" w:space="0" w:color="C7EDCC"/>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30,817.33</w:t>
            </w: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30,817.33</w:t>
            </w:r>
          </w:p>
        </w:tc>
        <w:tc>
          <w:tcPr>
            <w:tcW w:w="798" w:type="dxa"/>
            <w:vMerge w:val="restart"/>
            <w:tcBorders>
              <w:top w:val="single" w:sz="4" w:space="0" w:color="000000"/>
              <w:left w:val="single" w:sz="4" w:space="0" w:color="000000"/>
              <w:right w:val="single" w:sz="9" w:space="0" w:color="C7EDCC"/>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30,817.33</w:t>
            </w:r>
          </w:p>
        </w:tc>
        <w:tc>
          <w:tcPr>
            <w:tcW w:w="797" w:type="dxa"/>
            <w:vMerge w:val="restart"/>
            <w:tcBorders>
              <w:top w:val="single" w:sz="4" w:space="0" w:color="000000"/>
              <w:left w:val="single" w:sz="4" w:space="0" w:color="000000"/>
              <w:right w:val="single" w:sz="4" w:space="0" w:color="000000"/>
            </w:tcBorders>
            <w:shd w:val="clear" w:color="auto" w:fill="C7EDCC"/>
          </w:tcPr>
          <w:p>
            <w:pPr/>
          </w:p>
        </w:tc>
        <w:tc>
          <w:tcPr>
            <w:tcW w:w="798" w:type="dxa"/>
            <w:vMerge w:val="restart"/>
            <w:tcBorders>
              <w:top w:val="single" w:sz="4" w:space="0" w:color="000000"/>
              <w:left w:val="single" w:sz="9" w:space="0" w:color="C7EDCC"/>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6" w:type="dxa"/>
            <w:vMerge w:val="restart"/>
            <w:tcBorders>
              <w:top w:val="single" w:sz="4" w:space="0" w:color="000000"/>
              <w:left w:val="single" w:sz="4" w:space="0" w:color="000000"/>
              <w:right w:val="single" w:sz="9" w:space="0" w:color="C7EDCC"/>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vMerge w:val="restart"/>
            <w:tcBorders>
              <w:top w:val="single" w:sz="4" w:space="0" w:color="000000"/>
              <w:left w:val="single" w:sz="4" w:space="0" w:color="000000"/>
              <w:right w:val="single" w:sz="4" w:space="0" w:color="000000"/>
            </w:tcBorders>
            <w:shd w:val="clear" w:color="auto" w:fill="C7EDCC"/>
          </w:tcPr>
          <w:p>
            <w:pPr/>
          </w:p>
        </w:tc>
      </w:tr>
      <w:tr>
        <w:trPr>
          <w:trHeight w:val="156" w:hRule="exact"/>
        </w:trPr>
        <w:tc>
          <w:tcPr>
            <w:tcW w:w="787" w:type="dxa"/>
            <w:vMerge w:val="restart"/>
            <w:tcBorders>
              <w:top w:val="nil" w:sz="6" w:space="0" w:color="auto"/>
              <w:left w:val="single" w:sz="4" w:space="0" w:color="000000"/>
              <w:right w:val="single" w:sz="4" w:space="0" w:color="000000"/>
            </w:tcBorders>
            <w:shd w:val="clear" w:color="auto" w:fill="C7EDCC"/>
          </w:tcPr>
          <w:p>
            <w:pPr>
              <w:pStyle w:val="TableParagraph"/>
              <w:spacing w:line="316" w:lineRule="auto" w:before="51"/>
              <w:ind w:left="22" w:right="32"/>
              <w:jc w:val="both"/>
              <w:rPr>
                <w:rFonts w:ascii="宋体" w:hAnsi="宋体" w:cs="宋体" w:eastAsia="宋体" w:hint="default"/>
                <w:sz w:val="18"/>
                <w:szCs w:val="18"/>
              </w:rPr>
            </w:pPr>
            <w:r>
              <w:rPr>
                <w:rFonts w:ascii="宋体" w:hAnsi="宋体" w:cs="宋体" w:eastAsia="宋体" w:hint="default"/>
                <w:sz w:val="18"/>
                <w:szCs w:val="18"/>
              </w:rPr>
              <w:t>杭州日报 报业集团 有限公司</w:t>
            </w:r>
          </w:p>
        </w:tc>
        <w:tc>
          <w:tcPr>
            <w:tcW w:w="811" w:type="dxa"/>
            <w:vMerge/>
            <w:tcBorders>
              <w:left w:val="single" w:sz="4" w:space="0" w:color="000000"/>
              <w:bottom w:val="nil" w:sz="6" w:space="0" w:color="auto"/>
              <w:right w:val="single" w:sz="4" w:space="0" w:color="000000"/>
            </w:tcBorders>
            <w:shd w:val="clear" w:color="auto" w:fill="C7EDCC"/>
          </w:tcPr>
          <w:p>
            <w:pPr/>
          </w:p>
        </w:tc>
        <w:tc>
          <w:tcPr>
            <w:tcW w:w="796" w:type="dxa"/>
            <w:vMerge/>
            <w:tcBorders>
              <w:left w:val="single" w:sz="4" w:space="0" w:color="000000"/>
              <w:bottom w:val="nil" w:sz="6" w:space="0" w:color="auto"/>
              <w:right w:val="single" w:sz="4" w:space="0" w:color="000000"/>
            </w:tcBorders>
            <w:shd w:val="clear" w:color="auto" w:fill="C7EDCC"/>
          </w:tcPr>
          <w:p>
            <w:pPr/>
          </w:p>
        </w:tc>
        <w:tc>
          <w:tcPr>
            <w:tcW w:w="793" w:type="dxa"/>
            <w:vMerge/>
            <w:tcBorders>
              <w:left w:val="single" w:sz="4" w:space="0" w:color="000000"/>
              <w:right w:val="single" w:sz="4" w:space="0" w:color="000000"/>
            </w:tcBorders>
            <w:shd w:val="clear" w:color="auto" w:fill="C7EDCC"/>
          </w:tcPr>
          <w:p>
            <w:pPr/>
          </w:p>
        </w:tc>
        <w:tc>
          <w:tcPr>
            <w:tcW w:w="808" w:type="dxa"/>
            <w:vMerge/>
            <w:tcBorders>
              <w:left w:val="single" w:sz="4" w:space="0" w:color="000000"/>
              <w:right w:val="single" w:sz="4" w:space="0" w:color="000000"/>
            </w:tcBorders>
            <w:shd w:val="clear" w:color="auto" w:fill="C7EDCC"/>
          </w:tcPr>
          <w:p>
            <w:pPr/>
          </w:p>
        </w:tc>
        <w:tc>
          <w:tcPr>
            <w:tcW w:w="800" w:type="dxa"/>
            <w:vMerge/>
            <w:tcBorders>
              <w:left w:val="single" w:sz="9" w:space="0" w:color="C7EDCC"/>
              <w:right w:val="single" w:sz="4" w:space="0" w:color="000000"/>
            </w:tcBorders>
          </w:tcPr>
          <w:p>
            <w:pPr/>
          </w:p>
        </w:tc>
        <w:tc>
          <w:tcPr>
            <w:tcW w:w="796" w:type="dxa"/>
            <w:vMerge/>
            <w:tcBorders>
              <w:left w:val="single" w:sz="4" w:space="0" w:color="000000"/>
              <w:right w:val="single" w:sz="4" w:space="0" w:color="000000"/>
            </w:tcBorders>
          </w:tcPr>
          <w:p>
            <w:pPr/>
          </w:p>
        </w:tc>
        <w:tc>
          <w:tcPr>
            <w:tcW w:w="798" w:type="dxa"/>
            <w:vMerge/>
            <w:tcBorders>
              <w:left w:val="single" w:sz="4" w:space="0" w:color="000000"/>
              <w:right w:val="single" w:sz="9" w:space="0" w:color="C7EDCC"/>
            </w:tcBorders>
          </w:tcPr>
          <w:p>
            <w:pPr/>
          </w:p>
        </w:tc>
        <w:tc>
          <w:tcPr>
            <w:tcW w:w="797" w:type="dxa"/>
            <w:vMerge/>
            <w:tcBorders>
              <w:left w:val="single" w:sz="4" w:space="0" w:color="000000"/>
              <w:right w:val="single" w:sz="4" w:space="0" w:color="000000"/>
            </w:tcBorders>
            <w:shd w:val="clear" w:color="auto" w:fill="C7EDCC"/>
          </w:tcPr>
          <w:p>
            <w:pPr/>
          </w:p>
        </w:tc>
        <w:tc>
          <w:tcPr>
            <w:tcW w:w="798" w:type="dxa"/>
            <w:vMerge/>
            <w:tcBorders>
              <w:left w:val="single" w:sz="9" w:space="0" w:color="C7EDCC"/>
              <w:right w:val="single" w:sz="4" w:space="0" w:color="000000"/>
            </w:tcBorders>
          </w:tcPr>
          <w:p>
            <w:pPr/>
          </w:p>
        </w:tc>
        <w:tc>
          <w:tcPr>
            <w:tcW w:w="796" w:type="dxa"/>
            <w:vMerge/>
            <w:tcBorders>
              <w:left w:val="single" w:sz="4" w:space="0" w:color="000000"/>
              <w:right w:val="single" w:sz="9" w:space="0" w:color="C7EDCC"/>
            </w:tcBorders>
          </w:tcPr>
          <w:p>
            <w:pPr/>
          </w:p>
        </w:tc>
        <w:tc>
          <w:tcPr>
            <w:tcW w:w="780" w:type="dxa"/>
            <w:vMerge/>
            <w:tcBorders>
              <w:left w:val="single" w:sz="4" w:space="0" w:color="000000"/>
              <w:bottom w:val="nil" w:sz="6" w:space="0" w:color="auto"/>
              <w:right w:val="single" w:sz="4" w:space="0" w:color="000000"/>
            </w:tcBorders>
            <w:shd w:val="clear" w:color="auto" w:fill="C7EDCC"/>
          </w:tcPr>
          <w:p>
            <w:pPr/>
          </w:p>
        </w:tc>
      </w:tr>
      <w:tr>
        <w:trPr>
          <w:trHeight w:val="156" w:hRule="exact"/>
        </w:trPr>
        <w:tc>
          <w:tcPr>
            <w:tcW w:w="787" w:type="dxa"/>
            <w:vMerge/>
            <w:tcBorders>
              <w:left w:val="single" w:sz="4" w:space="0" w:color="000000"/>
              <w:right w:val="single" w:sz="4" w:space="0" w:color="000000"/>
            </w:tcBorders>
            <w:shd w:val="clear" w:color="auto" w:fill="C7EDCC"/>
          </w:tcPr>
          <w:p>
            <w:pPr/>
          </w:p>
        </w:tc>
        <w:tc>
          <w:tcPr>
            <w:tcW w:w="811" w:type="dxa"/>
            <w:vMerge w:val="restart"/>
            <w:tcBorders>
              <w:top w:val="nil" w:sz="6" w:space="0" w:color="auto"/>
              <w:left w:val="single" w:sz="4" w:space="0" w:color="000000"/>
              <w:right w:val="single" w:sz="4" w:space="0" w:color="000000"/>
            </w:tcBorders>
            <w:shd w:val="clear" w:color="auto" w:fill="C7EDCC"/>
          </w:tcPr>
          <w:p>
            <w:pPr>
              <w:pStyle w:val="TableParagraph"/>
              <w:spacing w:line="316" w:lineRule="auto" w:before="51"/>
              <w:ind w:left="34" w:right="44"/>
              <w:jc w:val="left"/>
              <w:rPr>
                <w:rFonts w:ascii="宋体" w:hAnsi="宋体" w:cs="宋体" w:eastAsia="宋体" w:hint="default"/>
                <w:sz w:val="18"/>
                <w:szCs w:val="18"/>
              </w:rPr>
            </w:pPr>
            <w:r>
              <w:rPr>
                <w:rFonts w:ascii="宋体" w:hAnsi="宋体" w:cs="宋体" w:eastAsia="宋体" w:hint="default"/>
                <w:sz w:val="18"/>
                <w:szCs w:val="18"/>
              </w:rPr>
              <w:t>本公司控 股股东</w:t>
            </w:r>
          </w:p>
        </w:tc>
        <w:tc>
          <w:tcPr>
            <w:tcW w:w="796" w:type="dxa"/>
            <w:vMerge w:val="restart"/>
            <w:tcBorders>
              <w:top w:val="nil" w:sz="6" w:space="0" w:color="auto"/>
              <w:left w:val="single" w:sz="4" w:space="0" w:color="000000"/>
              <w:right w:val="single" w:sz="4" w:space="0" w:color="000000"/>
            </w:tcBorders>
            <w:shd w:val="clear" w:color="auto" w:fill="C7EDCC"/>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向关联方 购买股权</w:t>
            </w:r>
          </w:p>
        </w:tc>
        <w:tc>
          <w:tcPr>
            <w:tcW w:w="793" w:type="dxa"/>
            <w:vMerge/>
            <w:tcBorders>
              <w:left w:val="single" w:sz="4" w:space="0" w:color="000000"/>
              <w:right w:val="single" w:sz="4" w:space="0" w:color="000000"/>
            </w:tcBorders>
            <w:shd w:val="clear" w:color="auto" w:fill="C7EDCC"/>
          </w:tcPr>
          <w:p>
            <w:pPr/>
          </w:p>
        </w:tc>
        <w:tc>
          <w:tcPr>
            <w:tcW w:w="808" w:type="dxa"/>
            <w:vMerge/>
            <w:tcBorders>
              <w:left w:val="single" w:sz="4" w:space="0" w:color="000000"/>
              <w:bottom w:val="nil" w:sz="6" w:space="0" w:color="auto"/>
              <w:right w:val="single" w:sz="4" w:space="0" w:color="000000"/>
            </w:tcBorders>
            <w:shd w:val="clear" w:color="auto" w:fill="C7EDCC"/>
          </w:tcPr>
          <w:p>
            <w:pPr/>
          </w:p>
        </w:tc>
        <w:tc>
          <w:tcPr>
            <w:tcW w:w="800" w:type="dxa"/>
            <w:vMerge/>
            <w:tcBorders>
              <w:left w:val="single" w:sz="9" w:space="0" w:color="C7EDCC"/>
              <w:right w:val="single" w:sz="4" w:space="0" w:color="000000"/>
            </w:tcBorders>
          </w:tcPr>
          <w:p>
            <w:pPr/>
          </w:p>
        </w:tc>
        <w:tc>
          <w:tcPr>
            <w:tcW w:w="796" w:type="dxa"/>
            <w:vMerge/>
            <w:tcBorders>
              <w:left w:val="single" w:sz="4" w:space="0" w:color="000000"/>
              <w:right w:val="single" w:sz="4" w:space="0" w:color="000000"/>
            </w:tcBorders>
          </w:tcPr>
          <w:p>
            <w:pPr/>
          </w:p>
        </w:tc>
        <w:tc>
          <w:tcPr>
            <w:tcW w:w="798" w:type="dxa"/>
            <w:vMerge/>
            <w:tcBorders>
              <w:left w:val="single" w:sz="4" w:space="0" w:color="000000"/>
              <w:right w:val="single" w:sz="9" w:space="0" w:color="C7EDCC"/>
            </w:tcBorders>
          </w:tcPr>
          <w:p>
            <w:pPr/>
          </w:p>
        </w:tc>
        <w:tc>
          <w:tcPr>
            <w:tcW w:w="797" w:type="dxa"/>
            <w:vMerge/>
            <w:tcBorders>
              <w:left w:val="single" w:sz="4" w:space="0" w:color="000000"/>
              <w:bottom w:val="nil" w:sz="6" w:space="0" w:color="auto"/>
              <w:right w:val="single" w:sz="4" w:space="0" w:color="000000"/>
            </w:tcBorders>
            <w:shd w:val="clear" w:color="auto" w:fill="C7EDCC"/>
          </w:tcPr>
          <w:p>
            <w:pPr/>
          </w:p>
        </w:tc>
        <w:tc>
          <w:tcPr>
            <w:tcW w:w="798" w:type="dxa"/>
            <w:vMerge/>
            <w:tcBorders>
              <w:left w:val="single" w:sz="9" w:space="0" w:color="C7EDCC"/>
              <w:right w:val="single" w:sz="4" w:space="0" w:color="000000"/>
            </w:tcBorders>
          </w:tcPr>
          <w:p>
            <w:pPr/>
          </w:p>
        </w:tc>
        <w:tc>
          <w:tcPr>
            <w:tcW w:w="796" w:type="dxa"/>
            <w:vMerge/>
            <w:tcBorders>
              <w:left w:val="single" w:sz="4" w:space="0" w:color="000000"/>
              <w:right w:val="single" w:sz="9" w:space="0" w:color="C7EDCC"/>
            </w:tcBorders>
          </w:tcPr>
          <w:p>
            <w:pPr/>
          </w:p>
        </w:tc>
        <w:tc>
          <w:tcPr>
            <w:tcW w:w="780" w:type="dxa"/>
            <w:vMerge w:val="restart"/>
            <w:tcBorders>
              <w:top w:val="nil" w:sz="6" w:space="0" w:color="auto"/>
              <w:left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2018-055</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391" w:hRule="exact"/>
        </w:trPr>
        <w:tc>
          <w:tcPr>
            <w:tcW w:w="787" w:type="dxa"/>
            <w:vMerge/>
            <w:tcBorders>
              <w:left w:val="single" w:sz="4" w:space="0" w:color="000000"/>
              <w:right w:val="single" w:sz="4" w:space="0" w:color="000000"/>
            </w:tcBorders>
            <w:shd w:val="clear" w:color="auto" w:fill="C7EDCC"/>
          </w:tcPr>
          <w:p>
            <w:pPr/>
          </w:p>
        </w:tc>
        <w:tc>
          <w:tcPr>
            <w:tcW w:w="811" w:type="dxa"/>
            <w:vMerge/>
            <w:tcBorders>
              <w:left w:val="single" w:sz="4" w:space="0" w:color="000000"/>
              <w:right w:val="single" w:sz="4" w:space="0" w:color="000000"/>
            </w:tcBorders>
            <w:shd w:val="clear" w:color="auto" w:fill="C7EDCC"/>
          </w:tcPr>
          <w:p>
            <w:pPr/>
          </w:p>
        </w:tc>
        <w:tc>
          <w:tcPr>
            <w:tcW w:w="796" w:type="dxa"/>
            <w:vMerge/>
            <w:tcBorders>
              <w:left w:val="single" w:sz="4" w:space="0" w:color="000000"/>
              <w:right w:val="single" w:sz="4" w:space="0" w:color="000000"/>
            </w:tcBorders>
            <w:shd w:val="clear" w:color="auto" w:fill="C7EDCC"/>
          </w:tcPr>
          <w:p>
            <w:pPr/>
          </w:p>
        </w:tc>
        <w:tc>
          <w:tcPr>
            <w:tcW w:w="793" w:type="dxa"/>
            <w:vMerge/>
            <w:tcBorders>
              <w:left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协议转让</w:t>
            </w:r>
          </w:p>
        </w:tc>
        <w:tc>
          <w:tcPr>
            <w:tcW w:w="800" w:type="dxa"/>
            <w:vMerge/>
            <w:tcBorders>
              <w:left w:val="single" w:sz="9" w:space="0" w:color="C7EDCC"/>
              <w:right w:val="single" w:sz="4" w:space="0" w:color="000000"/>
            </w:tcBorders>
          </w:tcPr>
          <w:p>
            <w:pPr/>
          </w:p>
        </w:tc>
        <w:tc>
          <w:tcPr>
            <w:tcW w:w="796" w:type="dxa"/>
            <w:vMerge/>
            <w:tcBorders>
              <w:left w:val="single" w:sz="4" w:space="0" w:color="000000"/>
              <w:right w:val="single" w:sz="4" w:space="0" w:color="000000"/>
            </w:tcBorders>
          </w:tcPr>
          <w:p>
            <w:pPr/>
          </w:p>
        </w:tc>
        <w:tc>
          <w:tcPr>
            <w:tcW w:w="798" w:type="dxa"/>
            <w:vMerge/>
            <w:tcBorders>
              <w:left w:val="single" w:sz="4" w:space="0" w:color="000000"/>
              <w:right w:val="single" w:sz="9" w:space="0" w:color="C7EDCC"/>
            </w:tcBorders>
          </w:tcPr>
          <w:p>
            <w:pPr/>
          </w:p>
        </w:tc>
        <w:tc>
          <w:tcPr>
            <w:tcW w:w="79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现金结算</w:t>
            </w:r>
          </w:p>
        </w:tc>
        <w:tc>
          <w:tcPr>
            <w:tcW w:w="798" w:type="dxa"/>
            <w:vMerge/>
            <w:tcBorders>
              <w:left w:val="single" w:sz="9" w:space="0" w:color="C7EDCC"/>
              <w:right w:val="single" w:sz="4" w:space="0" w:color="000000"/>
            </w:tcBorders>
          </w:tcPr>
          <w:p>
            <w:pPr/>
          </w:p>
        </w:tc>
        <w:tc>
          <w:tcPr>
            <w:tcW w:w="796" w:type="dxa"/>
            <w:vMerge/>
            <w:tcBorders>
              <w:left w:val="single" w:sz="4" w:space="0" w:color="000000"/>
              <w:right w:val="single" w:sz="9" w:space="0" w:color="C7EDCC"/>
            </w:tcBorders>
          </w:tcPr>
          <w:p>
            <w:pPr/>
          </w:p>
        </w:tc>
        <w:tc>
          <w:tcPr>
            <w:tcW w:w="780" w:type="dxa"/>
            <w:vMerge/>
            <w:tcBorders>
              <w:left w:val="single" w:sz="4" w:space="0" w:color="000000"/>
              <w:right w:val="single" w:sz="4" w:space="0" w:color="000000"/>
            </w:tcBorders>
            <w:shd w:val="clear" w:color="auto" w:fill="C7EDCC"/>
          </w:tcPr>
          <w:p>
            <w:pPr/>
          </w:p>
        </w:tc>
      </w:tr>
      <w:tr>
        <w:trPr>
          <w:trHeight w:val="156" w:hRule="exact"/>
        </w:trPr>
        <w:tc>
          <w:tcPr>
            <w:tcW w:w="787" w:type="dxa"/>
            <w:vMerge/>
            <w:tcBorders>
              <w:left w:val="single" w:sz="4" w:space="0" w:color="000000"/>
              <w:right w:val="single" w:sz="4" w:space="0" w:color="000000"/>
            </w:tcBorders>
            <w:shd w:val="clear" w:color="auto" w:fill="C7EDCC"/>
          </w:tcPr>
          <w:p>
            <w:pPr/>
          </w:p>
        </w:tc>
        <w:tc>
          <w:tcPr>
            <w:tcW w:w="811" w:type="dxa"/>
            <w:vMerge/>
            <w:tcBorders>
              <w:left w:val="single" w:sz="4" w:space="0" w:color="000000"/>
              <w:bottom w:val="nil" w:sz="6" w:space="0" w:color="auto"/>
              <w:right w:val="single" w:sz="4" w:space="0" w:color="000000"/>
            </w:tcBorders>
            <w:shd w:val="clear" w:color="auto" w:fill="C7EDCC"/>
          </w:tcPr>
          <w:p>
            <w:pPr/>
          </w:p>
        </w:tc>
        <w:tc>
          <w:tcPr>
            <w:tcW w:w="796" w:type="dxa"/>
            <w:vMerge/>
            <w:tcBorders>
              <w:left w:val="single" w:sz="4" w:space="0" w:color="000000"/>
              <w:bottom w:val="nil" w:sz="6" w:space="0" w:color="auto"/>
              <w:right w:val="single" w:sz="4" w:space="0" w:color="000000"/>
            </w:tcBorders>
            <w:shd w:val="clear" w:color="auto" w:fill="C7EDCC"/>
          </w:tcPr>
          <w:p>
            <w:pPr/>
          </w:p>
        </w:tc>
        <w:tc>
          <w:tcPr>
            <w:tcW w:w="793" w:type="dxa"/>
            <w:vMerge/>
            <w:tcBorders>
              <w:left w:val="single" w:sz="4" w:space="0" w:color="000000"/>
              <w:right w:val="single" w:sz="4" w:space="0" w:color="000000"/>
            </w:tcBorders>
            <w:shd w:val="clear" w:color="auto" w:fill="C7EDCC"/>
          </w:tcPr>
          <w:p>
            <w:pPr/>
          </w:p>
        </w:tc>
        <w:tc>
          <w:tcPr>
            <w:tcW w:w="808" w:type="dxa"/>
            <w:vMerge w:val="restart"/>
            <w:tcBorders>
              <w:top w:val="nil" w:sz="6" w:space="0" w:color="auto"/>
              <w:left w:val="single" w:sz="4" w:space="0" w:color="000000"/>
              <w:right w:val="single" w:sz="4" w:space="0" w:color="000000"/>
            </w:tcBorders>
            <w:shd w:val="clear" w:color="auto" w:fill="C7EDCC"/>
          </w:tcPr>
          <w:p>
            <w:pPr/>
          </w:p>
        </w:tc>
        <w:tc>
          <w:tcPr>
            <w:tcW w:w="800" w:type="dxa"/>
            <w:vMerge/>
            <w:tcBorders>
              <w:left w:val="single" w:sz="9" w:space="0" w:color="C7EDCC"/>
              <w:right w:val="single" w:sz="4" w:space="0" w:color="000000"/>
            </w:tcBorders>
          </w:tcPr>
          <w:p>
            <w:pPr/>
          </w:p>
        </w:tc>
        <w:tc>
          <w:tcPr>
            <w:tcW w:w="796" w:type="dxa"/>
            <w:vMerge/>
            <w:tcBorders>
              <w:left w:val="single" w:sz="4" w:space="0" w:color="000000"/>
              <w:right w:val="single" w:sz="4" w:space="0" w:color="000000"/>
            </w:tcBorders>
          </w:tcPr>
          <w:p>
            <w:pPr/>
          </w:p>
        </w:tc>
        <w:tc>
          <w:tcPr>
            <w:tcW w:w="798" w:type="dxa"/>
            <w:vMerge/>
            <w:tcBorders>
              <w:left w:val="single" w:sz="4" w:space="0" w:color="000000"/>
              <w:right w:val="single" w:sz="9" w:space="0" w:color="C7EDCC"/>
            </w:tcBorders>
          </w:tcPr>
          <w:p>
            <w:pPr/>
          </w:p>
        </w:tc>
        <w:tc>
          <w:tcPr>
            <w:tcW w:w="797" w:type="dxa"/>
            <w:vMerge w:val="restart"/>
            <w:tcBorders>
              <w:top w:val="nil" w:sz="6" w:space="0" w:color="auto"/>
              <w:left w:val="single" w:sz="4" w:space="0" w:color="000000"/>
              <w:right w:val="single" w:sz="4" w:space="0" w:color="000000"/>
            </w:tcBorders>
            <w:shd w:val="clear" w:color="auto" w:fill="C7EDCC"/>
          </w:tcPr>
          <w:p>
            <w:pPr/>
          </w:p>
        </w:tc>
        <w:tc>
          <w:tcPr>
            <w:tcW w:w="798" w:type="dxa"/>
            <w:vMerge/>
            <w:tcBorders>
              <w:left w:val="single" w:sz="9" w:space="0" w:color="C7EDCC"/>
              <w:right w:val="single" w:sz="4" w:space="0" w:color="000000"/>
            </w:tcBorders>
          </w:tcPr>
          <w:p>
            <w:pPr/>
          </w:p>
        </w:tc>
        <w:tc>
          <w:tcPr>
            <w:tcW w:w="796" w:type="dxa"/>
            <w:vMerge/>
            <w:tcBorders>
              <w:left w:val="single" w:sz="4" w:space="0" w:color="000000"/>
              <w:right w:val="single" w:sz="9" w:space="0" w:color="C7EDCC"/>
            </w:tcBorders>
          </w:tcPr>
          <w:p>
            <w:pPr/>
          </w:p>
        </w:tc>
        <w:tc>
          <w:tcPr>
            <w:tcW w:w="780" w:type="dxa"/>
            <w:vMerge/>
            <w:tcBorders>
              <w:left w:val="single" w:sz="4" w:space="0" w:color="000000"/>
              <w:bottom w:val="nil" w:sz="6" w:space="0" w:color="auto"/>
              <w:right w:val="single" w:sz="4" w:space="0" w:color="000000"/>
            </w:tcBorders>
            <w:shd w:val="clear" w:color="auto" w:fill="C7EDCC"/>
          </w:tcPr>
          <w:p>
            <w:pPr/>
          </w:p>
        </w:tc>
      </w:tr>
      <w:tr>
        <w:trPr>
          <w:trHeight w:val="156" w:hRule="exact"/>
        </w:trPr>
        <w:tc>
          <w:tcPr>
            <w:tcW w:w="787" w:type="dxa"/>
            <w:vMerge/>
            <w:tcBorders>
              <w:left w:val="single" w:sz="4" w:space="0" w:color="000000"/>
              <w:bottom w:val="nil" w:sz="6" w:space="0" w:color="auto"/>
              <w:right w:val="single" w:sz="4" w:space="0" w:color="000000"/>
            </w:tcBorders>
            <w:shd w:val="clear" w:color="auto" w:fill="C7EDCC"/>
          </w:tcPr>
          <w:p>
            <w:pPr/>
          </w:p>
        </w:tc>
        <w:tc>
          <w:tcPr>
            <w:tcW w:w="811" w:type="dxa"/>
            <w:vMerge w:val="restart"/>
            <w:tcBorders>
              <w:top w:val="nil" w:sz="6" w:space="0" w:color="auto"/>
              <w:left w:val="single" w:sz="4" w:space="0" w:color="000000"/>
              <w:right w:val="single" w:sz="4" w:space="0" w:color="000000"/>
            </w:tcBorders>
            <w:shd w:val="clear" w:color="auto" w:fill="C7EDCC"/>
          </w:tcPr>
          <w:p>
            <w:pPr/>
          </w:p>
        </w:tc>
        <w:tc>
          <w:tcPr>
            <w:tcW w:w="796" w:type="dxa"/>
            <w:vMerge w:val="restart"/>
            <w:tcBorders>
              <w:top w:val="nil" w:sz="6" w:space="0" w:color="auto"/>
              <w:left w:val="single" w:sz="4" w:space="0" w:color="000000"/>
              <w:right w:val="single" w:sz="4" w:space="0" w:color="000000"/>
            </w:tcBorders>
            <w:shd w:val="clear" w:color="auto" w:fill="C7EDCC"/>
          </w:tcPr>
          <w:p>
            <w:pPr/>
          </w:p>
        </w:tc>
        <w:tc>
          <w:tcPr>
            <w:tcW w:w="793" w:type="dxa"/>
            <w:vMerge/>
            <w:tcBorders>
              <w:left w:val="single" w:sz="4" w:space="0" w:color="000000"/>
              <w:right w:val="single" w:sz="4" w:space="0" w:color="000000"/>
            </w:tcBorders>
            <w:shd w:val="clear" w:color="auto" w:fill="C7EDCC"/>
          </w:tcPr>
          <w:p>
            <w:pPr/>
          </w:p>
        </w:tc>
        <w:tc>
          <w:tcPr>
            <w:tcW w:w="808" w:type="dxa"/>
            <w:vMerge/>
            <w:tcBorders>
              <w:left w:val="single" w:sz="4" w:space="0" w:color="000000"/>
              <w:right w:val="single" w:sz="4" w:space="0" w:color="000000"/>
            </w:tcBorders>
            <w:shd w:val="clear" w:color="auto" w:fill="C7EDCC"/>
          </w:tcPr>
          <w:p>
            <w:pPr/>
          </w:p>
        </w:tc>
        <w:tc>
          <w:tcPr>
            <w:tcW w:w="800" w:type="dxa"/>
            <w:vMerge/>
            <w:tcBorders>
              <w:left w:val="single" w:sz="9" w:space="0" w:color="C7EDCC"/>
              <w:right w:val="single" w:sz="4" w:space="0" w:color="000000"/>
            </w:tcBorders>
          </w:tcPr>
          <w:p>
            <w:pPr/>
          </w:p>
        </w:tc>
        <w:tc>
          <w:tcPr>
            <w:tcW w:w="796" w:type="dxa"/>
            <w:vMerge/>
            <w:tcBorders>
              <w:left w:val="single" w:sz="4" w:space="0" w:color="000000"/>
              <w:right w:val="single" w:sz="4" w:space="0" w:color="000000"/>
            </w:tcBorders>
          </w:tcPr>
          <w:p>
            <w:pPr/>
          </w:p>
        </w:tc>
        <w:tc>
          <w:tcPr>
            <w:tcW w:w="798" w:type="dxa"/>
            <w:vMerge/>
            <w:tcBorders>
              <w:left w:val="single" w:sz="4" w:space="0" w:color="000000"/>
              <w:right w:val="single" w:sz="9" w:space="0" w:color="C7EDCC"/>
            </w:tcBorders>
          </w:tcPr>
          <w:p>
            <w:pPr/>
          </w:p>
        </w:tc>
        <w:tc>
          <w:tcPr>
            <w:tcW w:w="797" w:type="dxa"/>
            <w:vMerge/>
            <w:tcBorders>
              <w:left w:val="single" w:sz="4" w:space="0" w:color="000000"/>
              <w:right w:val="single" w:sz="4" w:space="0" w:color="000000"/>
            </w:tcBorders>
            <w:shd w:val="clear" w:color="auto" w:fill="C7EDCC"/>
          </w:tcPr>
          <w:p>
            <w:pPr/>
          </w:p>
        </w:tc>
        <w:tc>
          <w:tcPr>
            <w:tcW w:w="798" w:type="dxa"/>
            <w:vMerge/>
            <w:tcBorders>
              <w:left w:val="single" w:sz="9" w:space="0" w:color="C7EDCC"/>
              <w:right w:val="single" w:sz="4" w:space="0" w:color="000000"/>
            </w:tcBorders>
          </w:tcPr>
          <w:p>
            <w:pPr/>
          </w:p>
        </w:tc>
        <w:tc>
          <w:tcPr>
            <w:tcW w:w="796" w:type="dxa"/>
            <w:vMerge/>
            <w:tcBorders>
              <w:left w:val="single" w:sz="4" w:space="0" w:color="000000"/>
              <w:right w:val="single" w:sz="9" w:space="0" w:color="C7EDCC"/>
            </w:tcBorders>
          </w:tcPr>
          <w:p>
            <w:pPr/>
          </w:p>
        </w:tc>
        <w:tc>
          <w:tcPr>
            <w:tcW w:w="780" w:type="dxa"/>
            <w:vMerge w:val="restart"/>
            <w:tcBorders>
              <w:top w:val="nil" w:sz="6" w:space="0" w:color="auto"/>
              <w:left w:val="single" w:sz="4" w:space="0" w:color="000000"/>
              <w:right w:val="single" w:sz="4" w:space="0" w:color="000000"/>
            </w:tcBorders>
            <w:shd w:val="clear" w:color="auto" w:fill="C7EDCC"/>
          </w:tcPr>
          <w:p>
            <w:pPr/>
          </w:p>
        </w:tc>
      </w:tr>
      <w:tr>
        <w:trPr>
          <w:trHeight w:val="162" w:hRule="exact"/>
        </w:trPr>
        <w:tc>
          <w:tcPr>
            <w:tcW w:w="787" w:type="dxa"/>
            <w:tcBorders>
              <w:top w:val="nil" w:sz="6" w:space="0" w:color="auto"/>
              <w:left w:val="single" w:sz="4" w:space="0" w:color="000000"/>
              <w:bottom w:val="single" w:sz="4" w:space="0" w:color="000000"/>
              <w:right w:val="single" w:sz="4" w:space="0" w:color="000000"/>
            </w:tcBorders>
            <w:shd w:val="clear" w:color="auto" w:fill="C7EDCC"/>
          </w:tcPr>
          <w:p>
            <w:pPr/>
          </w:p>
        </w:tc>
        <w:tc>
          <w:tcPr>
            <w:tcW w:w="811" w:type="dxa"/>
            <w:vMerge/>
            <w:tcBorders>
              <w:left w:val="single" w:sz="4" w:space="0" w:color="000000"/>
              <w:bottom w:val="single" w:sz="4" w:space="0" w:color="000000"/>
              <w:right w:val="single" w:sz="4" w:space="0" w:color="000000"/>
            </w:tcBorders>
            <w:shd w:val="clear" w:color="auto" w:fill="C7EDCC"/>
          </w:tcPr>
          <w:p>
            <w:pPr/>
          </w:p>
        </w:tc>
        <w:tc>
          <w:tcPr>
            <w:tcW w:w="796" w:type="dxa"/>
            <w:vMerge/>
            <w:tcBorders>
              <w:left w:val="single" w:sz="4" w:space="0" w:color="000000"/>
              <w:bottom w:val="single" w:sz="4" w:space="0" w:color="000000"/>
              <w:right w:val="single" w:sz="4" w:space="0" w:color="000000"/>
            </w:tcBorders>
            <w:shd w:val="clear" w:color="auto" w:fill="C7EDCC"/>
          </w:tcPr>
          <w:p>
            <w:pPr/>
          </w:p>
        </w:tc>
        <w:tc>
          <w:tcPr>
            <w:tcW w:w="793" w:type="dxa"/>
            <w:vMerge/>
            <w:tcBorders>
              <w:left w:val="single" w:sz="4" w:space="0" w:color="000000"/>
              <w:bottom w:val="single" w:sz="4" w:space="0" w:color="000000"/>
              <w:right w:val="single" w:sz="4" w:space="0" w:color="000000"/>
            </w:tcBorders>
            <w:shd w:val="clear" w:color="auto" w:fill="C7EDCC"/>
          </w:tcPr>
          <w:p>
            <w:pPr/>
          </w:p>
        </w:tc>
        <w:tc>
          <w:tcPr>
            <w:tcW w:w="808" w:type="dxa"/>
            <w:vMerge/>
            <w:tcBorders>
              <w:left w:val="single" w:sz="4" w:space="0" w:color="000000"/>
              <w:bottom w:val="single" w:sz="4" w:space="0" w:color="000000"/>
              <w:right w:val="single" w:sz="4" w:space="0" w:color="000000"/>
            </w:tcBorders>
            <w:shd w:val="clear" w:color="auto" w:fill="C7EDCC"/>
          </w:tcPr>
          <w:p>
            <w:pPr/>
          </w:p>
        </w:tc>
        <w:tc>
          <w:tcPr>
            <w:tcW w:w="800" w:type="dxa"/>
            <w:vMerge/>
            <w:tcBorders>
              <w:left w:val="single" w:sz="9" w:space="0" w:color="C7EDCC"/>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9" w:space="0" w:color="C7EDCC"/>
            </w:tcBorders>
          </w:tcPr>
          <w:p>
            <w:pPr/>
          </w:p>
        </w:tc>
        <w:tc>
          <w:tcPr>
            <w:tcW w:w="797" w:type="dxa"/>
            <w:vMerge/>
            <w:tcBorders>
              <w:left w:val="single" w:sz="4" w:space="0" w:color="000000"/>
              <w:bottom w:val="single" w:sz="4" w:space="0" w:color="000000"/>
              <w:right w:val="single" w:sz="4" w:space="0" w:color="000000"/>
            </w:tcBorders>
            <w:shd w:val="clear" w:color="auto" w:fill="C7EDCC"/>
          </w:tcPr>
          <w:p>
            <w:pPr/>
          </w:p>
        </w:tc>
        <w:tc>
          <w:tcPr>
            <w:tcW w:w="798" w:type="dxa"/>
            <w:vMerge/>
            <w:tcBorders>
              <w:left w:val="single" w:sz="9" w:space="0" w:color="C7EDCC"/>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9" w:space="0" w:color="C7EDCC"/>
            </w:tcBorders>
          </w:tcPr>
          <w:p>
            <w:pPr/>
          </w:p>
        </w:tc>
        <w:tc>
          <w:tcPr>
            <w:tcW w:w="780" w:type="dxa"/>
            <w:vMerge/>
            <w:tcBorders>
              <w:left w:val="single" w:sz="4" w:space="0" w:color="000000"/>
              <w:bottom w:val="single" w:sz="4" w:space="0" w:color="000000"/>
              <w:right w:val="single" w:sz="4" w:space="0" w:color="000000"/>
            </w:tcBorders>
            <w:shd w:val="clear" w:color="auto" w:fill="C7EDCC"/>
          </w:tcPr>
          <w:p>
            <w:pPr/>
          </w:p>
        </w:tc>
      </w:tr>
      <w:tr>
        <w:trPr>
          <w:trHeight w:val="161" w:hRule="exact"/>
        </w:trPr>
        <w:tc>
          <w:tcPr>
            <w:tcW w:w="3187" w:type="dxa"/>
            <w:gridSpan w:val="4"/>
            <w:vMerge w:val="restart"/>
            <w:tcBorders>
              <w:top w:val="single" w:sz="4" w:space="0" w:color="000000"/>
              <w:left w:val="single" w:sz="4" w:space="0" w:color="000000"/>
              <w:right w:val="single" w:sz="9" w:space="0" w:color="C7EDCC"/>
            </w:tcBorders>
            <w:shd w:val="clear" w:color="auto" w:fill="D3D3D3"/>
          </w:tcPr>
          <w:p>
            <w:pPr>
              <w:pStyle w:val="TableParagraph"/>
              <w:spacing w:line="316"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转让价格与账面价值或评估价值差异较 大的原因</w:t>
            </w:r>
          </w:p>
        </w:tc>
        <w:tc>
          <w:tcPr>
            <w:tcW w:w="6372" w:type="dxa"/>
            <w:gridSpan w:val="8"/>
            <w:tcBorders>
              <w:top w:val="single" w:sz="4" w:space="0" w:color="000000"/>
              <w:left w:val="single" w:sz="13" w:space="0" w:color="D3D3D3"/>
              <w:bottom w:val="nil" w:sz="6" w:space="0" w:color="auto"/>
              <w:right w:val="single" w:sz="4" w:space="0" w:color="000000"/>
            </w:tcBorders>
            <w:shd w:val="clear" w:color="auto" w:fill="C7EDCC"/>
          </w:tcPr>
          <w:p>
            <w:pPr/>
          </w:p>
        </w:tc>
      </w:tr>
      <w:tr>
        <w:trPr>
          <w:trHeight w:val="391" w:hRule="exact"/>
        </w:trPr>
        <w:tc>
          <w:tcPr>
            <w:tcW w:w="3187" w:type="dxa"/>
            <w:gridSpan w:val="4"/>
            <w:vMerge/>
            <w:tcBorders>
              <w:left w:val="single" w:sz="4" w:space="0" w:color="000000"/>
              <w:right w:val="single" w:sz="9" w:space="0" w:color="C7EDCC"/>
            </w:tcBorders>
            <w:shd w:val="clear" w:color="auto" w:fill="D3D3D3"/>
          </w:tcPr>
          <w:p>
            <w:pPr/>
          </w:p>
        </w:tc>
        <w:tc>
          <w:tcPr>
            <w:tcW w:w="6372" w:type="dxa"/>
            <w:gridSpan w:val="8"/>
            <w:tcBorders>
              <w:top w:val="nil" w:sz="6" w:space="0" w:color="auto"/>
              <w:left w:val="single" w:sz="13" w:space="0" w:color="D3D3D3"/>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3187" w:type="dxa"/>
            <w:gridSpan w:val="4"/>
            <w:vMerge/>
            <w:tcBorders>
              <w:left w:val="single" w:sz="4" w:space="0" w:color="000000"/>
              <w:bottom w:val="single" w:sz="4" w:space="0" w:color="000000"/>
              <w:right w:val="single" w:sz="9" w:space="0" w:color="C7EDCC"/>
            </w:tcBorders>
            <w:shd w:val="clear" w:color="auto" w:fill="D3D3D3"/>
          </w:tcPr>
          <w:p>
            <w:pPr/>
          </w:p>
        </w:tc>
        <w:tc>
          <w:tcPr>
            <w:tcW w:w="6372" w:type="dxa"/>
            <w:gridSpan w:val="8"/>
            <w:tcBorders>
              <w:top w:val="nil" w:sz="6" w:space="0" w:color="auto"/>
              <w:left w:val="single" w:sz="13" w:space="0" w:color="D3D3D3"/>
              <w:bottom w:val="single" w:sz="4" w:space="0" w:color="000000"/>
              <w:right w:val="single" w:sz="4" w:space="0" w:color="000000"/>
            </w:tcBorders>
            <w:shd w:val="clear" w:color="auto" w:fill="C7EDCC"/>
          </w:tcPr>
          <w:p>
            <w:pPr/>
          </w:p>
        </w:tc>
      </w:tr>
      <w:tr>
        <w:trPr>
          <w:trHeight w:val="403" w:hRule="exact"/>
        </w:trPr>
        <w:tc>
          <w:tcPr>
            <w:tcW w:w="3187" w:type="dxa"/>
            <w:gridSpan w:val="4"/>
            <w:tcBorders>
              <w:top w:val="single" w:sz="4" w:space="0" w:color="000000"/>
              <w:left w:val="single" w:sz="4" w:space="0" w:color="000000"/>
              <w:bottom w:val="single" w:sz="4" w:space="0" w:color="000000"/>
              <w:right w:val="single" w:sz="9" w:space="0" w:color="C7EDCC"/>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对公司经营成果与财务状况的影响情况</w:t>
            </w:r>
          </w:p>
        </w:tc>
        <w:tc>
          <w:tcPr>
            <w:tcW w:w="6372" w:type="dxa"/>
            <w:gridSpan w:val="8"/>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该股权于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年完成交割。不会对公司经营成果与财务状况造成重大影响。</w:t>
            </w:r>
          </w:p>
        </w:tc>
      </w:tr>
      <w:tr>
        <w:trPr>
          <w:trHeight w:val="161" w:hRule="exact"/>
        </w:trPr>
        <w:tc>
          <w:tcPr>
            <w:tcW w:w="3187" w:type="dxa"/>
            <w:gridSpan w:val="4"/>
            <w:vMerge w:val="restart"/>
            <w:tcBorders>
              <w:top w:val="single" w:sz="4" w:space="0" w:color="000000"/>
              <w:left w:val="single" w:sz="4" w:space="0" w:color="000000"/>
              <w:right w:val="single" w:sz="9" w:space="0" w:color="C7EDCC"/>
            </w:tcBorders>
            <w:shd w:val="clear" w:color="auto" w:fill="D3D3D3"/>
          </w:tcPr>
          <w:p>
            <w:pPr>
              <w:pStyle w:val="TableParagraph"/>
              <w:spacing w:line="316"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如相关交易涉及业绩约定的，报告期内 的业绩实现情况</w:t>
            </w:r>
          </w:p>
        </w:tc>
        <w:tc>
          <w:tcPr>
            <w:tcW w:w="6372" w:type="dxa"/>
            <w:gridSpan w:val="8"/>
            <w:tcBorders>
              <w:top w:val="single" w:sz="4" w:space="0" w:color="000000"/>
              <w:left w:val="single" w:sz="13" w:space="0" w:color="D3D3D3"/>
              <w:bottom w:val="nil" w:sz="6" w:space="0" w:color="auto"/>
              <w:right w:val="single" w:sz="4" w:space="0" w:color="000000"/>
            </w:tcBorders>
            <w:shd w:val="clear" w:color="auto" w:fill="C7EDCC"/>
          </w:tcPr>
          <w:p>
            <w:pPr/>
          </w:p>
        </w:tc>
      </w:tr>
      <w:tr>
        <w:trPr>
          <w:trHeight w:val="391" w:hRule="exact"/>
        </w:trPr>
        <w:tc>
          <w:tcPr>
            <w:tcW w:w="3187" w:type="dxa"/>
            <w:gridSpan w:val="4"/>
            <w:vMerge/>
            <w:tcBorders>
              <w:left w:val="single" w:sz="4" w:space="0" w:color="000000"/>
              <w:right w:val="single" w:sz="9" w:space="0" w:color="C7EDCC"/>
            </w:tcBorders>
            <w:shd w:val="clear" w:color="auto" w:fill="D3D3D3"/>
          </w:tcPr>
          <w:p>
            <w:pPr/>
          </w:p>
        </w:tc>
        <w:tc>
          <w:tcPr>
            <w:tcW w:w="6372" w:type="dxa"/>
            <w:gridSpan w:val="8"/>
            <w:tcBorders>
              <w:top w:val="nil" w:sz="6" w:space="0" w:color="auto"/>
              <w:left w:val="single" w:sz="13" w:space="0" w:color="D3D3D3"/>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1" w:hRule="exact"/>
        </w:trPr>
        <w:tc>
          <w:tcPr>
            <w:tcW w:w="3187" w:type="dxa"/>
            <w:gridSpan w:val="4"/>
            <w:vMerge/>
            <w:tcBorders>
              <w:left w:val="single" w:sz="4" w:space="0" w:color="000000"/>
              <w:bottom w:val="single" w:sz="4" w:space="0" w:color="000000"/>
              <w:right w:val="single" w:sz="9" w:space="0" w:color="C7EDCC"/>
            </w:tcBorders>
            <w:shd w:val="clear" w:color="auto" w:fill="D3D3D3"/>
          </w:tcPr>
          <w:p>
            <w:pPr/>
          </w:p>
        </w:tc>
        <w:tc>
          <w:tcPr>
            <w:tcW w:w="6372" w:type="dxa"/>
            <w:gridSpan w:val="8"/>
            <w:tcBorders>
              <w:top w:val="nil" w:sz="6" w:space="0" w:color="auto"/>
              <w:left w:val="single" w:sz="13" w:space="0" w:color="D3D3D3"/>
              <w:bottom w:val="single" w:sz="4" w:space="0" w:color="000000"/>
              <w:right w:val="single" w:sz="4" w:space="0" w:color="000000"/>
            </w:tcBorders>
            <w:shd w:val="clear" w:color="auto" w:fill="C7EDCC"/>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053"/>
        <w:gridCol w:w="1085"/>
        <w:gridCol w:w="1076"/>
        <w:gridCol w:w="1224"/>
        <w:gridCol w:w="1080"/>
        <w:gridCol w:w="1350"/>
        <w:gridCol w:w="1346"/>
        <w:gridCol w:w="1342"/>
      </w:tblGrid>
      <w:tr>
        <w:trPr>
          <w:trHeight w:val="714" w:hRule="exact"/>
        </w:trPr>
        <w:tc>
          <w:tcPr>
            <w:tcW w:w="1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62" w:right="83"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2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47" w:right="65" w:hanging="180"/>
              <w:jc w:val="left"/>
              <w:rPr>
                <w:rFonts w:ascii="宋体" w:hAnsi="宋体" w:cs="宋体" w:eastAsia="宋体" w:hint="default"/>
                <w:sz w:val="18"/>
                <w:szCs w:val="18"/>
              </w:rPr>
            </w:pPr>
            <w:r>
              <w:rPr>
                <w:rFonts w:ascii="宋体" w:hAnsi="宋体" w:cs="宋体" w:eastAsia="宋体" w:hint="default"/>
                <w:sz w:val="18"/>
                <w:szCs w:val="18"/>
              </w:rPr>
              <w:t>被投资企业的 主营业务</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5" w:right="83"/>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3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29" w:right="38" w:hanging="90"/>
              <w:jc w:val="left"/>
              <w:rPr>
                <w:rFonts w:ascii="宋体" w:hAnsi="宋体" w:cs="宋体" w:eastAsia="宋体" w:hint="default"/>
                <w:sz w:val="18"/>
                <w:szCs w:val="18"/>
              </w:rPr>
            </w:pPr>
            <w:r>
              <w:rPr>
                <w:rFonts w:ascii="宋体" w:hAnsi="宋体" w:cs="宋体" w:eastAsia="宋体" w:hint="default"/>
                <w:sz w:val="18"/>
                <w:szCs w:val="18"/>
              </w:rPr>
              <w:t>被投资企业的总 资产（万元）</w:t>
            </w:r>
          </w:p>
        </w:tc>
        <w:tc>
          <w:tcPr>
            <w:tcW w:w="13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28" w:right="36" w:hanging="90"/>
              <w:jc w:val="left"/>
              <w:rPr>
                <w:rFonts w:ascii="宋体" w:hAnsi="宋体" w:cs="宋体" w:eastAsia="宋体" w:hint="default"/>
                <w:sz w:val="18"/>
                <w:szCs w:val="18"/>
              </w:rPr>
            </w:pPr>
            <w:r>
              <w:rPr>
                <w:rFonts w:ascii="宋体" w:hAnsi="宋体" w:cs="宋体" w:eastAsia="宋体" w:hint="default"/>
                <w:sz w:val="18"/>
                <w:szCs w:val="18"/>
              </w:rPr>
              <w:t>被投资企业的净 资产（万元）</w:t>
            </w:r>
          </w:p>
        </w:tc>
        <w:tc>
          <w:tcPr>
            <w:tcW w:w="13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25" w:right="35" w:hanging="90"/>
              <w:jc w:val="left"/>
              <w:rPr>
                <w:rFonts w:ascii="宋体" w:hAnsi="宋体" w:cs="宋体" w:eastAsia="宋体" w:hint="default"/>
                <w:sz w:val="18"/>
                <w:szCs w:val="18"/>
              </w:rPr>
            </w:pPr>
            <w:r>
              <w:rPr>
                <w:rFonts w:ascii="宋体" w:hAnsi="宋体" w:cs="宋体" w:eastAsia="宋体" w:hint="default"/>
                <w:sz w:val="18"/>
                <w:szCs w:val="18"/>
              </w:rPr>
              <w:t>被投资企业的净 利润（万元）</w:t>
            </w:r>
          </w:p>
        </w:tc>
      </w:tr>
      <w:tr>
        <w:trPr>
          <w:trHeight w:val="161" w:hRule="exact"/>
        </w:trPr>
        <w:tc>
          <w:tcPr>
            <w:tcW w:w="1053" w:type="dxa"/>
            <w:vMerge w:val="restart"/>
            <w:tcBorders>
              <w:top w:val="single" w:sz="4" w:space="0" w:color="000000"/>
              <w:left w:val="single" w:sz="4" w:space="0" w:color="000000"/>
              <w:right w:val="single" w:sz="4" w:space="0" w:color="000000"/>
            </w:tcBorders>
            <w:shd w:val="clear" w:color="auto" w:fill="C7EDCC"/>
          </w:tcPr>
          <w:p>
            <w:pPr>
              <w:pStyle w:val="TableParagraph"/>
              <w:spacing w:line="319" w:lineRule="auto" w:before="51"/>
              <w:ind w:left="11" w:right="131"/>
              <w:jc w:val="both"/>
              <w:rPr>
                <w:rFonts w:ascii="宋体" w:hAnsi="宋体" w:cs="宋体" w:eastAsia="宋体" w:hint="default"/>
                <w:sz w:val="18"/>
                <w:szCs w:val="18"/>
              </w:rPr>
            </w:pPr>
            <w:r>
              <w:rPr>
                <w:rFonts w:ascii="宋体" w:hAnsi="宋体" w:cs="宋体" w:eastAsia="宋体" w:hint="default"/>
                <w:sz w:val="18"/>
                <w:szCs w:val="18"/>
              </w:rPr>
              <w:t>杭州日报报 业集团有限 公司</w:t>
            </w:r>
          </w:p>
        </w:tc>
        <w:tc>
          <w:tcPr>
            <w:tcW w:w="1085" w:type="dxa"/>
            <w:tcBorders>
              <w:top w:val="single" w:sz="4" w:space="0" w:color="000000"/>
              <w:left w:val="single" w:sz="4" w:space="0" w:color="000000"/>
              <w:bottom w:val="nil" w:sz="6" w:space="0" w:color="auto"/>
              <w:right w:val="single" w:sz="4" w:space="0" w:color="000000"/>
            </w:tcBorders>
            <w:shd w:val="clear" w:color="auto" w:fill="C7EDCC"/>
          </w:tcPr>
          <w:p>
            <w:pPr/>
          </w:p>
        </w:tc>
        <w:tc>
          <w:tcPr>
            <w:tcW w:w="1076" w:type="dxa"/>
            <w:tcBorders>
              <w:top w:val="single" w:sz="4" w:space="0" w:color="000000"/>
              <w:left w:val="single" w:sz="4" w:space="0" w:color="000000"/>
              <w:bottom w:val="nil" w:sz="6" w:space="0" w:color="auto"/>
              <w:right w:val="single" w:sz="4" w:space="0" w:color="000000"/>
            </w:tcBorders>
            <w:shd w:val="clear" w:color="auto" w:fill="C7EDCC"/>
          </w:tcPr>
          <w:p>
            <w:pPr/>
          </w:p>
        </w:tc>
        <w:tc>
          <w:tcPr>
            <w:tcW w:w="1224" w:type="dxa"/>
            <w:tcBorders>
              <w:top w:val="single" w:sz="4" w:space="0" w:color="000000"/>
              <w:left w:val="single" w:sz="4" w:space="0" w:color="000000"/>
              <w:bottom w:val="nil" w:sz="6" w:space="0" w:color="auto"/>
              <w:right w:val="single" w:sz="4" w:space="0" w:color="000000"/>
            </w:tcBorders>
            <w:shd w:val="clear" w:color="auto" w:fill="C7EDCC"/>
          </w:tcPr>
          <w:p>
            <w:pPr/>
          </w:p>
        </w:tc>
        <w:tc>
          <w:tcPr>
            <w:tcW w:w="1080" w:type="dxa"/>
            <w:vMerge w:val="restart"/>
            <w:tcBorders>
              <w:top w:val="single" w:sz="4" w:space="0" w:color="000000"/>
              <w:left w:val="single" w:sz="4" w:space="0" w:color="000000"/>
              <w:right w:val="single" w:sz="4" w:space="0" w:color="000000"/>
            </w:tcBorders>
            <w:shd w:val="clear" w:color="auto" w:fill="C7EDCC"/>
          </w:tcPr>
          <w:p>
            <w:pPr/>
          </w:p>
        </w:tc>
        <w:tc>
          <w:tcPr>
            <w:tcW w:w="1350" w:type="dxa"/>
            <w:vMerge w:val="restart"/>
            <w:tcBorders>
              <w:top w:val="single" w:sz="4" w:space="0" w:color="000000"/>
              <w:left w:val="single" w:sz="9" w:space="0" w:color="C7EDCC"/>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9" w:right="0"/>
              <w:jc w:val="left"/>
              <w:rPr>
                <w:rFonts w:ascii="Times New Roman" w:hAnsi="Times New Roman" w:cs="Times New Roman" w:eastAsia="Times New Roman" w:hint="default"/>
                <w:sz w:val="18"/>
                <w:szCs w:val="18"/>
              </w:rPr>
            </w:pPr>
            <w:r>
              <w:rPr>
                <w:rFonts w:ascii="Times New Roman"/>
                <w:sz w:val="18"/>
              </w:rPr>
              <w:t>22,089.89</w:t>
            </w:r>
          </w:p>
        </w:tc>
        <w:tc>
          <w:tcPr>
            <w:tcW w:w="13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3" w:right="0"/>
              <w:jc w:val="left"/>
              <w:rPr>
                <w:rFonts w:ascii="Times New Roman" w:hAnsi="Times New Roman" w:cs="Times New Roman" w:eastAsia="Times New Roman" w:hint="default"/>
                <w:sz w:val="18"/>
                <w:szCs w:val="18"/>
              </w:rPr>
            </w:pPr>
            <w:r>
              <w:rPr>
                <w:rFonts w:ascii="Times New Roman"/>
                <w:sz w:val="18"/>
              </w:rPr>
              <w:t>15,294.81</w:t>
            </w:r>
          </w:p>
        </w:tc>
        <w:tc>
          <w:tcPr>
            <w:tcW w:w="13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54" w:right="0"/>
              <w:jc w:val="left"/>
              <w:rPr>
                <w:rFonts w:ascii="Times New Roman" w:hAnsi="Times New Roman" w:cs="Times New Roman" w:eastAsia="Times New Roman" w:hint="default"/>
                <w:sz w:val="18"/>
                <w:szCs w:val="18"/>
              </w:rPr>
            </w:pPr>
            <w:r>
              <w:rPr>
                <w:rFonts w:ascii="Times New Roman"/>
                <w:sz w:val="18"/>
              </w:rPr>
              <w:t>-136.22</w:t>
            </w:r>
          </w:p>
        </w:tc>
      </w:tr>
      <w:tr>
        <w:trPr>
          <w:trHeight w:val="156" w:hRule="exact"/>
        </w:trPr>
        <w:tc>
          <w:tcPr>
            <w:tcW w:w="1053" w:type="dxa"/>
            <w:vMerge/>
            <w:tcBorders>
              <w:left w:val="single" w:sz="4" w:space="0" w:color="000000"/>
              <w:right w:val="single" w:sz="4" w:space="0" w:color="000000"/>
            </w:tcBorders>
            <w:shd w:val="clear" w:color="auto" w:fill="C7EDCC"/>
          </w:tcPr>
          <w:p>
            <w:pPr/>
          </w:p>
        </w:tc>
        <w:tc>
          <w:tcPr>
            <w:tcW w:w="1085" w:type="dxa"/>
            <w:vMerge w:val="restart"/>
            <w:tcBorders>
              <w:top w:val="nil" w:sz="6" w:space="0" w:color="auto"/>
              <w:left w:val="single" w:sz="4" w:space="0" w:color="000000"/>
              <w:right w:val="single" w:sz="4" w:space="0" w:color="000000"/>
            </w:tcBorders>
            <w:shd w:val="clear" w:color="auto" w:fill="C7EDCC"/>
          </w:tcPr>
          <w:p>
            <w:pPr>
              <w:pStyle w:val="TableParagraph"/>
              <w:spacing w:line="319" w:lineRule="auto" w:before="51"/>
              <w:ind w:left="34" w:right="138"/>
              <w:jc w:val="left"/>
              <w:rPr>
                <w:rFonts w:ascii="宋体" w:hAnsi="宋体" w:cs="宋体" w:eastAsia="宋体" w:hint="default"/>
                <w:sz w:val="18"/>
                <w:szCs w:val="18"/>
              </w:rPr>
            </w:pPr>
            <w:r>
              <w:rPr>
                <w:rFonts w:ascii="宋体" w:hAnsi="宋体" w:cs="宋体" w:eastAsia="宋体" w:hint="default"/>
                <w:sz w:val="18"/>
                <w:szCs w:val="18"/>
              </w:rPr>
              <w:t>本公司控股 股东</w:t>
            </w:r>
          </w:p>
        </w:tc>
        <w:tc>
          <w:tcPr>
            <w:tcW w:w="1076" w:type="dxa"/>
            <w:vMerge w:val="restart"/>
            <w:tcBorders>
              <w:top w:val="nil" w:sz="6" w:space="0" w:color="auto"/>
              <w:left w:val="single" w:sz="4" w:space="0" w:color="000000"/>
              <w:right w:val="single" w:sz="4" w:space="0" w:color="000000"/>
            </w:tcBorders>
            <w:shd w:val="clear" w:color="auto" w:fill="C7EDCC"/>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杭州萧文置 业有限公司</w:t>
            </w:r>
          </w:p>
        </w:tc>
        <w:tc>
          <w:tcPr>
            <w:tcW w:w="1224" w:type="dxa"/>
            <w:vMerge w:val="restart"/>
            <w:tcBorders>
              <w:top w:val="nil" w:sz="6" w:space="0" w:color="auto"/>
              <w:left w:val="single" w:sz="4" w:space="0" w:color="000000"/>
              <w:right w:val="single" w:sz="4" w:space="0" w:color="000000"/>
            </w:tcBorders>
            <w:shd w:val="clear" w:color="auto" w:fill="C7EDCC"/>
          </w:tcPr>
          <w:p>
            <w:pPr>
              <w:pStyle w:val="TableParagraph"/>
              <w:spacing w:line="319" w:lineRule="auto" w:before="51"/>
              <w:ind w:left="23" w:right="108"/>
              <w:jc w:val="left"/>
              <w:rPr>
                <w:rFonts w:ascii="宋体" w:hAnsi="宋体" w:cs="宋体" w:eastAsia="宋体" w:hint="default"/>
                <w:sz w:val="18"/>
                <w:szCs w:val="18"/>
              </w:rPr>
            </w:pPr>
            <w:r>
              <w:rPr>
                <w:rFonts w:ascii="宋体" w:hAnsi="宋体" w:cs="宋体" w:eastAsia="宋体" w:hint="default"/>
                <w:sz w:val="18"/>
                <w:szCs w:val="18"/>
              </w:rPr>
              <w:t>房地产开发、 经营</w:t>
            </w:r>
          </w:p>
        </w:tc>
        <w:tc>
          <w:tcPr>
            <w:tcW w:w="1080" w:type="dxa"/>
            <w:vMerge/>
            <w:tcBorders>
              <w:left w:val="single" w:sz="4" w:space="0" w:color="000000"/>
              <w:bottom w:val="nil" w:sz="6" w:space="0" w:color="auto"/>
              <w:right w:val="single" w:sz="4" w:space="0" w:color="000000"/>
            </w:tcBorders>
            <w:shd w:val="clear" w:color="auto" w:fill="C7EDCC"/>
          </w:tcPr>
          <w:p>
            <w:pPr/>
          </w:p>
        </w:tc>
        <w:tc>
          <w:tcPr>
            <w:tcW w:w="1350" w:type="dxa"/>
            <w:vMerge/>
            <w:tcBorders>
              <w:left w:val="single" w:sz="9" w:space="0" w:color="C7EDCC"/>
              <w:right w:val="single" w:sz="4" w:space="0" w:color="000000"/>
            </w:tcBorders>
          </w:tcPr>
          <w:p>
            <w:pPr/>
          </w:p>
        </w:tc>
        <w:tc>
          <w:tcPr>
            <w:tcW w:w="1346" w:type="dxa"/>
            <w:vMerge/>
            <w:tcBorders>
              <w:left w:val="single" w:sz="4" w:space="0" w:color="000000"/>
              <w:right w:val="single" w:sz="4" w:space="0" w:color="000000"/>
            </w:tcBorders>
          </w:tcPr>
          <w:p>
            <w:pPr/>
          </w:p>
        </w:tc>
        <w:tc>
          <w:tcPr>
            <w:tcW w:w="1342" w:type="dxa"/>
            <w:vMerge/>
            <w:tcBorders>
              <w:left w:val="single" w:sz="4" w:space="0" w:color="000000"/>
              <w:right w:val="single" w:sz="4" w:space="0" w:color="000000"/>
            </w:tcBorders>
          </w:tcPr>
          <w:p>
            <w:pPr/>
          </w:p>
        </w:tc>
      </w:tr>
      <w:tr>
        <w:trPr>
          <w:trHeight w:val="392" w:hRule="exact"/>
        </w:trPr>
        <w:tc>
          <w:tcPr>
            <w:tcW w:w="1053" w:type="dxa"/>
            <w:vMerge/>
            <w:tcBorders>
              <w:left w:val="single" w:sz="4" w:space="0" w:color="000000"/>
              <w:right w:val="single" w:sz="4" w:space="0" w:color="000000"/>
            </w:tcBorders>
            <w:shd w:val="clear" w:color="auto" w:fill="C7EDCC"/>
          </w:tcPr>
          <w:p>
            <w:pPr/>
          </w:p>
        </w:tc>
        <w:tc>
          <w:tcPr>
            <w:tcW w:w="1085" w:type="dxa"/>
            <w:vMerge/>
            <w:tcBorders>
              <w:left w:val="single" w:sz="4" w:space="0" w:color="000000"/>
              <w:right w:val="single" w:sz="4" w:space="0" w:color="000000"/>
            </w:tcBorders>
            <w:shd w:val="clear" w:color="auto" w:fill="C7EDCC"/>
          </w:tcPr>
          <w:p>
            <w:pPr/>
          </w:p>
        </w:tc>
        <w:tc>
          <w:tcPr>
            <w:tcW w:w="1076" w:type="dxa"/>
            <w:vMerge/>
            <w:tcBorders>
              <w:left w:val="single" w:sz="4" w:space="0" w:color="000000"/>
              <w:right w:val="single" w:sz="4" w:space="0" w:color="000000"/>
            </w:tcBorders>
            <w:shd w:val="clear" w:color="auto" w:fill="C7EDCC"/>
          </w:tcPr>
          <w:p>
            <w:pPr/>
          </w:p>
        </w:tc>
        <w:tc>
          <w:tcPr>
            <w:tcW w:w="1224" w:type="dxa"/>
            <w:vMerge/>
            <w:tcBorders>
              <w:left w:val="single" w:sz="4" w:space="0" w:color="000000"/>
              <w:right w:val="single" w:sz="4" w:space="0" w:color="000000"/>
            </w:tcBorders>
            <w:shd w:val="clear" w:color="auto" w:fill="C7EDCC"/>
          </w:tcPr>
          <w:p>
            <w:pPr/>
          </w:p>
        </w:tc>
        <w:tc>
          <w:tcPr>
            <w:tcW w:w="108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350" w:type="dxa"/>
            <w:vMerge/>
            <w:tcBorders>
              <w:left w:val="single" w:sz="9" w:space="0" w:color="C7EDCC"/>
              <w:right w:val="single" w:sz="4" w:space="0" w:color="000000"/>
            </w:tcBorders>
          </w:tcPr>
          <w:p>
            <w:pPr/>
          </w:p>
        </w:tc>
        <w:tc>
          <w:tcPr>
            <w:tcW w:w="1346" w:type="dxa"/>
            <w:vMerge/>
            <w:tcBorders>
              <w:left w:val="single" w:sz="4" w:space="0" w:color="000000"/>
              <w:right w:val="single" w:sz="4" w:space="0" w:color="000000"/>
            </w:tcBorders>
          </w:tcPr>
          <w:p>
            <w:pPr/>
          </w:p>
        </w:tc>
        <w:tc>
          <w:tcPr>
            <w:tcW w:w="1342" w:type="dxa"/>
            <w:vMerge/>
            <w:tcBorders>
              <w:left w:val="single" w:sz="4" w:space="0" w:color="000000"/>
              <w:right w:val="single" w:sz="4" w:space="0" w:color="000000"/>
            </w:tcBorders>
          </w:tcPr>
          <w:p>
            <w:pPr/>
          </w:p>
        </w:tc>
      </w:tr>
      <w:tr>
        <w:trPr>
          <w:trHeight w:val="156" w:hRule="exact"/>
        </w:trPr>
        <w:tc>
          <w:tcPr>
            <w:tcW w:w="1053" w:type="dxa"/>
            <w:vMerge/>
            <w:tcBorders>
              <w:left w:val="single" w:sz="4" w:space="0" w:color="000000"/>
              <w:right w:val="single" w:sz="4" w:space="0" w:color="000000"/>
            </w:tcBorders>
            <w:shd w:val="clear" w:color="auto" w:fill="C7EDCC"/>
          </w:tcPr>
          <w:p>
            <w:pPr/>
          </w:p>
        </w:tc>
        <w:tc>
          <w:tcPr>
            <w:tcW w:w="1085" w:type="dxa"/>
            <w:vMerge/>
            <w:tcBorders>
              <w:left w:val="single" w:sz="4" w:space="0" w:color="000000"/>
              <w:bottom w:val="nil" w:sz="6" w:space="0" w:color="auto"/>
              <w:right w:val="single" w:sz="4" w:space="0" w:color="000000"/>
            </w:tcBorders>
            <w:shd w:val="clear" w:color="auto" w:fill="C7EDCC"/>
          </w:tcPr>
          <w:p>
            <w:pPr/>
          </w:p>
        </w:tc>
        <w:tc>
          <w:tcPr>
            <w:tcW w:w="1076" w:type="dxa"/>
            <w:vMerge/>
            <w:tcBorders>
              <w:left w:val="single" w:sz="4" w:space="0" w:color="000000"/>
              <w:bottom w:val="nil" w:sz="6" w:space="0" w:color="auto"/>
              <w:right w:val="single" w:sz="4" w:space="0" w:color="000000"/>
            </w:tcBorders>
            <w:shd w:val="clear" w:color="auto" w:fill="C7EDCC"/>
          </w:tcPr>
          <w:p>
            <w:pPr/>
          </w:p>
        </w:tc>
        <w:tc>
          <w:tcPr>
            <w:tcW w:w="1224" w:type="dxa"/>
            <w:vMerge/>
            <w:tcBorders>
              <w:left w:val="single" w:sz="4" w:space="0" w:color="000000"/>
              <w:bottom w:val="nil" w:sz="6" w:space="0" w:color="auto"/>
              <w:right w:val="single" w:sz="4" w:space="0" w:color="000000"/>
            </w:tcBorders>
            <w:shd w:val="clear" w:color="auto" w:fill="C7EDCC"/>
          </w:tcPr>
          <w:p>
            <w:pPr/>
          </w:p>
        </w:tc>
        <w:tc>
          <w:tcPr>
            <w:tcW w:w="1080" w:type="dxa"/>
            <w:vMerge w:val="restart"/>
            <w:tcBorders>
              <w:top w:val="nil" w:sz="6" w:space="0" w:color="auto"/>
              <w:left w:val="single" w:sz="4" w:space="0" w:color="000000"/>
              <w:right w:val="single" w:sz="4" w:space="0" w:color="000000"/>
            </w:tcBorders>
            <w:shd w:val="clear" w:color="auto" w:fill="C7EDCC"/>
          </w:tcPr>
          <w:p>
            <w:pPr/>
          </w:p>
        </w:tc>
        <w:tc>
          <w:tcPr>
            <w:tcW w:w="1350" w:type="dxa"/>
            <w:vMerge/>
            <w:tcBorders>
              <w:left w:val="single" w:sz="9" w:space="0" w:color="C7EDCC"/>
              <w:right w:val="single" w:sz="4" w:space="0" w:color="000000"/>
            </w:tcBorders>
          </w:tcPr>
          <w:p>
            <w:pPr/>
          </w:p>
        </w:tc>
        <w:tc>
          <w:tcPr>
            <w:tcW w:w="1346" w:type="dxa"/>
            <w:vMerge/>
            <w:tcBorders>
              <w:left w:val="single" w:sz="4" w:space="0" w:color="000000"/>
              <w:right w:val="single" w:sz="4" w:space="0" w:color="000000"/>
            </w:tcBorders>
          </w:tcPr>
          <w:p>
            <w:pPr/>
          </w:p>
        </w:tc>
        <w:tc>
          <w:tcPr>
            <w:tcW w:w="1342" w:type="dxa"/>
            <w:vMerge/>
            <w:tcBorders>
              <w:left w:val="single" w:sz="4" w:space="0" w:color="000000"/>
              <w:right w:val="single" w:sz="4" w:space="0" w:color="000000"/>
            </w:tcBorders>
          </w:tcPr>
          <w:p>
            <w:pPr/>
          </w:p>
        </w:tc>
      </w:tr>
      <w:tr>
        <w:trPr>
          <w:trHeight w:val="161" w:hRule="exact"/>
        </w:trPr>
        <w:tc>
          <w:tcPr>
            <w:tcW w:w="1053" w:type="dxa"/>
            <w:vMerge/>
            <w:tcBorders>
              <w:left w:val="single" w:sz="4" w:space="0" w:color="000000"/>
              <w:bottom w:val="single" w:sz="4" w:space="0" w:color="000000"/>
              <w:right w:val="single" w:sz="4" w:space="0" w:color="000000"/>
            </w:tcBorders>
            <w:shd w:val="clear" w:color="auto" w:fill="C7EDCC"/>
          </w:tcPr>
          <w:p>
            <w:pPr/>
          </w:p>
        </w:tc>
        <w:tc>
          <w:tcPr>
            <w:tcW w:w="1085" w:type="dxa"/>
            <w:tcBorders>
              <w:top w:val="nil" w:sz="6" w:space="0" w:color="auto"/>
              <w:left w:val="single" w:sz="4" w:space="0" w:color="000000"/>
              <w:bottom w:val="single" w:sz="4" w:space="0" w:color="000000"/>
              <w:right w:val="single" w:sz="4" w:space="0" w:color="000000"/>
            </w:tcBorders>
            <w:shd w:val="clear" w:color="auto" w:fill="C7EDCC"/>
          </w:tcPr>
          <w:p>
            <w:pPr/>
          </w:p>
        </w:tc>
        <w:tc>
          <w:tcPr>
            <w:tcW w:w="1076" w:type="dxa"/>
            <w:tcBorders>
              <w:top w:val="nil" w:sz="6" w:space="0" w:color="auto"/>
              <w:left w:val="single" w:sz="4" w:space="0" w:color="000000"/>
              <w:bottom w:val="single" w:sz="4" w:space="0" w:color="000000"/>
              <w:right w:val="single" w:sz="4" w:space="0" w:color="000000"/>
            </w:tcBorders>
            <w:shd w:val="clear" w:color="auto" w:fill="C7EDCC"/>
          </w:tcPr>
          <w:p>
            <w:pPr/>
          </w:p>
        </w:tc>
        <w:tc>
          <w:tcPr>
            <w:tcW w:w="1224" w:type="dxa"/>
            <w:tcBorders>
              <w:top w:val="nil" w:sz="6" w:space="0" w:color="auto"/>
              <w:left w:val="single" w:sz="4" w:space="0" w:color="000000"/>
              <w:bottom w:val="single" w:sz="4" w:space="0" w:color="000000"/>
              <w:right w:val="single" w:sz="4" w:space="0" w:color="000000"/>
            </w:tcBorders>
            <w:shd w:val="clear" w:color="auto" w:fill="C7EDCC"/>
          </w:tcPr>
          <w:p>
            <w:pPr/>
          </w:p>
        </w:tc>
        <w:tc>
          <w:tcPr>
            <w:tcW w:w="1080" w:type="dxa"/>
            <w:vMerge/>
            <w:tcBorders>
              <w:left w:val="single" w:sz="4" w:space="0" w:color="000000"/>
              <w:bottom w:val="single" w:sz="4" w:space="0" w:color="000000"/>
              <w:right w:val="single" w:sz="4" w:space="0" w:color="000000"/>
            </w:tcBorders>
            <w:shd w:val="clear" w:color="auto" w:fill="C7EDCC"/>
          </w:tcPr>
          <w:p>
            <w:pPr/>
          </w:p>
        </w:tc>
        <w:tc>
          <w:tcPr>
            <w:tcW w:w="1350" w:type="dxa"/>
            <w:vMerge/>
            <w:tcBorders>
              <w:left w:val="single" w:sz="9" w:space="0" w:color="C7EDCC"/>
              <w:bottom w:val="single" w:sz="4" w:space="0" w:color="000000"/>
              <w:right w:val="single" w:sz="4" w:space="0" w:color="000000"/>
            </w:tcBorders>
          </w:tcPr>
          <w:p>
            <w:pPr/>
          </w:p>
        </w:tc>
        <w:tc>
          <w:tcPr>
            <w:tcW w:w="1346" w:type="dxa"/>
            <w:vMerge/>
            <w:tcBorders>
              <w:left w:val="single" w:sz="4" w:space="0" w:color="000000"/>
              <w:bottom w:val="single" w:sz="4" w:space="0" w:color="000000"/>
              <w:right w:val="single" w:sz="4" w:space="0" w:color="000000"/>
            </w:tcBorders>
          </w:tcPr>
          <w:p>
            <w:pPr/>
          </w:p>
        </w:tc>
        <w:tc>
          <w:tcPr>
            <w:tcW w:w="1342" w:type="dxa"/>
            <w:vMerge/>
            <w:tcBorders>
              <w:left w:val="single" w:sz="4" w:space="0" w:color="000000"/>
              <w:bottom w:val="single" w:sz="4" w:space="0" w:color="000000"/>
              <w:right w:val="single" w:sz="4" w:space="0" w:color="000000"/>
            </w:tcBorders>
          </w:tcPr>
          <w:p>
            <w:pPr/>
          </w:p>
        </w:tc>
      </w:tr>
      <w:tr>
        <w:trPr>
          <w:trHeight w:val="161" w:hRule="exact"/>
        </w:trPr>
        <w:tc>
          <w:tcPr>
            <w:tcW w:w="2138" w:type="dxa"/>
            <w:gridSpan w:val="2"/>
            <w:vMerge w:val="restart"/>
            <w:tcBorders>
              <w:top w:val="single" w:sz="4" w:space="0" w:color="000000"/>
              <w:left w:val="single" w:sz="4" w:space="0" w:color="000000"/>
              <w:right w:val="single" w:sz="9" w:space="0" w:color="C7EDCC"/>
            </w:tcBorders>
            <w:shd w:val="clear" w:color="auto" w:fill="D3D3D3"/>
          </w:tcPr>
          <w:p>
            <w:pPr>
              <w:pStyle w:val="TableParagraph"/>
              <w:spacing w:line="319" w:lineRule="auto" w:before="51"/>
              <w:ind w:left="11" w:right="128"/>
              <w:jc w:val="left"/>
              <w:rPr>
                <w:rFonts w:ascii="宋体" w:hAnsi="宋体" w:cs="宋体" w:eastAsia="宋体" w:hint="default"/>
                <w:sz w:val="18"/>
                <w:szCs w:val="18"/>
              </w:rPr>
            </w:pPr>
            <w:r>
              <w:rPr>
                <w:rFonts w:ascii="宋体" w:hAnsi="宋体" w:cs="宋体" w:eastAsia="宋体" w:hint="default"/>
                <w:sz w:val="18"/>
                <w:szCs w:val="18"/>
              </w:rPr>
              <w:t>被投资企业的重大在建项 目的进展情况</w:t>
            </w:r>
          </w:p>
        </w:tc>
        <w:tc>
          <w:tcPr>
            <w:tcW w:w="7418" w:type="dxa"/>
            <w:gridSpan w:val="6"/>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92" w:hRule="exact"/>
        </w:trPr>
        <w:tc>
          <w:tcPr>
            <w:tcW w:w="2138" w:type="dxa"/>
            <w:gridSpan w:val="2"/>
            <w:vMerge/>
            <w:tcBorders>
              <w:left w:val="single" w:sz="4" w:space="0" w:color="000000"/>
              <w:right w:val="single" w:sz="9" w:space="0" w:color="C7EDCC"/>
            </w:tcBorders>
            <w:shd w:val="clear" w:color="auto" w:fill="D3D3D3"/>
          </w:tcPr>
          <w:p>
            <w:pPr/>
          </w:p>
        </w:tc>
        <w:tc>
          <w:tcPr>
            <w:tcW w:w="7418" w:type="dxa"/>
            <w:gridSpan w:val="6"/>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2138" w:type="dxa"/>
            <w:gridSpan w:val="2"/>
            <w:vMerge/>
            <w:tcBorders>
              <w:left w:val="single" w:sz="4" w:space="0" w:color="000000"/>
              <w:bottom w:val="single" w:sz="4" w:space="0" w:color="000000"/>
              <w:right w:val="single" w:sz="9" w:space="0" w:color="C7EDCC"/>
            </w:tcBorders>
            <w:shd w:val="clear" w:color="auto" w:fill="D3D3D3"/>
          </w:tcPr>
          <w:p>
            <w:pPr/>
          </w:p>
        </w:tc>
        <w:tc>
          <w:tcPr>
            <w:tcW w:w="7418" w:type="dxa"/>
            <w:gridSpan w:val="6"/>
            <w:tcBorders>
              <w:top w:val="nil" w:sz="6" w:space="0" w:color="auto"/>
              <w:left w:val="single" w:sz="4" w:space="0" w:color="000000"/>
              <w:bottom w:val="single" w:sz="4" w:space="0" w:color="000000"/>
              <w:right w:val="single" w:sz="4" w:space="0" w:color="000000"/>
            </w:tcBorders>
            <w:shd w:val="clear" w:color="auto" w:fill="C7EDCC"/>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82" w:top="1100" w:bottom="1180" w:left="980" w:right="0"/>
        </w:sectPr>
      </w:pPr>
    </w:p>
    <w:p>
      <w:pPr>
        <w:spacing w:line="240" w:lineRule="auto" w:before="13"/>
        <w:rPr>
          <w:rFonts w:ascii="宋体" w:hAnsi="宋体" w:cs="宋体" w:eastAsia="宋体" w:hint="default"/>
          <w:sz w:val="21"/>
          <w:szCs w:val="21"/>
        </w:rPr>
      </w:pPr>
    </w:p>
    <w:p>
      <w:pPr>
        <w:pStyle w:val="BodyText"/>
        <w:spacing w:line="240" w:lineRule="auto" w:before="44"/>
        <w:ind w:left="153" w:right="0"/>
        <w:jc w:val="left"/>
      </w:pPr>
      <w:r>
        <w:rPr/>
        <w:t>是否存在非经营性关联债权债务往来</w:t>
      </w:r>
    </w:p>
    <w:p>
      <w:pPr>
        <w:pStyle w:val="BodyText"/>
        <w:spacing w:line="340" w:lineRule="auto" w:before="116"/>
        <w:ind w:right="94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应收关联方债权</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908"/>
        <w:gridCol w:w="978"/>
        <w:gridCol w:w="2283"/>
        <w:gridCol w:w="826"/>
        <w:gridCol w:w="763"/>
        <w:gridCol w:w="869"/>
        <w:gridCol w:w="838"/>
        <w:gridCol w:w="611"/>
        <w:gridCol w:w="827"/>
        <w:gridCol w:w="763"/>
      </w:tblGrid>
      <w:tr>
        <w:trPr>
          <w:trHeight w:val="1026" w:hRule="exact"/>
        </w:trPr>
        <w:tc>
          <w:tcPr>
            <w:tcW w:w="9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5"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2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center"/>
              <w:rPr>
                <w:rFonts w:ascii="宋体" w:hAnsi="宋体" w:cs="宋体" w:eastAsia="宋体" w:hint="default"/>
                <w:sz w:val="18"/>
                <w:szCs w:val="18"/>
              </w:rPr>
            </w:pPr>
            <w:r>
              <w:rPr>
                <w:rFonts w:ascii="宋体" w:hAnsi="宋体" w:cs="宋体" w:eastAsia="宋体" w:hint="default"/>
                <w:sz w:val="18"/>
                <w:szCs w:val="18"/>
              </w:rPr>
              <w:t>形成原因</w:t>
            </w:r>
          </w:p>
        </w:tc>
        <w:tc>
          <w:tcPr>
            <w:tcW w:w="8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3" w:right="41"/>
              <w:jc w:val="both"/>
              <w:rPr>
                <w:rFonts w:ascii="宋体" w:hAnsi="宋体" w:cs="宋体" w:eastAsia="宋体" w:hint="default"/>
                <w:sz w:val="18"/>
                <w:szCs w:val="18"/>
              </w:rPr>
            </w:pPr>
            <w:r>
              <w:rPr>
                <w:rFonts w:ascii="宋体" w:hAnsi="宋体" w:cs="宋体" w:eastAsia="宋体" w:hint="default"/>
                <w:sz w:val="18"/>
                <w:szCs w:val="18"/>
              </w:rPr>
              <w:t>是否存在 非经营性 资金占用</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06" w:right="104"/>
              <w:jc w:val="both"/>
              <w:rPr>
                <w:rFonts w:ascii="宋体" w:hAnsi="宋体" w:cs="宋体" w:eastAsia="宋体" w:hint="default"/>
                <w:sz w:val="18"/>
                <w:szCs w:val="18"/>
              </w:rPr>
            </w:pPr>
            <w:r>
              <w:rPr>
                <w:rFonts w:ascii="宋体" w:hAnsi="宋体" w:cs="宋体" w:eastAsia="宋体" w:hint="default"/>
                <w:sz w:val="18"/>
                <w:szCs w:val="18"/>
              </w:rPr>
              <w:t>期初余 额（万 元）</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8" w:right="68"/>
              <w:jc w:val="center"/>
              <w:rPr>
                <w:rFonts w:ascii="宋体" w:hAnsi="宋体" w:cs="宋体" w:eastAsia="宋体" w:hint="default"/>
                <w:sz w:val="18"/>
                <w:szCs w:val="18"/>
              </w:rPr>
            </w:pPr>
            <w:r>
              <w:rPr>
                <w:rFonts w:ascii="宋体" w:hAnsi="宋体" w:cs="宋体" w:eastAsia="宋体" w:hint="default"/>
                <w:sz w:val="18"/>
                <w:szCs w:val="18"/>
              </w:rPr>
              <w:t>本期新增 金额（万 元）</w:t>
            </w:r>
          </w:p>
        </w:tc>
        <w:tc>
          <w:tcPr>
            <w:tcW w:w="8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本期收回 金额（万 元）</w:t>
            </w:r>
          </w:p>
        </w:tc>
        <w:tc>
          <w:tcPr>
            <w:tcW w:w="6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9"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8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7"/>
              <w:ind w:left="4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05" w:right="107"/>
              <w:jc w:val="both"/>
              <w:rPr>
                <w:rFonts w:ascii="宋体" w:hAnsi="宋体" w:cs="宋体" w:eastAsia="宋体" w:hint="default"/>
                <w:sz w:val="18"/>
                <w:szCs w:val="18"/>
              </w:rPr>
            </w:pPr>
            <w:r>
              <w:rPr>
                <w:rFonts w:ascii="宋体" w:hAnsi="宋体" w:cs="宋体" w:eastAsia="宋体" w:hint="default"/>
                <w:sz w:val="18"/>
                <w:szCs w:val="18"/>
              </w:rPr>
              <w:t>期末余 额（万 元）</w:t>
            </w:r>
          </w:p>
        </w:tc>
      </w:tr>
      <w:tr>
        <w:trPr>
          <w:trHeight w:val="161" w:hRule="exact"/>
        </w:trPr>
        <w:tc>
          <w:tcPr>
            <w:tcW w:w="908" w:type="dxa"/>
            <w:vMerge w:val="restart"/>
            <w:tcBorders>
              <w:top w:val="single" w:sz="4" w:space="0" w:color="000000"/>
              <w:left w:val="single" w:sz="4" w:space="0" w:color="000000"/>
              <w:right w:val="single" w:sz="4" w:space="0" w:color="000000"/>
            </w:tcBorders>
            <w:shd w:val="clear" w:color="auto" w:fill="C7EDCC"/>
          </w:tcPr>
          <w:p>
            <w:pPr>
              <w:pStyle w:val="TableParagraph"/>
              <w:spacing w:line="319" w:lineRule="auto" w:before="51"/>
              <w:ind w:left="22" w:right="155"/>
              <w:jc w:val="both"/>
              <w:rPr>
                <w:rFonts w:ascii="宋体" w:hAnsi="宋体" w:cs="宋体" w:eastAsia="宋体" w:hint="default"/>
                <w:sz w:val="18"/>
                <w:szCs w:val="18"/>
              </w:rPr>
            </w:pPr>
            <w:r>
              <w:rPr>
                <w:rFonts w:ascii="宋体" w:hAnsi="宋体" w:cs="宋体" w:eastAsia="宋体" w:hint="default"/>
                <w:sz w:val="18"/>
                <w:szCs w:val="18"/>
              </w:rPr>
              <w:t>杭州华媒 科创园区 管理有限 公司</w:t>
            </w:r>
          </w:p>
        </w:tc>
        <w:tc>
          <w:tcPr>
            <w:tcW w:w="978" w:type="dxa"/>
            <w:tcBorders>
              <w:top w:val="single" w:sz="4" w:space="0" w:color="000000"/>
              <w:left w:val="single" w:sz="4" w:space="0" w:color="000000"/>
              <w:bottom w:val="nil" w:sz="6" w:space="0" w:color="auto"/>
              <w:right w:val="single" w:sz="4" w:space="0" w:color="000000"/>
            </w:tcBorders>
            <w:shd w:val="clear" w:color="auto" w:fill="C7EDCC"/>
          </w:tcPr>
          <w:p>
            <w:pPr/>
          </w:p>
        </w:tc>
        <w:tc>
          <w:tcPr>
            <w:tcW w:w="2283" w:type="dxa"/>
            <w:tcBorders>
              <w:top w:val="single" w:sz="4" w:space="0" w:color="000000"/>
              <w:left w:val="single" w:sz="4" w:space="0" w:color="000000"/>
              <w:bottom w:val="nil" w:sz="6" w:space="0" w:color="auto"/>
              <w:right w:val="single" w:sz="4" w:space="0" w:color="000000"/>
            </w:tcBorders>
            <w:shd w:val="clear" w:color="auto" w:fill="C7EDCC"/>
          </w:tcPr>
          <w:p>
            <w:pPr/>
          </w:p>
        </w:tc>
        <w:tc>
          <w:tcPr>
            <w:tcW w:w="826" w:type="dxa"/>
            <w:vMerge w:val="restart"/>
            <w:tcBorders>
              <w:top w:val="single" w:sz="4" w:space="0" w:color="000000"/>
              <w:left w:val="single" w:sz="9" w:space="0" w:color="C7EDCC"/>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p>
            <w:pPr>
              <w:pStyle w:val="TableParagraph"/>
              <w:spacing w:line="240" w:lineRule="auto" w:before="77"/>
              <w:ind w:left="-118" w:right="0"/>
              <w:jc w:val="left"/>
              <w:rPr>
                <w:rFonts w:ascii="宋体" w:hAnsi="宋体" w:cs="宋体" w:eastAsia="宋体" w:hint="default"/>
                <w:sz w:val="18"/>
                <w:szCs w:val="18"/>
              </w:rPr>
            </w:pPr>
            <w:r>
              <w:rPr>
                <w:rFonts w:ascii="宋体" w:hAnsi="宋体" w:cs="宋体" w:eastAsia="宋体" w:hint="default"/>
                <w:sz w:val="18"/>
                <w:szCs w:val="18"/>
              </w:rPr>
              <w:t>。</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1,000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1,000</w:t>
            </w:r>
          </w:p>
        </w:tc>
        <w:tc>
          <w:tcPr>
            <w:tcW w:w="8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w:t>
            </w:r>
          </w:p>
        </w:tc>
        <w:tc>
          <w:tcPr>
            <w:tcW w:w="8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146.82</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2,000</w:t>
            </w:r>
          </w:p>
        </w:tc>
      </w:tr>
      <w:tr>
        <w:trPr>
          <w:trHeight w:val="1016" w:hRule="exact"/>
        </w:trPr>
        <w:tc>
          <w:tcPr>
            <w:tcW w:w="908" w:type="dxa"/>
            <w:vMerge/>
            <w:tcBorders>
              <w:left w:val="single" w:sz="4" w:space="0" w:color="000000"/>
              <w:right w:val="single" w:sz="4" w:space="0" w:color="000000"/>
            </w:tcBorders>
            <w:shd w:val="clear" w:color="auto" w:fill="C7EDCC"/>
          </w:tcPr>
          <w:p>
            <w:pPr/>
          </w:p>
        </w:tc>
        <w:tc>
          <w:tcPr>
            <w:tcW w:w="97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9" w:lineRule="auto" w:before="51"/>
              <w:ind w:left="34" w:right="31"/>
              <w:jc w:val="left"/>
              <w:rPr>
                <w:rFonts w:ascii="宋体" w:hAnsi="宋体" w:cs="宋体" w:eastAsia="宋体" w:hint="default"/>
                <w:sz w:val="18"/>
                <w:szCs w:val="18"/>
              </w:rPr>
            </w:pPr>
            <w:r>
              <w:rPr>
                <w:rFonts w:ascii="宋体" w:hAnsi="宋体" w:cs="宋体" w:eastAsia="宋体" w:hint="default"/>
                <w:sz w:val="18"/>
                <w:szCs w:val="18"/>
              </w:rPr>
              <w:t>本公司持有 华媒科创 </w:t>
            </w:r>
            <w:r>
              <w:rPr>
                <w:rFonts w:ascii="Times New Roman" w:hAnsi="Times New Roman" w:cs="Times New Roman" w:eastAsia="Times New Roman" w:hint="default"/>
                <w:sz w:val="18"/>
                <w:szCs w:val="18"/>
              </w:rPr>
              <w:t>40%</w:t>
            </w:r>
            <w:r>
              <w:rPr>
                <w:rFonts w:ascii="宋体" w:hAnsi="宋体" w:cs="宋体" w:eastAsia="宋体" w:hint="default"/>
                <w:sz w:val="18"/>
                <w:szCs w:val="18"/>
              </w:rPr>
              <w:t>股权</w:t>
            </w:r>
          </w:p>
        </w:tc>
        <w:tc>
          <w:tcPr>
            <w:tcW w:w="22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51"/>
              <w:ind w:left="34" w:right="9"/>
              <w:jc w:val="left"/>
              <w:rPr>
                <w:rFonts w:ascii="宋体" w:hAnsi="宋体" w:cs="宋体" w:eastAsia="宋体" w:hint="default"/>
                <w:sz w:val="18"/>
                <w:szCs w:val="18"/>
              </w:rPr>
            </w:pPr>
            <w:r>
              <w:rPr>
                <w:rFonts w:ascii="宋体" w:hAnsi="宋体" w:cs="宋体" w:eastAsia="宋体" w:hint="default"/>
                <w:sz w:val="18"/>
                <w:szCs w:val="18"/>
              </w:rPr>
              <w:t>因业务拓展需要，向本公司 申请对其提供额度为</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w:t>
            </w: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pacing w:val="-5"/>
                <w:sz w:val="18"/>
                <w:szCs w:val="18"/>
              </w:rPr>
              <w:t>元，期限为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年的财务资助</w:t>
            </w:r>
          </w:p>
        </w:tc>
        <w:tc>
          <w:tcPr>
            <w:tcW w:w="826" w:type="dxa"/>
            <w:vMerge/>
            <w:tcBorders>
              <w:left w:val="single" w:sz="9" w:space="0" w:color="C7EDCC"/>
              <w:right w:val="single" w:sz="4" w:space="0" w:color="000000"/>
            </w:tcBorders>
          </w:tcPr>
          <w:p>
            <w:pPr/>
          </w:p>
        </w:tc>
        <w:tc>
          <w:tcPr>
            <w:tcW w:w="763"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611" w:type="dxa"/>
            <w:vMerge/>
            <w:tcBorders>
              <w:left w:val="single" w:sz="4" w:space="0" w:color="000000"/>
              <w:right w:val="single" w:sz="4" w:space="0" w:color="000000"/>
            </w:tcBorders>
          </w:tcPr>
          <w:p>
            <w:pPr/>
          </w:p>
        </w:tc>
        <w:tc>
          <w:tcPr>
            <w:tcW w:w="827"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r>
      <w:tr>
        <w:trPr>
          <w:trHeight w:val="161" w:hRule="exact"/>
        </w:trPr>
        <w:tc>
          <w:tcPr>
            <w:tcW w:w="908" w:type="dxa"/>
            <w:vMerge/>
            <w:tcBorders>
              <w:left w:val="single" w:sz="4" w:space="0" w:color="000000"/>
              <w:bottom w:val="single" w:sz="4" w:space="0" w:color="000000"/>
              <w:right w:val="single" w:sz="4" w:space="0" w:color="000000"/>
            </w:tcBorders>
            <w:shd w:val="clear" w:color="auto" w:fill="C7EDCC"/>
          </w:tcPr>
          <w:p>
            <w:pPr/>
          </w:p>
        </w:tc>
        <w:tc>
          <w:tcPr>
            <w:tcW w:w="978" w:type="dxa"/>
            <w:tcBorders>
              <w:top w:val="nil" w:sz="6" w:space="0" w:color="auto"/>
              <w:left w:val="single" w:sz="4" w:space="0" w:color="000000"/>
              <w:bottom w:val="single" w:sz="4" w:space="0" w:color="000000"/>
              <w:right w:val="single" w:sz="4" w:space="0" w:color="000000"/>
            </w:tcBorders>
            <w:shd w:val="clear" w:color="auto" w:fill="C7EDCC"/>
          </w:tcPr>
          <w:p>
            <w:pPr/>
          </w:p>
        </w:tc>
        <w:tc>
          <w:tcPr>
            <w:tcW w:w="2283" w:type="dxa"/>
            <w:tcBorders>
              <w:top w:val="nil" w:sz="6" w:space="0" w:color="auto"/>
              <w:left w:val="single" w:sz="4" w:space="0" w:color="000000"/>
              <w:bottom w:val="single" w:sz="4" w:space="0" w:color="000000"/>
              <w:right w:val="single" w:sz="4" w:space="0" w:color="000000"/>
            </w:tcBorders>
            <w:shd w:val="clear" w:color="auto" w:fill="C7EDCC"/>
          </w:tcPr>
          <w:p>
            <w:pPr/>
          </w:p>
        </w:tc>
        <w:tc>
          <w:tcPr>
            <w:tcW w:w="826" w:type="dxa"/>
            <w:vMerge/>
            <w:tcBorders>
              <w:left w:val="single" w:sz="9" w:space="0" w:color="C7EDCC"/>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38" w:type="dxa"/>
            <w:vMerge/>
            <w:tcBorders>
              <w:left w:val="single" w:sz="4" w:space="0" w:color="000000"/>
              <w:bottom w:val="single" w:sz="4" w:space="0" w:color="000000"/>
              <w:right w:val="single" w:sz="4" w:space="0" w:color="000000"/>
            </w:tcBorders>
          </w:tcPr>
          <w:p>
            <w:pPr/>
          </w:p>
        </w:tc>
        <w:tc>
          <w:tcPr>
            <w:tcW w:w="611" w:type="dxa"/>
            <w:vMerge/>
            <w:tcBorders>
              <w:left w:val="single" w:sz="4" w:space="0" w:color="000000"/>
              <w:bottom w:val="single" w:sz="4" w:space="0" w:color="000000"/>
              <w:right w:val="single" w:sz="4" w:space="0" w:color="000000"/>
            </w:tcBorders>
          </w:tcPr>
          <w:p>
            <w:pPr/>
          </w:p>
        </w:tc>
        <w:tc>
          <w:tcPr>
            <w:tcW w:w="827"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r>
      <w:tr>
        <w:trPr>
          <w:trHeight w:val="714" w:hRule="exact"/>
        </w:trPr>
        <w:tc>
          <w:tcPr>
            <w:tcW w:w="1886" w:type="dxa"/>
            <w:gridSpan w:val="2"/>
            <w:tcBorders>
              <w:top w:val="single" w:sz="4" w:space="0" w:color="000000"/>
              <w:left w:val="single" w:sz="4" w:space="0" w:color="000000"/>
              <w:bottom w:val="single" w:sz="4" w:space="0" w:color="000000"/>
              <w:right w:val="single" w:sz="13" w:space="0" w:color="C7EDCC"/>
            </w:tcBorders>
            <w:shd w:val="clear" w:color="auto" w:fill="D3D3D3"/>
          </w:tcPr>
          <w:p>
            <w:pPr>
              <w:pStyle w:val="TableParagraph"/>
              <w:spacing w:line="319"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关联债权对公司经营成 果及财务状况的影响</w:t>
            </w:r>
          </w:p>
        </w:tc>
        <w:tc>
          <w:tcPr>
            <w:tcW w:w="7780" w:type="dxa"/>
            <w:gridSpan w:val="8"/>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34" w:right="23"/>
              <w:jc w:val="left"/>
              <w:rPr>
                <w:rFonts w:ascii="宋体" w:hAnsi="宋体" w:cs="宋体" w:eastAsia="宋体" w:hint="default"/>
                <w:sz w:val="18"/>
                <w:szCs w:val="18"/>
              </w:rPr>
            </w:pPr>
            <w:r>
              <w:rPr>
                <w:rFonts w:ascii="宋体" w:hAnsi="宋体" w:cs="宋体" w:eastAsia="宋体" w:hint="default"/>
                <w:spacing w:val="-1"/>
                <w:sz w:val="18"/>
                <w:szCs w:val="18"/>
              </w:rPr>
              <w:t>有利于缓解华媒科创的资金需求，促进其业务发展，可以更好地保证公司的合法权益，不存在损害</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公司和股东权益的情形。本次对外财务资助不会对本公司的财务状况产生重大不利影响。</w:t>
            </w:r>
          </w:p>
        </w:tc>
      </w:tr>
    </w:tbl>
    <w:p>
      <w:pPr>
        <w:pStyle w:val="BodyText"/>
        <w:spacing w:line="240" w:lineRule="auto" w:before="51"/>
        <w:ind w:right="0"/>
        <w:jc w:val="left"/>
      </w:pPr>
      <w:r>
        <w:rPr/>
        <w:pict>
          <v:group style="position:absolute;margin-left:265.980011pt;margin-top:-59.597862pt;width:40.3pt;height:23.4pt;mso-position-horizontal-relative:page;mso-position-vertical-relative:paragraph;z-index:-1149208" coordorigin="5320,-1192" coordsize="806,468">
            <v:shape style="position:absolute;left:5320;top:-1192;width:806;height:468" coordorigin="5320,-1192" coordsize="806,468" path="m5320,-724l6125,-724,6125,-1192,5320,-1192,5320,-724xe" filled="true" fillcolor="#ffffff" stroked="false">
              <v:path arrowok="t"/>
              <v:fill type="solid"/>
            </v:shape>
            <w10:wrap type="none"/>
          </v:group>
        </w:pict>
      </w:r>
      <w:r>
        <w:rPr/>
        <w:t>应付关联方债务：无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82" w:top="1100" w:bottom="118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701"/>
        <w:gridCol w:w="910"/>
        <w:gridCol w:w="931"/>
        <w:gridCol w:w="1307"/>
        <w:gridCol w:w="1051"/>
        <w:gridCol w:w="1036"/>
        <w:gridCol w:w="1061"/>
        <w:gridCol w:w="783"/>
        <w:gridCol w:w="783"/>
      </w:tblGrid>
      <w:tr>
        <w:trPr>
          <w:trHeight w:val="323" w:hRule="exact"/>
        </w:trPr>
        <w:tc>
          <w:tcPr>
            <w:tcW w:w="956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519"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61" w:hRule="exact"/>
        </w:trPr>
        <w:tc>
          <w:tcPr>
            <w:tcW w:w="1701" w:type="dxa"/>
            <w:vMerge w:val="restart"/>
            <w:tcBorders>
              <w:top w:val="single" w:sz="4" w:space="0" w:color="000000"/>
              <w:left w:val="single" w:sz="4" w:space="0" w:color="000000"/>
              <w:right w:val="single" w:sz="4" w:space="0" w:color="000000"/>
            </w:tcBorders>
            <w:shd w:val="clear" w:color="auto" w:fill="D3D3D3"/>
          </w:tcPr>
          <w:p>
            <w:pPr/>
          </w:p>
        </w:tc>
        <w:tc>
          <w:tcPr>
            <w:tcW w:w="91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10"/>
              <w:ind w:left="95" w:right="8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1" w:type="dxa"/>
            <w:vMerge w:val="restart"/>
            <w:tcBorders>
              <w:top w:val="single" w:sz="4" w:space="0" w:color="000000"/>
              <w:left w:val="single" w:sz="4" w:space="0" w:color="000000"/>
              <w:right w:val="single" w:sz="4" w:space="0" w:color="000000"/>
            </w:tcBorders>
            <w:shd w:val="clear" w:color="auto" w:fill="D3D3D3"/>
          </w:tcPr>
          <w:p>
            <w:pPr/>
          </w:p>
        </w:tc>
        <w:tc>
          <w:tcPr>
            <w:tcW w:w="1307" w:type="dxa"/>
            <w:vMerge w:val="restart"/>
            <w:tcBorders>
              <w:top w:val="single" w:sz="4" w:space="0" w:color="000000"/>
              <w:left w:val="single" w:sz="4" w:space="0" w:color="000000"/>
              <w:right w:val="single" w:sz="4" w:space="0" w:color="000000"/>
            </w:tcBorders>
            <w:shd w:val="clear" w:color="auto" w:fill="D3D3D3"/>
          </w:tcPr>
          <w:p>
            <w:pPr/>
          </w:p>
        </w:tc>
        <w:tc>
          <w:tcPr>
            <w:tcW w:w="1051" w:type="dxa"/>
            <w:tcBorders>
              <w:top w:val="single" w:sz="4" w:space="0" w:color="000000"/>
              <w:left w:val="single" w:sz="4" w:space="0" w:color="000000"/>
              <w:bottom w:val="nil" w:sz="6" w:space="0" w:color="auto"/>
              <w:right w:val="single" w:sz="4" w:space="0" w:color="000000"/>
            </w:tcBorders>
            <w:shd w:val="clear" w:color="auto" w:fill="D3D3D3"/>
          </w:tcPr>
          <w:p>
            <w:pPr/>
          </w:p>
        </w:tc>
        <w:tc>
          <w:tcPr>
            <w:tcW w:w="1036" w:type="dxa"/>
            <w:vMerge w:val="restart"/>
            <w:tcBorders>
              <w:top w:val="single" w:sz="4" w:space="0" w:color="000000"/>
              <w:left w:val="single" w:sz="4" w:space="0" w:color="000000"/>
              <w:right w:val="single" w:sz="4" w:space="0" w:color="000000"/>
            </w:tcBorders>
            <w:shd w:val="clear" w:color="auto" w:fill="D3D3D3"/>
          </w:tcPr>
          <w:p>
            <w:pPr/>
          </w:p>
        </w:tc>
        <w:tc>
          <w:tcPr>
            <w:tcW w:w="1061" w:type="dxa"/>
            <w:vMerge w:val="restart"/>
            <w:tcBorders>
              <w:top w:val="single" w:sz="4" w:space="0" w:color="000000"/>
              <w:left w:val="single" w:sz="4" w:space="0" w:color="000000"/>
              <w:right w:val="single" w:sz="4" w:space="0" w:color="000000"/>
            </w:tcBorders>
            <w:shd w:val="clear" w:color="auto" w:fill="D3D3D3"/>
          </w:tcPr>
          <w:p>
            <w:pPr/>
          </w:p>
        </w:tc>
        <w:tc>
          <w:tcPr>
            <w:tcW w:w="783" w:type="dxa"/>
            <w:tcBorders>
              <w:top w:val="single" w:sz="4" w:space="0" w:color="000000"/>
              <w:left w:val="single" w:sz="4" w:space="0" w:color="000000"/>
              <w:bottom w:val="nil" w:sz="6" w:space="0" w:color="auto"/>
              <w:right w:val="single" w:sz="4" w:space="0" w:color="000000"/>
            </w:tcBorders>
            <w:shd w:val="clear" w:color="auto" w:fill="D3D3D3"/>
          </w:tcPr>
          <w:p>
            <w:pPr/>
          </w:p>
        </w:tc>
        <w:tc>
          <w:tcPr>
            <w:tcW w:w="783"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6" w:hRule="exact"/>
        </w:trPr>
        <w:tc>
          <w:tcPr>
            <w:tcW w:w="1701" w:type="dxa"/>
            <w:vMerge/>
            <w:tcBorders>
              <w:left w:val="single" w:sz="4" w:space="0" w:color="000000"/>
              <w:bottom w:val="nil" w:sz="6" w:space="0" w:color="auto"/>
              <w:right w:val="single" w:sz="4" w:space="0" w:color="000000"/>
            </w:tcBorders>
            <w:shd w:val="clear" w:color="auto" w:fill="D3D3D3"/>
          </w:tcPr>
          <w:p>
            <w:pPr/>
          </w:p>
        </w:tc>
        <w:tc>
          <w:tcPr>
            <w:tcW w:w="910" w:type="dxa"/>
            <w:vMerge/>
            <w:tcBorders>
              <w:left w:val="single" w:sz="4" w:space="0" w:color="000000"/>
              <w:right w:val="single" w:sz="4" w:space="0" w:color="000000"/>
            </w:tcBorders>
            <w:shd w:val="clear" w:color="auto" w:fill="D3D3D3"/>
          </w:tcPr>
          <w:p>
            <w:pPr/>
          </w:p>
        </w:tc>
        <w:tc>
          <w:tcPr>
            <w:tcW w:w="931" w:type="dxa"/>
            <w:vMerge/>
            <w:tcBorders>
              <w:left w:val="single" w:sz="4" w:space="0" w:color="000000"/>
              <w:bottom w:val="nil" w:sz="6" w:space="0" w:color="auto"/>
              <w:right w:val="single" w:sz="4" w:space="0" w:color="000000"/>
            </w:tcBorders>
            <w:shd w:val="clear" w:color="auto" w:fill="D3D3D3"/>
          </w:tcPr>
          <w:p>
            <w:pPr/>
          </w:p>
        </w:tc>
        <w:tc>
          <w:tcPr>
            <w:tcW w:w="1307" w:type="dxa"/>
            <w:vMerge/>
            <w:tcBorders>
              <w:left w:val="single" w:sz="4" w:space="0" w:color="000000"/>
              <w:bottom w:val="nil" w:sz="6" w:space="0" w:color="auto"/>
              <w:right w:val="single" w:sz="4" w:space="0" w:color="000000"/>
            </w:tcBorders>
            <w:shd w:val="clear" w:color="auto" w:fill="D3D3D3"/>
          </w:tcPr>
          <w:p>
            <w:pPr/>
          </w:p>
        </w:tc>
        <w:tc>
          <w:tcPr>
            <w:tcW w:w="1051"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10"/>
              <w:ind w:left="429"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6" w:type="dxa"/>
            <w:vMerge/>
            <w:tcBorders>
              <w:left w:val="single" w:sz="4" w:space="0" w:color="000000"/>
              <w:bottom w:val="nil" w:sz="6" w:space="0" w:color="auto"/>
              <w:right w:val="single" w:sz="4" w:space="0" w:color="000000"/>
            </w:tcBorders>
            <w:shd w:val="clear" w:color="auto" w:fill="D3D3D3"/>
          </w:tcPr>
          <w:p>
            <w:pPr/>
          </w:p>
        </w:tc>
        <w:tc>
          <w:tcPr>
            <w:tcW w:w="1061" w:type="dxa"/>
            <w:vMerge/>
            <w:tcBorders>
              <w:left w:val="single" w:sz="4" w:space="0" w:color="000000"/>
              <w:bottom w:val="nil" w:sz="6" w:space="0" w:color="auto"/>
              <w:right w:val="single" w:sz="4" w:space="0" w:color="000000"/>
            </w:tcBorders>
            <w:shd w:val="clear" w:color="auto" w:fill="D3D3D3"/>
          </w:tcPr>
          <w:p>
            <w:pPr/>
          </w:p>
        </w:tc>
        <w:tc>
          <w:tcPr>
            <w:tcW w:w="783"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10"/>
              <w:ind w:left="205" w:right="25"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10"/>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12" w:hRule="exact"/>
        </w:trPr>
        <w:tc>
          <w:tcPr>
            <w:tcW w:w="17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5"/>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0" w:type="dxa"/>
            <w:vMerge/>
            <w:tcBorders>
              <w:left w:val="single" w:sz="4" w:space="0" w:color="000000"/>
              <w:right w:val="single" w:sz="4" w:space="0" w:color="000000"/>
            </w:tcBorders>
            <w:shd w:val="clear" w:color="auto" w:fill="D3D3D3"/>
          </w:tcPr>
          <w:p>
            <w:pPr/>
          </w:p>
        </w:tc>
        <w:tc>
          <w:tcPr>
            <w:tcW w:w="93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1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1" w:type="dxa"/>
            <w:vMerge/>
            <w:tcBorders>
              <w:left w:val="single" w:sz="4" w:space="0" w:color="000000"/>
              <w:right w:val="single" w:sz="4" w:space="0" w:color="000000"/>
            </w:tcBorders>
            <w:shd w:val="clear" w:color="auto" w:fill="D3D3D3"/>
          </w:tcPr>
          <w:p>
            <w:pPr/>
          </w:p>
        </w:tc>
        <w:tc>
          <w:tcPr>
            <w:tcW w:w="10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6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252"/>
              <w:jc w:val="right"/>
              <w:rPr>
                <w:rFonts w:ascii="宋体" w:hAnsi="宋体" w:cs="宋体" w:eastAsia="宋体" w:hint="default"/>
                <w:sz w:val="18"/>
                <w:szCs w:val="18"/>
              </w:rPr>
            </w:pPr>
            <w:r>
              <w:rPr>
                <w:rFonts w:ascii="宋体" w:hAnsi="宋体" w:cs="宋体" w:eastAsia="宋体" w:hint="default"/>
                <w:sz w:val="18"/>
                <w:szCs w:val="18"/>
              </w:rPr>
              <w:t>担保期</w:t>
            </w:r>
          </w:p>
        </w:tc>
        <w:tc>
          <w:tcPr>
            <w:tcW w:w="783" w:type="dxa"/>
            <w:vMerge/>
            <w:tcBorders>
              <w:left w:val="single" w:sz="4" w:space="0" w:color="000000"/>
              <w:right w:val="single" w:sz="4" w:space="0" w:color="000000"/>
            </w:tcBorders>
            <w:shd w:val="clear" w:color="auto" w:fill="D3D3D3"/>
          </w:tcPr>
          <w:p>
            <w:pPr/>
          </w:p>
        </w:tc>
        <w:tc>
          <w:tcPr>
            <w:tcW w:w="783" w:type="dxa"/>
            <w:vMerge/>
            <w:tcBorders>
              <w:left w:val="single" w:sz="4" w:space="0" w:color="000000"/>
              <w:right w:val="single" w:sz="4" w:space="0" w:color="000000"/>
            </w:tcBorders>
            <w:shd w:val="clear" w:color="auto" w:fill="D3D3D3"/>
          </w:tcPr>
          <w:p>
            <w:pPr/>
          </w:p>
        </w:tc>
      </w:tr>
      <w:tr>
        <w:trPr>
          <w:trHeight w:val="156" w:hRule="exact"/>
        </w:trPr>
        <w:tc>
          <w:tcPr>
            <w:tcW w:w="1701" w:type="dxa"/>
            <w:vMerge w:val="restart"/>
            <w:tcBorders>
              <w:top w:val="nil" w:sz="6" w:space="0" w:color="auto"/>
              <w:left w:val="single" w:sz="4" w:space="0" w:color="000000"/>
              <w:right w:val="single" w:sz="4" w:space="0" w:color="000000"/>
            </w:tcBorders>
            <w:shd w:val="clear" w:color="auto" w:fill="D3D3D3"/>
          </w:tcPr>
          <w:p>
            <w:pPr/>
          </w:p>
        </w:tc>
        <w:tc>
          <w:tcPr>
            <w:tcW w:w="910" w:type="dxa"/>
            <w:vMerge/>
            <w:tcBorders>
              <w:left w:val="single" w:sz="4" w:space="0" w:color="000000"/>
              <w:right w:val="single" w:sz="4" w:space="0" w:color="000000"/>
            </w:tcBorders>
            <w:shd w:val="clear" w:color="auto" w:fill="D3D3D3"/>
          </w:tcPr>
          <w:p>
            <w:pPr/>
          </w:p>
        </w:tc>
        <w:tc>
          <w:tcPr>
            <w:tcW w:w="931" w:type="dxa"/>
            <w:vMerge w:val="restart"/>
            <w:tcBorders>
              <w:top w:val="nil" w:sz="6" w:space="0" w:color="auto"/>
              <w:left w:val="single" w:sz="4" w:space="0" w:color="000000"/>
              <w:right w:val="single" w:sz="4" w:space="0" w:color="000000"/>
            </w:tcBorders>
            <w:shd w:val="clear" w:color="auto" w:fill="D3D3D3"/>
          </w:tcPr>
          <w:p>
            <w:pPr/>
          </w:p>
        </w:tc>
        <w:tc>
          <w:tcPr>
            <w:tcW w:w="1307" w:type="dxa"/>
            <w:vMerge w:val="restart"/>
            <w:tcBorders>
              <w:top w:val="nil" w:sz="6" w:space="0" w:color="auto"/>
              <w:left w:val="single" w:sz="4" w:space="0" w:color="000000"/>
              <w:right w:val="single" w:sz="4" w:space="0" w:color="000000"/>
            </w:tcBorders>
            <w:shd w:val="clear" w:color="auto" w:fill="D3D3D3"/>
          </w:tcPr>
          <w:p>
            <w:pPr/>
          </w:p>
        </w:tc>
        <w:tc>
          <w:tcPr>
            <w:tcW w:w="1051" w:type="dxa"/>
            <w:vMerge/>
            <w:tcBorders>
              <w:left w:val="single" w:sz="4" w:space="0" w:color="000000"/>
              <w:bottom w:val="nil" w:sz="6" w:space="0" w:color="auto"/>
              <w:right w:val="single" w:sz="4" w:space="0" w:color="000000"/>
            </w:tcBorders>
            <w:shd w:val="clear" w:color="auto" w:fill="D3D3D3"/>
          </w:tcPr>
          <w:p>
            <w:pPr/>
          </w:p>
        </w:tc>
        <w:tc>
          <w:tcPr>
            <w:tcW w:w="1036" w:type="dxa"/>
            <w:vMerge w:val="restart"/>
            <w:tcBorders>
              <w:top w:val="nil" w:sz="6" w:space="0" w:color="auto"/>
              <w:left w:val="single" w:sz="4" w:space="0" w:color="000000"/>
              <w:right w:val="single" w:sz="4" w:space="0" w:color="000000"/>
            </w:tcBorders>
            <w:shd w:val="clear" w:color="auto" w:fill="D3D3D3"/>
          </w:tcPr>
          <w:p>
            <w:pPr/>
          </w:p>
        </w:tc>
        <w:tc>
          <w:tcPr>
            <w:tcW w:w="1061" w:type="dxa"/>
            <w:vMerge w:val="restart"/>
            <w:tcBorders>
              <w:top w:val="nil" w:sz="6" w:space="0" w:color="auto"/>
              <w:left w:val="single" w:sz="4" w:space="0" w:color="000000"/>
              <w:right w:val="single" w:sz="4" w:space="0" w:color="000000"/>
            </w:tcBorders>
            <w:shd w:val="clear" w:color="auto" w:fill="D3D3D3"/>
          </w:tcPr>
          <w:p>
            <w:pPr/>
          </w:p>
        </w:tc>
        <w:tc>
          <w:tcPr>
            <w:tcW w:w="783" w:type="dxa"/>
            <w:vMerge/>
            <w:tcBorders>
              <w:left w:val="single" w:sz="4" w:space="0" w:color="000000"/>
              <w:bottom w:val="nil" w:sz="6" w:space="0" w:color="auto"/>
              <w:right w:val="single" w:sz="4" w:space="0" w:color="000000"/>
            </w:tcBorders>
            <w:shd w:val="clear" w:color="auto" w:fill="D3D3D3"/>
          </w:tcPr>
          <w:p>
            <w:pPr/>
          </w:p>
        </w:tc>
        <w:tc>
          <w:tcPr>
            <w:tcW w:w="783" w:type="dxa"/>
            <w:vMerge/>
            <w:tcBorders>
              <w:left w:val="single" w:sz="4" w:space="0" w:color="000000"/>
              <w:bottom w:val="nil" w:sz="6" w:space="0" w:color="auto"/>
              <w:right w:val="single" w:sz="4" w:space="0" w:color="000000"/>
            </w:tcBorders>
            <w:shd w:val="clear" w:color="auto" w:fill="D3D3D3"/>
          </w:tcPr>
          <w:p>
            <w:pPr/>
          </w:p>
        </w:tc>
      </w:tr>
      <w:tr>
        <w:trPr>
          <w:trHeight w:val="160" w:hRule="exact"/>
        </w:trPr>
        <w:tc>
          <w:tcPr>
            <w:tcW w:w="1701" w:type="dxa"/>
            <w:vMerge/>
            <w:tcBorders>
              <w:left w:val="single" w:sz="4" w:space="0" w:color="000000"/>
              <w:bottom w:val="single" w:sz="4" w:space="0" w:color="000000"/>
              <w:right w:val="single" w:sz="4" w:space="0" w:color="000000"/>
            </w:tcBorders>
            <w:shd w:val="clear" w:color="auto" w:fill="D3D3D3"/>
          </w:tcPr>
          <w:p>
            <w:pPr/>
          </w:p>
        </w:tc>
        <w:tc>
          <w:tcPr>
            <w:tcW w:w="910" w:type="dxa"/>
            <w:vMerge/>
            <w:tcBorders>
              <w:left w:val="single" w:sz="4" w:space="0" w:color="000000"/>
              <w:bottom w:val="single" w:sz="4" w:space="0" w:color="000000"/>
              <w:right w:val="single" w:sz="4" w:space="0" w:color="000000"/>
            </w:tcBorders>
            <w:shd w:val="clear" w:color="auto" w:fill="D3D3D3"/>
          </w:tcPr>
          <w:p>
            <w:pPr/>
          </w:p>
        </w:tc>
        <w:tc>
          <w:tcPr>
            <w:tcW w:w="931" w:type="dxa"/>
            <w:vMerge/>
            <w:tcBorders>
              <w:left w:val="single" w:sz="4" w:space="0" w:color="000000"/>
              <w:bottom w:val="single" w:sz="4" w:space="0" w:color="000000"/>
              <w:right w:val="single" w:sz="4" w:space="0" w:color="000000"/>
            </w:tcBorders>
            <w:shd w:val="clear" w:color="auto" w:fill="D3D3D3"/>
          </w:tcPr>
          <w:p>
            <w:pPr/>
          </w:p>
        </w:tc>
        <w:tc>
          <w:tcPr>
            <w:tcW w:w="1307" w:type="dxa"/>
            <w:vMerge/>
            <w:tcBorders>
              <w:left w:val="single" w:sz="4" w:space="0" w:color="000000"/>
              <w:bottom w:val="single" w:sz="4" w:space="0" w:color="000000"/>
              <w:right w:val="single" w:sz="4" w:space="0" w:color="000000"/>
            </w:tcBorders>
            <w:shd w:val="clear" w:color="auto" w:fill="D3D3D3"/>
          </w:tcPr>
          <w:p>
            <w:pPr/>
          </w:p>
        </w:tc>
        <w:tc>
          <w:tcPr>
            <w:tcW w:w="1051" w:type="dxa"/>
            <w:tcBorders>
              <w:top w:val="nil" w:sz="6" w:space="0" w:color="auto"/>
              <w:left w:val="single" w:sz="4" w:space="0" w:color="000000"/>
              <w:bottom w:val="single" w:sz="4" w:space="0" w:color="000000"/>
              <w:right w:val="single" w:sz="4" w:space="0" w:color="000000"/>
            </w:tcBorders>
            <w:shd w:val="clear" w:color="auto" w:fill="D3D3D3"/>
          </w:tcPr>
          <w:p>
            <w:pPr/>
          </w:p>
        </w:tc>
        <w:tc>
          <w:tcPr>
            <w:tcW w:w="1036" w:type="dxa"/>
            <w:vMerge/>
            <w:tcBorders>
              <w:left w:val="single" w:sz="4" w:space="0" w:color="000000"/>
              <w:bottom w:val="single" w:sz="4" w:space="0" w:color="000000"/>
              <w:right w:val="single" w:sz="4" w:space="0" w:color="000000"/>
            </w:tcBorders>
            <w:shd w:val="clear" w:color="auto" w:fill="D3D3D3"/>
          </w:tcPr>
          <w:p>
            <w:pPr/>
          </w:p>
        </w:tc>
        <w:tc>
          <w:tcPr>
            <w:tcW w:w="1061" w:type="dxa"/>
            <w:vMerge/>
            <w:tcBorders>
              <w:left w:val="single" w:sz="4" w:space="0" w:color="000000"/>
              <w:bottom w:val="single" w:sz="4" w:space="0" w:color="000000"/>
              <w:right w:val="single" w:sz="4" w:space="0" w:color="000000"/>
            </w:tcBorders>
            <w:shd w:val="clear" w:color="auto" w:fill="D3D3D3"/>
          </w:tcPr>
          <w:p>
            <w:pPr/>
          </w:p>
        </w:tc>
        <w:tc>
          <w:tcPr>
            <w:tcW w:w="783" w:type="dxa"/>
            <w:tcBorders>
              <w:top w:val="nil" w:sz="6" w:space="0" w:color="auto"/>
              <w:left w:val="single" w:sz="4" w:space="0" w:color="000000"/>
              <w:bottom w:val="single" w:sz="4" w:space="0" w:color="000000"/>
              <w:right w:val="single" w:sz="4" w:space="0" w:color="000000"/>
            </w:tcBorders>
            <w:shd w:val="clear" w:color="auto" w:fill="D3D3D3"/>
          </w:tcPr>
          <w:p>
            <w:pPr/>
          </w:p>
        </w:tc>
        <w:tc>
          <w:tcPr>
            <w:tcW w:w="783"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634" w:hRule="exact"/>
        </w:trPr>
        <w:tc>
          <w:tcPr>
            <w:tcW w:w="261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11" w:right="67"/>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39" w:type="dxa"/>
            <w:gridSpan w:val="2"/>
            <w:tcBorders>
              <w:top w:val="single" w:sz="4" w:space="0" w:color="000000"/>
              <w:left w:val="single" w:sz="13" w:space="0" w:color="D3D3D3"/>
              <w:bottom w:val="single" w:sz="4" w:space="0" w:color="000000"/>
              <w:right w:val="single" w:sz="9" w:space="0" w:color="D3D3D3"/>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c>
          <w:tcPr>
            <w:tcW w:w="20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17" w:right="77"/>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6"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956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1" w:hRule="exact"/>
        </w:trPr>
        <w:tc>
          <w:tcPr>
            <w:tcW w:w="1701" w:type="dxa"/>
            <w:vMerge w:val="restart"/>
            <w:tcBorders>
              <w:top w:val="single" w:sz="4" w:space="0" w:color="000000"/>
              <w:left w:val="single" w:sz="4" w:space="0" w:color="000000"/>
              <w:right w:val="single" w:sz="4" w:space="0" w:color="000000"/>
            </w:tcBorders>
            <w:shd w:val="clear" w:color="auto" w:fill="D3D3D3"/>
          </w:tcPr>
          <w:p>
            <w:pPr/>
          </w:p>
        </w:tc>
        <w:tc>
          <w:tcPr>
            <w:tcW w:w="91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10"/>
              <w:ind w:left="92" w:right="8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1" w:type="dxa"/>
            <w:vMerge w:val="restart"/>
            <w:tcBorders>
              <w:top w:val="single" w:sz="4" w:space="0" w:color="000000"/>
              <w:left w:val="single" w:sz="4" w:space="0" w:color="000000"/>
              <w:right w:val="single" w:sz="4" w:space="0" w:color="000000"/>
            </w:tcBorders>
            <w:shd w:val="clear" w:color="auto" w:fill="D3D3D3"/>
          </w:tcPr>
          <w:p>
            <w:pPr/>
          </w:p>
        </w:tc>
        <w:tc>
          <w:tcPr>
            <w:tcW w:w="1307" w:type="dxa"/>
            <w:vMerge w:val="restart"/>
            <w:tcBorders>
              <w:top w:val="single" w:sz="4" w:space="0" w:color="000000"/>
              <w:left w:val="single" w:sz="4" w:space="0" w:color="000000"/>
              <w:right w:val="single" w:sz="4" w:space="0" w:color="000000"/>
            </w:tcBorders>
            <w:shd w:val="clear" w:color="auto" w:fill="D3D3D3"/>
          </w:tcPr>
          <w:p>
            <w:pPr/>
          </w:p>
        </w:tc>
        <w:tc>
          <w:tcPr>
            <w:tcW w:w="1051" w:type="dxa"/>
            <w:tcBorders>
              <w:top w:val="single" w:sz="4" w:space="0" w:color="000000"/>
              <w:left w:val="single" w:sz="4" w:space="0" w:color="000000"/>
              <w:bottom w:val="nil" w:sz="6" w:space="0" w:color="auto"/>
              <w:right w:val="single" w:sz="4" w:space="0" w:color="000000"/>
            </w:tcBorders>
            <w:shd w:val="clear" w:color="auto" w:fill="D3D3D3"/>
          </w:tcPr>
          <w:p>
            <w:pPr/>
          </w:p>
        </w:tc>
        <w:tc>
          <w:tcPr>
            <w:tcW w:w="1036" w:type="dxa"/>
            <w:vMerge w:val="restart"/>
            <w:tcBorders>
              <w:top w:val="single" w:sz="4" w:space="0" w:color="000000"/>
              <w:left w:val="single" w:sz="4" w:space="0" w:color="000000"/>
              <w:right w:val="single" w:sz="4" w:space="0" w:color="000000"/>
            </w:tcBorders>
            <w:shd w:val="clear" w:color="auto" w:fill="D3D3D3"/>
          </w:tcPr>
          <w:p>
            <w:pPr/>
          </w:p>
        </w:tc>
        <w:tc>
          <w:tcPr>
            <w:tcW w:w="1061" w:type="dxa"/>
            <w:vMerge w:val="restart"/>
            <w:tcBorders>
              <w:top w:val="single" w:sz="4" w:space="0" w:color="000000"/>
              <w:left w:val="single" w:sz="4" w:space="0" w:color="000000"/>
              <w:right w:val="single" w:sz="4" w:space="0" w:color="000000"/>
            </w:tcBorders>
            <w:shd w:val="clear" w:color="auto" w:fill="D3D3D3"/>
          </w:tcPr>
          <w:p>
            <w:pPr/>
          </w:p>
        </w:tc>
        <w:tc>
          <w:tcPr>
            <w:tcW w:w="783" w:type="dxa"/>
            <w:tcBorders>
              <w:top w:val="single" w:sz="4" w:space="0" w:color="000000"/>
              <w:left w:val="single" w:sz="4" w:space="0" w:color="000000"/>
              <w:bottom w:val="nil" w:sz="6" w:space="0" w:color="auto"/>
              <w:right w:val="single" w:sz="4" w:space="0" w:color="000000"/>
            </w:tcBorders>
            <w:shd w:val="clear" w:color="auto" w:fill="D3D3D3"/>
          </w:tcPr>
          <w:p>
            <w:pPr/>
          </w:p>
        </w:tc>
        <w:tc>
          <w:tcPr>
            <w:tcW w:w="783"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6" w:hRule="exact"/>
        </w:trPr>
        <w:tc>
          <w:tcPr>
            <w:tcW w:w="1701" w:type="dxa"/>
            <w:vMerge/>
            <w:tcBorders>
              <w:left w:val="single" w:sz="4" w:space="0" w:color="000000"/>
              <w:bottom w:val="nil" w:sz="6" w:space="0" w:color="auto"/>
              <w:right w:val="single" w:sz="4" w:space="0" w:color="000000"/>
            </w:tcBorders>
            <w:shd w:val="clear" w:color="auto" w:fill="D3D3D3"/>
          </w:tcPr>
          <w:p>
            <w:pPr/>
          </w:p>
        </w:tc>
        <w:tc>
          <w:tcPr>
            <w:tcW w:w="910" w:type="dxa"/>
            <w:vMerge/>
            <w:tcBorders>
              <w:left w:val="single" w:sz="4" w:space="0" w:color="000000"/>
              <w:right w:val="single" w:sz="4" w:space="0" w:color="000000"/>
            </w:tcBorders>
            <w:shd w:val="clear" w:color="auto" w:fill="D3D3D3"/>
          </w:tcPr>
          <w:p>
            <w:pPr/>
          </w:p>
        </w:tc>
        <w:tc>
          <w:tcPr>
            <w:tcW w:w="931" w:type="dxa"/>
            <w:vMerge/>
            <w:tcBorders>
              <w:left w:val="single" w:sz="4" w:space="0" w:color="000000"/>
              <w:bottom w:val="nil" w:sz="6" w:space="0" w:color="auto"/>
              <w:right w:val="single" w:sz="4" w:space="0" w:color="000000"/>
            </w:tcBorders>
            <w:shd w:val="clear" w:color="auto" w:fill="D3D3D3"/>
          </w:tcPr>
          <w:p>
            <w:pPr/>
          </w:p>
        </w:tc>
        <w:tc>
          <w:tcPr>
            <w:tcW w:w="1307" w:type="dxa"/>
            <w:vMerge/>
            <w:tcBorders>
              <w:left w:val="single" w:sz="4" w:space="0" w:color="000000"/>
              <w:bottom w:val="nil" w:sz="6" w:space="0" w:color="auto"/>
              <w:right w:val="single" w:sz="4" w:space="0" w:color="000000"/>
            </w:tcBorders>
            <w:shd w:val="clear" w:color="auto" w:fill="D3D3D3"/>
          </w:tcPr>
          <w:p>
            <w:pPr/>
          </w:p>
        </w:tc>
        <w:tc>
          <w:tcPr>
            <w:tcW w:w="1051"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10"/>
              <w:ind w:left="429"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6" w:type="dxa"/>
            <w:vMerge/>
            <w:tcBorders>
              <w:left w:val="single" w:sz="4" w:space="0" w:color="000000"/>
              <w:bottom w:val="nil" w:sz="6" w:space="0" w:color="auto"/>
              <w:right w:val="single" w:sz="4" w:space="0" w:color="000000"/>
            </w:tcBorders>
            <w:shd w:val="clear" w:color="auto" w:fill="D3D3D3"/>
          </w:tcPr>
          <w:p>
            <w:pPr/>
          </w:p>
        </w:tc>
        <w:tc>
          <w:tcPr>
            <w:tcW w:w="1061" w:type="dxa"/>
            <w:vMerge/>
            <w:tcBorders>
              <w:left w:val="single" w:sz="4" w:space="0" w:color="000000"/>
              <w:bottom w:val="nil" w:sz="6" w:space="0" w:color="auto"/>
              <w:right w:val="single" w:sz="4" w:space="0" w:color="000000"/>
            </w:tcBorders>
            <w:shd w:val="clear" w:color="auto" w:fill="D3D3D3"/>
          </w:tcPr>
          <w:p>
            <w:pPr/>
          </w:p>
        </w:tc>
        <w:tc>
          <w:tcPr>
            <w:tcW w:w="783"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10"/>
              <w:ind w:left="202"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10"/>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12" w:hRule="exact"/>
        </w:trPr>
        <w:tc>
          <w:tcPr>
            <w:tcW w:w="17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5"/>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0" w:type="dxa"/>
            <w:vMerge/>
            <w:tcBorders>
              <w:left w:val="single" w:sz="4" w:space="0" w:color="000000"/>
              <w:right w:val="single" w:sz="4" w:space="0" w:color="000000"/>
            </w:tcBorders>
            <w:shd w:val="clear" w:color="auto" w:fill="D3D3D3"/>
          </w:tcPr>
          <w:p>
            <w:pPr/>
          </w:p>
        </w:tc>
        <w:tc>
          <w:tcPr>
            <w:tcW w:w="93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1" w:type="dxa"/>
            <w:vMerge/>
            <w:tcBorders>
              <w:left w:val="single" w:sz="4" w:space="0" w:color="000000"/>
              <w:right w:val="single" w:sz="4" w:space="0" w:color="000000"/>
            </w:tcBorders>
            <w:shd w:val="clear" w:color="auto" w:fill="D3D3D3"/>
          </w:tcPr>
          <w:p>
            <w:pPr/>
          </w:p>
        </w:tc>
        <w:tc>
          <w:tcPr>
            <w:tcW w:w="10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6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256"/>
              <w:jc w:val="right"/>
              <w:rPr>
                <w:rFonts w:ascii="宋体" w:hAnsi="宋体" w:cs="宋体" w:eastAsia="宋体" w:hint="default"/>
                <w:sz w:val="18"/>
                <w:szCs w:val="18"/>
              </w:rPr>
            </w:pPr>
            <w:r>
              <w:rPr>
                <w:rFonts w:ascii="宋体" w:hAnsi="宋体" w:cs="宋体" w:eastAsia="宋体" w:hint="default"/>
                <w:sz w:val="18"/>
                <w:szCs w:val="18"/>
              </w:rPr>
              <w:t>担保期</w:t>
            </w:r>
          </w:p>
        </w:tc>
        <w:tc>
          <w:tcPr>
            <w:tcW w:w="783" w:type="dxa"/>
            <w:vMerge/>
            <w:tcBorders>
              <w:left w:val="single" w:sz="4" w:space="0" w:color="000000"/>
              <w:right w:val="single" w:sz="4" w:space="0" w:color="000000"/>
            </w:tcBorders>
            <w:shd w:val="clear" w:color="auto" w:fill="D3D3D3"/>
          </w:tcPr>
          <w:p>
            <w:pPr/>
          </w:p>
        </w:tc>
        <w:tc>
          <w:tcPr>
            <w:tcW w:w="783" w:type="dxa"/>
            <w:vMerge/>
            <w:tcBorders>
              <w:left w:val="single" w:sz="4" w:space="0" w:color="000000"/>
              <w:right w:val="single" w:sz="4" w:space="0" w:color="000000"/>
            </w:tcBorders>
            <w:shd w:val="clear" w:color="auto" w:fill="D3D3D3"/>
          </w:tcPr>
          <w:p>
            <w:pPr/>
          </w:p>
        </w:tc>
      </w:tr>
      <w:tr>
        <w:trPr>
          <w:trHeight w:val="156" w:hRule="exact"/>
        </w:trPr>
        <w:tc>
          <w:tcPr>
            <w:tcW w:w="1701" w:type="dxa"/>
            <w:vMerge w:val="restart"/>
            <w:tcBorders>
              <w:top w:val="nil" w:sz="6" w:space="0" w:color="auto"/>
              <w:left w:val="single" w:sz="4" w:space="0" w:color="000000"/>
              <w:right w:val="single" w:sz="4" w:space="0" w:color="000000"/>
            </w:tcBorders>
            <w:shd w:val="clear" w:color="auto" w:fill="D3D3D3"/>
          </w:tcPr>
          <w:p>
            <w:pPr/>
          </w:p>
        </w:tc>
        <w:tc>
          <w:tcPr>
            <w:tcW w:w="910" w:type="dxa"/>
            <w:vMerge/>
            <w:tcBorders>
              <w:left w:val="single" w:sz="4" w:space="0" w:color="000000"/>
              <w:right w:val="single" w:sz="4" w:space="0" w:color="000000"/>
            </w:tcBorders>
            <w:shd w:val="clear" w:color="auto" w:fill="D3D3D3"/>
          </w:tcPr>
          <w:p>
            <w:pPr/>
          </w:p>
        </w:tc>
        <w:tc>
          <w:tcPr>
            <w:tcW w:w="931" w:type="dxa"/>
            <w:vMerge w:val="restart"/>
            <w:tcBorders>
              <w:top w:val="nil" w:sz="6" w:space="0" w:color="auto"/>
              <w:left w:val="single" w:sz="4" w:space="0" w:color="000000"/>
              <w:right w:val="single" w:sz="4" w:space="0" w:color="000000"/>
            </w:tcBorders>
            <w:shd w:val="clear" w:color="auto" w:fill="D3D3D3"/>
          </w:tcPr>
          <w:p>
            <w:pPr/>
          </w:p>
        </w:tc>
        <w:tc>
          <w:tcPr>
            <w:tcW w:w="1307" w:type="dxa"/>
            <w:vMerge w:val="restart"/>
            <w:tcBorders>
              <w:top w:val="nil" w:sz="6" w:space="0" w:color="auto"/>
              <w:left w:val="single" w:sz="4" w:space="0" w:color="000000"/>
              <w:right w:val="single" w:sz="4" w:space="0" w:color="000000"/>
            </w:tcBorders>
            <w:shd w:val="clear" w:color="auto" w:fill="D3D3D3"/>
          </w:tcPr>
          <w:p>
            <w:pPr/>
          </w:p>
        </w:tc>
        <w:tc>
          <w:tcPr>
            <w:tcW w:w="1051" w:type="dxa"/>
            <w:vMerge/>
            <w:tcBorders>
              <w:left w:val="single" w:sz="4" w:space="0" w:color="000000"/>
              <w:bottom w:val="nil" w:sz="6" w:space="0" w:color="auto"/>
              <w:right w:val="single" w:sz="4" w:space="0" w:color="000000"/>
            </w:tcBorders>
            <w:shd w:val="clear" w:color="auto" w:fill="D3D3D3"/>
          </w:tcPr>
          <w:p>
            <w:pPr/>
          </w:p>
        </w:tc>
        <w:tc>
          <w:tcPr>
            <w:tcW w:w="1036" w:type="dxa"/>
            <w:vMerge w:val="restart"/>
            <w:tcBorders>
              <w:top w:val="nil" w:sz="6" w:space="0" w:color="auto"/>
              <w:left w:val="single" w:sz="4" w:space="0" w:color="000000"/>
              <w:right w:val="single" w:sz="4" w:space="0" w:color="000000"/>
            </w:tcBorders>
            <w:shd w:val="clear" w:color="auto" w:fill="D3D3D3"/>
          </w:tcPr>
          <w:p>
            <w:pPr/>
          </w:p>
        </w:tc>
        <w:tc>
          <w:tcPr>
            <w:tcW w:w="1061" w:type="dxa"/>
            <w:vMerge w:val="restart"/>
            <w:tcBorders>
              <w:top w:val="nil" w:sz="6" w:space="0" w:color="auto"/>
              <w:left w:val="single" w:sz="4" w:space="0" w:color="000000"/>
              <w:right w:val="single" w:sz="4" w:space="0" w:color="000000"/>
            </w:tcBorders>
            <w:shd w:val="clear" w:color="auto" w:fill="D3D3D3"/>
          </w:tcPr>
          <w:p>
            <w:pPr/>
          </w:p>
        </w:tc>
        <w:tc>
          <w:tcPr>
            <w:tcW w:w="783" w:type="dxa"/>
            <w:vMerge/>
            <w:tcBorders>
              <w:left w:val="single" w:sz="4" w:space="0" w:color="000000"/>
              <w:bottom w:val="nil" w:sz="6" w:space="0" w:color="auto"/>
              <w:right w:val="single" w:sz="4" w:space="0" w:color="000000"/>
            </w:tcBorders>
            <w:shd w:val="clear" w:color="auto" w:fill="D3D3D3"/>
          </w:tcPr>
          <w:p>
            <w:pPr/>
          </w:p>
        </w:tc>
        <w:tc>
          <w:tcPr>
            <w:tcW w:w="783" w:type="dxa"/>
            <w:vMerge/>
            <w:tcBorders>
              <w:left w:val="single" w:sz="4" w:space="0" w:color="000000"/>
              <w:bottom w:val="nil" w:sz="6" w:space="0" w:color="auto"/>
              <w:right w:val="single" w:sz="4" w:space="0" w:color="000000"/>
            </w:tcBorders>
            <w:shd w:val="clear" w:color="auto" w:fill="D3D3D3"/>
          </w:tcPr>
          <w:p>
            <w:pPr/>
          </w:p>
        </w:tc>
      </w:tr>
      <w:tr>
        <w:trPr>
          <w:trHeight w:val="160" w:hRule="exact"/>
        </w:trPr>
        <w:tc>
          <w:tcPr>
            <w:tcW w:w="1701" w:type="dxa"/>
            <w:vMerge/>
            <w:tcBorders>
              <w:left w:val="single" w:sz="4" w:space="0" w:color="000000"/>
              <w:bottom w:val="single" w:sz="4" w:space="0" w:color="000000"/>
              <w:right w:val="single" w:sz="4" w:space="0" w:color="000000"/>
            </w:tcBorders>
            <w:shd w:val="clear" w:color="auto" w:fill="D3D3D3"/>
          </w:tcPr>
          <w:p>
            <w:pPr/>
          </w:p>
        </w:tc>
        <w:tc>
          <w:tcPr>
            <w:tcW w:w="910" w:type="dxa"/>
            <w:vMerge/>
            <w:tcBorders>
              <w:left w:val="single" w:sz="4" w:space="0" w:color="000000"/>
              <w:bottom w:val="single" w:sz="4" w:space="0" w:color="000000"/>
              <w:right w:val="single" w:sz="4" w:space="0" w:color="000000"/>
            </w:tcBorders>
            <w:shd w:val="clear" w:color="auto" w:fill="D3D3D3"/>
          </w:tcPr>
          <w:p>
            <w:pPr/>
          </w:p>
        </w:tc>
        <w:tc>
          <w:tcPr>
            <w:tcW w:w="931" w:type="dxa"/>
            <w:vMerge/>
            <w:tcBorders>
              <w:left w:val="single" w:sz="4" w:space="0" w:color="000000"/>
              <w:bottom w:val="single" w:sz="4" w:space="0" w:color="000000"/>
              <w:right w:val="single" w:sz="4" w:space="0" w:color="000000"/>
            </w:tcBorders>
            <w:shd w:val="clear" w:color="auto" w:fill="D3D3D3"/>
          </w:tcPr>
          <w:p>
            <w:pPr/>
          </w:p>
        </w:tc>
        <w:tc>
          <w:tcPr>
            <w:tcW w:w="1307" w:type="dxa"/>
            <w:vMerge/>
            <w:tcBorders>
              <w:left w:val="single" w:sz="4" w:space="0" w:color="000000"/>
              <w:bottom w:val="single" w:sz="4" w:space="0" w:color="000000"/>
              <w:right w:val="single" w:sz="4" w:space="0" w:color="000000"/>
            </w:tcBorders>
            <w:shd w:val="clear" w:color="auto" w:fill="D3D3D3"/>
          </w:tcPr>
          <w:p>
            <w:pPr/>
          </w:p>
        </w:tc>
        <w:tc>
          <w:tcPr>
            <w:tcW w:w="1051" w:type="dxa"/>
            <w:tcBorders>
              <w:top w:val="nil" w:sz="6" w:space="0" w:color="auto"/>
              <w:left w:val="single" w:sz="4" w:space="0" w:color="000000"/>
              <w:bottom w:val="single" w:sz="4" w:space="0" w:color="000000"/>
              <w:right w:val="single" w:sz="4" w:space="0" w:color="000000"/>
            </w:tcBorders>
            <w:shd w:val="clear" w:color="auto" w:fill="D3D3D3"/>
          </w:tcPr>
          <w:p>
            <w:pPr/>
          </w:p>
        </w:tc>
        <w:tc>
          <w:tcPr>
            <w:tcW w:w="1036" w:type="dxa"/>
            <w:vMerge/>
            <w:tcBorders>
              <w:left w:val="single" w:sz="4" w:space="0" w:color="000000"/>
              <w:bottom w:val="single" w:sz="4" w:space="0" w:color="000000"/>
              <w:right w:val="single" w:sz="4" w:space="0" w:color="000000"/>
            </w:tcBorders>
            <w:shd w:val="clear" w:color="auto" w:fill="D3D3D3"/>
          </w:tcPr>
          <w:p>
            <w:pPr/>
          </w:p>
        </w:tc>
        <w:tc>
          <w:tcPr>
            <w:tcW w:w="1061" w:type="dxa"/>
            <w:vMerge/>
            <w:tcBorders>
              <w:left w:val="single" w:sz="4" w:space="0" w:color="000000"/>
              <w:bottom w:val="single" w:sz="4" w:space="0" w:color="000000"/>
              <w:right w:val="single" w:sz="4" w:space="0" w:color="000000"/>
            </w:tcBorders>
            <w:shd w:val="clear" w:color="auto" w:fill="D3D3D3"/>
          </w:tcPr>
          <w:p>
            <w:pPr/>
          </w:p>
        </w:tc>
        <w:tc>
          <w:tcPr>
            <w:tcW w:w="783" w:type="dxa"/>
            <w:tcBorders>
              <w:top w:val="nil" w:sz="6" w:space="0" w:color="auto"/>
              <w:left w:val="single" w:sz="4" w:space="0" w:color="000000"/>
              <w:bottom w:val="single" w:sz="4" w:space="0" w:color="000000"/>
              <w:right w:val="single" w:sz="4" w:space="0" w:color="000000"/>
            </w:tcBorders>
            <w:shd w:val="clear" w:color="auto" w:fill="D3D3D3"/>
          </w:tcPr>
          <w:p>
            <w:pPr/>
          </w:p>
        </w:tc>
        <w:tc>
          <w:tcPr>
            <w:tcW w:w="783"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634" w:hRule="exact"/>
        </w:trPr>
        <w:tc>
          <w:tcPr>
            <w:tcW w:w="17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10"/>
              <w:ind w:left="11" w:right="58"/>
              <w:jc w:val="left"/>
              <w:rPr>
                <w:rFonts w:ascii="宋体" w:hAnsi="宋体" w:cs="宋体" w:eastAsia="宋体" w:hint="default"/>
                <w:sz w:val="18"/>
                <w:szCs w:val="18"/>
              </w:rPr>
            </w:pPr>
            <w:r>
              <w:rPr>
                <w:rFonts w:ascii="宋体" w:hAnsi="宋体" w:cs="宋体" w:eastAsia="宋体" w:hint="default"/>
                <w:sz w:val="18"/>
                <w:szCs w:val="18"/>
              </w:rPr>
              <w:t>浙江风盛传媒股份有 限公司</w:t>
            </w:r>
          </w:p>
        </w:tc>
        <w:tc>
          <w:tcPr>
            <w:tcW w:w="910"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10"/>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9,016</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1,832.18</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9" w:right="9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5" w:hRule="exact"/>
        </w:trPr>
        <w:tc>
          <w:tcPr>
            <w:tcW w:w="17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11"/>
              <w:ind w:left="11" w:right="58"/>
              <w:jc w:val="left"/>
              <w:rPr>
                <w:rFonts w:ascii="宋体" w:hAnsi="宋体" w:cs="宋体" w:eastAsia="宋体" w:hint="default"/>
                <w:sz w:val="18"/>
                <w:szCs w:val="18"/>
              </w:rPr>
            </w:pPr>
            <w:r>
              <w:rPr>
                <w:rFonts w:ascii="宋体" w:hAnsi="宋体" w:cs="宋体" w:eastAsia="宋体" w:hint="default"/>
                <w:sz w:val="18"/>
                <w:szCs w:val="18"/>
              </w:rPr>
              <w:t>中教未来国际教育科 技（北京）有限公司</w:t>
            </w:r>
          </w:p>
        </w:tc>
        <w:tc>
          <w:tcPr>
            <w:tcW w:w="910"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11"/>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5,400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2,701.8</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9" w:right="9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7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10"/>
              <w:ind w:left="11" w:right="58"/>
              <w:jc w:val="left"/>
              <w:rPr>
                <w:rFonts w:ascii="宋体" w:hAnsi="宋体" w:cs="宋体" w:eastAsia="宋体" w:hint="default"/>
                <w:sz w:val="18"/>
                <w:szCs w:val="18"/>
              </w:rPr>
            </w:pPr>
            <w:r>
              <w:rPr>
                <w:rFonts w:ascii="宋体" w:hAnsi="宋体" w:cs="宋体" w:eastAsia="宋体" w:hint="default"/>
                <w:sz w:val="18"/>
                <w:szCs w:val="18"/>
              </w:rPr>
              <w:t>中教未来国际教育科 技（北京）有限公司</w:t>
            </w:r>
          </w:p>
        </w:tc>
        <w:tc>
          <w:tcPr>
            <w:tcW w:w="910"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10"/>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1,200</w:t>
            </w:r>
          </w:p>
        </w:tc>
        <w:tc>
          <w:tcPr>
            <w:tcW w:w="130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9" w:right="9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7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10"/>
              <w:ind w:left="11" w:right="58"/>
              <w:jc w:val="left"/>
              <w:rPr>
                <w:rFonts w:ascii="宋体" w:hAnsi="宋体" w:cs="宋体" w:eastAsia="宋体" w:hint="default"/>
                <w:sz w:val="18"/>
                <w:szCs w:val="18"/>
              </w:rPr>
            </w:pPr>
            <w:r>
              <w:rPr>
                <w:rFonts w:ascii="宋体" w:hAnsi="宋体" w:cs="宋体" w:eastAsia="宋体" w:hint="default"/>
                <w:sz w:val="18"/>
                <w:szCs w:val="18"/>
              </w:rPr>
              <w:t>杭州日报报业集团盛 元印务有限公司</w:t>
            </w:r>
          </w:p>
        </w:tc>
        <w:tc>
          <w:tcPr>
            <w:tcW w:w="910"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10"/>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8,000</w:t>
            </w:r>
          </w:p>
        </w:tc>
        <w:tc>
          <w:tcPr>
            <w:tcW w:w="130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9" w:right="9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5" w:hRule="exact"/>
        </w:trPr>
        <w:tc>
          <w:tcPr>
            <w:tcW w:w="17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11"/>
              <w:ind w:left="11" w:right="58"/>
              <w:jc w:val="left"/>
              <w:rPr>
                <w:rFonts w:ascii="宋体" w:hAnsi="宋体" w:cs="宋体" w:eastAsia="宋体" w:hint="default"/>
                <w:sz w:val="18"/>
                <w:szCs w:val="18"/>
              </w:rPr>
            </w:pPr>
            <w:r>
              <w:rPr>
                <w:rFonts w:ascii="宋体" w:hAnsi="宋体" w:cs="宋体" w:eastAsia="宋体" w:hint="default"/>
                <w:sz w:val="18"/>
                <w:szCs w:val="18"/>
              </w:rPr>
              <w:t>中教未来国际教育科 技（北京）有限公司</w:t>
            </w:r>
          </w:p>
        </w:tc>
        <w:tc>
          <w:tcPr>
            <w:tcW w:w="910"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11"/>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960</w:t>
            </w:r>
          </w:p>
        </w:tc>
        <w:tc>
          <w:tcPr>
            <w:tcW w:w="130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9" w:right="9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261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11" w:right="67"/>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9" w:type="dxa"/>
            <w:gridSpan w:val="2"/>
            <w:tcBorders>
              <w:top w:val="single" w:sz="4" w:space="0" w:color="000000"/>
              <w:left w:val="single" w:sz="13" w:space="0" w:color="D3D3D3"/>
              <w:bottom w:val="single" w:sz="4" w:space="0" w:color="000000"/>
              <w:right w:val="single" w:sz="9" w:space="0" w:color="D3D3D3"/>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960</w:t>
            </w:r>
          </w:p>
        </w:tc>
        <w:tc>
          <w:tcPr>
            <w:tcW w:w="20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17" w:right="77"/>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6"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2,701.8</w:t>
            </w:r>
          </w:p>
        </w:tc>
      </w:tr>
      <w:tr>
        <w:trPr>
          <w:trHeight w:val="634" w:hRule="exact"/>
        </w:trPr>
        <w:tc>
          <w:tcPr>
            <w:tcW w:w="261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11" w:right="67"/>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9" w:type="dxa"/>
            <w:gridSpan w:val="2"/>
            <w:tcBorders>
              <w:top w:val="single" w:sz="4" w:space="0" w:color="000000"/>
              <w:left w:val="single" w:sz="13" w:space="0" w:color="D3D3D3"/>
              <w:bottom w:val="single" w:sz="4" w:space="0" w:color="000000"/>
              <w:right w:val="single" w:sz="9" w:space="0" w:color="D3D3D3"/>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23,376</w:t>
            </w:r>
          </w:p>
        </w:tc>
        <w:tc>
          <w:tcPr>
            <w:tcW w:w="20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17" w:right="77"/>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6"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4,533.98</w:t>
            </w:r>
          </w:p>
        </w:tc>
      </w:tr>
      <w:tr>
        <w:trPr>
          <w:trHeight w:val="323" w:hRule="exact"/>
        </w:trPr>
        <w:tc>
          <w:tcPr>
            <w:tcW w:w="956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1" w:hRule="exact"/>
        </w:trPr>
        <w:tc>
          <w:tcPr>
            <w:tcW w:w="1701" w:type="dxa"/>
            <w:vMerge w:val="restart"/>
            <w:tcBorders>
              <w:top w:val="single" w:sz="4" w:space="0" w:color="000000"/>
              <w:left w:val="single" w:sz="4" w:space="0" w:color="000000"/>
              <w:right w:val="single" w:sz="4" w:space="0" w:color="000000"/>
            </w:tcBorders>
            <w:shd w:val="clear" w:color="auto" w:fill="D3D3D3"/>
          </w:tcPr>
          <w:p>
            <w:pPr/>
          </w:p>
        </w:tc>
        <w:tc>
          <w:tcPr>
            <w:tcW w:w="91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10"/>
              <w:ind w:left="88" w:right="8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1" w:type="dxa"/>
            <w:vMerge w:val="restart"/>
            <w:tcBorders>
              <w:top w:val="single" w:sz="4" w:space="0" w:color="000000"/>
              <w:left w:val="single" w:sz="4" w:space="0" w:color="000000"/>
              <w:right w:val="single" w:sz="4" w:space="0" w:color="000000"/>
            </w:tcBorders>
            <w:shd w:val="clear" w:color="auto" w:fill="D3D3D3"/>
          </w:tcPr>
          <w:p>
            <w:pPr/>
          </w:p>
        </w:tc>
        <w:tc>
          <w:tcPr>
            <w:tcW w:w="1307" w:type="dxa"/>
            <w:vMerge w:val="restart"/>
            <w:tcBorders>
              <w:top w:val="single" w:sz="4" w:space="0" w:color="000000"/>
              <w:left w:val="single" w:sz="4" w:space="0" w:color="000000"/>
              <w:right w:val="single" w:sz="4" w:space="0" w:color="000000"/>
            </w:tcBorders>
            <w:shd w:val="clear" w:color="auto" w:fill="D3D3D3"/>
          </w:tcPr>
          <w:p>
            <w:pPr/>
          </w:p>
        </w:tc>
        <w:tc>
          <w:tcPr>
            <w:tcW w:w="1051" w:type="dxa"/>
            <w:tcBorders>
              <w:top w:val="single" w:sz="4" w:space="0" w:color="000000"/>
              <w:left w:val="single" w:sz="4" w:space="0" w:color="000000"/>
              <w:bottom w:val="nil" w:sz="6" w:space="0" w:color="auto"/>
              <w:right w:val="single" w:sz="4" w:space="0" w:color="000000"/>
            </w:tcBorders>
            <w:shd w:val="clear" w:color="auto" w:fill="D3D3D3"/>
          </w:tcPr>
          <w:p>
            <w:pPr/>
          </w:p>
        </w:tc>
        <w:tc>
          <w:tcPr>
            <w:tcW w:w="1036" w:type="dxa"/>
            <w:vMerge w:val="restart"/>
            <w:tcBorders>
              <w:top w:val="single" w:sz="4" w:space="0" w:color="000000"/>
              <w:left w:val="single" w:sz="4" w:space="0" w:color="000000"/>
              <w:right w:val="single" w:sz="4" w:space="0" w:color="000000"/>
            </w:tcBorders>
            <w:shd w:val="clear" w:color="auto" w:fill="D3D3D3"/>
          </w:tcPr>
          <w:p>
            <w:pPr/>
          </w:p>
        </w:tc>
        <w:tc>
          <w:tcPr>
            <w:tcW w:w="1061" w:type="dxa"/>
            <w:vMerge w:val="restart"/>
            <w:tcBorders>
              <w:top w:val="single" w:sz="4" w:space="0" w:color="000000"/>
              <w:left w:val="single" w:sz="4" w:space="0" w:color="000000"/>
              <w:right w:val="single" w:sz="4" w:space="0" w:color="000000"/>
            </w:tcBorders>
            <w:shd w:val="clear" w:color="auto" w:fill="D3D3D3"/>
          </w:tcPr>
          <w:p>
            <w:pPr/>
          </w:p>
        </w:tc>
        <w:tc>
          <w:tcPr>
            <w:tcW w:w="783" w:type="dxa"/>
            <w:tcBorders>
              <w:top w:val="single" w:sz="4" w:space="0" w:color="000000"/>
              <w:left w:val="single" w:sz="4" w:space="0" w:color="000000"/>
              <w:bottom w:val="nil" w:sz="6" w:space="0" w:color="auto"/>
              <w:right w:val="single" w:sz="4" w:space="0" w:color="000000"/>
            </w:tcBorders>
            <w:shd w:val="clear" w:color="auto" w:fill="D3D3D3"/>
          </w:tcPr>
          <w:p>
            <w:pPr/>
          </w:p>
        </w:tc>
        <w:tc>
          <w:tcPr>
            <w:tcW w:w="783"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6" w:hRule="exact"/>
        </w:trPr>
        <w:tc>
          <w:tcPr>
            <w:tcW w:w="1701" w:type="dxa"/>
            <w:vMerge/>
            <w:tcBorders>
              <w:left w:val="single" w:sz="4" w:space="0" w:color="000000"/>
              <w:bottom w:val="nil" w:sz="6" w:space="0" w:color="auto"/>
              <w:right w:val="single" w:sz="4" w:space="0" w:color="000000"/>
            </w:tcBorders>
            <w:shd w:val="clear" w:color="auto" w:fill="D3D3D3"/>
          </w:tcPr>
          <w:p>
            <w:pPr/>
          </w:p>
        </w:tc>
        <w:tc>
          <w:tcPr>
            <w:tcW w:w="910" w:type="dxa"/>
            <w:vMerge/>
            <w:tcBorders>
              <w:left w:val="single" w:sz="4" w:space="0" w:color="000000"/>
              <w:right w:val="single" w:sz="4" w:space="0" w:color="000000"/>
            </w:tcBorders>
            <w:shd w:val="clear" w:color="auto" w:fill="D3D3D3"/>
          </w:tcPr>
          <w:p>
            <w:pPr/>
          </w:p>
        </w:tc>
        <w:tc>
          <w:tcPr>
            <w:tcW w:w="931" w:type="dxa"/>
            <w:vMerge/>
            <w:tcBorders>
              <w:left w:val="single" w:sz="4" w:space="0" w:color="000000"/>
              <w:bottom w:val="nil" w:sz="6" w:space="0" w:color="auto"/>
              <w:right w:val="single" w:sz="4" w:space="0" w:color="000000"/>
            </w:tcBorders>
            <w:shd w:val="clear" w:color="auto" w:fill="D3D3D3"/>
          </w:tcPr>
          <w:p>
            <w:pPr/>
          </w:p>
        </w:tc>
        <w:tc>
          <w:tcPr>
            <w:tcW w:w="1307" w:type="dxa"/>
            <w:vMerge/>
            <w:tcBorders>
              <w:left w:val="single" w:sz="4" w:space="0" w:color="000000"/>
              <w:bottom w:val="nil" w:sz="6" w:space="0" w:color="auto"/>
              <w:right w:val="single" w:sz="4" w:space="0" w:color="000000"/>
            </w:tcBorders>
            <w:shd w:val="clear" w:color="auto" w:fill="D3D3D3"/>
          </w:tcPr>
          <w:p>
            <w:pPr/>
          </w:p>
        </w:tc>
        <w:tc>
          <w:tcPr>
            <w:tcW w:w="1051"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10"/>
              <w:ind w:left="420" w:right="78"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6" w:type="dxa"/>
            <w:vMerge/>
            <w:tcBorders>
              <w:left w:val="single" w:sz="4" w:space="0" w:color="000000"/>
              <w:bottom w:val="nil" w:sz="6" w:space="0" w:color="auto"/>
              <w:right w:val="single" w:sz="4" w:space="0" w:color="000000"/>
            </w:tcBorders>
            <w:shd w:val="clear" w:color="auto" w:fill="D3D3D3"/>
          </w:tcPr>
          <w:p>
            <w:pPr/>
          </w:p>
        </w:tc>
        <w:tc>
          <w:tcPr>
            <w:tcW w:w="1061" w:type="dxa"/>
            <w:vMerge/>
            <w:tcBorders>
              <w:left w:val="single" w:sz="4" w:space="0" w:color="000000"/>
              <w:bottom w:val="nil" w:sz="6" w:space="0" w:color="auto"/>
              <w:right w:val="single" w:sz="4" w:space="0" w:color="000000"/>
            </w:tcBorders>
            <w:shd w:val="clear" w:color="auto" w:fill="D3D3D3"/>
          </w:tcPr>
          <w:p>
            <w:pPr/>
          </w:p>
        </w:tc>
        <w:tc>
          <w:tcPr>
            <w:tcW w:w="783"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10"/>
              <w:ind w:left="197"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10"/>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12" w:hRule="exact"/>
        </w:trPr>
        <w:tc>
          <w:tcPr>
            <w:tcW w:w="17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5"/>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0" w:type="dxa"/>
            <w:vMerge/>
            <w:tcBorders>
              <w:left w:val="single" w:sz="4" w:space="0" w:color="000000"/>
              <w:right w:val="single" w:sz="4" w:space="0" w:color="000000"/>
            </w:tcBorders>
            <w:shd w:val="clear" w:color="auto" w:fill="D3D3D3"/>
          </w:tcPr>
          <w:p>
            <w:pPr/>
          </w:p>
        </w:tc>
        <w:tc>
          <w:tcPr>
            <w:tcW w:w="93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1" w:type="dxa"/>
            <w:vMerge/>
            <w:tcBorders>
              <w:left w:val="single" w:sz="4" w:space="0" w:color="000000"/>
              <w:right w:val="single" w:sz="4" w:space="0" w:color="000000"/>
            </w:tcBorders>
            <w:shd w:val="clear" w:color="auto" w:fill="D3D3D3"/>
          </w:tcPr>
          <w:p>
            <w:pPr/>
          </w:p>
        </w:tc>
        <w:tc>
          <w:tcPr>
            <w:tcW w:w="10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6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256"/>
              <w:jc w:val="right"/>
              <w:rPr>
                <w:rFonts w:ascii="宋体" w:hAnsi="宋体" w:cs="宋体" w:eastAsia="宋体" w:hint="default"/>
                <w:sz w:val="18"/>
                <w:szCs w:val="18"/>
              </w:rPr>
            </w:pPr>
            <w:r>
              <w:rPr>
                <w:rFonts w:ascii="宋体" w:hAnsi="宋体" w:cs="宋体" w:eastAsia="宋体" w:hint="default"/>
                <w:sz w:val="18"/>
                <w:szCs w:val="18"/>
              </w:rPr>
              <w:t>担保期</w:t>
            </w:r>
          </w:p>
        </w:tc>
        <w:tc>
          <w:tcPr>
            <w:tcW w:w="783" w:type="dxa"/>
            <w:vMerge/>
            <w:tcBorders>
              <w:left w:val="single" w:sz="4" w:space="0" w:color="000000"/>
              <w:right w:val="single" w:sz="4" w:space="0" w:color="000000"/>
            </w:tcBorders>
            <w:shd w:val="clear" w:color="auto" w:fill="D3D3D3"/>
          </w:tcPr>
          <w:p>
            <w:pPr/>
          </w:p>
        </w:tc>
        <w:tc>
          <w:tcPr>
            <w:tcW w:w="783" w:type="dxa"/>
            <w:vMerge/>
            <w:tcBorders>
              <w:left w:val="single" w:sz="4" w:space="0" w:color="000000"/>
              <w:right w:val="single" w:sz="4" w:space="0" w:color="000000"/>
            </w:tcBorders>
            <w:shd w:val="clear" w:color="auto" w:fill="D3D3D3"/>
          </w:tcPr>
          <w:p>
            <w:pPr/>
          </w:p>
        </w:tc>
      </w:tr>
      <w:tr>
        <w:trPr>
          <w:trHeight w:val="156" w:hRule="exact"/>
        </w:trPr>
        <w:tc>
          <w:tcPr>
            <w:tcW w:w="1701" w:type="dxa"/>
            <w:vMerge w:val="restart"/>
            <w:tcBorders>
              <w:top w:val="nil" w:sz="6" w:space="0" w:color="auto"/>
              <w:left w:val="single" w:sz="4" w:space="0" w:color="000000"/>
              <w:right w:val="single" w:sz="4" w:space="0" w:color="000000"/>
            </w:tcBorders>
            <w:shd w:val="clear" w:color="auto" w:fill="D3D3D3"/>
          </w:tcPr>
          <w:p>
            <w:pPr/>
          </w:p>
        </w:tc>
        <w:tc>
          <w:tcPr>
            <w:tcW w:w="910" w:type="dxa"/>
            <w:vMerge/>
            <w:tcBorders>
              <w:left w:val="single" w:sz="4" w:space="0" w:color="000000"/>
              <w:right w:val="single" w:sz="4" w:space="0" w:color="000000"/>
            </w:tcBorders>
            <w:shd w:val="clear" w:color="auto" w:fill="D3D3D3"/>
          </w:tcPr>
          <w:p>
            <w:pPr/>
          </w:p>
        </w:tc>
        <w:tc>
          <w:tcPr>
            <w:tcW w:w="931" w:type="dxa"/>
            <w:vMerge w:val="restart"/>
            <w:tcBorders>
              <w:top w:val="nil" w:sz="6" w:space="0" w:color="auto"/>
              <w:left w:val="single" w:sz="4" w:space="0" w:color="000000"/>
              <w:right w:val="single" w:sz="4" w:space="0" w:color="000000"/>
            </w:tcBorders>
            <w:shd w:val="clear" w:color="auto" w:fill="D3D3D3"/>
          </w:tcPr>
          <w:p>
            <w:pPr/>
          </w:p>
        </w:tc>
        <w:tc>
          <w:tcPr>
            <w:tcW w:w="1307" w:type="dxa"/>
            <w:vMerge w:val="restart"/>
            <w:tcBorders>
              <w:top w:val="nil" w:sz="6" w:space="0" w:color="auto"/>
              <w:left w:val="single" w:sz="4" w:space="0" w:color="000000"/>
              <w:right w:val="single" w:sz="4" w:space="0" w:color="000000"/>
            </w:tcBorders>
            <w:shd w:val="clear" w:color="auto" w:fill="D3D3D3"/>
          </w:tcPr>
          <w:p>
            <w:pPr/>
          </w:p>
        </w:tc>
        <w:tc>
          <w:tcPr>
            <w:tcW w:w="1051" w:type="dxa"/>
            <w:vMerge/>
            <w:tcBorders>
              <w:left w:val="single" w:sz="4" w:space="0" w:color="000000"/>
              <w:bottom w:val="nil" w:sz="6" w:space="0" w:color="auto"/>
              <w:right w:val="single" w:sz="4" w:space="0" w:color="000000"/>
            </w:tcBorders>
            <w:shd w:val="clear" w:color="auto" w:fill="D3D3D3"/>
          </w:tcPr>
          <w:p>
            <w:pPr/>
          </w:p>
        </w:tc>
        <w:tc>
          <w:tcPr>
            <w:tcW w:w="1036" w:type="dxa"/>
            <w:vMerge w:val="restart"/>
            <w:tcBorders>
              <w:top w:val="nil" w:sz="6" w:space="0" w:color="auto"/>
              <w:left w:val="single" w:sz="4" w:space="0" w:color="000000"/>
              <w:right w:val="single" w:sz="4" w:space="0" w:color="000000"/>
            </w:tcBorders>
            <w:shd w:val="clear" w:color="auto" w:fill="D3D3D3"/>
          </w:tcPr>
          <w:p>
            <w:pPr/>
          </w:p>
        </w:tc>
        <w:tc>
          <w:tcPr>
            <w:tcW w:w="1061" w:type="dxa"/>
            <w:vMerge w:val="restart"/>
            <w:tcBorders>
              <w:top w:val="nil" w:sz="6" w:space="0" w:color="auto"/>
              <w:left w:val="single" w:sz="4" w:space="0" w:color="000000"/>
              <w:right w:val="single" w:sz="4" w:space="0" w:color="000000"/>
            </w:tcBorders>
            <w:shd w:val="clear" w:color="auto" w:fill="D3D3D3"/>
          </w:tcPr>
          <w:p>
            <w:pPr/>
          </w:p>
        </w:tc>
        <w:tc>
          <w:tcPr>
            <w:tcW w:w="783" w:type="dxa"/>
            <w:vMerge/>
            <w:tcBorders>
              <w:left w:val="single" w:sz="4" w:space="0" w:color="000000"/>
              <w:bottom w:val="nil" w:sz="6" w:space="0" w:color="auto"/>
              <w:right w:val="single" w:sz="4" w:space="0" w:color="000000"/>
            </w:tcBorders>
            <w:shd w:val="clear" w:color="auto" w:fill="D3D3D3"/>
          </w:tcPr>
          <w:p>
            <w:pPr/>
          </w:p>
        </w:tc>
        <w:tc>
          <w:tcPr>
            <w:tcW w:w="783" w:type="dxa"/>
            <w:vMerge/>
            <w:tcBorders>
              <w:left w:val="single" w:sz="4" w:space="0" w:color="000000"/>
              <w:bottom w:val="nil" w:sz="6" w:space="0" w:color="auto"/>
              <w:right w:val="single" w:sz="4" w:space="0" w:color="000000"/>
            </w:tcBorders>
            <w:shd w:val="clear" w:color="auto" w:fill="D3D3D3"/>
          </w:tcPr>
          <w:p>
            <w:pPr/>
          </w:p>
        </w:tc>
      </w:tr>
      <w:tr>
        <w:trPr>
          <w:trHeight w:val="160" w:hRule="exact"/>
        </w:trPr>
        <w:tc>
          <w:tcPr>
            <w:tcW w:w="1701" w:type="dxa"/>
            <w:vMerge/>
            <w:tcBorders>
              <w:left w:val="single" w:sz="4" w:space="0" w:color="000000"/>
              <w:bottom w:val="single" w:sz="4" w:space="0" w:color="000000"/>
              <w:right w:val="single" w:sz="4" w:space="0" w:color="000000"/>
            </w:tcBorders>
            <w:shd w:val="clear" w:color="auto" w:fill="D3D3D3"/>
          </w:tcPr>
          <w:p>
            <w:pPr/>
          </w:p>
        </w:tc>
        <w:tc>
          <w:tcPr>
            <w:tcW w:w="910" w:type="dxa"/>
            <w:vMerge/>
            <w:tcBorders>
              <w:left w:val="single" w:sz="4" w:space="0" w:color="000000"/>
              <w:bottom w:val="single" w:sz="4" w:space="0" w:color="000000"/>
              <w:right w:val="single" w:sz="4" w:space="0" w:color="000000"/>
            </w:tcBorders>
            <w:shd w:val="clear" w:color="auto" w:fill="D3D3D3"/>
          </w:tcPr>
          <w:p>
            <w:pPr/>
          </w:p>
        </w:tc>
        <w:tc>
          <w:tcPr>
            <w:tcW w:w="931" w:type="dxa"/>
            <w:vMerge/>
            <w:tcBorders>
              <w:left w:val="single" w:sz="4" w:space="0" w:color="000000"/>
              <w:bottom w:val="single" w:sz="4" w:space="0" w:color="000000"/>
              <w:right w:val="single" w:sz="4" w:space="0" w:color="000000"/>
            </w:tcBorders>
            <w:shd w:val="clear" w:color="auto" w:fill="D3D3D3"/>
          </w:tcPr>
          <w:p>
            <w:pPr/>
          </w:p>
        </w:tc>
        <w:tc>
          <w:tcPr>
            <w:tcW w:w="1307" w:type="dxa"/>
            <w:vMerge/>
            <w:tcBorders>
              <w:left w:val="single" w:sz="4" w:space="0" w:color="000000"/>
              <w:bottom w:val="single" w:sz="4" w:space="0" w:color="000000"/>
              <w:right w:val="single" w:sz="4" w:space="0" w:color="000000"/>
            </w:tcBorders>
            <w:shd w:val="clear" w:color="auto" w:fill="D3D3D3"/>
          </w:tcPr>
          <w:p>
            <w:pPr/>
          </w:p>
        </w:tc>
        <w:tc>
          <w:tcPr>
            <w:tcW w:w="1051" w:type="dxa"/>
            <w:tcBorders>
              <w:top w:val="nil" w:sz="6" w:space="0" w:color="auto"/>
              <w:left w:val="single" w:sz="4" w:space="0" w:color="000000"/>
              <w:bottom w:val="single" w:sz="4" w:space="0" w:color="000000"/>
              <w:right w:val="single" w:sz="4" w:space="0" w:color="000000"/>
            </w:tcBorders>
            <w:shd w:val="clear" w:color="auto" w:fill="D3D3D3"/>
          </w:tcPr>
          <w:p>
            <w:pPr/>
          </w:p>
        </w:tc>
        <w:tc>
          <w:tcPr>
            <w:tcW w:w="1036" w:type="dxa"/>
            <w:vMerge/>
            <w:tcBorders>
              <w:left w:val="single" w:sz="4" w:space="0" w:color="000000"/>
              <w:bottom w:val="single" w:sz="4" w:space="0" w:color="000000"/>
              <w:right w:val="single" w:sz="4" w:space="0" w:color="000000"/>
            </w:tcBorders>
            <w:shd w:val="clear" w:color="auto" w:fill="D3D3D3"/>
          </w:tcPr>
          <w:p>
            <w:pPr/>
          </w:p>
        </w:tc>
        <w:tc>
          <w:tcPr>
            <w:tcW w:w="1061" w:type="dxa"/>
            <w:vMerge/>
            <w:tcBorders>
              <w:left w:val="single" w:sz="4" w:space="0" w:color="000000"/>
              <w:bottom w:val="single" w:sz="4" w:space="0" w:color="000000"/>
              <w:right w:val="single" w:sz="4" w:space="0" w:color="000000"/>
            </w:tcBorders>
            <w:shd w:val="clear" w:color="auto" w:fill="D3D3D3"/>
          </w:tcPr>
          <w:p>
            <w:pPr/>
          </w:p>
        </w:tc>
        <w:tc>
          <w:tcPr>
            <w:tcW w:w="783" w:type="dxa"/>
            <w:tcBorders>
              <w:top w:val="nil" w:sz="6" w:space="0" w:color="auto"/>
              <w:left w:val="single" w:sz="4" w:space="0" w:color="000000"/>
              <w:bottom w:val="single" w:sz="4" w:space="0" w:color="000000"/>
              <w:right w:val="single" w:sz="4" w:space="0" w:color="000000"/>
            </w:tcBorders>
            <w:shd w:val="clear" w:color="auto" w:fill="D3D3D3"/>
          </w:tcPr>
          <w:p>
            <w:pPr/>
          </w:p>
        </w:tc>
        <w:tc>
          <w:tcPr>
            <w:tcW w:w="783"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22" w:hRule="exact"/>
        </w:trPr>
        <w:tc>
          <w:tcPr>
            <w:tcW w:w="956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1"/>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635" w:hRule="exact"/>
        </w:trPr>
        <w:tc>
          <w:tcPr>
            <w:tcW w:w="261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9" w:type="dxa"/>
            <w:gridSpan w:val="2"/>
            <w:tcBorders>
              <w:top w:val="single" w:sz="4" w:space="0" w:color="000000"/>
              <w:left w:val="single" w:sz="13" w:space="0" w:color="D3D3D3"/>
              <w:bottom w:val="single" w:sz="4" w:space="0" w:color="000000"/>
              <w:right w:val="single" w:sz="9" w:space="0" w:color="D3D3D3"/>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960</w:t>
            </w:r>
          </w:p>
        </w:tc>
        <w:tc>
          <w:tcPr>
            <w:tcW w:w="20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1"/>
              <w:ind w:left="17" w:right="77"/>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6"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2,701.8</w:t>
            </w:r>
          </w:p>
        </w:tc>
      </w:tr>
      <w:tr>
        <w:trPr>
          <w:trHeight w:val="634" w:hRule="exact"/>
        </w:trPr>
        <w:tc>
          <w:tcPr>
            <w:tcW w:w="261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9" w:type="dxa"/>
            <w:gridSpan w:val="2"/>
            <w:tcBorders>
              <w:top w:val="single" w:sz="4" w:space="0" w:color="000000"/>
              <w:left w:val="single" w:sz="13" w:space="0" w:color="D3D3D3"/>
              <w:bottom w:val="single" w:sz="4" w:space="0" w:color="000000"/>
              <w:right w:val="single" w:sz="9" w:space="0" w:color="D3D3D3"/>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23,376</w:t>
            </w:r>
          </w:p>
        </w:tc>
        <w:tc>
          <w:tcPr>
            <w:tcW w:w="20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17" w:right="77"/>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6"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4,533.98</w:t>
            </w:r>
          </w:p>
        </w:tc>
      </w:tr>
      <w:tr>
        <w:trPr>
          <w:trHeight w:val="322" w:hRule="exact"/>
        </w:trPr>
        <w:tc>
          <w:tcPr>
            <w:tcW w:w="485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3"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2.40%</w:t>
            </w:r>
          </w:p>
        </w:tc>
      </w:tr>
      <w:tr>
        <w:trPr>
          <w:trHeight w:val="322" w:hRule="exact"/>
        </w:trPr>
        <w:tc>
          <w:tcPr>
            <w:tcW w:w="956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pStyle w:val="BodyText"/>
        <w:spacing w:line="360" w:lineRule="auto" w:before="51"/>
        <w:ind w:left="153" w:right="8051"/>
        <w:jc w:val="left"/>
      </w:pPr>
      <w:r>
        <w:rPr/>
        <w:t>采用复合方式担保的具体情况说明 无</w:t>
      </w:r>
    </w:p>
    <w:p>
      <w:pPr>
        <w:spacing w:after="0" w:line="360" w:lineRule="auto"/>
        <w:jc w:val="left"/>
        <w:sectPr>
          <w:pgSz w:w="11910" w:h="16840"/>
          <w:pgMar w:header="877" w:footer="982" w:top="1100" w:bottom="118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6"/>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5"/>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13"/>
        <w:rPr>
          <w:rFonts w:ascii="宋体" w:hAnsi="宋体" w:cs="宋体" w:eastAsia="宋体" w:hint="default"/>
          <w:b/>
          <w:bCs/>
          <w:sz w:val="18"/>
          <w:szCs w:val="18"/>
        </w:rPr>
      </w:pPr>
    </w:p>
    <w:p>
      <w:pPr>
        <w:pStyle w:val="BodyText"/>
        <w:spacing w:line="340" w:lineRule="auto"/>
        <w:ind w:right="80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十八、社会责任情况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详见公司在巨潮资讯网 </w:t>
      </w:r>
      <w:r>
        <w:rPr>
          <w:rFonts w:ascii="Times New Roman" w:hAnsi="Times New Roman" w:cs="Times New Roman" w:eastAsia="Times New Roman" w:hint="default"/>
          <w:color w:val="0000FF"/>
        </w:rPr>
      </w:r>
      <w:hyperlink r:id="rId11">
        <w:r>
          <w:rPr>
            <w:rFonts w:ascii="Times New Roman" w:hAnsi="Times New Roman" w:cs="Times New Roman" w:eastAsia="Times New Roman" w:hint="default"/>
            <w:color w:val="0000FF"/>
            <w:u w:val="single" w:color="0000FF"/>
          </w:rPr>
          <w:t>http://www.cninfo.com.cn</w:t>
        </w:r>
        <w:r>
          <w:rPr>
            <w:rFonts w:ascii="Times New Roman" w:hAnsi="Times New Roman" w:cs="Times New Roman" w:eastAsia="Times New Roman" w:hint="default"/>
            <w:color w:val="0000FF"/>
            <w:spacing w:val="-9"/>
            <w:u w:val="single" w:color="0000FF"/>
          </w:rPr>
          <w:t> </w:t>
        </w:r>
        <w:r>
          <w:rPr>
            <w:rFonts w:ascii="Times New Roman" w:hAnsi="Times New Roman" w:cs="Times New Roman" w:eastAsia="Times New Roman" w:hint="default"/>
            <w:color w:val="0000FF"/>
            <w:spacing w:val="-9"/>
          </w:rPr>
        </w:r>
      </w:hyperlink>
      <w:r>
        <w:rPr>
          <w:rFonts w:ascii="Times New Roman" w:hAnsi="Times New Roman" w:cs="Times New Roman" w:eastAsia="Times New Roman" w:hint="default"/>
          <w:color w:val="0000FF"/>
          <w:spacing w:val="-9"/>
        </w:rPr>
      </w:r>
      <w:r>
        <w:rPr/>
        <w:t>披露的</w:t>
      </w:r>
      <w:r>
        <w:rPr>
          <w:rFonts w:ascii="Times New Roman" w:hAnsi="Times New Roman" w:cs="Times New Roman" w:eastAsia="Times New Roman" w:hint="default"/>
        </w:rPr>
        <w:t>2018</w:t>
      </w:r>
      <w:r>
        <w:rPr/>
        <w:t>年度社会责任报告。</w:t>
      </w:r>
    </w:p>
    <w:p>
      <w:pPr>
        <w:spacing w:line="240" w:lineRule="auto" w:before="4"/>
        <w:rPr>
          <w:rFonts w:ascii="宋体" w:hAnsi="宋体" w:cs="宋体" w:eastAsia="宋体" w:hint="default"/>
          <w:sz w:val="15"/>
          <w:szCs w:val="15"/>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13"/>
        <w:rPr>
          <w:rFonts w:ascii="宋体" w:hAnsi="宋体" w:cs="宋体" w:eastAsia="宋体" w:hint="default"/>
          <w:b/>
          <w:bCs/>
          <w:sz w:val="18"/>
          <w:szCs w:val="18"/>
        </w:rPr>
      </w:pPr>
    </w:p>
    <w:p>
      <w:pPr>
        <w:pStyle w:val="BodyText"/>
        <w:spacing w:line="240" w:lineRule="auto"/>
        <w:ind w:right="0"/>
        <w:jc w:val="left"/>
      </w:pPr>
      <w:r>
        <w:rPr/>
        <w:t>公司报告年度暂未开展精准扶贫工作，也暂无后续精准扶贫计划。</w:t>
      </w:r>
    </w:p>
    <w:p>
      <w:pPr>
        <w:spacing w:line="240" w:lineRule="auto" w:before="0"/>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13"/>
        <w:rPr>
          <w:rFonts w:ascii="宋体" w:hAnsi="宋体" w:cs="宋体" w:eastAsia="宋体" w:hint="default"/>
          <w:b/>
          <w:bCs/>
          <w:sz w:val="18"/>
          <w:szCs w:val="18"/>
        </w:rPr>
      </w:pPr>
    </w:p>
    <w:p>
      <w:pPr>
        <w:pStyle w:val="BodyText"/>
        <w:spacing w:line="360" w:lineRule="auto"/>
        <w:ind w:left="153" w:right="5711"/>
        <w:jc w:val="left"/>
      </w:pPr>
      <w:r>
        <w:rPr/>
        <w:t>上市公司及其子公司是否属于环境保护部门公布的重点排污单位 否</w:t>
      </w:r>
    </w:p>
    <w:p>
      <w:pPr>
        <w:pStyle w:val="BodyText"/>
        <w:spacing w:line="240" w:lineRule="auto" w:before="26"/>
        <w:ind w:left="513" w:right="0"/>
        <w:jc w:val="left"/>
      </w:pPr>
      <w:r>
        <w:rPr/>
        <w:t>本公司及子公司不属于环境保护部门公布的重点排污单位。</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十九、其他重大事项的说明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二十、公司子公司重大事项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82" w:top="110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965" w:right="0"/>
        <w:jc w:val="left"/>
        <w:rPr>
          <w:b w:val="0"/>
          <w:bCs w:val="0"/>
        </w:rPr>
      </w:pPr>
      <w:bookmarkStart w:name="_TOC_250006" w:id="6"/>
      <w:r>
        <w:rPr/>
        <w:t>第六节</w:t>
      </w:r>
      <w:r>
        <w:rPr>
          <w:spacing w:val="-10"/>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070"/>
        <w:gridCol w:w="1102"/>
        <w:gridCol w:w="701"/>
        <w:gridCol w:w="655"/>
        <w:gridCol w:w="671"/>
        <w:gridCol w:w="671"/>
        <w:gridCol w:w="1010"/>
        <w:gridCol w:w="1010"/>
        <w:gridCol w:w="1091"/>
        <w:gridCol w:w="701"/>
      </w:tblGrid>
      <w:tr>
        <w:trPr>
          <w:trHeight w:val="402" w:hRule="exact"/>
        </w:trPr>
        <w:tc>
          <w:tcPr>
            <w:tcW w:w="2070" w:type="dxa"/>
            <w:tcBorders>
              <w:top w:val="single" w:sz="4" w:space="0" w:color="000000"/>
              <w:left w:val="single" w:sz="4" w:space="0" w:color="000000"/>
              <w:bottom w:val="nil" w:sz="6" w:space="0" w:color="auto"/>
              <w:right w:val="single" w:sz="4" w:space="0" w:color="000000"/>
            </w:tcBorders>
            <w:shd w:val="clear" w:color="auto" w:fill="D3D3D3"/>
          </w:tcPr>
          <w:p>
            <w:pP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1"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01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70" w:type="dxa"/>
            <w:vMerge w:val="restart"/>
            <w:tcBorders>
              <w:top w:val="nil" w:sz="6" w:space="0" w:color="auto"/>
              <w:left w:val="single" w:sz="4" w:space="0" w:color="000000"/>
              <w:right w:val="single" w:sz="4" w:space="0" w:color="000000"/>
            </w:tcBorders>
            <w:shd w:val="clear" w:color="auto" w:fill="D3D3D3"/>
          </w:tcPr>
          <w:p>
            <w:pPr/>
          </w:p>
        </w:tc>
        <w:tc>
          <w:tcPr>
            <w:tcW w:w="1102" w:type="dxa"/>
            <w:tcBorders>
              <w:top w:val="single" w:sz="4" w:space="0" w:color="000000"/>
              <w:left w:val="single" w:sz="4" w:space="0" w:color="000000"/>
              <w:bottom w:val="nil" w:sz="6" w:space="0" w:color="auto"/>
              <w:right w:val="single" w:sz="4" w:space="0" w:color="000000"/>
            </w:tcBorders>
            <w:shd w:val="clear" w:color="auto" w:fill="D3D3D3"/>
          </w:tcPr>
          <w:p>
            <w:pPr/>
          </w:p>
        </w:tc>
        <w:tc>
          <w:tcPr>
            <w:tcW w:w="701" w:type="dxa"/>
            <w:tcBorders>
              <w:top w:val="single" w:sz="4" w:space="0" w:color="000000"/>
              <w:left w:val="single" w:sz="4" w:space="0" w:color="000000"/>
              <w:bottom w:val="nil" w:sz="6" w:space="0" w:color="auto"/>
              <w:right w:val="single" w:sz="4" w:space="0" w:color="000000"/>
            </w:tcBorders>
            <w:shd w:val="clear" w:color="auto" w:fill="D3D3D3"/>
          </w:tcPr>
          <w:p>
            <w:pPr/>
          </w:p>
        </w:tc>
        <w:tc>
          <w:tcPr>
            <w:tcW w:w="65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31" w:right="53"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671" w:type="dxa"/>
            <w:tcBorders>
              <w:top w:val="single" w:sz="4" w:space="0" w:color="000000"/>
              <w:left w:val="single" w:sz="4" w:space="0" w:color="000000"/>
              <w:bottom w:val="nil" w:sz="6" w:space="0" w:color="auto"/>
              <w:right w:val="single" w:sz="4" w:space="0" w:color="000000"/>
            </w:tcBorders>
            <w:shd w:val="clear" w:color="auto" w:fill="D3D3D3"/>
          </w:tcPr>
          <w:p>
            <w:pPr/>
          </w:p>
        </w:tc>
        <w:tc>
          <w:tcPr>
            <w:tcW w:w="67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49" w:right="59"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01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1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91" w:type="dxa"/>
            <w:tcBorders>
              <w:top w:val="single" w:sz="4" w:space="0" w:color="000000"/>
              <w:left w:val="single" w:sz="4" w:space="0" w:color="000000"/>
              <w:bottom w:val="nil" w:sz="6" w:space="0" w:color="auto"/>
              <w:right w:val="single" w:sz="4" w:space="0" w:color="000000"/>
            </w:tcBorders>
            <w:shd w:val="clear" w:color="auto" w:fill="D3D3D3"/>
          </w:tcPr>
          <w:p>
            <w:pPr/>
          </w:p>
        </w:tc>
        <w:tc>
          <w:tcPr>
            <w:tcW w:w="701"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0" w:hRule="exact"/>
        </w:trPr>
        <w:tc>
          <w:tcPr>
            <w:tcW w:w="2070" w:type="dxa"/>
            <w:vMerge/>
            <w:tcBorders>
              <w:left w:val="single" w:sz="4" w:space="0" w:color="000000"/>
              <w:bottom w:val="nil" w:sz="6" w:space="0" w:color="auto"/>
              <w:right w:val="single" w:sz="4" w:space="0" w:color="000000"/>
            </w:tcBorders>
            <w:shd w:val="clear" w:color="auto" w:fill="D3D3D3"/>
          </w:tcPr>
          <w:p>
            <w:pPr/>
          </w:p>
        </w:tc>
        <w:tc>
          <w:tcPr>
            <w:tcW w:w="110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655" w:type="dxa"/>
            <w:vMerge/>
            <w:tcBorders>
              <w:left w:val="single" w:sz="4" w:space="0" w:color="000000"/>
              <w:right w:val="single" w:sz="4" w:space="0" w:color="000000"/>
            </w:tcBorders>
            <w:shd w:val="clear" w:color="auto" w:fill="D3D3D3"/>
          </w:tcPr>
          <w:p>
            <w:pPr/>
          </w:p>
        </w:tc>
        <w:tc>
          <w:tcPr>
            <w:tcW w:w="67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49"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671" w:type="dxa"/>
            <w:vMerge/>
            <w:tcBorders>
              <w:left w:val="single" w:sz="4" w:space="0" w:color="000000"/>
              <w:right w:val="single" w:sz="4" w:space="0" w:color="000000"/>
            </w:tcBorders>
            <w:shd w:val="clear" w:color="auto" w:fill="D3D3D3"/>
          </w:tcPr>
          <w:p>
            <w:pPr/>
          </w:p>
        </w:tc>
        <w:tc>
          <w:tcPr>
            <w:tcW w:w="101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1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9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6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070" w:type="dxa"/>
            <w:vMerge w:val="restart"/>
            <w:tcBorders>
              <w:top w:val="nil" w:sz="6" w:space="0" w:color="auto"/>
              <w:left w:val="single" w:sz="4" w:space="0" w:color="000000"/>
              <w:right w:val="single" w:sz="4" w:space="0" w:color="000000"/>
            </w:tcBorders>
            <w:shd w:val="clear" w:color="auto" w:fill="D3D3D3"/>
          </w:tcPr>
          <w:p>
            <w:pPr/>
          </w:p>
        </w:tc>
        <w:tc>
          <w:tcPr>
            <w:tcW w:w="1102" w:type="dxa"/>
            <w:vMerge/>
            <w:tcBorders>
              <w:left w:val="single" w:sz="4" w:space="0" w:color="000000"/>
              <w:bottom w:val="nil" w:sz="6" w:space="0" w:color="auto"/>
              <w:right w:val="single" w:sz="4" w:space="0" w:color="000000"/>
            </w:tcBorders>
            <w:shd w:val="clear" w:color="auto" w:fill="D3D3D3"/>
          </w:tcPr>
          <w:p>
            <w:pPr/>
          </w:p>
        </w:tc>
        <w:tc>
          <w:tcPr>
            <w:tcW w:w="701" w:type="dxa"/>
            <w:vMerge/>
            <w:tcBorders>
              <w:left w:val="single" w:sz="4" w:space="0" w:color="000000"/>
              <w:bottom w:val="nil" w:sz="6" w:space="0" w:color="auto"/>
              <w:right w:val="single" w:sz="4" w:space="0" w:color="000000"/>
            </w:tcBorders>
            <w:shd w:val="clear" w:color="auto" w:fill="D3D3D3"/>
          </w:tcPr>
          <w:p>
            <w:pPr/>
          </w:p>
        </w:tc>
        <w:tc>
          <w:tcPr>
            <w:tcW w:w="655" w:type="dxa"/>
            <w:vMerge/>
            <w:tcBorders>
              <w:left w:val="single" w:sz="4" w:space="0" w:color="000000"/>
              <w:right w:val="single" w:sz="4" w:space="0" w:color="000000"/>
            </w:tcBorders>
            <w:shd w:val="clear" w:color="auto" w:fill="D3D3D3"/>
          </w:tcPr>
          <w:p>
            <w:pPr/>
          </w:p>
        </w:tc>
        <w:tc>
          <w:tcPr>
            <w:tcW w:w="671" w:type="dxa"/>
            <w:vMerge/>
            <w:tcBorders>
              <w:left w:val="single" w:sz="4" w:space="0" w:color="000000"/>
              <w:bottom w:val="nil" w:sz="6" w:space="0" w:color="auto"/>
              <w:right w:val="single" w:sz="4" w:space="0" w:color="000000"/>
            </w:tcBorders>
            <w:shd w:val="clear" w:color="auto" w:fill="D3D3D3"/>
          </w:tcPr>
          <w:p>
            <w:pPr/>
          </w:p>
        </w:tc>
        <w:tc>
          <w:tcPr>
            <w:tcW w:w="671" w:type="dxa"/>
            <w:vMerge/>
            <w:tcBorders>
              <w:left w:val="single" w:sz="4" w:space="0" w:color="000000"/>
              <w:right w:val="single" w:sz="4" w:space="0" w:color="000000"/>
            </w:tcBorders>
            <w:shd w:val="clear" w:color="auto" w:fill="D3D3D3"/>
          </w:tcPr>
          <w:p>
            <w:pPr/>
          </w:p>
        </w:tc>
        <w:tc>
          <w:tcPr>
            <w:tcW w:w="1010" w:type="dxa"/>
            <w:vMerge/>
            <w:tcBorders>
              <w:left w:val="single" w:sz="4" w:space="0" w:color="000000"/>
              <w:bottom w:val="nil" w:sz="6" w:space="0" w:color="auto"/>
              <w:right w:val="single" w:sz="4" w:space="0" w:color="000000"/>
            </w:tcBorders>
            <w:shd w:val="clear" w:color="auto" w:fill="D3D3D3"/>
          </w:tcPr>
          <w:p>
            <w:pPr/>
          </w:p>
        </w:tc>
        <w:tc>
          <w:tcPr>
            <w:tcW w:w="1010" w:type="dxa"/>
            <w:vMerge/>
            <w:tcBorders>
              <w:left w:val="single" w:sz="4" w:space="0" w:color="000000"/>
              <w:bottom w:val="nil" w:sz="6" w:space="0" w:color="auto"/>
              <w:right w:val="single" w:sz="4" w:space="0" w:color="000000"/>
            </w:tcBorders>
            <w:shd w:val="clear" w:color="auto" w:fill="D3D3D3"/>
          </w:tcPr>
          <w:p>
            <w:pPr/>
          </w:p>
        </w:tc>
        <w:tc>
          <w:tcPr>
            <w:tcW w:w="1091" w:type="dxa"/>
            <w:vMerge/>
            <w:tcBorders>
              <w:left w:val="single" w:sz="4" w:space="0" w:color="000000"/>
              <w:bottom w:val="nil" w:sz="6" w:space="0" w:color="auto"/>
              <w:right w:val="single" w:sz="4" w:space="0" w:color="000000"/>
            </w:tcBorders>
            <w:shd w:val="clear" w:color="auto" w:fill="D3D3D3"/>
          </w:tcPr>
          <w:p>
            <w:pPr/>
          </w:p>
        </w:tc>
        <w:tc>
          <w:tcPr>
            <w:tcW w:w="701" w:type="dxa"/>
            <w:vMerge/>
            <w:tcBorders>
              <w:left w:val="single" w:sz="4" w:space="0" w:color="000000"/>
              <w:bottom w:val="nil" w:sz="6" w:space="0" w:color="auto"/>
              <w:right w:val="single" w:sz="4" w:space="0" w:color="000000"/>
            </w:tcBorders>
            <w:shd w:val="clear" w:color="auto" w:fill="D3D3D3"/>
          </w:tcPr>
          <w:p>
            <w:pPr/>
          </w:p>
        </w:tc>
      </w:tr>
      <w:tr>
        <w:trPr>
          <w:trHeight w:val="161" w:hRule="exact"/>
        </w:trPr>
        <w:tc>
          <w:tcPr>
            <w:tcW w:w="2070" w:type="dxa"/>
            <w:vMerge/>
            <w:tcBorders>
              <w:left w:val="single" w:sz="4" w:space="0" w:color="000000"/>
              <w:bottom w:val="single" w:sz="4" w:space="0" w:color="000000"/>
              <w:right w:val="single" w:sz="4" w:space="0" w:color="000000"/>
            </w:tcBorders>
            <w:shd w:val="clear" w:color="auto" w:fill="D3D3D3"/>
          </w:tcPr>
          <w:p>
            <w:pPr/>
          </w:p>
        </w:tc>
        <w:tc>
          <w:tcPr>
            <w:tcW w:w="1102" w:type="dxa"/>
            <w:tcBorders>
              <w:top w:val="nil" w:sz="6" w:space="0" w:color="auto"/>
              <w:left w:val="single" w:sz="4" w:space="0" w:color="000000"/>
              <w:bottom w:val="single" w:sz="4" w:space="0" w:color="000000"/>
              <w:right w:val="single" w:sz="4" w:space="0" w:color="000000"/>
            </w:tcBorders>
            <w:shd w:val="clear" w:color="auto" w:fill="D3D3D3"/>
          </w:tcPr>
          <w:p>
            <w:pPr/>
          </w:p>
        </w:tc>
        <w:tc>
          <w:tcPr>
            <w:tcW w:w="701" w:type="dxa"/>
            <w:tcBorders>
              <w:top w:val="nil" w:sz="6" w:space="0" w:color="auto"/>
              <w:left w:val="single" w:sz="4" w:space="0" w:color="000000"/>
              <w:bottom w:val="single" w:sz="4" w:space="0" w:color="000000"/>
              <w:right w:val="single" w:sz="4" w:space="0" w:color="000000"/>
            </w:tcBorders>
            <w:shd w:val="clear" w:color="auto" w:fill="D3D3D3"/>
          </w:tcPr>
          <w:p>
            <w:pPr/>
          </w:p>
        </w:tc>
        <w:tc>
          <w:tcPr>
            <w:tcW w:w="655" w:type="dxa"/>
            <w:vMerge/>
            <w:tcBorders>
              <w:left w:val="single" w:sz="4" w:space="0" w:color="000000"/>
              <w:bottom w:val="single" w:sz="4" w:space="0" w:color="000000"/>
              <w:right w:val="single" w:sz="4" w:space="0" w:color="000000"/>
            </w:tcBorders>
            <w:shd w:val="clear" w:color="auto" w:fill="D3D3D3"/>
          </w:tcPr>
          <w:p>
            <w:pPr/>
          </w:p>
        </w:tc>
        <w:tc>
          <w:tcPr>
            <w:tcW w:w="671" w:type="dxa"/>
            <w:tcBorders>
              <w:top w:val="nil" w:sz="6" w:space="0" w:color="auto"/>
              <w:left w:val="single" w:sz="4" w:space="0" w:color="000000"/>
              <w:bottom w:val="single" w:sz="4" w:space="0" w:color="000000"/>
              <w:right w:val="single" w:sz="4" w:space="0" w:color="000000"/>
            </w:tcBorders>
            <w:shd w:val="clear" w:color="auto" w:fill="D3D3D3"/>
          </w:tcPr>
          <w:p>
            <w:pPr/>
          </w:p>
        </w:tc>
        <w:tc>
          <w:tcPr>
            <w:tcW w:w="671" w:type="dxa"/>
            <w:vMerge/>
            <w:tcBorders>
              <w:left w:val="single" w:sz="4" w:space="0" w:color="000000"/>
              <w:bottom w:val="single" w:sz="4" w:space="0" w:color="000000"/>
              <w:right w:val="single" w:sz="4" w:space="0" w:color="000000"/>
            </w:tcBorders>
            <w:shd w:val="clear" w:color="auto" w:fill="D3D3D3"/>
          </w:tcPr>
          <w:p>
            <w:pPr/>
          </w:p>
        </w:tc>
        <w:tc>
          <w:tcPr>
            <w:tcW w:w="101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1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91" w:type="dxa"/>
            <w:tcBorders>
              <w:top w:val="nil" w:sz="6" w:space="0" w:color="auto"/>
              <w:left w:val="single" w:sz="4" w:space="0" w:color="000000"/>
              <w:bottom w:val="single" w:sz="4" w:space="0" w:color="000000"/>
              <w:right w:val="single" w:sz="4" w:space="0" w:color="000000"/>
            </w:tcBorders>
            <w:shd w:val="clear" w:color="auto" w:fill="D3D3D3"/>
          </w:tcPr>
          <w:p>
            <w:pPr/>
          </w:p>
        </w:tc>
        <w:tc>
          <w:tcPr>
            <w:tcW w:w="701"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0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530,313,252</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52.11%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-397,474,811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-397,474,811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132,838,441</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13.05%</w:t>
            </w:r>
          </w:p>
        </w:tc>
      </w:tr>
      <w:tr>
        <w:trPr>
          <w:trHeight w:val="402" w:hRule="exact"/>
        </w:trPr>
        <w:tc>
          <w:tcPr>
            <w:tcW w:w="2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10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0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529,966,415</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-397,474,811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-397,474,811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132,491,604</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13.02%</w:t>
            </w:r>
          </w:p>
        </w:tc>
      </w:tr>
      <w:tr>
        <w:trPr>
          <w:trHeight w:val="402" w:hRule="exact"/>
        </w:trPr>
        <w:tc>
          <w:tcPr>
            <w:tcW w:w="2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0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346,837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346,837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r>
      <w:tr>
        <w:trPr>
          <w:trHeight w:val="402" w:hRule="exact"/>
        </w:trPr>
        <w:tc>
          <w:tcPr>
            <w:tcW w:w="2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0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48"/>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10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346,837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346,837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r>
      <w:tr>
        <w:trPr>
          <w:trHeight w:val="402" w:hRule="exact"/>
        </w:trPr>
        <w:tc>
          <w:tcPr>
            <w:tcW w:w="2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0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10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48"/>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10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0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487,385,158</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47.89%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397,474,811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397,474,811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884,859,969</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86.95%</w:t>
            </w:r>
          </w:p>
        </w:tc>
      </w:tr>
      <w:tr>
        <w:trPr>
          <w:trHeight w:val="402" w:hRule="exact"/>
        </w:trPr>
        <w:tc>
          <w:tcPr>
            <w:tcW w:w="2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0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487,385,158</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47.89%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397,474,811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397,474,811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884,859,969</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86.95%</w:t>
            </w:r>
          </w:p>
        </w:tc>
      </w:tr>
      <w:tr>
        <w:trPr>
          <w:trHeight w:val="402" w:hRule="exact"/>
        </w:trPr>
        <w:tc>
          <w:tcPr>
            <w:tcW w:w="2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10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10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0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0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1,017,698,410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1,017,698,410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股份变动的原因</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4" w:lineRule="auto" w:before="101"/>
        <w:ind w:left="153" w:right="1108" w:firstLine="480"/>
        <w:jc w:val="both"/>
      </w:pPr>
      <w:r>
        <w:rPr/>
        <w:t>根据浙江华智控股股份有限公司（本公司前身）第七届董事会第十一次会议决议和</w:t>
      </w:r>
      <w:r>
        <w:rPr>
          <w:rFonts w:ascii="Times New Roman" w:hAnsi="Times New Roman" w:cs="Times New Roman" w:eastAsia="Times New Roman" w:hint="default"/>
        </w:rPr>
        <w:t>2014</w:t>
      </w:r>
      <w:r>
        <w:rPr/>
        <w:t>年第一次临时股东大会决议、 </w:t>
      </w:r>
      <w:r>
        <w:rPr>
          <w:rFonts w:ascii="Times New Roman" w:hAnsi="Times New Roman" w:cs="Times New Roman" w:eastAsia="Times New Roman" w:hint="default"/>
        </w:rPr>
        <w:t>2014</w:t>
      </w:r>
      <w:r>
        <w:rPr/>
        <w:t>年第二次临时股东大会决议，并经中共中央宣传部出具《关于同意杭州日报报业集团下属经营性资产借壳上市方案的</w:t>
      </w:r>
      <w:r>
        <w:rPr>
          <w:spacing w:val="-7"/>
        </w:rPr>
        <w:t> </w:t>
      </w:r>
      <w:r>
        <w:rPr>
          <w:spacing w:val="-7"/>
        </w:rPr>
      </w:r>
      <w:r>
        <w:rPr>
          <w:spacing w:val="-2"/>
        </w:rPr>
        <w:t>函》、国家新闻出版广电总局出具《关于同意杭州日报报业集团借壳上市的批复》、浙江省财政厅出具《关于同意杭报集团</w:t>
      </w:r>
      <w:r>
        <w:rPr>
          <w:spacing w:val="-68"/>
        </w:rPr>
        <w:t> </w:t>
      </w:r>
      <w:r>
        <w:rPr>
          <w:spacing w:val="-68"/>
        </w:rPr>
      </w:r>
      <w:r>
        <w:rPr>
          <w:spacing w:val="-2"/>
        </w:rPr>
        <w:t>下属传媒经营性资产借壳上市方案的批复》、中国证券监督管理委员会《关于核准浙江华智控股股份有限公司重大资产重组</w:t>
      </w:r>
      <w:r>
        <w:rPr>
          <w:spacing w:val="-66"/>
        </w:rPr>
        <w:t> </w:t>
      </w:r>
      <w:r>
        <w:rPr>
          <w:spacing w:val="-66"/>
        </w:rPr>
      </w:r>
      <w:r>
        <w:rPr>
          <w:spacing w:val="-1"/>
        </w:rPr>
        <w:t>及向杭州日报报业集团有限公司等发行股份购买资产的批复》（证监许可</w:t>
      </w:r>
      <w:r>
        <w:rPr>
          <w:rFonts w:ascii="Times New Roman" w:hAnsi="Times New Roman" w:cs="Times New Roman" w:eastAsia="Times New Roman" w:hint="default"/>
          <w:spacing w:val="-1"/>
        </w:rPr>
        <w:t>[2014]1274</w:t>
      </w:r>
      <w:r>
        <w:rPr>
          <w:spacing w:val="-1"/>
        </w:rPr>
        <w:t>号）及《关于核准豁免杭州日报报业集</w:t>
      </w:r>
      <w:r>
        <w:rPr>
          <w:spacing w:val="-54"/>
        </w:rPr>
        <w:t> </w:t>
      </w:r>
      <w:r>
        <w:rPr>
          <w:spacing w:val="-54"/>
        </w:rPr>
      </w:r>
      <w:r>
        <w:rPr>
          <w:spacing w:val="-1"/>
        </w:rPr>
        <w:t>团有限公司及一致行动人要约收购浙江华智控股股份有限公司股份义务的批复》（证监许可</w:t>
      </w:r>
      <w:r>
        <w:rPr>
          <w:rFonts w:ascii="Times New Roman" w:hAnsi="Times New Roman" w:cs="Times New Roman" w:eastAsia="Times New Roman" w:hint="default"/>
          <w:spacing w:val="-1"/>
        </w:rPr>
        <w:t>[2014]1275</w:t>
      </w:r>
      <w:r>
        <w:rPr>
          <w:spacing w:val="-1"/>
        </w:rPr>
        <w:t>号）批准，浙江华智</w:t>
      </w:r>
      <w:r>
        <w:rPr>
          <w:spacing w:val="-55"/>
        </w:rPr>
        <w:t> </w:t>
      </w:r>
      <w:r>
        <w:rPr>
          <w:spacing w:val="-55"/>
        </w:rPr>
      </w:r>
      <w:r>
        <w:rPr>
          <w:spacing w:val="-2"/>
        </w:rPr>
        <w:t>控股股份有限公司对杭州日报报业集团有限公司和都市快报社发行股份</w:t>
      </w:r>
      <w:r>
        <w:rPr>
          <w:rFonts w:ascii="Times New Roman" w:hAnsi="Times New Roman" w:cs="Times New Roman" w:eastAsia="Times New Roman" w:hint="default"/>
          <w:spacing w:val="-2"/>
        </w:rPr>
        <w:t>529,966,415</w:t>
      </w:r>
      <w:r>
        <w:rPr>
          <w:spacing w:val="-2"/>
        </w:rPr>
        <w:t>股，购买杭州日报报业集团有限公司和都</w:t>
      </w:r>
      <w:r>
        <w:rPr>
          <w:spacing w:val="-54"/>
        </w:rPr>
        <w:t> </w:t>
      </w:r>
      <w:r>
        <w:rPr>
          <w:spacing w:val="-54"/>
        </w:rPr>
      </w:r>
      <w:r>
        <w:rPr>
          <w:spacing w:val="-2"/>
        </w:rPr>
        <w:t>市快报社拥有的</w:t>
      </w:r>
      <w:r>
        <w:rPr>
          <w:rFonts w:ascii="Times New Roman" w:hAnsi="Times New Roman" w:cs="Times New Roman" w:eastAsia="Times New Roman" w:hint="default"/>
          <w:spacing w:val="-2"/>
        </w:rPr>
        <w:t>11</w:t>
      </w:r>
      <w:r>
        <w:rPr>
          <w:spacing w:val="-2"/>
        </w:rPr>
        <w:t>家传媒经营性企业股权。上述交易完成后，杭州日报报业集团有限公司成为本公司的控股股东，杭州日报</w:t>
      </w:r>
      <w:r>
        <w:rPr>
          <w:spacing w:val="-64"/>
        </w:rPr>
        <w:t> </w:t>
      </w:r>
      <w:r>
        <w:rPr>
          <w:spacing w:val="-64"/>
        </w:rPr>
      </w:r>
      <w:r>
        <w:rPr/>
        <w:t>报业集团（杭州日报社）持有杭州日报报业集团有限公司</w:t>
      </w:r>
      <w:r>
        <w:rPr>
          <w:rFonts w:ascii="Times New Roman" w:hAnsi="Times New Roman" w:cs="Times New Roman" w:eastAsia="Times New Roman" w:hint="default"/>
        </w:rPr>
        <w:t>100%</w:t>
      </w:r>
      <w:r>
        <w:rPr/>
        <w:t>股权，成为本公司的实际控制人。上述非公开发行股份上市</w:t>
      </w:r>
    </w:p>
    <w:p>
      <w:pPr>
        <w:spacing w:after="0" w:line="304" w:lineRule="auto"/>
        <w:jc w:val="both"/>
        <w:sectPr>
          <w:footerReference w:type="default" r:id="rId20"/>
          <w:pgSz w:w="11910" w:h="16840"/>
          <w:pgMar w:footer="1466" w:header="877" w:top="1100" w:bottom="1660" w:left="980" w:right="0"/>
          <w:pgNumType w:start="45"/>
        </w:sectPr>
      </w:pPr>
    </w:p>
    <w:p>
      <w:pPr>
        <w:spacing w:line="240" w:lineRule="auto" w:before="12"/>
        <w:rPr>
          <w:rFonts w:ascii="宋体" w:hAnsi="宋体" w:cs="宋体" w:eastAsia="宋体" w:hint="default"/>
          <w:sz w:val="21"/>
          <w:szCs w:val="21"/>
        </w:rPr>
      </w:pPr>
    </w:p>
    <w:p>
      <w:pPr>
        <w:pStyle w:val="BodyText"/>
        <w:spacing w:line="319" w:lineRule="auto" w:before="44"/>
        <w:ind w:right="1131" w:firstLine="480"/>
        <w:jc w:val="left"/>
      </w:pPr>
      <w:r>
        <w:rPr>
          <w:spacing w:val="6"/>
        </w:rPr>
        <w:t>经申请，杭州日报报业集团有限公司和都市快报社所持本公司股份分别解锁</w:t>
      </w:r>
      <w:r>
        <w:rPr>
          <w:rFonts w:ascii="Times New Roman" w:hAnsi="Times New Roman" w:cs="Times New Roman" w:eastAsia="Times New Roman" w:hint="default"/>
          <w:spacing w:val="6"/>
        </w:rPr>
        <w:t>367,328,983</w:t>
      </w:r>
      <w:r>
        <w:rPr>
          <w:spacing w:val="6"/>
        </w:rPr>
        <w:t>股，</w:t>
      </w:r>
      <w:r>
        <w:rPr>
          <w:rFonts w:ascii="Times New Roman" w:hAnsi="Times New Roman" w:cs="Times New Roman" w:eastAsia="Times New Roman" w:hint="default"/>
          <w:spacing w:val="6"/>
        </w:rPr>
        <w:t>30,145,828</w:t>
      </w:r>
      <w:r>
        <w:rPr>
          <w:spacing w:val="6"/>
        </w:rPr>
        <w:t>股，合计</w:t>
      </w:r>
      <w:r>
        <w:rPr/>
        <w:t> </w:t>
      </w:r>
      <w:r>
        <w:rPr>
          <w:rFonts w:ascii="Times New Roman" w:hAnsi="Times New Roman" w:cs="Times New Roman" w:eastAsia="Times New Roman" w:hint="default"/>
        </w:rPr>
        <w:t>397,474,811</w:t>
      </w:r>
      <w:r>
        <w:rPr/>
        <w:t>股。详见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t>日披露的</w:t>
      </w:r>
      <w:r>
        <w:rPr>
          <w:rFonts w:ascii="Times New Roman" w:hAnsi="Times New Roman" w:cs="Times New Roman" w:eastAsia="Times New Roman" w:hint="default"/>
        </w:rPr>
        <w:t>2018-001</w:t>
      </w:r>
      <w:r>
        <w:rPr/>
        <w:t>号《关于非公开发行股份解除限售的提示性公告》。 股份变动的批准情况</w:t>
      </w:r>
    </w:p>
    <w:p>
      <w:pPr>
        <w:pStyle w:val="BodyText"/>
        <w:spacing w:line="338" w:lineRule="auto" w:before="58"/>
        <w:ind w:right="9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340" w:lineRule="auto" w:before="42"/>
        <w:ind w:right="87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股份回购的实施进展情况</w:t>
      </w:r>
    </w:p>
    <w:p>
      <w:pPr>
        <w:pStyle w:val="BodyText"/>
        <w:spacing w:line="338" w:lineRule="auto" w:before="40"/>
        <w:ind w:right="69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采用集中竞价方式减持回购股份的实施进展情况</w:t>
      </w:r>
    </w:p>
    <w:p>
      <w:pPr>
        <w:pStyle w:val="BodyText"/>
        <w:spacing w:line="338" w:lineRule="auto" w:before="43"/>
        <w:ind w:right="13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40" w:lineRule="auto" w:before="42"/>
        <w:ind w:right="67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1"/>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21"/>
        <w:gridCol w:w="1037"/>
        <w:gridCol w:w="1198"/>
        <w:gridCol w:w="800"/>
        <w:gridCol w:w="1037"/>
        <w:gridCol w:w="961"/>
        <w:gridCol w:w="3512"/>
      </w:tblGrid>
      <w:tr>
        <w:trPr>
          <w:trHeight w:val="714" w:hRule="exact"/>
        </w:trPr>
        <w:tc>
          <w:tcPr>
            <w:tcW w:w="11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22" w:right="62"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13" w:right="53" w:hanging="360"/>
              <w:jc w:val="left"/>
              <w:rPr>
                <w:rFonts w:ascii="宋体" w:hAnsi="宋体" w:cs="宋体" w:eastAsia="宋体" w:hint="default"/>
                <w:sz w:val="18"/>
                <w:szCs w:val="18"/>
              </w:rPr>
            </w:pPr>
            <w:r>
              <w:rPr>
                <w:rFonts w:ascii="宋体" w:hAnsi="宋体" w:cs="宋体" w:eastAsia="宋体" w:hint="default"/>
                <w:sz w:val="18"/>
                <w:szCs w:val="18"/>
              </w:rPr>
              <w:t>本期解除限售 股数</w:t>
            </w:r>
          </w:p>
        </w:tc>
        <w:tc>
          <w:tcPr>
            <w:tcW w:w="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4" w:right="35"/>
              <w:jc w:val="left"/>
              <w:rPr>
                <w:rFonts w:ascii="宋体" w:hAnsi="宋体" w:cs="宋体" w:eastAsia="宋体" w:hint="default"/>
                <w:sz w:val="18"/>
                <w:szCs w:val="18"/>
              </w:rPr>
            </w:pPr>
            <w:r>
              <w:rPr>
                <w:rFonts w:ascii="宋体" w:hAnsi="宋体" w:cs="宋体" w:eastAsia="宋体" w:hint="default"/>
                <w:sz w:val="18"/>
                <w:szCs w:val="18"/>
              </w:rPr>
              <w:t>本期增加 限售股数</w:t>
            </w:r>
          </w:p>
        </w:tc>
        <w:tc>
          <w:tcPr>
            <w:tcW w:w="1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23" w:right="61"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3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026" w:hRule="exact"/>
        </w:trPr>
        <w:tc>
          <w:tcPr>
            <w:tcW w:w="112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86"/>
              <w:jc w:val="both"/>
              <w:rPr>
                <w:rFonts w:ascii="宋体" w:hAnsi="宋体" w:cs="宋体" w:eastAsia="宋体" w:hint="default"/>
                <w:sz w:val="18"/>
                <w:szCs w:val="18"/>
              </w:rPr>
            </w:pPr>
            <w:r>
              <w:rPr>
                <w:rFonts w:ascii="宋体" w:hAnsi="宋体" w:cs="宋体" w:eastAsia="宋体" w:hint="default"/>
                <w:sz w:val="18"/>
                <w:szCs w:val="18"/>
              </w:rPr>
              <w:t>杭州日报报 业集团有限 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489,771,977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367,328,983</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122,442,994</w:t>
            </w:r>
          </w:p>
        </w:tc>
        <w:tc>
          <w:tcPr>
            <w:tcW w:w="9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6"/>
              <w:jc w:val="left"/>
              <w:rPr>
                <w:rFonts w:ascii="宋体" w:hAnsi="宋体" w:cs="宋体" w:eastAsia="宋体" w:hint="default"/>
                <w:sz w:val="18"/>
                <w:szCs w:val="18"/>
              </w:rPr>
            </w:pPr>
            <w:r>
              <w:rPr>
                <w:rFonts w:ascii="宋体" w:hAnsi="宋体" w:cs="宋体" w:eastAsia="宋体" w:hint="default"/>
                <w:sz w:val="18"/>
                <w:szCs w:val="18"/>
              </w:rPr>
              <w:t>非公开发行 股份限售股</w:t>
            </w:r>
          </w:p>
        </w:tc>
        <w:tc>
          <w:tcPr>
            <w:tcW w:w="351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367,328,983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日上市流</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通，其余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122,442,994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股处于限售状态。</w:t>
            </w:r>
          </w:p>
        </w:tc>
      </w:tr>
      <w:tr>
        <w:trPr>
          <w:trHeight w:val="714" w:hRule="exact"/>
        </w:trPr>
        <w:tc>
          <w:tcPr>
            <w:tcW w:w="112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都市快报社</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40,194,438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30,145,828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10,048,610</w:t>
            </w:r>
          </w:p>
        </w:tc>
        <w:tc>
          <w:tcPr>
            <w:tcW w:w="9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6"/>
              <w:jc w:val="left"/>
              <w:rPr>
                <w:rFonts w:ascii="宋体" w:hAnsi="宋体" w:cs="宋体" w:eastAsia="宋体" w:hint="default"/>
                <w:sz w:val="18"/>
                <w:szCs w:val="18"/>
              </w:rPr>
            </w:pPr>
            <w:r>
              <w:rPr>
                <w:rFonts w:ascii="宋体" w:hAnsi="宋体" w:cs="宋体" w:eastAsia="宋体" w:hint="default"/>
                <w:sz w:val="18"/>
                <w:szCs w:val="18"/>
              </w:rPr>
              <w:t>非公开发行 股份限售股</w:t>
            </w:r>
          </w:p>
        </w:tc>
        <w:tc>
          <w:tcPr>
            <w:tcW w:w="351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30,145,828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日上市流</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通，其余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10,048,610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股处于限售状态。</w:t>
            </w:r>
          </w:p>
        </w:tc>
      </w:tr>
      <w:tr>
        <w:trPr>
          <w:trHeight w:val="402" w:hRule="exact"/>
        </w:trPr>
        <w:tc>
          <w:tcPr>
            <w:tcW w:w="112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张剑秋</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57,206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57,206</w:t>
            </w:r>
          </w:p>
        </w:tc>
        <w:tc>
          <w:tcPr>
            <w:tcW w:w="9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351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2" w:hRule="exact"/>
        </w:trPr>
        <w:tc>
          <w:tcPr>
            <w:tcW w:w="112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张韶衡</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57,881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57,881</w:t>
            </w:r>
          </w:p>
        </w:tc>
        <w:tc>
          <w:tcPr>
            <w:tcW w:w="9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351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2" w:hRule="exact"/>
        </w:trPr>
        <w:tc>
          <w:tcPr>
            <w:tcW w:w="112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于国清</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57,994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57,994</w:t>
            </w:r>
          </w:p>
        </w:tc>
        <w:tc>
          <w:tcPr>
            <w:tcW w:w="9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351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2" w:hRule="exact"/>
        </w:trPr>
        <w:tc>
          <w:tcPr>
            <w:tcW w:w="112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57,656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57,656</w:t>
            </w:r>
          </w:p>
        </w:tc>
        <w:tc>
          <w:tcPr>
            <w:tcW w:w="9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351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2" w:hRule="exact"/>
        </w:trPr>
        <w:tc>
          <w:tcPr>
            <w:tcW w:w="112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宋浩</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57,825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57,825</w:t>
            </w:r>
          </w:p>
        </w:tc>
        <w:tc>
          <w:tcPr>
            <w:tcW w:w="9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351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2" w:hRule="exact"/>
        </w:trPr>
        <w:tc>
          <w:tcPr>
            <w:tcW w:w="112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高坚强</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58,275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58,275</w:t>
            </w:r>
          </w:p>
        </w:tc>
        <w:tc>
          <w:tcPr>
            <w:tcW w:w="9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351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2" w:hRule="exact"/>
        </w:trPr>
        <w:tc>
          <w:tcPr>
            <w:tcW w:w="11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3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530,313,252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397,474,811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132,838,441</w:t>
            </w:r>
          </w:p>
        </w:tc>
        <w:tc>
          <w:tcPr>
            <w:tcW w:w="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footerReference w:type="default" r:id="rId21"/>
          <w:pgSz w:w="11910" w:h="16840"/>
          <w:pgMar w:footer="982" w:header="877" w:top="1100" w:bottom="1180" w:left="980" w:right="0"/>
          <w:pgNumType w:start="46"/>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166"/>
        <w:gridCol w:w="238"/>
        <w:gridCol w:w="914"/>
        <w:gridCol w:w="443"/>
        <w:gridCol w:w="760"/>
        <w:gridCol w:w="176"/>
        <w:gridCol w:w="780"/>
        <w:gridCol w:w="335"/>
        <w:gridCol w:w="440"/>
        <w:gridCol w:w="956"/>
        <w:gridCol w:w="186"/>
        <w:gridCol w:w="782"/>
        <w:gridCol w:w="1230"/>
        <w:gridCol w:w="541"/>
        <w:gridCol w:w="746"/>
      </w:tblGrid>
      <w:tr>
        <w:trPr>
          <w:trHeight w:val="161" w:hRule="exact"/>
        </w:trPr>
        <w:tc>
          <w:tcPr>
            <w:tcW w:w="1166" w:type="dxa"/>
            <w:tcBorders>
              <w:top w:val="single" w:sz="4" w:space="0" w:color="000000"/>
              <w:left w:val="single" w:sz="4" w:space="0" w:color="000000"/>
              <w:bottom w:val="nil" w:sz="6" w:space="0" w:color="auto"/>
              <w:right w:val="single" w:sz="4" w:space="0" w:color="000000"/>
            </w:tcBorders>
            <w:shd w:val="clear" w:color="auto" w:fill="D3D3D3"/>
          </w:tcPr>
          <w:p>
            <w:pPr/>
          </w:p>
        </w:tc>
        <w:tc>
          <w:tcPr>
            <w:tcW w:w="1152" w:type="dxa"/>
            <w:gridSpan w:val="2"/>
            <w:vMerge w:val="restart"/>
            <w:tcBorders>
              <w:top w:val="single" w:sz="4" w:space="0" w:color="000000"/>
              <w:left w:val="single" w:sz="9" w:space="0" w:color="D3D3D3"/>
              <w:right w:val="single" w:sz="13"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607" w:right="0"/>
              <w:jc w:val="left"/>
              <w:rPr>
                <w:rFonts w:ascii="Times New Roman" w:hAnsi="Times New Roman" w:cs="Times New Roman" w:eastAsia="Times New Roman" w:hint="default"/>
                <w:sz w:val="18"/>
                <w:szCs w:val="18"/>
              </w:rPr>
            </w:pPr>
            <w:r>
              <w:rPr>
                <w:rFonts w:ascii="Times New Roman"/>
                <w:sz w:val="18"/>
              </w:rPr>
              <w:t>43,263</w:t>
            </w:r>
          </w:p>
        </w:tc>
        <w:tc>
          <w:tcPr>
            <w:tcW w:w="1379"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10"/>
              <w:ind w:left="11" w:right="96"/>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15" w:type="dxa"/>
            <w:gridSpan w:val="2"/>
            <w:vMerge w:val="restart"/>
            <w:tcBorders>
              <w:top w:val="single" w:sz="4" w:space="0" w:color="000000"/>
              <w:left w:val="single" w:sz="13" w:space="0" w:color="D3D3D3"/>
              <w:right w:val="single" w:sz="13"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64" w:right="0"/>
              <w:jc w:val="left"/>
              <w:rPr>
                <w:rFonts w:ascii="Times New Roman" w:hAnsi="Times New Roman" w:cs="Times New Roman" w:eastAsia="Times New Roman" w:hint="default"/>
                <w:sz w:val="18"/>
                <w:szCs w:val="18"/>
              </w:rPr>
            </w:pPr>
            <w:r>
              <w:rPr>
                <w:rFonts w:ascii="Times New Roman"/>
                <w:sz w:val="18"/>
              </w:rPr>
              <w:t>42,408</w:t>
            </w:r>
          </w:p>
        </w:tc>
        <w:tc>
          <w:tcPr>
            <w:tcW w:w="158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10"/>
              <w:ind w:left="11" w:right="119"/>
              <w:jc w:val="both"/>
              <w:rPr>
                <w:rFonts w:ascii="宋体" w:hAnsi="宋体" w:cs="宋体" w:eastAsia="宋体" w:hint="default"/>
                <w:sz w:val="18"/>
                <w:szCs w:val="18"/>
              </w:rPr>
            </w:pPr>
            <w:r>
              <w:rPr>
                <w:rFonts w:ascii="宋体" w:hAnsi="宋体" w:cs="宋体" w:eastAsia="宋体" w:hint="default"/>
                <w:sz w:val="18"/>
                <w:szCs w:val="18"/>
              </w:rPr>
              <w:t>报告期末表决权恢 复的优先股股东总 数</w:t>
            </w:r>
          </w:p>
        </w:tc>
        <w:tc>
          <w:tcPr>
            <w:tcW w:w="782" w:type="dxa"/>
            <w:vMerge w:val="restart"/>
            <w:tcBorders>
              <w:top w:val="single" w:sz="4" w:space="0" w:color="000000"/>
              <w:left w:val="single" w:sz="10" w:space="0" w:color="D3D3D3"/>
              <w:right w:val="single" w:sz="9"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3"/>
              <w:jc w:val="right"/>
              <w:rPr>
                <w:rFonts w:ascii="Times New Roman" w:hAnsi="Times New Roman" w:cs="Times New Roman" w:eastAsia="Times New Roman" w:hint="default"/>
                <w:sz w:val="18"/>
                <w:szCs w:val="18"/>
              </w:rPr>
            </w:pPr>
            <w:r>
              <w:rPr>
                <w:rFonts w:ascii="Times New Roman"/>
                <w:sz w:val="18"/>
              </w:rPr>
              <w:t>0</w:t>
            </w:r>
          </w:p>
        </w:tc>
        <w:tc>
          <w:tcPr>
            <w:tcW w:w="177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10"/>
              <w:ind w:left="15" w:right="125"/>
              <w:jc w:val="both"/>
              <w:rPr>
                <w:rFonts w:ascii="宋体" w:hAnsi="宋体" w:cs="宋体" w:eastAsia="宋体" w:hint="default"/>
                <w:sz w:val="18"/>
                <w:szCs w:val="18"/>
              </w:rPr>
            </w:pPr>
            <w:r>
              <w:rPr>
                <w:rFonts w:ascii="宋体" w:hAnsi="宋体" w:cs="宋体" w:eastAsia="宋体" w:hint="default"/>
                <w:sz w:val="18"/>
                <w:szCs w:val="18"/>
              </w:rPr>
              <w:t>年度报告披露日前上 一月末表决权恢复的 优先股股东总数</w:t>
            </w:r>
          </w:p>
        </w:tc>
        <w:tc>
          <w:tcPr>
            <w:tcW w:w="746" w:type="dxa"/>
            <w:vMerge w:val="restart"/>
            <w:tcBorders>
              <w:top w:val="single" w:sz="4" w:space="0" w:color="000000"/>
              <w:left w:val="single" w:sz="13"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0</w:t>
            </w:r>
          </w:p>
        </w:tc>
      </w:tr>
      <w:tr>
        <w:trPr>
          <w:trHeight w:val="624" w:hRule="exact"/>
        </w:trPr>
        <w:tc>
          <w:tcPr>
            <w:tcW w:w="11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22" w:right="5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52" w:type="dxa"/>
            <w:gridSpan w:val="2"/>
            <w:vMerge/>
            <w:tcBorders>
              <w:left w:val="single" w:sz="9" w:space="0" w:color="D3D3D3"/>
              <w:right w:val="single" w:sz="13" w:space="0" w:color="D3D3D3"/>
            </w:tcBorders>
          </w:tcPr>
          <w:p>
            <w:pPr/>
          </w:p>
        </w:tc>
        <w:tc>
          <w:tcPr>
            <w:tcW w:w="1379" w:type="dxa"/>
            <w:gridSpan w:val="3"/>
            <w:vMerge/>
            <w:tcBorders>
              <w:left w:val="single" w:sz="4" w:space="0" w:color="000000"/>
              <w:right w:val="single" w:sz="4" w:space="0" w:color="000000"/>
            </w:tcBorders>
            <w:shd w:val="clear" w:color="auto" w:fill="D3D3D3"/>
          </w:tcPr>
          <w:p>
            <w:pPr/>
          </w:p>
        </w:tc>
        <w:tc>
          <w:tcPr>
            <w:tcW w:w="1115" w:type="dxa"/>
            <w:gridSpan w:val="2"/>
            <w:vMerge/>
            <w:tcBorders>
              <w:left w:val="single" w:sz="13" w:space="0" w:color="D3D3D3"/>
              <w:right w:val="single" w:sz="13" w:space="0" w:color="D3D3D3"/>
            </w:tcBorders>
          </w:tcPr>
          <w:p>
            <w:pPr/>
          </w:p>
        </w:tc>
        <w:tc>
          <w:tcPr>
            <w:tcW w:w="1582" w:type="dxa"/>
            <w:gridSpan w:val="3"/>
            <w:vMerge/>
            <w:tcBorders>
              <w:left w:val="single" w:sz="4" w:space="0" w:color="000000"/>
              <w:right w:val="single" w:sz="4" w:space="0" w:color="000000"/>
            </w:tcBorders>
            <w:shd w:val="clear" w:color="auto" w:fill="D3D3D3"/>
          </w:tcPr>
          <w:p>
            <w:pPr/>
          </w:p>
        </w:tc>
        <w:tc>
          <w:tcPr>
            <w:tcW w:w="782" w:type="dxa"/>
            <w:vMerge/>
            <w:tcBorders>
              <w:left w:val="single" w:sz="10" w:space="0" w:color="D3D3D3"/>
              <w:right w:val="single" w:sz="9" w:space="0" w:color="D3D3D3"/>
            </w:tcBorders>
          </w:tcPr>
          <w:p>
            <w:pPr/>
          </w:p>
        </w:tc>
        <w:tc>
          <w:tcPr>
            <w:tcW w:w="1771" w:type="dxa"/>
            <w:gridSpan w:val="2"/>
            <w:vMerge/>
            <w:tcBorders>
              <w:left w:val="single" w:sz="4" w:space="0" w:color="000000"/>
              <w:right w:val="single" w:sz="4" w:space="0" w:color="000000"/>
            </w:tcBorders>
            <w:shd w:val="clear" w:color="auto" w:fill="D3D3D3"/>
          </w:tcPr>
          <w:p>
            <w:pPr/>
          </w:p>
        </w:tc>
        <w:tc>
          <w:tcPr>
            <w:tcW w:w="746" w:type="dxa"/>
            <w:vMerge/>
            <w:tcBorders>
              <w:left w:val="single" w:sz="13" w:space="0" w:color="D3D3D3"/>
              <w:right w:val="single" w:sz="4" w:space="0" w:color="000000"/>
            </w:tcBorders>
          </w:tcPr>
          <w:p>
            <w:pPr/>
          </w:p>
        </w:tc>
      </w:tr>
      <w:tr>
        <w:trPr>
          <w:trHeight w:val="160" w:hRule="exact"/>
        </w:trPr>
        <w:tc>
          <w:tcPr>
            <w:tcW w:w="1166" w:type="dxa"/>
            <w:tcBorders>
              <w:top w:val="nil" w:sz="6" w:space="0" w:color="auto"/>
              <w:left w:val="single" w:sz="4" w:space="0" w:color="000000"/>
              <w:bottom w:val="single" w:sz="4" w:space="0" w:color="000000"/>
              <w:right w:val="single" w:sz="4" w:space="0" w:color="000000"/>
            </w:tcBorders>
            <w:shd w:val="clear" w:color="auto" w:fill="D3D3D3"/>
          </w:tcPr>
          <w:p>
            <w:pPr/>
          </w:p>
        </w:tc>
        <w:tc>
          <w:tcPr>
            <w:tcW w:w="1152" w:type="dxa"/>
            <w:gridSpan w:val="2"/>
            <w:vMerge/>
            <w:tcBorders>
              <w:left w:val="single" w:sz="9" w:space="0" w:color="D3D3D3"/>
              <w:bottom w:val="single" w:sz="4" w:space="0" w:color="000000"/>
              <w:right w:val="single" w:sz="13" w:space="0" w:color="D3D3D3"/>
            </w:tcBorders>
          </w:tcPr>
          <w:p>
            <w:pPr/>
          </w:p>
        </w:tc>
        <w:tc>
          <w:tcPr>
            <w:tcW w:w="1379" w:type="dxa"/>
            <w:gridSpan w:val="3"/>
            <w:vMerge/>
            <w:tcBorders>
              <w:left w:val="single" w:sz="4" w:space="0" w:color="000000"/>
              <w:bottom w:val="single" w:sz="4" w:space="0" w:color="000000"/>
              <w:right w:val="single" w:sz="4" w:space="0" w:color="000000"/>
            </w:tcBorders>
            <w:shd w:val="clear" w:color="auto" w:fill="D3D3D3"/>
          </w:tcPr>
          <w:p>
            <w:pPr/>
          </w:p>
        </w:tc>
        <w:tc>
          <w:tcPr>
            <w:tcW w:w="1115" w:type="dxa"/>
            <w:gridSpan w:val="2"/>
            <w:vMerge/>
            <w:tcBorders>
              <w:left w:val="single" w:sz="13" w:space="0" w:color="D3D3D3"/>
              <w:bottom w:val="single" w:sz="4" w:space="0" w:color="000000"/>
              <w:right w:val="single" w:sz="13" w:space="0" w:color="D3D3D3"/>
            </w:tcBorders>
          </w:tcPr>
          <w:p>
            <w:pPr/>
          </w:p>
        </w:tc>
        <w:tc>
          <w:tcPr>
            <w:tcW w:w="1582" w:type="dxa"/>
            <w:gridSpan w:val="3"/>
            <w:vMerge/>
            <w:tcBorders>
              <w:left w:val="single" w:sz="4" w:space="0" w:color="000000"/>
              <w:bottom w:val="single" w:sz="4" w:space="0" w:color="000000"/>
              <w:right w:val="single" w:sz="4" w:space="0" w:color="000000"/>
            </w:tcBorders>
            <w:shd w:val="clear" w:color="auto" w:fill="D3D3D3"/>
          </w:tcPr>
          <w:p>
            <w:pPr/>
          </w:p>
        </w:tc>
        <w:tc>
          <w:tcPr>
            <w:tcW w:w="782" w:type="dxa"/>
            <w:vMerge/>
            <w:tcBorders>
              <w:left w:val="single" w:sz="10" w:space="0" w:color="D3D3D3"/>
              <w:bottom w:val="single" w:sz="4" w:space="0" w:color="000000"/>
              <w:right w:val="single" w:sz="9" w:space="0" w:color="D3D3D3"/>
            </w:tcBorders>
          </w:tcPr>
          <w:p>
            <w:pPr/>
          </w:p>
        </w:tc>
        <w:tc>
          <w:tcPr>
            <w:tcW w:w="1771" w:type="dxa"/>
            <w:gridSpan w:val="2"/>
            <w:vMerge/>
            <w:tcBorders>
              <w:left w:val="single" w:sz="4" w:space="0" w:color="000000"/>
              <w:bottom w:val="single" w:sz="4" w:space="0" w:color="000000"/>
              <w:right w:val="single" w:sz="4" w:space="0" w:color="000000"/>
            </w:tcBorders>
            <w:shd w:val="clear" w:color="auto" w:fill="D3D3D3"/>
          </w:tcPr>
          <w:p>
            <w:pPr/>
          </w:p>
        </w:tc>
        <w:tc>
          <w:tcPr>
            <w:tcW w:w="746" w:type="dxa"/>
            <w:vMerge/>
            <w:tcBorders>
              <w:left w:val="single" w:sz="13" w:space="0" w:color="D3D3D3"/>
              <w:bottom w:val="single" w:sz="4" w:space="0" w:color="000000"/>
              <w:right w:val="single" w:sz="4" w:space="0" w:color="000000"/>
            </w:tcBorders>
          </w:tcPr>
          <w:p>
            <w:pPr/>
          </w:p>
        </w:tc>
      </w:tr>
      <w:tr>
        <w:trPr>
          <w:trHeight w:val="322" w:hRule="exact"/>
        </w:trPr>
        <w:tc>
          <w:tcPr>
            <w:tcW w:w="9694" w:type="dxa"/>
            <w:gridSpan w:val="1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1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2" w:hRule="exact"/>
        </w:trPr>
        <w:tc>
          <w:tcPr>
            <w:tcW w:w="1404" w:type="dxa"/>
            <w:gridSpan w:val="2"/>
            <w:vMerge w:val="restart"/>
            <w:tcBorders>
              <w:top w:val="single" w:sz="4" w:space="0" w:color="000000"/>
              <w:left w:val="single" w:sz="4" w:space="0" w:color="000000"/>
              <w:right w:val="single" w:sz="4" w:space="0" w:color="000000"/>
            </w:tcBorders>
            <w:shd w:val="clear" w:color="auto" w:fill="D3D3D3"/>
          </w:tcPr>
          <w:p>
            <w:pPr/>
          </w:p>
        </w:tc>
        <w:tc>
          <w:tcPr>
            <w:tcW w:w="1357" w:type="dxa"/>
            <w:gridSpan w:val="2"/>
            <w:vMerge w:val="restart"/>
            <w:tcBorders>
              <w:top w:val="single" w:sz="4" w:space="0" w:color="000000"/>
              <w:left w:val="single" w:sz="4" w:space="0" w:color="000000"/>
              <w:right w:val="single" w:sz="4" w:space="0" w:color="000000"/>
            </w:tcBorders>
            <w:shd w:val="clear" w:color="auto" w:fill="D3D3D3"/>
          </w:tcPr>
          <w:p>
            <w:pPr/>
          </w:p>
        </w:tc>
        <w:tc>
          <w:tcPr>
            <w:tcW w:w="760" w:type="dxa"/>
            <w:tcBorders>
              <w:top w:val="single" w:sz="4" w:space="0" w:color="000000"/>
              <w:left w:val="single" w:sz="4" w:space="0" w:color="000000"/>
              <w:bottom w:val="nil" w:sz="6" w:space="0" w:color="auto"/>
              <w:right w:val="single" w:sz="4" w:space="0" w:color="000000"/>
            </w:tcBorders>
            <w:shd w:val="clear" w:color="auto" w:fill="D3D3D3"/>
          </w:tcPr>
          <w:p>
            <w:pPr/>
          </w:p>
        </w:tc>
        <w:tc>
          <w:tcPr>
            <w:tcW w:w="956"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77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11"/>
              <w:ind w:left="22" w:right="20"/>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5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11"/>
              <w:ind w:left="22" w:right="23"/>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6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11"/>
              <w:ind w:left="24" w:right="33"/>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517"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left="61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8" w:hRule="exact"/>
        </w:trPr>
        <w:tc>
          <w:tcPr>
            <w:tcW w:w="1404" w:type="dxa"/>
            <w:gridSpan w:val="2"/>
            <w:vMerge/>
            <w:tcBorders>
              <w:left w:val="single" w:sz="4" w:space="0" w:color="000000"/>
              <w:bottom w:val="nil" w:sz="6" w:space="0" w:color="auto"/>
              <w:right w:val="single" w:sz="4" w:space="0" w:color="000000"/>
            </w:tcBorders>
            <w:shd w:val="clear" w:color="auto" w:fill="D3D3D3"/>
          </w:tcPr>
          <w:p>
            <w:pPr/>
          </w:p>
        </w:tc>
        <w:tc>
          <w:tcPr>
            <w:tcW w:w="1357" w:type="dxa"/>
            <w:gridSpan w:val="2"/>
            <w:vMerge/>
            <w:tcBorders>
              <w:left w:val="single" w:sz="4" w:space="0" w:color="000000"/>
              <w:bottom w:val="nil" w:sz="6" w:space="0" w:color="auto"/>
              <w:right w:val="single" w:sz="4" w:space="0" w:color="000000"/>
            </w:tcBorders>
            <w:shd w:val="clear" w:color="auto" w:fill="D3D3D3"/>
          </w:tcPr>
          <w:p>
            <w:pPr/>
          </w:p>
        </w:tc>
        <w:tc>
          <w:tcPr>
            <w:tcW w:w="760"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10"/>
              <w:ind w:left="284" w:right="103"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56"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10"/>
              <w:ind w:left="202" w:right="23"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775" w:type="dxa"/>
            <w:gridSpan w:val="2"/>
            <w:vMerge/>
            <w:tcBorders>
              <w:left w:val="single" w:sz="4" w:space="0" w:color="000000"/>
              <w:right w:val="single" w:sz="4" w:space="0" w:color="000000"/>
            </w:tcBorders>
            <w:shd w:val="clear" w:color="auto" w:fill="D3D3D3"/>
          </w:tcPr>
          <w:p>
            <w:pPr/>
          </w:p>
        </w:tc>
        <w:tc>
          <w:tcPr>
            <w:tcW w:w="956" w:type="dxa"/>
            <w:vMerge/>
            <w:tcBorders>
              <w:left w:val="single" w:sz="4" w:space="0" w:color="000000"/>
              <w:right w:val="single" w:sz="4" w:space="0" w:color="000000"/>
            </w:tcBorders>
            <w:shd w:val="clear" w:color="auto" w:fill="D3D3D3"/>
          </w:tcPr>
          <w:p>
            <w:pPr/>
          </w:p>
        </w:tc>
        <w:tc>
          <w:tcPr>
            <w:tcW w:w="968" w:type="dxa"/>
            <w:gridSpan w:val="2"/>
            <w:vMerge/>
            <w:tcBorders>
              <w:left w:val="single" w:sz="4" w:space="0" w:color="000000"/>
              <w:right w:val="single" w:sz="4" w:space="0" w:color="000000"/>
            </w:tcBorders>
            <w:shd w:val="clear" w:color="auto" w:fill="D3D3D3"/>
          </w:tcPr>
          <w:p>
            <w:pPr/>
          </w:p>
        </w:tc>
        <w:tc>
          <w:tcPr>
            <w:tcW w:w="2517" w:type="dxa"/>
            <w:gridSpan w:val="3"/>
            <w:vMerge/>
            <w:tcBorders>
              <w:left w:val="single" w:sz="4" w:space="0" w:color="000000"/>
              <w:bottom w:val="single" w:sz="4" w:space="0" w:color="000000"/>
              <w:right w:val="single" w:sz="4" w:space="0" w:color="000000"/>
            </w:tcBorders>
            <w:shd w:val="clear" w:color="auto" w:fill="D3D3D3"/>
          </w:tcPr>
          <w:p>
            <w:pPr/>
          </w:p>
        </w:tc>
      </w:tr>
      <w:tr>
        <w:trPr>
          <w:trHeight w:val="158" w:hRule="exact"/>
        </w:trPr>
        <w:tc>
          <w:tcPr>
            <w:tcW w:w="1404"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7"/>
              <w:ind w:left="33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57"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7"/>
              <w:ind w:left="31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60" w:type="dxa"/>
            <w:vMerge/>
            <w:tcBorders>
              <w:left w:val="single" w:sz="4" w:space="0" w:color="000000"/>
              <w:right w:val="single" w:sz="4" w:space="0" w:color="000000"/>
            </w:tcBorders>
            <w:shd w:val="clear" w:color="auto" w:fill="D3D3D3"/>
          </w:tcPr>
          <w:p>
            <w:pPr/>
          </w:p>
        </w:tc>
        <w:tc>
          <w:tcPr>
            <w:tcW w:w="956" w:type="dxa"/>
            <w:gridSpan w:val="2"/>
            <w:vMerge/>
            <w:tcBorders>
              <w:left w:val="single" w:sz="4" w:space="0" w:color="000000"/>
              <w:right w:val="single" w:sz="4" w:space="0" w:color="000000"/>
            </w:tcBorders>
            <w:shd w:val="clear" w:color="auto" w:fill="D3D3D3"/>
          </w:tcPr>
          <w:p>
            <w:pPr/>
          </w:p>
        </w:tc>
        <w:tc>
          <w:tcPr>
            <w:tcW w:w="775" w:type="dxa"/>
            <w:gridSpan w:val="2"/>
            <w:vMerge/>
            <w:tcBorders>
              <w:left w:val="single" w:sz="4" w:space="0" w:color="000000"/>
              <w:right w:val="single" w:sz="4" w:space="0" w:color="000000"/>
            </w:tcBorders>
            <w:shd w:val="clear" w:color="auto" w:fill="D3D3D3"/>
          </w:tcPr>
          <w:p>
            <w:pPr/>
          </w:p>
        </w:tc>
        <w:tc>
          <w:tcPr>
            <w:tcW w:w="956" w:type="dxa"/>
            <w:vMerge/>
            <w:tcBorders>
              <w:left w:val="single" w:sz="4" w:space="0" w:color="000000"/>
              <w:right w:val="single" w:sz="4" w:space="0" w:color="000000"/>
            </w:tcBorders>
            <w:shd w:val="clear" w:color="auto" w:fill="D3D3D3"/>
          </w:tcPr>
          <w:p>
            <w:pPr/>
          </w:p>
        </w:tc>
        <w:tc>
          <w:tcPr>
            <w:tcW w:w="968" w:type="dxa"/>
            <w:gridSpan w:val="2"/>
            <w:vMerge/>
            <w:tcBorders>
              <w:left w:val="single" w:sz="4" w:space="0" w:color="000000"/>
              <w:right w:val="single" w:sz="4" w:space="0" w:color="000000"/>
            </w:tcBorders>
            <w:shd w:val="clear" w:color="auto" w:fill="D3D3D3"/>
          </w:tcPr>
          <w:p>
            <w:pPr/>
          </w:p>
        </w:tc>
        <w:tc>
          <w:tcPr>
            <w:tcW w:w="1230" w:type="dxa"/>
            <w:tcBorders>
              <w:top w:val="single" w:sz="4" w:space="0" w:color="000000"/>
              <w:left w:val="single" w:sz="4" w:space="0" w:color="000000"/>
              <w:bottom w:val="nil" w:sz="6" w:space="0" w:color="auto"/>
              <w:right w:val="single" w:sz="4" w:space="0" w:color="000000"/>
            </w:tcBorders>
            <w:shd w:val="clear" w:color="auto" w:fill="D3D3D3"/>
          </w:tcPr>
          <w:p>
            <w:pPr/>
          </w:p>
        </w:tc>
        <w:tc>
          <w:tcPr>
            <w:tcW w:w="1288" w:type="dxa"/>
            <w:gridSpan w:val="2"/>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2" w:hRule="exact"/>
        </w:trPr>
        <w:tc>
          <w:tcPr>
            <w:tcW w:w="1404" w:type="dxa"/>
            <w:gridSpan w:val="2"/>
            <w:vMerge/>
            <w:tcBorders>
              <w:left w:val="single" w:sz="4" w:space="0" w:color="000000"/>
              <w:bottom w:val="nil" w:sz="6" w:space="0" w:color="auto"/>
              <w:right w:val="single" w:sz="4" w:space="0" w:color="000000"/>
            </w:tcBorders>
            <w:shd w:val="clear" w:color="auto" w:fill="D3D3D3"/>
          </w:tcPr>
          <w:p>
            <w:pPr/>
          </w:p>
        </w:tc>
        <w:tc>
          <w:tcPr>
            <w:tcW w:w="1357" w:type="dxa"/>
            <w:gridSpan w:val="2"/>
            <w:vMerge/>
            <w:tcBorders>
              <w:left w:val="single" w:sz="4" w:space="0" w:color="000000"/>
              <w:bottom w:val="nil" w:sz="6" w:space="0" w:color="auto"/>
              <w:right w:val="single" w:sz="4" w:space="0" w:color="000000"/>
            </w:tcBorders>
            <w:shd w:val="clear" w:color="auto" w:fill="D3D3D3"/>
          </w:tcPr>
          <w:p>
            <w:pPr/>
          </w:p>
        </w:tc>
        <w:tc>
          <w:tcPr>
            <w:tcW w:w="760" w:type="dxa"/>
            <w:vMerge/>
            <w:tcBorders>
              <w:left w:val="single" w:sz="4" w:space="0" w:color="000000"/>
              <w:right w:val="single" w:sz="4" w:space="0" w:color="000000"/>
            </w:tcBorders>
            <w:shd w:val="clear" w:color="auto" w:fill="D3D3D3"/>
          </w:tcPr>
          <w:p>
            <w:pPr/>
          </w:p>
        </w:tc>
        <w:tc>
          <w:tcPr>
            <w:tcW w:w="956" w:type="dxa"/>
            <w:gridSpan w:val="2"/>
            <w:vMerge/>
            <w:tcBorders>
              <w:left w:val="single" w:sz="4" w:space="0" w:color="000000"/>
              <w:right w:val="single" w:sz="4" w:space="0" w:color="000000"/>
            </w:tcBorders>
            <w:shd w:val="clear" w:color="auto" w:fill="D3D3D3"/>
          </w:tcPr>
          <w:p>
            <w:pPr/>
          </w:p>
        </w:tc>
        <w:tc>
          <w:tcPr>
            <w:tcW w:w="775" w:type="dxa"/>
            <w:gridSpan w:val="2"/>
            <w:vMerge/>
            <w:tcBorders>
              <w:left w:val="single" w:sz="4" w:space="0" w:color="000000"/>
              <w:right w:val="single" w:sz="4" w:space="0" w:color="000000"/>
            </w:tcBorders>
            <w:shd w:val="clear" w:color="auto" w:fill="D3D3D3"/>
          </w:tcPr>
          <w:p>
            <w:pPr/>
          </w:p>
        </w:tc>
        <w:tc>
          <w:tcPr>
            <w:tcW w:w="956" w:type="dxa"/>
            <w:vMerge/>
            <w:tcBorders>
              <w:left w:val="single" w:sz="4" w:space="0" w:color="000000"/>
              <w:right w:val="single" w:sz="4" w:space="0" w:color="000000"/>
            </w:tcBorders>
            <w:shd w:val="clear" w:color="auto" w:fill="D3D3D3"/>
          </w:tcPr>
          <w:p>
            <w:pPr/>
          </w:p>
        </w:tc>
        <w:tc>
          <w:tcPr>
            <w:tcW w:w="968" w:type="dxa"/>
            <w:gridSpan w:val="2"/>
            <w:vMerge/>
            <w:tcBorders>
              <w:left w:val="single" w:sz="4" w:space="0" w:color="000000"/>
              <w:right w:val="single" w:sz="4" w:space="0" w:color="000000"/>
            </w:tcBorders>
            <w:shd w:val="clear" w:color="auto" w:fill="D3D3D3"/>
          </w:tcPr>
          <w:p>
            <w:pPr/>
          </w:p>
        </w:tc>
        <w:tc>
          <w:tcPr>
            <w:tcW w:w="123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left="245"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288"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8" w:hRule="exact"/>
        </w:trPr>
        <w:tc>
          <w:tcPr>
            <w:tcW w:w="1404" w:type="dxa"/>
            <w:gridSpan w:val="2"/>
            <w:vMerge w:val="restart"/>
            <w:tcBorders>
              <w:top w:val="nil" w:sz="6" w:space="0" w:color="auto"/>
              <w:left w:val="single" w:sz="4" w:space="0" w:color="000000"/>
              <w:right w:val="single" w:sz="4" w:space="0" w:color="000000"/>
            </w:tcBorders>
            <w:shd w:val="clear" w:color="auto" w:fill="D3D3D3"/>
          </w:tcPr>
          <w:p>
            <w:pPr/>
          </w:p>
        </w:tc>
        <w:tc>
          <w:tcPr>
            <w:tcW w:w="1357" w:type="dxa"/>
            <w:gridSpan w:val="2"/>
            <w:vMerge w:val="restart"/>
            <w:tcBorders>
              <w:top w:val="nil" w:sz="6" w:space="0" w:color="auto"/>
              <w:left w:val="single" w:sz="4" w:space="0" w:color="000000"/>
              <w:right w:val="single" w:sz="4" w:space="0" w:color="000000"/>
            </w:tcBorders>
            <w:shd w:val="clear" w:color="auto" w:fill="D3D3D3"/>
          </w:tcPr>
          <w:p>
            <w:pPr/>
          </w:p>
        </w:tc>
        <w:tc>
          <w:tcPr>
            <w:tcW w:w="760" w:type="dxa"/>
            <w:vMerge/>
            <w:tcBorders>
              <w:left w:val="single" w:sz="4" w:space="0" w:color="000000"/>
              <w:bottom w:val="nil" w:sz="6" w:space="0" w:color="auto"/>
              <w:right w:val="single" w:sz="4" w:space="0" w:color="000000"/>
            </w:tcBorders>
            <w:shd w:val="clear" w:color="auto" w:fill="D3D3D3"/>
          </w:tcPr>
          <w:p>
            <w:pPr/>
          </w:p>
        </w:tc>
        <w:tc>
          <w:tcPr>
            <w:tcW w:w="956" w:type="dxa"/>
            <w:gridSpan w:val="2"/>
            <w:vMerge/>
            <w:tcBorders>
              <w:left w:val="single" w:sz="4" w:space="0" w:color="000000"/>
              <w:bottom w:val="nil" w:sz="6" w:space="0" w:color="auto"/>
              <w:right w:val="single" w:sz="4" w:space="0" w:color="000000"/>
            </w:tcBorders>
            <w:shd w:val="clear" w:color="auto" w:fill="D3D3D3"/>
          </w:tcPr>
          <w:p>
            <w:pPr/>
          </w:p>
        </w:tc>
        <w:tc>
          <w:tcPr>
            <w:tcW w:w="775" w:type="dxa"/>
            <w:gridSpan w:val="2"/>
            <w:vMerge/>
            <w:tcBorders>
              <w:left w:val="single" w:sz="4" w:space="0" w:color="000000"/>
              <w:right w:val="single" w:sz="4" w:space="0" w:color="000000"/>
            </w:tcBorders>
            <w:shd w:val="clear" w:color="auto" w:fill="D3D3D3"/>
          </w:tcPr>
          <w:p>
            <w:pPr/>
          </w:p>
        </w:tc>
        <w:tc>
          <w:tcPr>
            <w:tcW w:w="956" w:type="dxa"/>
            <w:vMerge/>
            <w:tcBorders>
              <w:left w:val="single" w:sz="4" w:space="0" w:color="000000"/>
              <w:right w:val="single" w:sz="4" w:space="0" w:color="000000"/>
            </w:tcBorders>
            <w:shd w:val="clear" w:color="auto" w:fill="D3D3D3"/>
          </w:tcPr>
          <w:p>
            <w:pPr/>
          </w:p>
        </w:tc>
        <w:tc>
          <w:tcPr>
            <w:tcW w:w="968" w:type="dxa"/>
            <w:gridSpan w:val="2"/>
            <w:vMerge/>
            <w:tcBorders>
              <w:left w:val="single" w:sz="4" w:space="0" w:color="000000"/>
              <w:right w:val="single" w:sz="4" w:space="0" w:color="000000"/>
            </w:tcBorders>
            <w:shd w:val="clear" w:color="auto" w:fill="D3D3D3"/>
          </w:tcPr>
          <w:p>
            <w:pPr/>
          </w:p>
        </w:tc>
        <w:tc>
          <w:tcPr>
            <w:tcW w:w="1230" w:type="dxa"/>
            <w:vMerge/>
            <w:tcBorders>
              <w:left w:val="single" w:sz="4" w:space="0" w:color="000000"/>
              <w:bottom w:val="nil" w:sz="6" w:space="0" w:color="auto"/>
              <w:right w:val="single" w:sz="4" w:space="0" w:color="000000"/>
            </w:tcBorders>
            <w:shd w:val="clear" w:color="auto" w:fill="D3D3D3"/>
          </w:tcPr>
          <w:p>
            <w:pPr/>
          </w:p>
        </w:tc>
        <w:tc>
          <w:tcPr>
            <w:tcW w:w="1288" w:type="dxa"/>
            <w:gridSpan w:val="2"/>
            <w:vMerge/>
            <w:tcBorders>
              <w:left w:val="single" w:sz="4" w:space="0" w:color="000000"/>
              <w:bottom w:val="nil" w:sz="6" w:space="0" w:color="auto"/>
              <w:right w:val="single" w:sz="4" w:space="0" w:color="000000"/>
            </w:tcBorders>
            <w:shd w:val="clear" w:color="auto" w:fill="D3D3D3"/>
          </w:tcPr>
          <w:p>
            <w:pPr/>
          </w:p>
        </w:tc>
      </w:tr>
      <w:tr>
        <w:trPr>
          <w:trHeight w:val="158" w:hRule="exact"/>
        </w:trPr>
        <w:tc>
          <w:tcPr>
            <w:tcW w:w="1404" w:type="dxa"/>
            <w:gridSpan w:val="2"/>
            <w:vMerge/>
            <w:tcBorders>
              <w:left w:val="single" w:sz="4" w:space="0" w:color="000000"/>
              <w:bottom w:val="single" w:sz="4" w:space="0" w:color="000000"/>
              <w:right w:val="single" w:sz="4" w:space="0" w:color="000000"/>
            </w:tcBorders>
            <w:shd w:val="clear" w:color="auto" w:fill="D3D3D3"/>
          </w:tcPr>
          <w:p>
            <w:pPr/>
          </w:p>
        </w:tc>
        <w:tc>
          <w:tcPr>
            <w:tcW w:w="1357" w:type="dxa"/>
            <w:gridSpan w:val="2"/>
            <w:vMerge/>
            <w:tcBorders>
              <w:left w:val="single" w:sz="4" w:space="0" w:color="000000"/>
              <w:bottom w:val="single" w:sz="4" w:space="0" w:color="000000"/>
              <w:right w:val="single" w:sz="4" w:space="0" w:color="000000"/>
            </w:tcBorders>
            <w:shd w:val="clear" w:color="auto" w:fill="D3D3D3"/>
          </w:tcPr>
          <w:p>
            <w:pPr/>
          </w:p>
        </w:tc>
        <w:tc>
          <w:tcPr>
            <w:tcW w:w="760" w:type="dxa"/>
            <w:tcBorders>
              <w:top w:val="nil" w:sz="6" w:space="0" w:color="auto"/>
              <w:left w:val="single" w:sz="4" w:space="0" w:color="000000"/>
              <w:bottom w:val="single" w:sz="4" w:space="0" w:color="000000"/>
              <w:right w:val="single" w:sz="4" w:space="0" w:color="000000"/>
            </w:tcBorders>
            <w:shd w:val="clear" w:color="auto" w:fill="D3D3D3"/>
          </w:tcPr>
          <w:p>
            <w:pPr/>
          </w:p>
        </w:tc>
        <w:tc>
          <w:tcPr>
            <w:tcW w:w="956"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775" w:type="dxa"/>
            <w:gridSpan w:val="2"/>
            <w:vMerge/>
            <w:tcBorders>
              <w:left w:val="single" w:sz="4" w:space="0" w:color="000000"/>
              <w:bottom w:val="single" w:sz="4" w:space="0" w:color="000000"/>
              <w:right w:val="single" w:sz="4" w:space="0" w:color="000000"/>
            </w:tcBorders>
            <w:shd w:val="clear" w:color="auto" w:fill="D3D3D3"/>
          </w:tcPr>
          <w:p>
            <w:pPr/>
          </w:p>
        </w:tc>
        <w:tc>
          <w:tcPr>
            <w:tcW w:w="956" w:type="dxa"/>
            <w:vMerge/>
            <w:tcBorders>
              <w:left w:val="single" w:sz="4" w:space="0" w:color="000000"/>
              <w:bottom w:val="single" w:sz="4" w:space="0" w:color="000000"/>
              <w:right w:val="single" w:sz="4" w:space="0" w:color="000000"/>
            </w:tcBorders>
            <w:shd w:val="clear" w:color="auto" w:fill="D3D3D3"/>
          </w:tcPr>
          <w:p>
            <w:pPr/>
          </w:p>
        </w:tc>
        <w:tc>
          <w:tcPr>
            <w:tcW w:w="968" w:type="dxa"/>
            <w:gridSpan w:val="2"/>
            <w:vMerge/>
            <w:tcBorders>
              <w:left w:val="single" w:sz="4" w:space="0" w:color="000000"/>
              <w:bottom w:val="single" w:sz="4" w:space="0" w:color="000000"/>
              <w:right w:val="single" w:sz="4" w:space="0" w:color="000000"/>
            </w:tcBorders>
            <w:shd w:val="clear" w:color="auto" w:fill="D3D3D3"/>
          </w:tcPr>
          <w:p>
            <w:pPr/>
          </w:p>
        </w:tc>
        <w:tc>
          <w:tcPr>
            <w:tcW w:w="1230" w:type="dxa"/>
            <w:tcBorders>
              <w:top w:val="nil" w:sz="6" w:space="0" w:color="auto"/>
              <w:left w:val="single" w:sz="4" w:space="0" w:color="000000"/>
              <w:bottom w:val="single" w:sz="4" w:space="0" w:color="000000"/>
              <w:right w:val="single" w:sz="4" w:space="0" w:color="000000"/>
            </w:tcBorders>
            <w:shd w:val="clear" w:color="auto" w:fill="D3D3D3"/>
          </w:tcPr>
          <w:p>
            <w:pPr/>
          </w:p>
        </w:tc>
        <w:tc>
          <w:tcPr>
            <w:tcW w:w="1288" w:type="dxa"/>
            <w:gridSpan w:val="2"/>
            <w:tcBorders>
              <w:top w:val="nil" w:sz="6" w:space="0" w:color="auto"/>
              <w:left w:val="single" w:sz="4" w:space="0" w:color="000000"/>
              <w:bottom w:val="single" w:sz="4" w:space="0" w:color="000000"/>
              <w:right w:val="single" w:sz="4" w:space="0" w:color="000000"/>
            </w:tcBorders>
            <w:shd w:val="clear" w:color="auto" w:fill="D3D3D3"/>
          </w:tcPr>
          <w:p>
            <w:pPr/>
          </w:p>
        </w:tc>
      </w:tr>
      <w:tr>
        <w:trPr>
          <w:trHeight w:val="634" w:hRule="exact"/>
        </w:trPr>
        <w:tc>
          <w:tcPr>
            <w:tcW w:w="1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9"/>
              <w:jc w:val="left"/>
              <w:rPr>
                <w:rFonts w:ascii="宋体" w:hAnsi="宋体" w:cs="宋体" w:eastAsia="宋体" w:hint="default"/>
                <w:sz w:val="18"/>
                <w:szCs w:val="18"/>
              </w:rPr>
            </w:pPr>
            <w:r>
              <w:rPr>
                <w:rFonts w:ascii="宋体" w:hAnsi="宋体" w:cs="宋体" w:eastAsia="宋体" w:hint="default"/>
                <w:sz w:val="18"/>
                <w:szCs w:val="18"/>
              </w:rPr>
              <w:t>杭州日报报业集 团有限公司</w:t>
            </w:r>
          </w:p>
        </w:tc>
        <w:tc>
          <w:tcPr>
            <w:tcW w:w="13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48.13%</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489,771,977</w:t>
            </w:r>
          </w:p>
        </w:tc>
        <w:tc>
          <w:tcPr>
            <w:tcW w:w="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122,442,994</w:t>
            </w:r>
          </w:p>
        </w:tc>
        <w:tc>
          <w:tcPr>
            <w:tcW w:w="9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367,328,983</w:t>
            </w:r>
          </w:p>
        </w:tc>
        <w:tc>
          <w:tcPr>
            <w:tcW w:w="1230" w:type="dxa"/>
            <w:tcBorders>
              <w:top w:val="single" w:sz="4" w:space="0" w:color="000000"/>
              <w:left w:val="single" w:sz="4" w:space="0" w:color="000000"/>
              <w:bottom w:val="single" w:sz="4" w:space="0" w:color="000000"/>
              <w:right w:val="single" w:sz="4" w:space="0" w:color="000000"/>
            </w:tcBorders>
          </w:tcPr>
          <w:p>
            <w:pPr/>
          </w:p>
        </w:tc>
        <w:tc>
          <w:tcPr>
            <w:tcW w:w="1288" w:type="dxa"/>
            <w:gridSpan w:val="2"/>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9"/>
              <w:jc w:val="left"/>
              <w:rPr>
                <w:rFonts w:ascii="宋体" w:hAnsi="宋体" w:cs="宋体" w:eastAsia="宋体" w:hint="default"/>
                <w:sz w:val="18"/>
                <w:szCs w:val="18"/>
              </w:rPr>
            </w:pPr>
            <w:r>
              <w:rPr>
                <w:rFonts w:ascii="宋体" w:hAnsi="宋体" w:cs="宋体" w:eastAsia="宋体" w:hint="default"/>
                <w:sz w:val="18"/>
                <w:szCs w:val="18"/>
              </w:rPr>
              <w:t>华立集团股份有 限公司</w:t>
            </w:r>
          </w:p>
        </w:tc>
        <w:tc>
          <w:tcPr>
            <w:tcW w:w="13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4.85%</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49,408,102</w:t>
            </w:r>
          </w:p>
        </w:tc>
        <w:tc>
          <w:tcPr>
            <w:tcW w:w="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49,408,102</w:t>
            </w:r>
          </w:p>
        </w:tc>
        <w:tc>
          <w:tcPr>
            <w:tcW w:w="1230" w:type="dxa"/>
            <w:tcBorders>
              <w:top w:val="single" w:sz="4" w:space="0" w:color="000000"/>
              <w:left w:val="single" w:sz="4" w:space="0" w:color="000000"/>
              <w:bottom w:val="single" w:sz="4" w:space="0" w:color="000000"/>
              <w:right w:val="single" w:sz="4" w:space="0" w:color="000000"/>
            </w:tcBorders>
          </w:tcPr>
          <w:p>
            <w:pPr/>
          </w:p>
        </w:tc>
        <w:tc>
          <w:tcPr>
            <w:tcW w:w="1288" w:type="dxa"/>
            <w:gridSpan w:val="2"/>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都市快报社</w:t>
            </w:r>
          </w:p>
        </w:tc>
        <w:tc>
          <w:tcPr>
            <w:tcW w:w="13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3.95%</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Times New Roman" w:hAnsi="Times New Roman" w:cs="Times New Roman" w:eastAsia="Times New Roman" w:hint="default"/>
                <w:sz w:val="18"/>
                <w:szCs w:val="18"/>
              </w:rPr>
            </w:pPr>
            <w:r>
              <w:rPr>
                <w:rFonts w:ascii="Times New Roman"/>
                <w:sz w:val="18"/>
              </w:rPr>
              <w:t>40,194,438</w:t>
            </w:r>
          </w:p>
        </w:tc>
        <w:tc>
          <w:tcPr>
            <w:tcW w:w="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10,048,610</w:t>
            </w:r>
          </w:p>
        </w:tc>
        <w:tc>
          <w:tcPr>
            <w:tcW w:w="9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6" w:right="0"/>
              <w:jc w:val="left"/>
              <w:rPr>
                <w:rFonts w:ascii="Times New Roman" w:hAnsi="Times New Roman" w:cs="Times New Roman" w:eastAsia="Times New Roman" w:hint="default"/>
                <w:sz w:val="18"/>
                <w:szCs w:val="18"/>
              </w:rPr>
            </w:pPr>
            <w:r>
              <w:rPr>
                <w:rFonts w:ascii="Times New Roman"/>
                <w:sz w:val="18"/>
              </w:rPr>
              <w:t>30,145,828</w:t>
            </w:r>
          </w:p>
        </w:tc>
        <w:tc>
          <w:tcPr>
            <w:tcW w:w="1230" w:type="dxa"/>
            <w:tcBorders>
              <w:top w:val="single" w:sz="4" w:space="0" w:color="000000"/>
              <w:left w:val="single" w:sz="4" w:space="0" w:color="000000"/>
              <w:bottom w:val="single" w:sz="4" w:space="0" w:color="000000"/>
              <w:right w:val="single" w:sz="4" w:space="0" w:color="000000"/>
            </w:tcBorders>
          </w:tcPr>
          <w:p>
            <w:pPr/>
          </w:p>
        </w:tc>
        <w:tc>
          <w:tcPr>
            <w:tcW w:w="1288" w:type="dxa"/>
            <w:gridSpan w:val="2"/>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9"/>
              <w:jc w:val="left"/>
              <w:rPr>
                <w:rFonts w:ascii="宋体" w:hAnsi="宋体" w:cs="宋体" w:eastAsia="宋体" w:hint="default"/>
                <w:sz w:val="18"/>
                <w:szCs w:val="18"/>
              </w:rPr>
            </w:pPr>
            <w:r>
              <w:rPr>
                <w:rFonts w:ascii="宋体" w:hAnsi="宋体" w:cs="宋体" w:eastAsia="宋体" w:hint="default"/>
                <w:sz w:val="18"/>
                <w:szCs w:val="18"/>
              </w:rPr>
              <w:t>浙江华立投资管 理有限公</w:t>
            </w:r>
          </w:p>
        </w:tc>
        <w:tc>
          <w:tcPr>
            <w:tcW w:w="13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3.15%</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32,009,400</w:t>
            </w:r>
          </w:p>
        </w:tc>
        <w:tc>
          <w:tcPr>
            <w:tcW w:w="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32,009,400</w:t>
            </w:r>
          </w:p>
        </w:tc>
        <w:tc>
          <w:tcPr>
            <w:tcW w:w="1230" w:type="dxa"/>
            <w:tcBorders>
              <w:top w:val="single" w:sz="4" w:space="0" w:color="000000"/>
              <w:left w:val="single" w:sz="4" w:space="0" w:color="000000"/>
              <w:bottom w:val="single" w:sz="4" w:space="0" w:color="000000"/>
              <w:right w:val="single" w:sz="4" w:space="0" w:color="000000"/>
            </w:tcBorders>
          </w:tcPr>
          <w:p>
            <w:pPr/>
          </w:p>
        </w:tc>
        <w:tc>
          <w:tcPr>
            <w:tcW w:w="1288" w:type="dxa"/>
            <w:gridSpan w:val="2"/>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9"/>
              <w:jc w:val="left"/>
              <w:rPr>
                <w:rFonts w:ascii="宋体" w:hAnsi="宋体" w:cs="宋体" w:eastAsia="宋体" w:hint="default"/>
                <w:sz w:val="18"/>
                <w:szCs w:val="18"/>
              </w:rPr>
            </w:pPr>
            <w:r>
              <w:rPr>
                <w:rFonts w:ascii="宋体" w:hAnsi="宋体" w:cs="宋体" w:eastAsia="宋体" w:hint="default"/>
                <w:sz w:val="18"/>
                <w:szCs w:val="18"/>
              </w:rPr>
              <w:t>华立医药集团有 限公司</w:t>
            </w:r>
          </w:p>
        </w:tc>
        <w:tc>
          <w:tcPr>
            <w:tcW w:w="13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2.16%</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22,000,000</w:t>
            </w:r>
          </w:p>
        </w:tc>
        <w:tc>
          <w:tcPr>
            <w:tcW w:w="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22,000,000</w:t>
            </w:r>
          </w:p>
        </w:tc>
        <w:tc>
          <w:tcPr>
            <w:tcW w:w="1230" w:type="dxa"/>
            <w:tcBorders>
              <w:top w:val="single" w:sz="4" w:space="0" w:color="000000"/>
              <w:left w:val="single" w:sz="4" w:space="0" w:color="000000"/>
              <w:bottom w:val="single" w:sz="4" w:space="0" w:color="000000"/>
              <w:right w:val="single" w:sz="4" w:space="0" w:color="000000"/>
            </w:tcBorders>
          </w:tcPr>
          <w:p>
            <w:pPr/>
          </w:p>
        </w:tc>
        <w:tc>
          <w:tcPr>
            <w:tcW w:w="1288" w:type="dxa"/>
            <w:gridSpan w:val="2"/>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雷立军</w:t>
            </w:r>
          </w:p>
        </w:tc>
        <w:tc>
          <w:tcPr>
            <w:tcW w:w="13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1.15%</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9" w:right="0"/>
              <w:jc w:val="left"/>
              <w:rPr>
                <w:rFonts w:ascii="Times New Roman" w:hAnsi="Times New Roman" w:cs="Times New Roman" w:eastAsia="Times New Roman" w:hint="default"/>
                <w:sz w:val="18"/>
                <w:szCs w:val="18"/>
              </w:rPr>
            </w:pPr>
            <w:r>
              <w:rPr>
                <w:rFonts w:ascii="Times New Roman"/>
                <w:sz w:val="18"/>
              </w:rPr>
              <w:t>11,657,180</w:t>
            </w:r>
          </w:p>
        </w:tc>
        <w:tc>
          <w:tcPr>
            <w:tcW w:w="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-118,400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0</w:t>
            </w:r>
          </w:p>
        </w:tc>
        <w:tc>
          <w:tcPr>
            <w:tcW w:w="9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sz w:val="18"/>
              </w:rPr>
              <w:t>11,657,180</w:t>
            </w:r>
          </w:p>
        </w:tc>
        <w:tc>
          <w:tcPr>
            <w:tcW w:w="1230" w:type="dxa"/>
            <w:tcBorders>
              <w:top w:val="single" w:sz="4" w:space="0" w:color="000000"/>
              <w:left w:val="single" w:sz="4" w:space="0" w:color="000000"/>
              <w:bottom w:val="single" w:sz="4" w:space="0" w:color="000000"/>
              <w:right w:val="single" w:sz="4" w:space="0" w:color="000000"/>
            </w:tcBorders>
          </w:tcPr>
          <w:p>
            <w:pPr/>
          </w:p>
        </w:tc>
        <w:tc>
          <w:tcPr>
            <w:tcW w:w="1288" w:type="dxa"/>
            <w:gridSpan w:val="2"/>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谭希宁</w:t>
            </w:r>
          </w:p>
        </w:tc>
        <w:tc>
          <w:tcPr>
            <w:tcW w:w="13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0.68%</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2" w:right="0"/>
              <w:jc w:val="left"/>
              <w:rPr>
                <w:rFonts w:ascii="Times New Roman" w:hAnsi="Times New Roman" w:cs="Times New Roman" w:eastAsia="Times New Roman" w:hint="default"/>
                <w:sz w:val="18"/>
                <w:szCs w:val="18"/>
              </w:rPr>
            </w:pPr>
            <w:r>
              <w:rPr>
                <w:rFonts w:ascii="Times New Roman"/>
                <w:sz w:val="18"/>
              </w:rPr>
              <w:t>6,910,000</w:t>
            </w:r>
          </w:p>
        </w:tc>
        <w:tc>
          <w:tcPr>
            <w:tcW w:w="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8" w:right="0"/>
              <w:jc w:val="left"/>
              <w:rPr>
                <w:rFonts w:ascii="Times New Roman" w:hAnsi="Times New Roman" w:cs="Times New Roman" w:eastAsia="Times New Roman" w:hint="default"/>
                <w:sz w:val="18"/>
                <w:szCs w:val="18"/>
              </w:rPr>
            </w:pPr>
            <w:r>
              <w:rPr>
                <w:rFonts w:ascii="Times New Roman"/>
                <w:sz w:val="18"/>
              </w:rPr>
              <w:t>66,000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0</w:t>
            </w:r>
          </w:p>
        </w:tc>
        <w:tc>
          <w:tcPr>
            <w:tcW w:w="9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6" w:right="0"/>
              <w:jc w:val="left"/>
              <w:rPr>
                <w:rFonts w:ascii="Times New Roman" w:hAnsi="Times New Roman" w:cs="Times New Roman" w:eastAsia="Times New Roman" w:hint="default"/>
                <w:sz w:val="18"/>
                <w:szCs w:val="18"/>
              </w:rPr>
            </w:pPr>
            <w:r>
              <w:rPr>
                <w:rFonts w:ascii="Times New Roman"/>
                <w:sz w:val="18"/>
              </w:rPr>
              <w:t>6,910,000</w:t>
            </w:r>
          </w:p>
        </w:tc>
        <w:tc>
          <w:tcPr>
            <w:tcW w:w="1230" w:type="dxa"/>
            <w:tcBorders>
              <w:top w:val="single" w:sz="4" w:space="0" w:color="000000"/>
              <w:left w:val="single" w:sz="4" w:space="0" w:color="000000"/>
              <w:bottom w:val="single" w:sz="4" w:space="0" w:color="000000"/>
              <w:right w:val="single" w:sz="4" w:space="0" w:color="000000"/>
            </w:tcBorders>
          </w:tcPr>
          <w:p>
            <w:pPr/>
          </w:p>
        </w:tc>
        <w:tc>
          <w:tcPr>
            <w:tcW w:w="1288" w:type="dxa"/>
            <w:gridSpan w:val="2"/>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9"/>
              <w:jc w:val="left"/>
              <w:rPr>
                <w:rFonts w:ascii="宋体" w:hAnsi="宋体" w:cs="宋体" w:eastAsia="宋体" w:hint="default"/>
                <w:sz w:val="18"/>
                <w:szCs w:val="18"/>
              </w:rPr>
            </w:pPr>
            <w:r>
              <w:rPr>
                <w:rFonts w:ascii="宋体" w:hAnsi="宋体" w:cs="宋体" w:eastAsia="宋体" w:hint="default"/>
                <w:sz w:val="18"/>
                <w:szCs w:val="18"/>
              </w:rPr>
              <w:t>山东万芝园食用 菌科技有</w:t>
            </w:r>
          </w:p>
        </w:tc>
        <w:tc>
          <w:tcPr>
            <w:tcW w:w="13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0.38%</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3,905,564</w:t>
            </w:r>
          </w:p>
        </w:tc>
        <w:tc>
          <w:tcPr>
            <w:tcW w:w="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1,024,964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3,905,564</w:t>
            </w:r>
          </w:p>
        </w:tc>
        <w:tc>
          <w:tcPr>
            <w:tcW w:w="1230" w:type="dxa"/>
            <w:tcBorders>
              <w:top w:val="single" w:sz="4" w:space="0" w:color="000000"/>
              <w:left w:val="single" w:sz="4" w:space="0" w:color="000000"/>
              <w:bottom w:val="single" w:sz="4" w:space="0" w:color="000000"/>
              <w:right w:val="single" w:sz="4" w:space="0" w:color="000000"/>
            </w:tcBorders>
          </w:tcPr>
          <w:p>
            <w:pPr/>
          </w:p>
        </w:tc>
        <w:tc>
          <w:tcPr>
            <w:tcW w:w="1288" w:type="dxa"/>
            <w:gridSpan w:val="2"/>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王紫军</w:t>
            </w:r>
          </w:p>
        </w:tc>
        <w:tc>
          <w:tcPr>
            <w:tcW w:w="13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0.36%</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Times New Roman" w:hAnsi="Times New Roman" w:cs="Times New Roman" w:eastAsia="Times New Roman" w:hint="default"/>
                <w:sz w:val="18"/>
                <w:szCs w:val="18"/>
              </w:rPr>
            </w:pPr>
            <w:r>
              <w:rPr>
                <w:rFonts w:ascii="Times New Roman"/>
                <w:sz w:val="18"/>
              </w:rPr>
              <w:t>3,690,529</w:t>
            </w:r>
          </w:p>
        </w:tc>
        <w:tc>
          <w:tcPr>
            <w:tcW w:w="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0</w:t>
            </w:r>
          </w:p>
        </w:tc>
        <w:tc>
          <w:tcPr>
            <w:tcW w:w="9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6" w:right="0"/>
              <w:jc w:val="left"/>
              <w:rPr>
                <w:rFonts w:ascii="Times New Roman" w:hAnsi="Times New Roman" w:cs="Times New Roman" w:eastAsia="Times New Roman" w:hint="default"/>
                <w:sz w:val="18"/>
                <w:szCs w:val="18"/>
              </w:rPr>
            </w:pPr>
            <w:r>
              <w:rPr>
                <w:rFonts w:ascii="Times New Roman"/>
                <w:sz w:val="18"/>
              </w:rPr>
              <w:t>3,690,529</w:t>
            </w:r>
          </w:p>
        </w:tc>
        <w:tc>
          <w:tcPr>
            <w:tcW w:w="1230" w:type="dxa"/>
            <w:tcBorders>
              <w:top w:val="single" w:sz="4" w:space="0" w:color="000000"/>
              <w:left w:val="single" w:sz="4" w:space="0" w:color="000000"/>
              <w:bottom w:val="single" w:sz="4" w:space="0" w:color="000000"/>
              <w:right w:val="single" w:sz="4" w:space="0" w:color="000000"/>
            </w:tcBorders>
          </w:tcPr>
          <w:p>
            <w:pPr/>
          </w:p>
        </w:tc>
        <w:tc>
          <w:tcPr>
            <w:tcW w:w="1288" w:type="dxa"/>
            <w:gridSpan w:val="2"/>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胡志剑</w:t>
            </w:r>
          </w:p>
        </w:tc>
        <w:tc>
          <w:tcPr>
            <w:tcW w:w="13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0.35%</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2" w:right="0"/>
              <w:jc w:val="left"/>
              <w:rPr>
                <w:rFonts w:ascii="Times New Roman" w:hAnsi="Times New Roman" w:cs="Times New Roman" w:eastAsia="Times New Roman" w:hint="default"/>
                <w:sz w:val="18"/>
                <w:szCs w:val="18"/>
              </w:rPr>
            </w:pPr>
            <w:r>
              <w:rPr>
                <w:rFonts w:ascii="Times New Roman"/>
                <w:sz w:val="18"/>
              </w:rPr>
              <w:t>3,559,423</w:t>
            </w:r>
          </w:p>
        </w:tc>
        <w:tc>
          <w:tcPr>
            <w:tcW w:w="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0</w:t>
            </w:r>
          </w:p>
        </w:tc>
        <w:tc>
          <w:tcPr>
            <w:tcW w:w="9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6" w:right="0"/>
              <w:jc w:val="left"/>
              <w:rPr>
                <w:rFonts w:ascii="Times New Roman" w:hAnsi="Times New Roman" w:cs="Times New Roman" w:eastAsia="Times New Roman" w:hint="default"/>
                <w:sz w:val="18"/>
                <w:szCs w:val="18"/>
              </w:rPr>
            </w:pPr>
            <w:r>
              <w:rPr>
                <w:rFonts w:ascii="Times New Roman"/>
                <w:sz w:val="18"/>
              </w:rPr>
              <w:t>3,559,423</w:t>
            </w:r>
          </w:p>
        </w:tc>
        <w:tc>
          <w:tcPr>
            <w:tcW w:w="1230" w:type="dxa"/>
            <w:tcBorders>
              <w:top w:val="single" w:sz="4" w:space="0" w:color="000000"/>
              <w:left w:val="single" w:sz="4" w:space="0" w:color="000000"/>
              <w:bottom w:val="single" w:sz="4" w:space="0" w:color="000000"/>
              <w:right w:val="single" w:sz="4" w:space="0" w:color="000000"/>
            </w:tcBorders>
          </w:tcPr>
          <w:p>
            <w:pPr/>
          </w:p>
        </w:tc>
        <w:tc>
          <w:tcPr>
            <w:tcW w:w="1288" w:type="dxa"/>
            <w:gridSpan w:val="2"/>
            <w:tcBorders>
              <w:top w:val="single" w:sz="4" w:space="0" w:color="000000"/>
              <w:left w:val="single" w:sz="4" w:space="0" w:color="000000"/>
              <w:bottom w:val="single" w:sz="4" w:space="0" w:color="000000"/>
              <w:right w:val="single" w:sz="4" w:space="0" w:color="000000"/>
            </w:tcBorders>
          </w:tcPr>
          <w:p>
            <w:pPr/>
          </w:p>
        </w:tc>
      </w:tr>
      <w:tr>
        <w:trPr>
          <w:trHeight w:val="316" w:hRule="exact"/>
        </w:trPr>
        <w:tc>
          <w:tcPr>
            <w:tcW w:w="2761" w:type="dxa"/>
            <w:gridSpan w:val="4"/>
            <w:tcBorders>
              <w:top w:val="single" w:sz="4" w:space="0" w:color="000000"/>
              <w:left w:val="single" w:sz="4" w:space="0" w:color="000000"/>
              <w:bottom w:val="nil" w:sz="6" w:space="0" w:color="auto"/>
              <w:right w:val="single" w:sz="4" w:space="0" w:color="000000"/>
            </w:tcBorders>
            <w:shd w:val="clear" w:color="auto" w:fill="D3D3D3"/>
          </w:tcPr>
          <w:p>
            <w:pPr/>
          </w:p>
        </w:tc>
        <w:tc>
          <w:tcPr>
            <w:tcW w:w="6932" w:type="dxa"/>
            <w:gridSpan w:val="11"/>
            <w:vMerge w:val="restart"/>
            <w:tcBorders>
              <w:top w:val="single" w:sz="4" w:space="0" w:color="000000"/>
              <w:left w:val="single" w:sz="9" w:space="0" w:color="D3D3D3"/>
              <w:right w:val="single" w:sz="4" w:space="0" w:color="000000"/>
            </w:tcBorders>
            <w:shd w:val="clear" w:color="auto" w:fill="C7EDCC"/>
          </w:tcPr>
          <w:p>
            <w:pPr>
              <w:pStyle w:val="TableParagraph"/>
              <w:spacing w:line="307" w:lineRule="auto" w:before="10"/>
              <w:ind w:left="16" w:right="20"/>
              <w:jc w:val="left"/>
              <w:rPr>
                <w:rFonts w:ascii="宋体" w:hAnsi="宋体" w:cs="宋体" w:eastAsia="宋体" w:hint="default"/>
                <w:sz w:val="18"/>
                <w:szCs w:val="18"/>
              </w:rPr>
            </w:pPr>
            <w:r>
              <w:rPr>
                <w:rFonts w:ascii="宋体" w:hAnsi="宋体" w:cs="宋体" w:eastAsia="宋体" w:hint="default"/>
                <w:spacing w:val="-2"/>
                <w:sz w:val="18"/>
                <w:szCs w:val="18"/>
              </w:rPr>
              <w:t>杭州日报报业集团（杭州日报社）持有杭州日报报业集团有限公司和都市快报社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 权。华立集团股份有限公司持有浙江华立投资管理有限公司、华立医药集团有限公司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股权。公司未知其他前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名股东之间是否存在关联关系或属于《上市公司收购管 理办法》规定的一致行动人。</w:t>
            </w:r>
          </w:p>
        </w:tc>
      </w:tr>
      <w:tr>
        <w:trPr>
          <w:trHeight w:val="624" w:hRule="exact"/>
        </w:trPr>
        <w:tc>
          <w:tcPr>
            <w:tcW w:w="2761" w:type="dxa"/>
            <w:gridSpan w:val="4"/>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22" w:right="26"/>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932" w:type="dxa"/>
            <w:gridSpan w:val="11"/>
            <w:vMerge/>
            <w:tcBorders>
              <w:left w:val="single" w:sz="9" w:space="0" w:color="D3D3D3"/>
              <w:right w:val="single" w:sz="4" w:space="0" w:color="000000"/>
            </w:tcBorders>
            <w:shd w:val="clear" w:color="auto" w:fill="C7EDCC"/>
          </w:tcPr>
          <w:p>
            <w:pPr/>
          </w:p>
        </w:tc>
      </w:tr>
      <w:tr>
        <w:trPr>
          <w:trHeight w:val="318" w:hRule="exact"/>
        </w:trPr>
        <w:tc>
          <w:tcPr>
            <w:tcW w:w="2761" w:type="dxa"/>
            <w:gridSpan w:val="4"/>
            <w:tcBorders>
              <w:top w:val="nil" w:sz="6" w:space="0" w:color="auto"/>
              <w:left w:val="single" w:sz="4" w:space="0" w:color="000000"/>
              <w:bottom w:val="single" w:sz="4" w:space="0" w:color="000000"/>
              <w:right w:val="single" w:sz="4" w:space="0" w:color="000000"/>
            </w:tcBorders>
            <w:shd w:val="clear" w:color="auto" w:fill="D3D3D3"/>
          </w:tcPr>
          <w:p>
            <w:pPr/>
          </w:p>
        </w:tc>
        <w:tc>
          <w:tcPr>
            <w:tcW w:w="6932" w:type="dxa"/>
            <w:gridSpan w:val="11"/>
            <w:vMerge/>
            <w:tcBorders>
              <w:left w:val="single" w:sz="9" w:space="0" w:color="D3D3D3"/>
              <w:bottom w:val="single" w:sz="4" w:space="0" w:color="000000"/>
              <w:right w:val="single" w:sz="4" w:space="0" w:color="000000"/>
            </w:tcBorders>
            <w:shd w:val="clear" w:color="auto" w:fill="C7EDCC"/>
          </w:tcPr>
          <w:p>
            <w:pPr/>
          </w:p>
        </w:tc>
      </w:tr>
      <w:tr>
        <w:trPr>
          <w:trHeight w:val="323" w:hRule="exact"/>
        </w:trPr>
        <w:tc>
          <w:tcPr>
            <w:tcW w:w="9694" w:type="dxa"/>
            <w:gridSpan w:val="1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165" w:hRule="exact"/>
        </w:trPr>
        <w:tc>
          <w:tcPr>
            <w:tcW w:w="2761" w:type="dxa"/>
            <w:gridSpan w:val="4"/>
            <w:tcBorders>
              <w:top w:val="single" w:sz="4" w:space="0" w:color="000000"/>
              <w:left w:val="single" w:sz="4" w:space="0" w:color="000000"/>
              <w:bottom w:val="nil" w:sz="6" w:space="0" w:color="auto"/>
              <w:right w:val="single" w:sz="4" w:space="0" w:color="000000"/>
            </w:tcBorders>
            <w:shd w:val="clear" w:color="auto" w:fill="D3D3D3"/>
          </w:tcPr>
          <w:p>
            <w:pPr/>
          </w:p>
        </w:tc>
        <w:tc>
          <w:tcPr>
            <w:tcW w:w="4415" w:type="dxa"/>
            <w:gridSpan w:val="8"/>
            <w:tcBorders>
              <w:top w:val="single" w:sz="4" w:space="0" w:color="000000"/>
              <w:left w:val="single" w:sz="4" w:space="0" w:color="000000"/>
              <w:bottom w:val="nil" w:sz="6" w:space="0" w:color="auto"/>
              <w:right w:val="single" w:sz="4" w:space="0" w:color="000000"/>
            </w:tcBorders>
            <w:shd w:val="clear" w:color="auto" w:fill="D3D3D3"/>
          </w:tcPr>
          <w:p>
            <w:pPr/>
          </w:p>
        </w:tc>
        <w:tc>
          <w:tcPr>
            <w:tcW w:w="2517"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8"/>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56" w:hRule="exact"/>
        </w:trPr>
        <w:tc>
          <w:tcPr>
            <w:tcW w:w="2761" w:type="dxa"/>
            <w:gridSpan w:val="4"/>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415" w:type="dxa"/>
            <w:gridSpan w:val="8"/>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0"/>
              <w:ind w:left="84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517" w:type="dxa"/>
            <w:gridSpan w:val="3"/>
            <w:vMerge/>
            <w:tcBorders>
              <w:left w:val="single" w:sz="4" w:space="0" w:color="000000"/>
              <w:bottom w:val="single" w:sz="4" w:space="0" w:color="000000"/>
              <w:right w:val="single" w:sz="4" w:space="0" w:color="000000"/>
            </w:tcBorders>
            <w:shd w:val="clear" w:color="auto" w:fill="D3D3D3"/>
          </w:tcPr>
          <w:p>
            <w:pPr/>
          </w:p>
        </w:tc>
      </w:tr>
      <w:tr>
        <w:trPr>
          <w:trHeight w:val="156" w:hRule="exact"/>
        </w:trPr>
        <w:tc>
          <w:tcPr>
            <w:tcW w:w="2761" w:type="dxa"/>
            <w:gridSpan w:val="4"/>
            <w:vMerge/>
            <w:tcBorders>
              <w:left w:val="single" w:sz="4" w:space="0" w:color="000000"/>
              <w:bottom w:val="nil" w:sz="6" w:space="0" w:color="auto"/>
              <w:right w:val="single" w:sz="4" w:space="0" w:color="000000"/>
            </w:tcBorders>
            <w:shd w:val="clear" w:color="auto" w:fill="D3D3D3"/>
          </w:tcPr>
          <w:p>
            <w:pPr/>
          </w:p>
        </w:tc>
        <w:tc>
          <w:tcPr>
            <w:tcW w:w="4415" w:type="dxa"/>
            <w:gridSpan w:val="8"/>
            <w:vMerge/>
            <w:tcBorders>
              <w:left w:val="single" w:sz="4" w:space="0" w:color="000000"/>
              <w:bottom w:val="nil" w:sz="6" w:space="0" w:color="auto"/>
              <w:right w:val="single" w:sz="4" w:space="0" w:color="000000"/>
            </w:tcBorders>
            <w:shd w:val="clear" w:color="auto" w:fill="D3D3D3"/>
          </w:tcPr>
          <w:p>
            <w:pPr/>
          </w:p>
        </w:tc>
        <w:tc>
          <w:tcPr>
            <w:tcW w:w="12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left="245"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28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65" w:hRule="exact"/>
        </w:trPr>
        <w:tc>
          <w:tcPr>
            <w:tcW w:w="2761" w:type="dxa"/>
            <w:gridSpan w:val="4"/>
            <w:tcBorders>
              <w:top w:val="nil" w:sz="6" w:space="0" w:color="auto"/>
              <w:left w:val="single" w:sz="4" w:space="0" w:color="000000"/>
              <w:bottom w:val="single" w:sz="4" w:space="0" w:color="000000"/>
              <w:right w:val="single" w:sz="4" w:space="0" w:color="000000"/>
            </w:tcBorders>
            <w:shd w:val="clear" w:color="auto" w:fill="D3D3D3"/>
          </w:tcPr>
          <w:p>
            <w:pPr/>
          </w:p>
        </w:tc>
        <w:tc>
          <w:tcPr>
            <w:tcW w:w="4415" w:type="dxa"/>
            <w:gridSpan w:val="8"/>
            <w:tcBorders>
              <w:top w:val="nil" w:sz="6" w:space="0" w:color="auto"/>
              <w:left w:val="single" w:sz="4" w:space="0" w:color="000000"/>
              <w:bottom w:val="single" w:sz="4" w:space="0" w:color="000000"/>
              <w:right w:val="single" w:sz="4" w:space="0" w:color="000000"/>
            </w:tcBorders>
            <w:shd w:val="clear" w:color="auto" w:fill="D3D3D3"/>
          </w:tcPr>
          <w:p>
            <w:pPr/>
          </w:p>
        </w:tc>
        <w:tc>
          <w:tcPr>
            <w:tcW w:w="1230" w:type="dxa"/>
            <w:vMerge/>
            <w:tcBorders>
              <w:left w:val="single" w:sz="4" w:space="0" w:color="000000"/>
              <w:bottom w:val="single" w:sz="4" w:space="0" w:color="000000"/>
              <w:right w:val="single" w:sz="4" w:space="0" w:color="000000"/>
            </w:tcBorders>
            <w:shd w:val="clear" w:color="auto" w:fill="D3D3D3"/>
          </w:tcPr>
          <w:p>
            <w:pPr/>
          </w:p>
        </w:tc>
        <w:tc>
          <w:tcPr>
            <w:tcW w:w="1288" w:type="dxa"/>
            <w:gridSpan w:val="2"/>
            <w:vMerge/>
            <w:tcBorders>
              <w:left w:val="single" w:sz="4" w:space="0" w:color="000000"/>
              <w:bottom w:val="single" w:sz="4" w:space="0" w:color="000000"/>
              <w:right w:val="single" w:sz="4" w:space="0" w:color="000000"/>
            </w:tcBorders>
            <w:shd w:val="clear" w:color="auto" w:fill="D3D3D3"/>
          </w:tcPr>
          <w:p>
            <w:pPr/>
          </w:p>
        </w:tc>
      </w:tr>
      <w:tr>
        <w:trPr>
          <w:trHeight w:val="323" w:hRule="exact"/>
        </w:trPr>
        <w:tc>
          <w:tcPr>
            <w:tcW w:w="27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441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7"/>
              <w:jc w:val="right"/>
              <w:rPr>
                <w:rFonts w:ascii="Times New Roman" w:hAnsi="Times New Roman" w:cs="Times New Roman" w:eastAsia="Times New Roman" w:hint="default"/>
                <w:sz w:val="18"/>
                <w:szCs w:val="18"/>
              </w:rPr>
            </w:pPr>
            <w:r>
              <w:rPr>
                <w:rFonts w:ascii="Times New Roman"/>
                <w:sz w:val="18"/>
              </w:rPr>
              <w:t>367,328,983</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55" w:right="0"/>
              <w:jc w:val="left"/>
              <w:rPr>
                <w:rFonts w:ascii="Times New Roman" w:hAnsi="Times New Roman" w:cs="Times New Roman" w:eastAsia="Times New Roman" w:hint="default"/>
                <w:sz w:val="18"/>
                <w:szCs w:val="18"/>
              </w:rPr>
            </w:pPr>
            <w:r>
              <w:rPr>
                <w:rFonts w:ascii="Times New Roman"/>
                <w:sz w:val="18"/>
              </w:rPr>
              <w:t>367,328,983</w:t>
            </w:r>
          </w:p>
        </w:tc>
      </w:tr>
      <w:tr>
        <w:trPr>
          <w:trHeight w:val="322" w:hRule="exact"/>
        </w:trPr>
        <w:tc>
          <w:tcPr>
            <w:tcW w:w="27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441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7"/>
              <w:jc w:val="right"/>
              <w:rPr>
                <w:rFonts w:ascii="Times New Roman" w:hAnsi="Times New Roman" w:cs="Times New Roman" w:eastAsia="Times New Roman" w:hint="default"/>
                <w:sz w:val="18"/>
                <w:szCs w:val="18"/>
              </w:rPr>
            </w:pPr>
            <w:r>
              <w:rPr>
                <w:rFonts w:ascii="Times New Roman"/>
                <w:sz w:val="18"/>
              </w:rPr>
              <w:t>49,408,102</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5" w:right="0"/>
              <w:jc w:val="left"/>
              <w:rPr>
                <w:rFonts w:ascii="Times New Roman" w:hAnsi="Times New Roman" w:cs="Times New Roman" w:eastAsia="Times New Roman" w:hint="default"/>
                <w:sz w:val="18"/>
                <w:szCs w:val="18"/>
              </w:rPr>
            </w:pPr>
            <w:r>
              <w:rPr>
                <w:rFonts w:ascii="Times New Roman"/>
                <w:sz w:val="18"/>
              </w:rPr>
              <w:t>49,408,102</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2761"/>
        <w:gridCol w:w="4408"/>
        <w:gridCol w:w="1237"/>
        <w:gridCol w:w="1288"/>
      </w:tblGrid>
      <w:tr>
        <w:trPr>
          <w:trHeight w:val="322"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浙江华立投资管理有限公司</w:t>
            </w:r>
          </w:p>
        </w:tc>
        <w:tc>
          <w:tcPr>
            <w:tcW w:w="4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32,009,400</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32,009,400</w:t>
            </w:r>
          </w:p>
        </w:tc>
      </w:tr>
      <w:tr>
        <w:trPr>
          <w:trHeight w:val="323"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都市快报社</w:t>
            </w:r>
          </w:p>
        </w:tc>
        <w:tc>
          <w:tcPr>
            <w:tcW w:w="4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30,145,828</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30,145,828</w:t>
            </w:r>
          </w:p>
        </w:tc>
      </w:tr>
      <w:tr>
        <w:trPr>
          <w:trHeight w:val="322"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华立医药集团有限公司</w:t>
            </w:r>
          </w:p>
        </w:tc>
        <w:tc>
          <w:tcPr>
            <w:tcW w:w="4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22,000,000</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22,000,000</w:t>
            </w:r>
          </w:p>
        </w:tc>
      </w:tr>
      <w:tr>
        <w:trPr>
          <w:trHeight w:val="322"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雷立军</w:t>
            </w:r>
          </w:p>
        </w:tc>
        <w:tc>
          <w:tcPr>
            <w:tcW w:w="4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11,657,180</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11,657,180</w:t>
            </w:r>
          </w:p>
        </w:tc>
      </w:tr>
      <w:tr>
        <w:trPr>
          <w:trHeight w:val="323"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谭希宁</w:t>
            </w:r>
          </w:p>
        </w:tc>
        <w:tc>
          <w:tcPr>
            <w:tcW w:w="4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6,910,000</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6,910,000</w:t>
            </w:r>
          </w:p>
        </w:tc>
      </w:tr>
      <w:tr>
        <w:trPr>
          <w:trHeight w:val="322"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山东万芝园食用菌科技有限公司</w:t>
            </w:r>
          </w:p>
        </w:tc>
        <w:tc>
          <w:tcPr>
            <w:tcW w:w="4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3,905,564</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3,905,564</w:t>
            </w:r>
          </w:p>
        </w:tc>
      </w:tr>
      <w:tr>
        <w:trPr>
          <w:trHeight w:val="322"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王紫军</w:t>
            </w:r>
          </w:p>
        </w:tc>
        <w:tc>
          <w:tcPr>
            <w:tcW w:w="4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3,690,529</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3,690,529</w:t>
            </w:r>
          </w:p>
        </w:tc>
      </w:tr>
      <w:tr>
        <w:trPr>
          <w:trHeight w:val="323"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胡志剑</w:t>
            </w:r>
          </w:p>
        </w:tc>
        <w:tc>
          <w:tcPr>
            <w:tcW w:w="4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3,559,423</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3,559,423</w:t>
            </w:r>
          </w:p>
        </w:tc>
      </w:tr>
      <w:tr>
        <w:trPr>
          <w:trHeight w:val="322" w:hRule="exact"/>
        </w:trPr>
        <w:tc>
          <w:tcPr>
            <w:tcW w:w="2761"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w:t>
            </w:r>
            <w:r>
              <w:rPr>
                <w:rFonts w:ascii="宋体" w:hAnsi="宋体" w:cs="宋体" w:eastAsia="宋体" w:hint="default"/>
                <w:spacing w:val="1"/>
                <w:sz w:val="18"/>
                <w:szCs w:val="18"/>
              </w:rPr>
              <w:t>售</w:t>
            </w:r>
            <w:r>
              <w:rPr>
                <w:rFonts w:ascii="宋体" w:hAnsi="宋体" w:cs="宋体" w:eastAsia="宋体" w:hint="default"/>
                <w:sz w:val="18"/>
                <w:szCs w:val="18"/>
              </w:rPr>
              <w:t>流通股股东之间</w:t>
            </w:r>
            <w:r>
              <w:rPr>
                <w:rFonts w:ascii="宋体" w:hAnsi="宋体" w:cs="宋体" w:eastAsia="宋体" w:hint="default"/>
                <w:spacing w:val="-86"/>
                <w:sz w:val="18"/>
                <w:szCs w:val="18"/>
              </w:rPr>
              <w:t>，</w:t>
            </w:r>
            <w:r>
              <w:rPr>
                <w:rFonts w:ascii="宋体" w:hAnsi="宋体" w:cs="宋体" w:eastAsia="宋体" w:hint="default"/>
                <w:sz w:val="18"/>
                <w:szCs w:val="18"/>
              </w:rPr>
              <w:t>以</w:t>
            </w:r>
          </w:p>
        </w:tc>
        <w:tc>
          <w:tcPr>
            <w:tcW w:w="6932" w:type="dxa"/>
            <w:gridSpan w:val="3"/>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杭州日报报业集团（杭州日报社）持有杭州日报报业集团有限公司和都市快报社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w:t>
            </w:r>
          </w:p>
        </w:tc>
      </w:tr>
      <w:tr>
        <w:trPr>
          <w:trHeight w:val="312" w:hRule="exact"/>
        </w:trPr>
        <w:tc>
          <w:tcPr>
            <w:tcW w:w="276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名无限售流通股股东和前</w:t>
            </w:r>
          </w:p>
        </w:tc>
        <w:tc>
          <w:tcPr>
            <w:tcW w:w="6932" w:type="dxa"/>
            <w:gridSpan w:val="3"/>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权。华立集团股份有限公司持有浙江华立投资管理有限公司、华立医药集团有限公司</w:t>
            </w:r>
          </w:p>
        </w:tc>
      </w:tr>
      <w:tr>
        <w:trPr>
          <w:trHeight w:val="312" w:hRule="exact"/>
        </w:trPr>
        <w:tc>
          <w:tcPr>
            <w:tcW w:w="276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w:t>
            </w:r>
          </w:p>
        </w:tc>
        <w:tc>
          <w:tcPr>
            <w:tcW w:w="6932" w:type="dxa"/>
            <w:gridSpan w:val="3"/>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股权。公司未知其他前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名股东之间是否存在关联关系或属于《上市公司收购管</w:t>
            </w:r>
          </w:p>
        </w:tc>
      </w:tr>
      <w:tr>
        <w:trPr>
          <w:trHeight w:val="312" w:hRule="exact"/>
        </w:trPr>
        <w:tc>
          <w:tcPr>
            <w:tcW w:w="276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动的说明</w:t>
            </w:r>
          </w:p>
        </w:tc>
        <w:tc>
          <w:tcPr>
            <w:tcW w:w="6932" w:type="dxa"/>
            <w:gridSpan w:val="3"/>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理办法》规定的一致行动人。</w:t>
            </w:r>
          </w:p>
        </w:tc>
      </w:tr>
      <w:tr>
        <w:trPr>
          <w:trHeight w:val="322" w:hRule="exact"/>
        </w:trPr>
        <w:tc>
          <w:tcPr>
            <w:tcW w:w="2761" w:type="dxa"/>
            <w:tcBorders>
              <w:top w:val="single" w:sz="4" w:space="0" w:color="000000"/>
              <w:left w:val="single" w:sz="4" w:space="0" w:color="000000"/>
              <w:bottom w:val="nil" w:sz="6" w:space="0" w:color="auto"/>
              <w:right w:val="single" w:sz="4" w:space="0" w:color="000000"/>
            </w:tcBorders>
            <w:shd w:val="clear" w:color="auto" w:fill="D3D3D3"/>
          </w:tcPr>
          <w:p>
            <w:pPr/>
          </w:p>
        </w:tc>
        <w:tc>
          <w:tcPr>
            <w:tcW w:w="6932" w:type="dxa"/>
            <w:gridSpan w:val="3"/>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雷立军通过融资融券信用账户持有本公司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11,654,980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股股份；山东万芝园食用菌科技有</w:t>
            </w:r>
          </w:p>
        </w:tc>
      </w:tr>
      <w:tr>
        <w:trPr>
          <w:trHeight w:val="312" w:hRule="exact"/>
        </w:trPr>
        <w:tc>
          <w:tcPr>
            <w:tcW w:w="276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w:t>
            </w:r>
          </w:p>
        </w:tc>
        <w:tc>
          <w:tcPr>
            <w:tcW w:w="6932" w:type="dxa"/>
            <w:gridSpan w:val="3"/>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限公司通过融资融券信用账户持有本公司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3,905,564</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股股份；王紫军通过融资融券信用账</w:t>
            </w:r>
          </w:p>
        </w:tc>
      </w:tr>
      <w:tr>
        <w:trPr>
          <w:trHeight w:val="312" w:hRule="exact"/>
        </w:trPr>
        <w:tc>
          <w:tcPr>
            <w:tcW w:w="276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业务情况说明</w:t>
            </w:r>
          </w:p>
        </w:tc>
        <w:tc>
          <w:tcPr>
            <w:tcW w:w="6932" w:type="dxa"/>
            <w:gridSpan w:val="3"/>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户持有本公司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3,611,629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股股份；胡志剑通过融资融券信用账户持有本公司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2,477,123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r>
      <w:tr>
        <w:trPr>
          <w:trHeight w:val="312" w:hRule="exact"/>
        </w:trPr>
        <w:tc>
          <w:tcPr>
            <w:tcW w:w="2761" w:type="dxa"/>
            <w:tcBorders>
              <w:top w:val="nil" w:sz="6" w:space="0" w:color="auto"/>
              <w:left w:val="single" w:sz="4" w:space="0" w:color="000000"/>
              <w:bottom w:val="single" w:sz="4" w:space="0" w:color="000000"/>
              <w:right w:val="single" w:sz="4" w:space="0" w:color="000000"/>
            </w:tcBorders>
            <w:shd w:val="clear" w:color="auto" w:fill="D3D3D3"/>
          </w:tcPr>
          <w:p>
            <w:pPr/>
          </w:p>
        </w:tc>
        <w:tc>
          <w:tcPr>
            <w:tcW w:w="6932" w:type="dxa"/>
            <w:gridSpan w:val="3"/>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股份。</w:t>
            </w:r>
          </w:p>
        </w:tc>
      </w:tr>
    </w:tbl>
    <w:p>
      <w:pPr>
        <w:pStyle w:val="BodyText"/>
        <w:spacing w:line="240" w:lineRule="auto" w:before="5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3"/>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8411"/>
        <w:jc w:val="left"/>
      </w:pPr>
      <w:r>
        <w:rPr/>
        <w:t>控股股东性质：地方国有控股 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left="0" w:right="1173"/>
        <w:jc w:val="right"/>
      </w:pPr>
      <w:r>
        <w:rPr/>
        <w:pict>
          <v:shape style="position:absolute;margin-left:56.459999pt;margin-top:-48.317963pt;width:478.5pt;height:142.4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4"/>
                    <w:gridCol w:w="1138"/>
                    <w:gridCol w:w="1560"/>
                    <w:gridCol w:w="1286"/>
                    <w:gridCol w:w="3307"/>
                  </w:tblGrid>
                  <w:tr>
                    <w:trPr>
                      <w:trHeight w:val="634" w:hRule="exact"/>
                    </w:trPr>
                    <w:tc>
                      <w:tcPr>
                        <w:tcW w:w="22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1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11"/>
                          <w:ind w:left="113" w:right="87"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2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33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17" w:hRule="exact"/>
                    </w:trPr>
                    <w:tc>
                      <w:tcPr>
                        <w:tcW w:w="2264" w:type="dxa"/>
                        <w:vMerge w:val="restart"/>
                        <w:tcBorders>
                          <w:top w:val="single" w:sz="4" w:space="0" w:color="000000"/>
                          <w:left w:val="single" w:sz="4" w:space="0" w:color="000000"/>
                          <w:right w:val="single" w:sz="4" w:space="0" w:color="000000"/>
                        </w:tcBorders>
                        <w:shd w:val="clear" w:color="auto" w:fill="C7EDCC"/>
                      </w:tcPr>
                      <w:p>
                        <w:pPr/>
                      </w:p>
                    </w:tc>
                    <w:tc>
                      <w:tcPr>
                        <w:tcW w:w="1138" w:type="dxa"/>
                        <w:vMerge w:val="restart"/>
                        <w:tcBorders>
                          <w:top w:val="single" w:sz="4" w:space="0" w:color="000000"/>
                          <w:left w:val="single" w:sz="4" w:space="0" w:color="000000"/>
                          <w:right w:val="single" w:sz="4" w:space="0" w:color="000000"/>
                        </w:tcBorders>
                        <w:shd w:val="clear" w:color="auto" w:fill="C7EDCC"/>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286" w:type="dxa"/>
                        <w:vMerge w:val="restart"/>
                        <w:tcBorders>
                          <w:top w:val="single" w:sz="4" w:space="0" w:color="000000"/>
                          <w:left w:val="single" w:sz="4" w:space="0" w:color="000000"/>
                          <w:right w:val="single" w:sz="4" w:space="0" w:color="000000"/>
                        </w:tcBorders>
                        <w:shd w:val="clear" w:color="auto" w:fill="C7EDCC"/>
                      </w:tcPr>
                      <w:p>
                        <w:pPr/>
                      </w:p>
                    </w:tc>
                    <w:tc>
                      <w:tcPr>
                        <w:tcW w:w="3307"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一般经营项目：实业投资；设计、制作、</w:t>
                        </w:r>
                      </w:p>
                    </w:tc>
                  </w:tr>
                  <w:tr>
                    <w:trPr>
                      <w:trHeight w:val="156" w:hRule="exact"/>
                    </w:trPr>
                    <w:tc>
                      <w:tcPr>
                        <w:tcW w:w="2264" w:type="dxa"/>
                        <w:vMerge/>
                        <w:tcBorders>
                          <w:left w:val="single" w:sz="4" w:space="0" w:color="000000"/>
                          <w:bottom w:val="nil" w:sz="6" w:space="0" w:color="auto"/>
                          <w:right w:val="single" w:sz="4" w:space="0" w:color="000000"/>
                        </w:tcBorders>
                        <w:shd w:val="clear" w:color="auto" w:fill="C7EDCC"/>
                      </w:tcPr>
                      <w:p>
                        <w:pPr/>
                      </w:p>
                    </w:tc>
                    <w:tc>
                      <w:tcPr>
                        <w:tcW w:w="1138" w:type="dxa"/>
                        <w:vMerge/>
                        <w:tcBorders>
                          <w:left w:val="single" w:sz="4" w:space="0" w:color="000000"/>
                          <w:bottom w:val="nil" w:sz="6" w:space="0" w:color="auto"/>
                          <w:right w:val="single" w:sz="4" w:space="0" w:color="000000"/>
                        </w:tcBorders>
                        <w:shd w:val="clear" w:color="auto" w:fill="C7EDCC"/>
                      </w:tcPr>
                      <w:p>
                        <w:pPr/>
                      </w:p>
                    </w:tc>
                    <w:tc>
                      <w:tcPr>
                        <w:tcW w:w="1560" w:type="dxa"/>
                        <w:vMerge w:val="restart"/>
                        <w:tcBorders>
                          <w:top w:val="nil" w:sz="6" w:space="0" w:color="auto"/>
                          <w:left w:val="single" w:sz="13" w:space="0" w:color="C7EDCC"/>
                          <w:right w:val="single" w:sz="9" w:space="0" w:color="C7EDCC"/>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86" w:type="dxa"/>
                        <w:vMerge/>
                        <w:tcBorders>
                          <w:left w:val="single" w:sz="4" w:space="0" w:color="000000"/>
                          <w:bottom w:val="nil" w:sz="6" w:space="0" w:color="auto"/>
                          <w:right w:val="single" w:sz="4" w:space="0" w:color="000000"/>
                        </w:tcBorders>
                        <w:shd w:val="clear" w:color="auto" w:fill="C7EDCC"/>
                      </w:tcPr>
                      <w:p>
                        <w:pPr/>
                      </w:p>
                    </w:tc>
                    <w:tc>
                      <w:tcPr>
                        <w:tcW w:w="3307" w:type="dxa"/>
                        <w:vMerge w:val="restart"/>
                        <w:tcBorders>
                          <w:top w:val="nil" w:sz="6" w:space="0" w:color="auto"/>
                          <w:left w:val="single" w:sz="4" w:space="0" w:color="000000"/>
                          <w:right w:val="single" w:sz="4" w:space="0" w:color="000000"/>
                        </w:tcBorders>
                        <w:shd w:val="clear" w:color="auto" w:fill="C7EDCC"/>
                      </w:tcPr>
                      <w:p>
                        <w:pPr>
                          <w:pStyle w:val="TableParagraph"/>
                          <w:spacing w:line="316" w:lineRule="auto" w:before="10"/>
                          <w:ind w:left="11" w:right="43"/>
                          <w:jc w:val="left"/>
                          <w:rPr>
                            <w:rFonts w:ascii="宋体" w:hAnsi="宋体" w:cs="宋体" w:eastAsia="宋体" w:hint="default"/>
                            <w:sz w:val="18"/>
                            <w:szCs w:val="18"/>
                          </w:rPr>
                        </w:pPr>
                        <w:r>
                          <w:rPr>
                            <w:rFonts w:ascii="宋体" w:hAnsi="宋体" w:cs="宋体" w:eastAsia="宋体" w:hint="default"/>
                            <w:spacing w:val="-5"/>
                            <w:sz w:val="18"/>
                            <w:szCs w:val="18"/>
                          </w:rPr>
                          <w:t>代理、发布国内广告（除网络广告发布）</w:t>
                        </w:r>
                        <w:r>
                          <w:rPr>
                            <w:rFonts w:ascii="宋体" w:hAnsi="宋体" w:cs="宋体" w:eastAsia="宋体" w:hint="default"/>
                            <w:spacing w:val="-90"/>
                            <w:sz w:val="18"/>
                            <w:szCs w:val="18"/>
                          </w:rPr>
                          <w:t> </w:t>
                        </w:r>
                        <w:r>
                          <w:rPr>
                            <w:rFonts w:ascii="宋体" w:hAnsi="宋体" w:cs="宋体" w:eastAsia="宋体" w:hint="default"/>
                            <w:sz w:val="18"/>
                            <w:szCs w:val="18"/>
                          </w:rPr>
                          <w:t>其他无需报经审批的一切合法项目；含下</w:t>
                        </w:r>
                      </w:p>
                    </w:tc>
                  </w:tr>
                  <w:tr>
                    <w:trPr>
                      <w:trHeight w:val="312" w:hRule="exact"/>
                    </w:trPr>
                    <w:tc>
                      <w:tcPr>
                        <w:tcW w:w="226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113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董悦</w:t>
                        </w:r>
                      </w:p>
                    </w:tc>
                    <w:tc>
                      <w:tcPr>
                        <w:tcW w:w="1560" w:type="dxa"/>
                        <w:vMerge/>
                        <w:tcBorders>
                          <w:left w:val="single" w:sz="13" w:space="0" w:color="C7EDCC"/>
                          <w:right w:val="single" w:sz="9" w:space="0" w:color="C7EDCC"/>
                        </w:tcBorders>
                      </w:tcPr>
                      <w:p>
                        <w:pPr/>
                      </w:p>
                    </w:tc>
                    <w:tc>
                      <w:tcPr>
                        <w:tcW w:w="1286" w:type="dxa"/>
                        <w:tcBorders>
                          <w:top w:val="nil" w:sz="6" w:space="0" w:color="auto"/>
                          <w:left w:val="single" w:sz="9" w:space="0" w:color="C7EDCC"/>
                          <w:bottom w:val="nil" w:sz="6" w:space="0" w:color="auto"/>
                          <w:right w:val="single" w:sz="23" w:space="0" w:color="C7EDCC"/>
                        </w:tcBorders>
                      </w:tcPr>
                      <w:p>
                        <w:pPr>
                          <w:pStyle w:val="TableParagraph"/>
                          <w:tabs>
                            <w:tab w:pos="1235" w:val="left" w:leader="none"/>
                          </w:tabs>
                          <w:spacing w:line="240" w:lineRule="auto" w:before="49"/>
                          <w:ind w:left="16" w:right="0"/>
                          <w:jc w:val="left"/>
                          <w:rPr>
                            <w:rFonts w:ascii="Times New Roman" w:hAnsi="Times New Roman" w:cs="Times New Roman" w:eastAsia="Times New Roman" w:hint="default"/>
                            <w:sz w:val="18"/>
                            <w:szCs w:val="18"/>
                          </w:rPr>
                        </w:pPr>
                        <w:r>
                          <w:rPr>
                            <w:rFonts w:ascii="Times New Roman"/>
                            <w:sz w:val="18"/>
                          </w:rPr>
                        </w:r>
                        <w:r>
                          <w:rPr>
                            <w:rFonts w:ascii="Times New Roman"/>
                            <w:sz w:val="18"/>
                            <w:shd w:fill="C7EDCC" w:color="auto" w:val="clear"/>
                          </w:rPr>
                          <w:t>78237846-1</w:t>
                          <w:tab/>
                        </w:r>
                        <w:r>
                          <w:rPr>
                            <w:rFonts w:ascii="Times New Roman"/>
                            <w:sz w:val="18"/>
                          </w:rPr>
                        </w:r>
                      </w:p>
                    </w:tc>
                    <w:tc>
                      <w:tcPr>
                        <w:tcW w:w="3307" w:type="dxa"/>
                        <w:vMerge/>
                        <w:tcBorders>
                          <w:left w:val="single" w:sz="4" w:space="0" w:color="000000"/>
                          <w:right w:val="single" w:sz="4" w:space="0" w:color="000000"/>
                        </w:tcBorders>
                        <w:shd w:val="clear" w:color="auto" w:fill="C7EDCC"/>
                      </w:tcPr>
                      <w:p>
                        <w:pPr/>
                      </w:p>
                    </w:tc>
                  </w:tr>
                  <w:tr>
                    <w:trPr>
                      <w:trHeight w:val="156" w:hRule="exact"/>
                    </w:trPr>
                    <w:tc>
                      <w:tcPr>
                        <w:tcW w:w="2264" w:type="dxa"/>
                        <w:vMerge w:val="restart"/>
                        <w:tcBorders>
                          <w:top w:val="nil" w:sz="6" w:space="0" w:color="auto"/>
                          <w:left w:val="single" w:sz="4" w:space="0" w:color="000000"/>
                          <w:right w:val="single" w:sz="4" w:space="0" w:color="000000"/>
                        </w:tcBorders>
                        <w:shd w:val="clear" w:color="auto" w:fill="C7EDCC"/>
                      </w:tcPr>
                      <w:p>
                        <w:pPr/>
                      </w:p>
                    </w:tc>
                    <w:tc>
                      <w:tcPr>
                        <w:tcW w:w="1138" w:type="dxa"/>
                        <w:vMerge w:val="restart"/>
                        <w:tcBorders>
                          <w:top w:val="nil" w:sz="6" w:space="0" w:color="auto"/>
                          <w:left w:val="single" w:sz="4" w:space="0" w:color="000000"/>
                          <w:right w:val="single" w:sz="4" w:space="0" w:color="000000"/>
                        </w:tcBorders>
                        <w:shd w:val="clear" w:color="auto" w:fill="C7EDCC"/>
                      </w:tcPr>
                      <w:p>
                        <w:pPr/>
                      </w:p>
                    </w:tc>
                    <w:tc>
                      <w:tcPr>
                        <w:tcW w:w="1560" w:type="dxa"/>
                        <w:vMerge/>
                        <w:tcBorders>
                          <w:left w:val="single" w:sz="13" w:space="0" w:color="C7EDCC"/>
                          <w:bottom w:val="nil" w:sz="6" w:space="0" w:color="auto"/>
                          <w:right w:val="single" w:sz="9" w:space="0" w:color="C7EDCC"/>
                        </w:tcBorders>
                      </w:tcPr>
                      <w:p>
                        <w:pPr/>
                      </w:p>
                    </w:tc>
                    <w:tc>
                      <w:tcPr>
                        <w:tcW w:w="1286" w:type="dxa"/>
                        <w:vMerge w:val="restart"/>
                        <w:tcBorders>
                          <w:top w:val="nil" w:sz="6" w:space="0" w:color="auto"/>
                          <w:left w:val="single" w:sz="4" w:space="0" w:color="000000"/>
                          <w:right w:val="single" w:sz="4" w:space="0" w:color="000000"/>
                        </w:tcBorders>
                        <w:shd w:val="clear" w:color="auto" w:fill="C7EDCC"/>
                      </w:tcPr>
                      <w:p>
                        <w:pPr/>
                      </w:p>
                    </w:tc>
                    <w:tc>
                      <w:tcPr>
                        <w:tcW w:w="3307" w:type="dxa"/>
                        <w:vMerge/>
                        <w:tcBorders>
                          <w:left w:val="single" w:sz="4" w:space="0" w:color="000000"/>
                          <w:bottom w:val="nil" w:sz="6" w:space="0" w:color="auto"/>
                          <w:right w:val="single" w:sz="4" w:space="0" w:color="000000"/>
                        </w:tcBorders>
                        <w:shd w:val="clear" w:color="auto" w:fill="C7EDCC"/>
                      </w:tcPr>
                      <w:p>
                        <w:pPr/>
                      </w:p>
                    </w:tc>
                  </w:tr>
                  <w:tr>
                    <w:trPr>
                      <w:trHeight w:val="317" w:hRule="exact"/>
                    </w:trPr>
                    <w:tc>
                      <w:tcPr>
                        <w:tcW w:w="2264" w:type="dxa"/>
                        <w:vMerge/>
                        <w:tcBorders>
                          <w:left w:val="single" w:sz="4" w:space="0" w:color="000000"/>
                          <w:bottom w:val="single" w:sz="4" w:space="0" w:color="000000"/>
                          <w:right w:val="single" w:sz="4" w:space="0" w:color="000000"/>
                        </w:tcBorders>
                        <w:shd w:val="clear" w:color="auto" w:fill="C7EDCC"/>
                      </w:tcPr>
                      <w:p>
                        <w:pPr/>
                      </w:p>
                    </w:tc>
                    <w:tc>
                      <w:tcPr>
                        <w:tcW w:w="1138" w:type="dxa"/>
                        <w:vMerge/>
                        <w:tcBorders>
                          <w:left w:val="single" w:sz="4" w:space="0" w:color="000000"/>
                          <w:bottom w:val="single" w:sz="4" w:space="0" w:color="000000"/>
                          <w:right w:val="single" w:sz="4" w:space="0" w:color="000000"/>
                        </w:tcBorders>
                        <w:shd w:val="clear" w:color="auto" w:fill="C7EDCC"/>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286" w:type="dxa"/>
                        <w:vMerge/>
                        <w:tcBorders>
                          <w:left w:val="single" w:sz="4" w:space="0" w:color="000000"/>
                          <w:bottom w:val="single" w:sz="4" w:space="0" w:color="000000"/>
                          <w:right w:val="single" w:sz="4" w:space="0" w:color="000000"/>
                        </w:tcBorders>
                        <w:shd w:val="clear" w:color="auto" w:fill="C7EDCC"/>
                      </w:tcPr>
                      <w:p>
                        <w:pPr/>
                      </w:p>
                    </w:tc>
                    <w:tc>
                      <w:tcPr>
                        <w:tcW w:w="3307"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属分支机构经营范围</w:t>
                        </w:r>
                      </w:p>
                    </w:tc>
                  </w:tr>
                  <w:tr>
                    <w:trPr>
                      <w:trHeight w:val="316" w:hRule="exact"/>
                    </w:trPr>
                    <w:tc>
                      <w:tcPr>
                        <w:tcW w:w="226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控股股东报告期内控股和参</w:t>
                        </w:r>
                      </w:p>
                    </w:tc>
                    <w:tc>
                      <w:tcPr>
                        <w:tcW w:w="7291" w:type="dxa"/>
                        <w:gridSpan w:val="4"/>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12" w:hRule="exact"/>
                    </w:trPr>
                    <w:tc>
                      <w:tcPr>
                        <w:tcW w:w="2264" w:type="dxa"/>
                        <w:tcBorders>
                          <w:top w:val="nil" w:sz="6" w:space="0" w:color="auto"/>
                          <w:left w:val="single" w:sz="4" w:space="0" w:color="000000"/>
                          <w:bottom w:val="nil" w:sz="6" w:space="0" w:color="auto"/>
                          <w:right w:val="single" w:sz="9" w:space="0" w:color="C7EDCC"/>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股的其他境内外上市公司的</w:t>
                        </w:r>
                      </w:p>
                    </w:tc>
                    <w:tc>
                      <w:tcPr>
                        <w:tcW w:w="7291" w:type="dxa"/>
                        <w:gridSpan w:val="4"/>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7" w:hRule="exact"/>
                    </w:trPr>
                    <w:tc>
                      <w:tcPr>
                        <w:tcW w:w="226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股权情况</w:t>
                        </w:r>
                      </w:p>
                    </w:tc>
                    <w:tc>
                      <w:tcPr>
                        <w:tcW w:w="7291" w:type="dxa"/>
                        <w:gridSpan w:val="4"/>
                        <w:tcBorders>
                          <w:top w:val="nil" w:sz="6" w:space="0" w:color="auto"/>
                          <w:left w:val="single" w:sz="4" w:space="0" w:color="000000"/>
                          <w:bottom w:val="single" w:sz="4" w:space="0" w:color="000000"/>
                          <w:right w:val="single" w:sz="4" w:space="0" w:color="000000"/>
                        </w:tcBorders>
                        <w:shd w:val="clear" w:color="auto" w:fill="C7EDCC"/>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BodyText"/>
        <w:spacing w:line="240" w:lineRule="auto" w:before="44"/>
        <w:ind w:right="0"/>
        <w:jc w:val="left"/>
      </w:pPr>
      <w:r>
        <w:rPr/>
        <w:t>控股股东报告期内变更</w:t>
      </w:r>
    </w:p>
    <w:p>
      <w:pPr>
        <w:pStyle w:val="BodyText"/>
        <w:spacing w:line="340" w:lineRule="auto" w:before="116"/>
        <w:ind w:right="67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7871"/>
        <w:jc w:val="left"/>
      </w:pPr>
      <w:r>
        <w:rPr/>
        <w:t>实际控制人性质：地方国资管理机构 实际控制人类型：法人</w:t>
      </w:r>
    </w:p>
    <w:p>
      <w:pPr>
        <w:spacing w:after="0" w:line="357" w:lineRule="auto"/>
        <w:jc w:val="left"/>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268"/>
        <w:gridCol w:w="1276"/>
        <w:gridCol w:w="1702"/>
        <w:gridCol w:w="1429"/>
        <w:gridCol w:w="2882"/>
      </w:tblGrid>
      <w:tr>
        <w:trPr>
          <w:trHeight w:val="634"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10"/>
              <w:ind w:left="272" w:right="66" w:hanging="20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 位负责人</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4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96"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74" w:hRule="exact"/>
        </w:trPr>
        <w:tc>
          <w:tcPr>
            <w:tcW w:w="2268" w:type="dxa"/>
            <w:tcBorders>
              <w:top w:val="single" w:sz="4" w:space="0" w:color="000000"/>
              <w:left w:val="single" w:sz="4" w:space="0" w:color="000000"/>
              <w:bottom w:val="nil" w:sz="6" w:space="0" w:color="auto"/>
              <w:right w:val="single" w:sz="4" w:space="0" w:color="000000"/>
            </w:tcBorders>
            <w:shd w:val="clear" w:color="auto" w:fill="C7EDCC"/>
          </w:tcPr>
          <w:p>
            <w:pPr/>
          </w:p>
        </w:tc>
        <w:tc>
          <w:tcPr>
            <w:tcW w:w="1276" w:type="dxa"/>
            <w:vMerge w:val="restart"/>
            <w:tcBorders>
              <w:top w:val="single" w:sz="4" w:space="0" w:color="000000"/>
              <w:left w:val="single" w:sz="4" w:space="0" w:color="000000"/>
              <w:right w:val="single" w:sz="4" w:space="0" w:color="000000"/>
            </w:tcBorders>
            <w:shd w:val="clear" w:color="auto" w:fill="C7EDCC"/>
          </w:tcPr>
          <w:p>
            <w:pPr/>
          </w:p>
        </w:tc>
        <w:tc>
          <w:tcPr>
            <w:tcW w:w="1702" w:type="dxa"/>
            <w:vMerge w:val="restart"/>
            <w:tcBorders>
              <w:top w:val="single" w:sz="4" w:space="0" w:color="000000"/>
              <w:left w:val="single" w:sz="9" w:space="0" w:color="C7EDCC"/>
              <w:right w:val="single" w:sz="9" w:space="0" w:color="C7EDCC"/>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29" w:type="dxa"/>
            <w:vMerge w:val="restart"/>
            <w:tcBorders>
              <w:top w:val="single" w:sz="4" w:space="0" w:color="000000"/>
              <w:left w:val="single" w:sz="4" w:space="0" w:color="000000"/>
              <w:right w:val="single" w:sz="4" w:space="0" w:color="000000"/>
            </w:tcBorders>
            <w:shd w:val="clear" w:color="auto" w:fill="C7EDCC"/>
          </w:tcPr>
          <w:p>
            <w:pPr/>
          </w:p>
        </w:tc>
        <w:tc>
          <w:tcPr>
            <w:tcW w:w="2882" w:type="dxa"/>
            <w:vMerge w:val="restart"/>
            <w:tcBorders>
              <w:top w:val="single" w:sz="4" w:space="0" w:color="000000"/>
              <w:left w:val="single" w:sz="4" w:space="0" w:color="000000"/>
              <w:right w:val="single" w:sz="4" w:space="0" w:color="000000"/>
            </w:tcBorders>
            <w:shd w:val="clear" w:color="auto" w:fill="C7EDCC"/>
          </w:tcPr>
          <w:p>
            <w:pPr>
              <w:pStyle w:val="TableParagraph"/>
              <w:spacing w:line="316" w:lineRule="auto" w:before="11"/>
              <w:ind w:left="11" w:right="-20"/>
              <w:jc w:val="both"/>
              <w:rPr>
                <w:rFonts w:ascii="宋体" w:hAnsi="宋体" w:cs="宋体" w:eastAsia="宋体" w:hint="default"/>
                <w:sz w:val="18"/>
                <w:szCs w:val="18"/>
              </w:rPr>
            </w:pPr>
            <w:r>
              <w:rPr>
                <w:rFonts w:ascii="宋体" w:hAnsi="宋体" w:cs="宋体" w:eastAsia="宋体" w:hint="default"/>
                <w:spacing w:val="-2"/>
                <w:sz w:val="18"/>
                <w:szCs w:val="18"/>
              </w:rPr>
              <w:t>传播新闻和其他信息，促进社会经济</w:t>
            </w:r>
            <w:r>
              <w:rPr>
                <w:rFonts w:ascii="宋体" w:hAnsi="宋体" w:cs="宋体" w:eastAsia="宋体" w:hint="default"/>
                <w:sz w:val="18"/>
                <w:szCs w:val="18"/>
              </w:rPr>
              <w:t> </w:t>
            </w:r>
            <w:r>
              <w:rPr>
                <w:rFonts w:ascii="宋体" w:hAnsi="宋体" w:cs="宋体" w:eastAsia="宋体" w:hint="default"/>
                <w:spacing w:val="-10"/>
                <w:sz w:val="18"/>
                <w:szCs w:val="18"/>
              </w:rPr>
              <w:t>文化发展。《杭州日报》出版</w:t>
            </w:r>
            <w:r>
              <w:rPr>
                <w:rFonts w:ascii="宋体" w:hAnsi="宋体" w:cs="宋体" w:eastAsia="宋体" w:hint="default"/>
                <w:spacing w:val="6"/>
                <w:sz w:val="18"/>
                <w:szCs w:val="18"/>
              </w:rPr>
              <w:t> </w:t>
            </w:r>
            <w:r>
              <w:rPr>
                <w:rFonts w:ascii="宋体" w:hAnsi="宋体" w:cs="宋体" w:eastAsia="宋体" w:hint="default"/>
                <w:sz w:val="18"/>
                <w:szCs w:val="18"/>
              </w:rPr>
              <w:t>增项</w:t>
            </w:r>
            <w:r>
              <w:rPr>
                <w:rFonts w:ascii="宋体" w:hAnsi="宋体" w:cs="宋体" w:eastAsia="宋体" w:hint="default"/>
                <w:sz w:val="18"/>
                <w:szCs w:val="18"/>
              </w:rPr>
              <w:t> 出版、相关出版物出版、相关印刷、 </w:t>
            </w:r>
            <w:r>
              <w:rPr>
                <w:rFonts w:ascii="宋体" w:hAnsi="宋体" w:cs="宋体" w:eastAsia="宋体" w:hint="default"/>
                <w:spacing w:val="-3"/>
                <w:sz w:val="18"/>
                <w:szCs w:val="18"/>
              </w:rPr>
              <w:t>相关发行、广告、新闻研究、新闻培</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训、新闻业务交流、相关社会服务</w:t>
            </w:r>
          </w:p>
        </w:tc>
      </w:tr>
      <w:tr>
        <w:trPr>
          <w:trHeight w:val="156" w:hRule="exact"/>
        </w:trPr>
        <w:tc>
          <w:tcPr>
            <w:tcW w:w="2268" w:type="dxa"/>
            <w:vMerge w:val="restart"/>
            <w:tcBorders>
              <w:top w:val="nil" w:sz="6" w:space="0" w:color="auto"/>
              <w:left w:val="single" w:sz="4" w:space="0" w:color="000000"/>
              <w:right w:val="single" w:sz="4" w:space="0" w:color="000000"/>
            </w:tcBorders>
            <w:shd w:val="clear" w:color="auto" w:fill="C7EDCC"/>
          </w:tcPr>
          <w:p>
            <w:pPr>
              <w:pStyle w:val="TableParagraph"/>
              <w:spacing w:line="316" w:lineRule="auto" w:before="10"/>
              <w:ind w:left="22" w:right="73"/>
              <w:jc w:val="left"/>
              <w:rPr>
                <w:rFonts w:ascii="宋体" w:hAnsi="宋体" w:cs="宋体" w:eastAsia="宋体" w:hint="default"/>
                <w:sz w:val="18"/>
                <w:szCs w:val="18"/>
              </w:rPr>
            </w:pPr>
            <w:r>
              <w:rPr>
                <w:rFonts w:ascii="宋体" w:hAnsi="宋体" w:cs="宋体" w:eastAsia="宋体" w:hint="default"/>
                <w:sz w:val="18"/>
                <w:szCs w:val="18"/>
              </w:rPr>
              <w:t>杭州日报报业集团（杭州日 报社）</w:t>
            </w:r>
          </w:p>
        </w:tc>
        <w:tc>
          <w:tcPr>
            <w:tcW w:w="1276" w:type="dxa"/>
            <w:vMerge/>
            <w:tcBorders>
              <w:left w:val="single" w:sz="4" w:space="0" w:color="000000"/>
              <w:bottom w:val="nil" w:sz="6" w:space="0" w:color="auto"/>
              <w:right w:val="single" w:sz="4" w:space="0" w:color="000000"/>
            </w:tcBorders>
            <w:shd w:val="clear" w:color="auto" w:fill="C7EDCC"/>
          </w:tcPr>
          <w:p>
            <w:pPr/>
          </w:p>
        </w:tc>
        <w:tc>
          <w:tcPr>
            <w:tcW w:w="1702" w:type="dxa"/>
            <w:vMerge/>
            <w:tcBorders>
              <w:left w:val="single" w:sz="9" w:space="0" w:color="C7EDCC"/>
              <w:right w:val="single" w:sz="9" w:space="0" w:color="C7EDCC"/>
            </w:tcBorders>
          </w:tcPr>
          <w:p>
            <w:pPr/>
          </w:p>
        </w:tc>
        <w:tc>
          <w:tcPr>
            <w:tcW w:w="1429" w:type="dxa"/>
            <w:vMerge/>
            <w:tcBorders>
              <w:left w:val="single" w:sz="4" w:space="0" w:color="000000"/>
              <w:bottom w:val="nil" w:sz="6" w:space="0" w:color="auto"/>
              <w:right w:val="single" w:sz="4" w:space="0" w:color="000000"/>
            </w:tcBorders>
            <w:shd w:val="clear" w:color="auto" w:fill="C7EDCC"/>
          </w:tcPr>
          <w:p>
            <w:pPr/>
          </w:p>
        </w:tc>
        <w:tc>
          <w:tcPr>
            <w:tcW w:w="2882" w:type="dxa"/>
            <w:vMerge/>
            <w:tcBorders>
              <w:left w:val="single" w:sz="4" w:space="0" w:color="000000"/>
              <w:right w:val="single" w:sz="4" w:space="0" w:color="000000"/>
            </w:tcBorders>
            <w:shd w:val="clear" w:color="auto" w:fill="C7EDCC"/>
          </w:tcPr>
          <w:p>
            <w:pPr/>
          </w:p>
        </w:tc>
      </w:tr>
      <w:tr>
        <w:trPr>
          <w:trHeight w:val="312" w:hRule="exact"/>
        </w:trPr>
        <w:tc>
          <w:tcPr>
            <w:tcW w:w="2268" w:type="dxa"/>
            <w:vMerge/>
            <w:tcBorders>
              <w:left w:val="single" w:sz="4" w:space="0" w:color="000000"/>
              <w:right w:val="single" w:sz="4" w:space="0" w:color="000000"/>
            </w:tcBorders>
            <w:shd w:val="clear" w:color="auto" w:fill="C7EDCC"/>
          </w:tcPr>
          <w:p>
            <w:pPr/>
          </w:p>
        </w:tc>
        <w:tc>
          <w:tcPr>
            <w:tcW w:w="127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董悦</w:t>
            </w:r>
          </w:p>
        </w:tc>
        <w:tc>
          <w:tcPr>
            <w:tcW w:w="1702" w:type="dxa"/>
            <w:vMerge/>
            <w:tcBorders>
              <w:left w:val="single" w:sz="9" w:space="0" w:color="C7EDCC"/>
              <w:right w:val="single" w:sz="9" w:space="0" w:color="C7EDCC"/>
            </w:tcBorders>
          </w:tcPr>
          <w:p>
            <w:pPr/>
          </w:p>
        </w:tc>
        <w:tc>
          <w:tcPr>
            <w:tcW w:w="142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47010001-4</w:t>
            </w:r>
          </w:p>
        </w:tc>
        <w:tc>
          <w:tcPr>
            <w:tcW w:w="2882" w:type="dxa"/>
            <w:vMerge/>
            <w:tcBorders>
              <w:left w:val="single" w:sz="4" w:space="0" w:color="000000"/>
              <w:right w:val="single" w:sz="4" w:space="0" w:color="000000"/>
            </w:tcBorders>
            <w:shd w:val="clear" w:color="auto" w:fill="C7EDCC"/>
          </w:tcPr>
          <w:p>
            <w:pPr/>
          </w:p>
        </w:tc>
      </w:tr>
      <w:tr>
        <w:trPr>
          <w:trHeight w:val="156" w:hRule="exact"/>
        </w:trPr>
        <w:tc>
          <w:tcPr>
            <w:tcW w:w="2268" w:type="dxa"/>
            <w:vMerge/>
            <w:tcBorders>
              <w:left w:val="single" w:sz="4" w:space="0" w:color="000000"/>
              <w:bottom w:val="nil" w:sz="6" w:space="0" w:color="auto"/>
              <w:right w:val="single" w:sz="4" w:space="0" w:color="000000"/>
            </w:tcBorders>
            <w:shd w:val="clear" w:color="auto" w:fill="C7EDCC"/>
          </w:tcPr>
          <w:p>
            <w:pPr/>
          </w:p>
        </w:tc>
        <w:tc>
          <w:tcPr>
            <w:tcW w:w="1276" w:type="dxa"/>
            <w:vMerge w:val="restart"/>
            <w:tcBorders>
              <w:top w:val="nil" w:sz="6" w:space="0" w:color="auto"/>
              <w:left w:val="single" w:sz="4" w:space="0" w:color="000000"/>
              <w:right w:val="single" w:sz="4" w:space="0" w:color="000000"/>
            </w:tcBorders>
            <w:shd w:val="clear" w:color="auto" w:fill="C7EDCC"/>
          </w:tcPr>
          <w:p>
            <w:pPr/>
          </w:p>
        </w:tc>
        <w:tc>
          <w:tcPr>
            <w:tcW w:w="1702" w:type="dxa"/>
            <w:vMerge/>
            <w:tcBorders>
              <w:left w:val="single" w:sz="9" w:space="0" w:color="C7EDCC"/>
              <w:right w:val="single" w:sz="9" w:space="0" w:color="C7EDCC"/>
            </w:tcBorders>
          </w:tcPr>
          <w:p>
            <w:pPr/>
          </w:p>
        </w:tc>
        <w:tc>
          <w:tcPr>
            <w:tcW w:w="1429" w:type="dxa"/>
            <w:vMerge w:val="restart"/>
            <w:tcBorders>
              <w:top w:val="nil" w:sz="6" w:space="0" w:color="auto"/>
              <w:left w:val="single" w:sz="4" w:space="0" w:color="000000"/>
              <w:right w:val="single" w:sz="4" w:space="0" w:color="000000"/>
            </w:tcBorders>
            <w:shd w:val="clear" w:color="auto" w:fill="C7EDCC"/>
          </w:tcPr>
          <w:p>
            <w:pPr/>
          </w:p>
        </w:tc>
        <w:tc>
          <w:tcPr>
            <w:tcW w:w="2882" w:type="dxa"/>
            <w:vMerge/>
            <w:tcBorders>
              <w:left w:val="single" w:sz="4" w:space="0" w:color="000000"/>
              <w:right w:val="single" w:sz="4" w:space="0" w:color="000000"/>
            </w:tcBorders>
            <w:shd w:val="clear" w:color="auto" w:fill="C7EDCC"/>
          </w:tcPr>
          <w:p>
            <w:pPr/>
          </w:p>
        </w:tc>
      </w:tr>
      <w:tr>
        <w:trPr>
          <w:trHeight w:val="473" w:hRule="exact"/>
        </w:trPr>
        <w:tc>
          <w:tcPr>
            <w:tcW w:w="2268" w:type="dxa"/>
            <w:tcBorders>
              <w:top w:val="nil" w:sz="6" w:space="0" w:color="auto"/>
              <w:left w:val="single" w:sz="4" w:space="0" w:color="000000"/>
              <w:bottom w:val="single" w:sz="4" w:space="0" w:color="000000"/>
              <w:right w:val="single" w:sz="4" w:space="0" w:color="000000"/>
            </w:tcBorders>
            <w:shd w:val="clear" w:color="auto" w:fill="C7EDCC"/>
          </w:tcPr>
          <w:p>
            <w:pPr/>
          </w:p>
        </w:tc>
        <w:tc>
          <w:tcPr>
            <w:tcW w:w="1276" w:type="dxa"/>
            <w:vMerge/>
            <w:tcBorders>
              <w:left w:val="single" w:sz="4" w:space="0" w:color="000000"/>
              <w:bottom w:val="single" w:sz="4" w:space="0" w:color="000000"/>
              <w:right w:val="single" w:sz="4" w:space="0" w:color="000000"/>
            </w:tcBorders>
            <w:shd w:val="clear" w:color="auto" w:fill="C7EDCC"/>
          </w:tcPr>
          <w:p>
            <w:pPr/>
          </w:p>
        </w:tc>
        <w:tc>
          <w:tcPr>
            <w:tcW w:w="1702" w:type="dxa"/>
            <w:vMerge/>
            <w:tcBorders>
              <w:left w:val="single" w:sz="9" w:space="0" w:color="C7EDCC"/>
              <w:bottom w:val="single" w:sz="4" w:space="0" w:color="000000"/>
              <w:right w:val="single" w:sz="9" w:space="0" w:color="C7EDCC"/>
            </w:tcBorders>
          </w:tcPr>
          <w:p>
            <w:pPr/>
          </w:p>
        </w:tc>
        <w:tc>
          <w:tcPr>
            <w:tcW w:w="1429" w:type="dxa"/>
            <w:vMerge/>
            <w:tcBorders>
              <w:left w:val="single" w:sz="4" w:space="0" w:color="000000"/>
              <w:bottom w:val="single" w:sz="4" w:space="0" w:color="000000"/>
              <w:right w:val="single" w:sz="4" w:space="0" w:color="000000"/>
            </w:tcBorders>
            <w:shd w:val="clear" w:color="auto" w:fill="C7EDCC"/>
          </w:tcPr>
          <w:p>
            <w:pPr/>
          </w:p>
        </w:tc>
        <w:tc>
          <w:tcPr>
            <w:tcW w:w="2882" w:type="dxa"/>
            <w:vMerge/>
            <w:tcBorders>
              <w:left w:val="single" w:sz="4" w:space="0" w:color="000000"/>
              <w:bottom w:val="single" w:sz="4" w:space="0" w:color="000000"/>
              <w:right w:val="single" w:sz="4" w:space="0" w:color="000000"/>
            </w:tcBorders>
            <w:shd w:val="clear" w:color="auto" w:fill="C7EDCC"/>
          </w:tcPr>
          <w:p>
            <w:pPr/>
          </w:p>
        </w:tc>
      </w:tr>
      <w:tr>
        <w:trPr>
          <w:trHeight w:val="317" w:hRule="exact"/>
        </w:trPr>
        <w:tc>
          <w:tcPr>
            <w:tcW w:w="2268" w:type="dxa"/>
            <w:vMerge w:val="restart"/>
            <w:tcBorders>
              <w:top w:val="single" w:sz="4" w:space="0" w:color="000000"/>
              <w:left w:val="single" w:sz="4" w:space="0" w:color="000000"/>
              <w:right w:val="single" w:sz="9" w:space="0" w:color="C7EDCC"/>
            </w:tcBorders>
            <w:shd w:val="clear" w:color="auto" w:fill="D3D3D3"/>
          </w:tcPr>
          <w:p>
            <w:pPr>
              <w:pStyle w:val="TableParagraph"/>
              <w:spacing w:line="316" w:lineRule="auto" w:before="10"/>
              <w:ind w:left="22" w:right="68"/>
              <w:jc w:val="both"/>
              <w:rPr>
                <w:rFonts w:ascii="宋体" w:hAnsi="宋体" w:cs="宋体" w:eastAsia="宋体" w:hint="default"/>
                <w:sz w:val="18"/>
                <w:szCs w:val="18"/>
              </w:rPr>
            </w:pPr>
            <w:r>
              <w:rPr>
                <w:rFonts w:ascii="宋体" w:hAnsi="宋体" w:cs="宋体" w:eastAsia="宋体" w:hint="default"/>
                <w:sz w:val="18"/>
                <w:szCs w:val="18"/>
              </w:rPr>
              <w:t>实际控制人报告期内控制的 其他境内外上市公司的股权 情况</w:t>
            </w:r>
          </w:p>
        </w:tc>
        <w:tc>
          <w:tcPr>
            <w:tcW w:w="7288" w:type="dxa"/>
            <w:gridSpan w:val="4"/>
            <w:tcBorders>
              <w:top w:val="single" w:sz="4" w:space="0" w:color="000000"/>
              <w:left w:val="single" w:sz="13" w:space="0" w:color="D3D3D3"/>
              <w:bottom w:val="nil" w:sz="6" w:space="0" w:color="auto"/>
              <w:right w:val="single" w:sz="4" w:space="0" w:color="000000"/>
            </w:tcBorders>
            <w:shd w:val="clear" w:color="auto" w:fill="C7EDCC"/>
          </w:tcPr>
          <w:p>
            <w:pPr/>
          </w:p>
        </w:tc>
      </w:tr>
      <w:tr>
        <w:trPr>
          <w:trHeight w:val="312" w:hRule="exact"/>
        </w:trPr>
        <w:tc>
          <w:tcPr>
            <w:tcW w:w="2268" w:type="dxa"/>
            <w:vMerge/>
            <w:tcBorders>
              <w:left w:val="single" w:sz="4" w:space="0" w:color="000000"/>
              <w:right w:val="single" w:sz="9" w:space="0" w:color="C7EDCC"/>
            </w:tcBorders>
            <w:shd w:val="clear" w:color="auto" w:fill="D3D3D3"/>
          </w:tcPr>
          <w:p>
            <w:pPr/>
          </w:p>
        </w:tc>
        <w:tc>
          <w:tcPr>
            <w:tcW w:w="7288" w:type="dxa"/>
            <w:gridSpan w:val="4"/>
            <w:tcBorders>
              <w:top w:val="nil" w:sz="6" w:space="0" w:color="auto"/>
              <w:left w:val="single" w:sz="13" w:space="0" w:color="D3D3D3"/>
              <w:bottom w:val="nil" w:sz="6" w:space="0" w:color="auto"/>
              <w:right w:val="single" w:sz="4" w:space="0" w:color="000000"/>
            </w:tcBorders>
            <w:shd w:val="clear" w:color="auto" w:fill="C7EDC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7" w:hRule="exact"/>
        </w:trPr>
        <w:tc>
          <w:tcPr>
            <w:tcW w:w="2268" w:type="dxa"/>
            <w:vMerge/>
            <w:tcBorders>
              <w:left w:val="single" w:sz="4" w:space="0" w:color="000000"/>
              <w:bottom w:val="single" w:sz="4" w:space="0" w:color="000000"/>
              <w:right w:val="single" w:sz="9" w:space="0" w:color="C7EDCC"/>
            </w:tcBorders>
            <w:shd w:val="clear" w:color="auto" w:fill="D3D3D3"/>
          </w:tcPr>
          <w:p>
            <w:pPr/>
          </w:p>
        </w:tc>
        <w:tc>
          <w:tcPr>
            <w:tcW w:w="7288" w:type="dxa"/>
            <w:gridSpan w:val="4"/>
            <w:tcBorders>
              <w:top w:val="nil" w:sz="6" w:space="0" w:color="auto"/>
              <w:left w:val="single" w:sz="13" w:space="0" w:color="D3D3D3"/>
              <w:bottom w:val="single" w:sz="4" w:space="0" w:color="000000"/>
              <w:right w:val="single" w:sz="4" w:space="0" w:color="000000"/>
            </w:tcBorders>
            <w:shd w:val="clear" w:color="auto" w:fill="C7EDCC"/>
          </w:tcPr>
          <w:p>
            <w:pPr/>
          </w:p>
        </w:tc>
      </w:tr>
    </w:tbl>
    <w:p>
      <w:pPr>
        <w:pStyle w:val="BodyText"/>
        <w:spacing w:line="240" w:lineRule="auto" w:before="51"/>
        <w:ind w:right="0"/>
        <w:jc w:val="left"/>
      </w:pPr>
      <w:r>
        <w:rPr/>
        <w:t>实际控制人报告期内变更</w:t>
      </w:r>
    </w:p>
    <w:p>
      <w:pPr>
        <w:pStyle w:val="BodyText"/>
        <w:spacing w:line="348" w:lineRule="auto" w:before="117"/>
        <w:ind w:right="67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ind w:right="0"/>
        <w:jc w:val="left"/>
      </w:pPr>
      <w:r>
        <w:rPr/>
        <w:pict>
          <v:group style="position:absolute;margin-left:162.526505pt;margin-top:-193.381363pt;width:263.2pt;height:213.2pt;mso-position-horizontal-relative:page;mso-position-vertical-relative:paragraph;z-index:-1149160" coordorigin="3251,-3868" coordsize="5264,4264">
            <v:group style="position:absolute;left:3772;top:-3866;width:2633;height:520" coordorigin="3772,-3866" coordsize="2633,520">
              <v:shape style="position:absolute;left:3772;top:-3866;width:2633;height:520" coordorigin="3772,-3866" coordsize="2633,520" path="m3772,-3347l6404,-3347,6404,-3866,3772,-3866,3772,-3347xe" filled="true" fillcolor="#99ccff" stroked="false">
                <v:path arrowok="t"/>
                <v:fill type="solid"/>
              </v:shape>
            </v:group>
            <v:group style="position:absolute;left:3772;top:-3866;width:2633;height:520" coordorigin="3772,-3866" coordsize="2633,520">
              <v:shape style="position:absolute;left:3772;top:-3866;width:2633;height:520" coordorigin="3772,-3866" coordsize="2633,520" path="m3772,-3347l6404,-3347,6404,-3866,3772,-3866,3772,-3347xe" filled="false" stroked="true" strokeweight=".147pt" strokecolor="#000000">
                <v:path arrowok="t"/>
              </v:shape>
              <v:shape style="position:absolute;left:3805;top:-3691;width:1354;height:194" type="#_x0000_t75" stroked="false">
                <v:imagedata r:id="rId22" o:title=""/>
              </v:shape>
              <v:shape style="position:absolute;left:5269;top:-3680;width:58;height:806" type="#_x0000_t75" stroked="false">
                <v:imagedata r:id="rId23" o:title=""/>
              </v:shape>
              <v:shape style="position:absolute;left:5351;top:-3691;width:935;height:830" type="#_x0000_t75" stroked="false">
                <v:imagedata r:id="rId24" o:title=""/>
              </v:shape>
            </v:group>
            <v:group style="position:absolute;left:3962;top:-3347;width:1126;height:810" coordorigin="3962,-3347" coordsize="1126,810">
              <v:shape style="position:absolute;left:3962;top:-3347;width:1126;height:810" coordorigin="3962,-3347" coordsize="1126,810" path="m5088,-3347l5088,-3217,3962,-3217,3962,-2537e" filled="false" stroked="true" strokeweight=".733pt" strokecolor="#4677bf">
                <v:path arrowok="t"/>
              </v:shape>
            </v:group>
            <v:group style="position:absolute;left:3252;top:-2412;width:1421;height:520" coordorigin="3252,-2412" coordsize="1421,520">
              <v:shape style="position:absolute;left:3252;top:-2412;width:1421;height:520" coordorigin="3252,-2412" coordsize="1421,520" path="m3252,-1892l4673,-1892,4673,-2412,3252,-2412,3252,-1892xe" filled="true" fillcolor="#99ccff" stroked="false">
                <v:path arrowok="t"/>
                <v:fill type="solid"/>
              </v:shape>
            </v:group>
            <v:group style="position:absolute;left:3252;top:-2412;width:1421;height:520" coordorigin="3252,-2412" coordsize="1421,520">
              <v:shape style="position:absolute;left:3252;top:-2412;width:1421;height:520" coordorigin="3252,-2412" coordsize="1421,520" path="m3252,-1892l4673,-1892,4673,-2412,3252,-2412,3252,-1892xe" filled="false" stroked="true" strokeweight=".147pt" strokecolor="#000000">
                <v:path arrowok="t"/>
              </v:shape>
              <v:shape style="position:absolute;left:3367;top:-2355;width:1190;height:194" type="#_x0000_t75" stroked="false">
                <v:imagedata r:id="rId25" o:title=""/>
              </v:shape>
              <v:shape style="position:absolute;left:3554;top:-2135;width:816;height:317" type="#_x0000_t75" stroked="false">
                <v:imagedata r:id="rId26" o:title=""/>
              </v:shape>
            </v:group>
            <v:group style="position:absolute;left:3917;top:-2549;width:92;height:137" coordorigin="3917,-2549" coordsize="92,137">
              <v:shape style="position:absolute;left:3917;top:-2549;width:92;height:137" coordorigin="3917,-2549" coordsize="92,137" path="m4008,-2549l3917,-2549,3962,-2412,4008,-2549xe" filled="true" fillcolor="#4677bf" stroked="false">
                <v:path arrowok="t"/>
                <v:fill type="solid"/>
              </v:shape>
            </v:group>
            <v:group style="position:absolute;left:3761;top:-2922;width:429;height:206" coordorigin="3761,-2922" coordsize="429,206">
              <v:shape style="position:absolute;left:3761;top:-2922;width:429;height:206" coordorigin="3761,-2922" coordsize="429,206" path="m3761,-2717l4189,-2717,4189,-2922,3761,-2922,3761,-2717xe" filled="true" fillcolor="#ffffff" stroked="false">
                <v:path arrowok="t"/>
                <v:fill type="solid"/>
              </v:shape>
              <v:shape style="position:absolute;left:3779;top:-2885;width:240;height:698" type="#_x0000_t75" stroked="false">
                <v:imagedata r:id="rId27" o:title=""/>
              </v:shape>
              <v:shape style="position:absolute;left:4034;top:-2885;width:144;height:720" type="#_x0000_t75" stroked="false">
                <v:imagedata r:id="rId28" o:title=""/>
              </v:shape>
            </v:group>
            <v:group style="position:absolute;left:5088;top:-3347;width:915;height:810" coordorigin="5088,-3347" coordsize="915,810">
              <v:shape style="position:absolute;left:5088;top:-3347;width:915;height:810" coordorigin="5088,-3347" coordsize="915,810" path="m5088,-3347l5088,-3217,6002,-3217,6002,-2537e" filled="false" stroked="true" strokeweight=".733pt" strokecolor="#4677bf">
                <v:path arrowok="t"/>
              </v:shape>
            </v:group>
            <v:group style="position:absolute;left:5396;top:-2412;width:1212;height:520" coordorigin="5396,-2412" coordsize="1212,520">
              <v:shape style="position:absolute;left:5396;top:-2412;width:1212;height:520" coordorigin="5396,-2412" coordsize="1212,520" path="m5396,-1892l6608,-1892,6608,-2412,5396,-2412,5396,-1892xe" filled="true" fillcolor="#99ccff" stroked="false">
                <v:path arrowok="t"/>
                <v:fill type="solid"/>
              </v:shape>
            </v:group>
            <v:group style="position:absolute;left:5396;top:-2412;width:1212;height:520" coordorigin="5396,-2412" coordsize="1212,520">
              <v:shape style="position:absolute;left:5396;top:-2412;width:1212;height:520" coordorigin="5396,-2412" coordsize="1212,520" path="m5396,-1892l6608,-1892,6608,-2412,5396,-2412,5396,-1892xe" filled="false" stroked="true" strokeweight=".147pt" strokecolor="#000000">
                <v:path arrowok="t"/>
              </v:shape>
              <v:shape style="position:absolute;left:5582;top:-2237;width:845;height:317" type="#_x0000_t75" stroked="false">
                <v:imagedata r:id="rId29" o:title=""/>
              </v:shape>
            </v:group>
            <v:group style="position:absolute;left:5957;top:-2549;width:92;height:137" coordorigin="5957,-2549" coordsize="92,137">
              <v:shape style="position:absolute;left:5957;top:-2549;width:92;height:137" coordorigin="5957,-2549" coordsize="92,137" path="m6048,-2549l5957,-2549,6002,-2412,6048,-2549xe" filled="true" fillcolor="#4677bf" stroked="false">
                <v:path arrowok="t"/>
                <v:fill type="solid"/>
              </v:shape>
            </v:group>
            <v:group style="position:absolute;left:5767;top:-2901;width:428;height:206" coordorigin="5767,-2901" coordsize="428,206">
              <v:shape style="position:absolute;left:5767;top:-2901;width:428;height:206" coordorigin="5767,-2901" coordsize="428,206" path="m5767,-2696l6194,-2696,6194,-2901,5767,-2901,5767,-2696xe" filled="true" fillcolor="#ffffff" stroked="false">
                <v:path arrowok="t"/>
                <v:fill type="solid"/>
              </v:shape>
              <v:shape style="position:absolute;left:5784;top:-2864;width:240;height:698" type="#_x0000_t75" stroked="false">
                <v:imagedata r:id="rId30" o:title=""/>
              </v:shape>
              <v:shape style="position:absolute;left:6040;top:-2864;width:144;height:720" type="#_x0000_t75" stroked="false">
                <v:imagedata r:id="rId31" o:title=""/>
              </v:shape>
            </v:group>
            <v:group style="position:absolute;left:3962;top:-1892;width:2049;height:981" coordorigin="3962,-1892" coordsize="2049,981">
              <v:shape style="position:absolute;left:3962;top:-1892;width:2049;height:981" coordorigin="3962,-1892" coordsize="2049,981" path="m3962,-1892l3962,-1183,6011,-1183,6011,-912e" filled="false" stroked="true" strokeweight=".147pt" strokecolor="#4677bf">
                <v:path arrowok="t"/>
              </v:shape>
            </v:group>
            <v:group style="position:absolute;left:4704;top:-819;width:2615;height:520" coordorigin="4704,-819" coordsize="2615,520">
              <v:shape style="position:absolute;left:4704;top:-819;width:2615;height:520" coordorigin="4704,-819" coordsize="2615,520" path="m4704,-300l7319,-300,7319,-819,4704,-819,4704,-300xe" filled="true" fillcolor="#ffcc99" stroked="false">
                <v:path arrowok="t"/>
                <v:fill type="solid"/>
              </v:shape>
            </v:group>
            <v:group style="position:absolute;left:4704;top:-819;width:2615;height:520" coordorigin="4704,-819" coordsize="2615,520">
              <v:shape style="position:absolute;left:4704;top:-819;width:2615;height:520" coordorigin="4704,-819" coordsize="2615,520" path="m4704,-300l7319,-300,7319,-819,4704,-819,4704,-300xe" filled="false" stroked="true" strokeweight=".147pt" strokecolor="#000000">
                <v:path arrowok="t"/>
              </v:shape>
              <v:shape style="position:absolute;left:4987;top:-747;width:2035;height:137" type="#_x0000_t75" stroked="false">
                <v:imagedata r:id="rId32" o:title=""/>
              </v:shape>
              <v:shape style="position:absolute;left:4987;top:-611;width:2035;height:1007" type="#_x0000_t75" stroked="false">
                <v:imagedata r:id="rId33" o:title=""/>
              </v:shape>
              <v:shape style="position:absolute;left:5760;top:-511;width:558;height:907" type="#_x0000_t75" stroked="false">
                <v:imagedata r:id="rId34" o:title=""/>
              </v:shape>
            </v:group>
            <v:group style="position:absolute;left:5977;top:-920;width:69;height:101" coordorigin="5977,-920" coordsize="69,101">
              <v:shape style="position:absolute;left:5977;top:-920;width:69;height:101" coordorigin="5977,-920" coordsize="69,101" path="m6046,-920l5977,-920,6011,-819,6046,-920xe" filled="true" fillcolor="#4677bf" stroked="false">
                <v:path arrowok="t"/>
                <v:fill type="solid"/>
              </v:shape>
            </v:group>
            <v:group style="position:absolute;left:3662;top:-1755;width:556;height:206" coordorigin="3662,-1755" coordsize="556,206">
              <v:shape style="position:absolute;left:3662;top:-1755;width:556;height:206" coordorigin="3662,-1755" coordsize="556,206" path="m3662,-1550l4218,-1550,4218,-1755,3662,-1755,3662,-1550xe" filled="true" fillcolor="#ffffff" stroked="false">
                <v:path arrowok="t"/>
                <v:fill type="solid"/>
              </v:shape>
              <v:shape style="position:absolute;left:3672;top:-1717;width:202;height:698" type="#_x0000_t75" stroked="false">
                <v:imagedata r:id="rId35" o:title=""/>
              </v:shape>
              <v:shape style="position:absolute;left:3894;top:-1717;width:154;height:698" type="#_x0000_t75" stroked="false">
                <v:imagedata r:id="rId36" o:title=""/>
              </v:shape>
              <v:shape style="position:absolute;left:4063;top:-1717;width:144;height:720" type="#_x0000_t75" stroked="false">
                <v:imagedata r:id="rId37" o:title=""/>
              </v:shape>
            </v:group>
            <v:group style="position:absolute;left:6007;top:-1894;width:2;height:110" coordorigin="6007,-1894" coordsize="2,110">
              <v:shape style="position:absolute;left:6007;top:-1894;width:2;height:110" coordorigin="6007,-1894" coordsize="0,110" path="m6007,-1894l6007,-1784e" filled="false" stroked="true" strokeweight=".42pt" strokecolor="#4677bf">
                <v:path arrowok="t"/>
              </v:shape>
            </v:group>
            <v:group style="position:absolute;left:6007;top:-1579;width:2;height:669" coordorigin="6007,-1579" coordsize="2,669">
              <v:shape style="position:absolute;left:6007;top:-1579;width:2;height:669" coordorigin="6007,-1579" coordsize="0,669" path="m6007,-1579l6007,-910e" filled="false" stroked="true" strokeweight=".42pt" strokecolor="#4677bf">
                <v:path arrowok="t"/>
              </v:shape>
            </v:group>
            <v:group style="position:absolute;left:5977;top:-920;width:69;height:101" coordorigin="5977,-920" coordsize="69,101">
              <v:shape style="position:absolute;left:5977;top:-920;width:69;height:101" coordorigin="5977,-920" coordsize="69,101" path="m6046,-920l5977,-920,6011,-819,6046,-920xe" filled="true" fillcolor="#4677bf" stroked="false">
                <v:path arrowok="t"/>
                <v:fill type="solid"/>
              </v:shape>
            </v:group>
            <v:group style="position:absolute;left:5780;top:-1784;width:471;height:206" coordorigin="5780,-1784" coordsize="471,206">
              <v:shape style="position:absolute;left:5780;top:-1784;width:471;height:206" coordorigin="5780,-1784" coordsize="471,206" path="m5780,-1579l6251,-1579,6251,-1784,5780,-1784,5780,-1579xe" filled="true" fillcolor="#ffffff" stroked="false">
                <v:path arrowok="t"/>
                <v:fill type="solid"/>
              </v:shape>
              <v:shape style="position:absolute;left:5786;top:-1746;width:119;height:698" type="#_x0000_t75" stroked="false">
                <v:imagedata r:id="rId38" o:title=""/>
              </v:shape>
              <v:shape style="position:absolute;left:5918;top:-1746;width:163;height:698" type="#_x0000_t75" stroked="false">
                <v:imagedata r:id="rId39" o:title=""/>
              </v:shape>
              <v:shape style="position:absolute;left:6096;top:-1746;width:144;height:720" type="#_x0000_t75" stroked="false">
                <v:imagedata r:id="rId40" o:title=""/>
              </v:shape>
            </v:group>
            <v:group style="position:absolute;left:7648;top:-2412;width:866;height:520" coordorigin="7648,-2412" coordsize="866,520">
              <v:shape style="position:absolute;left:7648;top:-2412;width:866;height:520" coordorigin="7648,-2412" coordsize="866,520" path="m7648,-1892l8513,-1892,8513,-2412,7648,-2412,7648,-1892xe" filled="true" fillcolor="#e8eef7" stroked="false">
                <v:path arrowok="t"/>
                <v:fill type="solid"/>
              </v:shape>
            </v:group>
            <v:group style="position:absolute;left:7648;top:-2412;width:866;height:520" coordorigin="7648,-2412" coordsize="866,520">
              <v:shape style="position:absolute;left:7648;top:-2412;width:866;height:520" coordorigin="7648,-2412" coordsize="866,520" path="m7648,-1892l8513,-1892,8513,-2412,7648,-2412,7648,-1892xe" filled="false" stroked="true" strokeweight=".147pt" strokecolor="#000000">
                <v:path arrowok="t"/>
              </v:shape>
              <v:shape style="position:absolute;left:7744;top:-2237;width:672;height:324" type="#_x0000_t75" stroked="false">
                <v:imagedata r:id="rId41" o:title=""/>
              </v:shape>
            </v:group>
            <v:group style="position:absolute;left:6011;top:-1892;width:2070;height:981" coordorigin="6011,-1892" coordsize="2070,981">
              <v:shape style="position:absolute;left:6011;top:-1892;width:2070;height:981" coordorigin="6011,-1892" coordsize="2070,981" path="m8081,-1892l8081,-1183,6011,-1183,6011,-912e" filled="false" stroked="true" strokeweight=".147pt" strokecolor="#4677bf">
                <v:path arrowok="t"/>
              </v:shape>
            </v:group>
            <v:group style="position:absolute;left:5977;top:-920;width:69;height:101" coordorigin="5977,-920" coordsize="69,101">
              <v:shape style="position:absolute;left:5977;top:-920;width:69;height:101" coordorigin="5977,-920" coordsize="69,101" path="m6046,-920l5977,-920,6011,-819,6046,-920xe" filled="true" fillcolor="#4677bf" stroked="false">
                <v:path arrowok="t"/>
                <v:fill type="solid"/>
              </v:shape>
            </v:group>
            <v:group style="position:absolute;left:7816;top:-1793;width:556;height:206" coordorigin="7816,-1793" coordsize="556,206">
              <v:shape style="position:absolute;left:7816;top:-1793;width:556;height:206" coordorigin="7816,-1793" coordsize="556,206" path="m7816,-1587l8371,-1587,8371,-1793,7816,-1793,7816,-1587xe" filled="true" fillcolor="#ffffff" stroked="false">
                <v:path arrowok="t"/>
                <v:fill type="solid"/>
              </v:shape>
              <v:shape style="position:absolute;left:7825;top:-1754;width:202;height:691" type="#_x0000_t75" stroked="false">
                <v:imagedata r:id="rId42" o:title=""/>
              </v:shape>
              <v:shape style="position:absolute;left:8039;top:-1754;width:163;height:698" type="#_x0000_t75" stroked="false">
                <v:imagedata r:id="rId43" o:title=""/>
              </v:shape>
              <v:shape style="position:absolute;left:8216;top:-1754;width:144;height:720" type="#_x0000_t75" stroked="false">
                <v:imagedata r:id="rId44" o:title=""/>
              </v:shape>
            </v:group>
            <w10:wrap type="none"/>
          </v:group>
        </w:pict>
      </w:r>
      <w:r>
        <w:rPr/>
        <w:t>实际控制人通过信托或其他资产管理方式控制公司</w:t>
      </w:r>
    </w:p>
    <w:p>
      <w:pPr>
        <w:spacing w:line="240" w:lineRule="auto" w:before="3"/>
        <w:rPr>
          <w:rFonts w:ascii="宋体" w:hAnsi="宋体" w:cs="宋体" w:eastAsia="宋体" w:hint="default"/>
          <w:sz w:val="21"/>
          <w:szCs w:val="21"/>
        </w:rPr>
      </w:pPr>
    </w:p>
    <w:p>
      <w:pPr>
        <w:pStyle w:val="BodyText"/>
        <w:spacing w:line="240" w:lineRule="auto"/>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58"/>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82" w:top="110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286" w:right="0"/>
        <w:jc w:val="left"/>
        <w:rPr>
          <w:b w:val="0"/>
          <w:bCs w:val="0"/>
        </w:rPr>
      </w:pPr>
      <w:bookmarkStart w:name="_TOC_250005" w:id="7"/>
      <w:r>
        <w:rPr/>
        <w:t>第七节</w:t>
      </w:r>
      <w:r>
        <w:rPr>
          <w:spacing w:val="-8"/>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pStyle w:val="BodyText"/>
        <w:spacing w:line="338" w:lineRule="auto" w:before="44"/>
        <w:ind w:right="85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877" w:footer="982" w:top="110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1680" w:right="0"/>
        <w:jc w:val="left"/>
        <w:rPr>
          <w:b w:val="0"/>
          <w:bCs w:val="0"/>
        </w:rPr>
      </w:pPr>
      <w:bookmarkStart w:name="_TOC_250004" w:id="8"/>
      <w:r>
        <w:rPr/>
        <w:t>第八节</w:t>
      </w:r>
      <w:r>
        <w:rPr>
          <w:spacing w:val="-17"/>
        </w:rPr>
        <w:t> </w:t>
      </w:r>
      <w:r>
        <w:rPr/>
        <w:t>董事、监事、高级管理人员和员工情况</w:t>
      </w:r>
      <w:bookmarkEnd w:id="8"/>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643"/>
        <w:gridCol w:w="1020"/>
        <w:gridCol w:w="526"/>
        <w:gridCol w:w="396"/>
        <w:gridCol w:w="281"/>
        <w:gridCol w:w="1702"/>
        <w:gridCol w:w="1516"/>
        <w:gridCol w:w="724"/>
        <w:gridCol w:w="877"/>
        <w:gridCol w:w="822"/>
        <w:gridCol w:w="596"/>
        <w:gridCol w:w="706"/>
      </w:tblGrid>
      <w:tr>
        <w:trPr>
          <w:trHeight w:val="1025" w:hRule="exact"/>
        </w:trPr>
        <w:tc>
          <w:tcPr>
            <w:tcW w:w="6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3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83" w:right="71"/>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3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01" w:right="102"/>
              <w:jc w:val="left"/>
              <w:rPr>
                <w:rFonts w:ascii="宋体" w:hAnsi="宋体" w:cs="宋体" w:eastAsia="宋体" w:hint="default"/>
                <w:sz w:val="18"/>
                <w:szCs w:val="18"/>
              </w:rPr>
            </w:pPr>
            <w:r>
              <w:rPr>
                <w:rFonts w:ascii="宋体" w:hAnsi="宋体" w:cs="宋体" w:eastAsia="宋体" w:hint="default"/>
                <w:sz w:val="18"/>
                <w:szCs w:val="18"/>
              </w:rPr>
              <w:t>性 别</w:t>
            </w:r>
          </w:p>
        </w:tc>
        <w:tc>
          <w:tcPr>
            <w:tcW w:w="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5" w:right="43"/>
              <w:jc w:val="left"/>
              <w:rPr>
                <w:rFonts w:ascii="宋体" w:hAnsi="宋体" w:cs="宋体" w:eastAsia="宋体" w:hint="default"/>
                <w:sz w:val="18"/>
                <w:szCs w:val="18"/>
              </w:rPr>
            </w:pPr>
            <w:r>
              <w:rPr>
                <w:rFonts w:ascii="宋体" w:hAnsi="宋体" w:cs="宋体" w:eastAsia="宋体" w:hint="default"/>
                <w:sz w:val="18"/>
                <w:szCs w:val="18"/>
              </w:rPr>
              <w:t>年 龄</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04"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7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76" w:right="85" w:hanging="90"/>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20"/>
              <w:ind w:left="86"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3" w:right="72"/>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6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5" w:right="44"/>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3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67" w:right="76" w:hanging="90"/>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20"/>
              <w:ind w:left="77"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402" w:hRule="exact"/>
        </w:trPr>
        <w:tc>
          <w:tcPr>
            <w:tcW w:w="6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董悦</w:t>
            </w:r>
          </w:p>
        </w:tc>
        <w:tc>
          <w:tcPr>
            <w:tcW w:w="10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26"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2"/>
              <w:ind w:right="96"/>
              <w:jc w:val="center"/>
              <w:rPr>
                <w:rFonts w:ascii="宋体" w:hAnsi="宋体" w:cs="宋体" w:eastAsia="宋体" w:hint="default"/>
                <w:sz w:val="18"/>
                <w:szCs w:val="18"/>
              </w:rPr>
            </w:pPr>
            <w:r>
              <w:rPr>
                <w:rFonts w:ascii="宋体" w:hAnsi="宋体" w:cs="宋体" w:eastAsia="宋体" w:hint="default"/>
                <w:sz w:val="18"/>
                <w:szCs w:val="18"/>
              </w:rPr>
              <w:t>现任</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1"/>
              <w:jc w:val="right"/>
              <w:rPr>
                <w:rFonts w:ascii="宋体" w:hAnsi="宋体" w:cs="宋体" w:eastAsia="宋体" w:hint="default"/>
                <w:sz w:val="18"/>
                <w:szCs w:val="18"/>
              </w:rPr>
            </w:pPr>
            <w:r>
              <w:rPr>
                <w:rFonts w:ascii="宋体" w:hAnsi="宋体" w:cs="宋体" w:eastAsia="宋体" w:hint="default"/>
                <w:sz w:val="18"/>
                <w:szCs w:val="18"/>
              </w:rPr>
              <w:t>男</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center"/>
              <w:rPr>
                <w:rFonts w:ascii="Times New Roman" w:hAnsi="Times New Roman" w:cs="Times New Roman" w:eastAsia="Times New Roman" w:hint="default"/>
                <w:sz w:val="18"/>
                <w:szCs w:val="18"/>
              </w:rPr>
            </w:pPr>
            <w:r>
              <w:rPr>
                <w:rFonts w:ascii="Times New Roman"/>
                <w:sz w:val="18"/>
              </w:rPr>
              <w:t>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16"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鲍林强</w:t>
            </w:r>
          </w:p>
        </w:tc>
        <w:tc>
          <w:tcPr>
            <w:tcW w:w="10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26"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2"/>
              <w:ind w:right="96"/>
              <w:jc w:val="center"/>
              <w:rPr>
                <w:rFonts w:ascii="宋体" w:hAnsi="宋体" w:cs="宋体" w:eastAsia="宋体" w:hint="default"/>
                <w:sz w:val="18"/>
                <w:szCs w:val="18"/>
              </w:rPr>
            </w:pPr>
            <w:r>
              <w:rPr>
                <w:rFonts w:ascii="宋体" w:hAnsi="宋体" w:cs="宋体" w:eastAsia="宋体" w:hint="default"/>
                <w:sz w:val="18"/>
                <w:szCs w:val="18"/>
              </w:rPr>
              <w:t>离任</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1"/>
              <w:jc w:val="right"/>
              <w:rPr>
                <w:rFonts w:ascii="宋体" w:hAnsi="宋体" w:cs="宋体" w:eastAsia="宋体" w:hint="default"/>
                <w:sz w:val="18"/>
                <w:szCs w:val="18"/>
              </w:rPr>
            </w:pPr>
            <w:r>
              <w:rPr>
                <w:rFonts w:ascii="宋体" w:hAnsi="宋体" w:cs="宋体" w:eastAsia="宋体" w:hint="default"/>
                <w:sz w:val="18"/>
                <w:szCs w:val="18"/>
              </w:rPr>
              <w:t>男</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center"/>
              <w:rPr>
                <w:rFonts w:ascii="Times New Roman" w:hAnsi="Times New Roman" w:cs="Times New Roman" w:eastAsia="Times New Roman" w:hint="default"/>
                <w:sz w:val="18"/>
                <w:szCs w:val="18"/>
              </w:rPr>
            </w:pPr>
            <w:r>
              <w:rPr>
                <w:rFonts w:ascii="Times New Roman"/>
                <w:sz w:val="18"/>
              </w:rPr>
              <w:t>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张剑秋</w:t>
            </w:r>
          </w:p>
        </w:tc>
        <w:tc>
          <w:tcPr>
            <w:tcW w:w="10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张剑秋</w:t>
            </w:r>
          </w:p>
        </w:tc>
        <w:tc>
          <w:tcPr>
            <w:tcW w:w="526"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2"/>
              <w:ind w:right="96"/>
              <w:jc w:val="center"/>
              <w:rPr>
                <w:rFonts w:ascii="宋体" w:hAnsi="宋体" w:cs="宋体" w:eastAsia="宋体" w:hint="default"/>
                <w:sz w:val="18"/>
                <w:szCs w:val="18"/>
              </w:rPr>
            </w:pPr>
            <w:r>
              <w:rPr>
                <w:rFonts w:ascii="宋体" w:hAnsi="宋体" w:cs="宋体" w:eastAsia="宋体" w:hint="default"/>
                <w:sz w:val="18"/>
                <w:szCs w:val="18"/>
              </w:rPr>
              <w:t>现任</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1"/>
              <w:jc w:val="right"/>
              <w:rPr>
                <w:rFonts w:ascii="宋体" w:hAnsi="宋体" w:cs="宋体" w:eastAsia="宋体" w:hint="default"/>
                <w:sz w:val="18"/>
                <w:szCs w:val="18"/>
              </w:rPr>
            </w:pPr>
            <w:r>
              <w:rPr>
                <w:rFonts w:ascii="宋体" w:hAnsi="宋体" w:cs="宋体" w:eastAsia="宋体" w:hint="default"/>
                <w:sz w:val="18"/>
                <w:szCs w:val="18"/>
              </w:rPr>
              <w:t>男</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center"/>
              <w:rPr>
                <w:rFonts w:ascii="Times New Roman" w:hAnsi="Times New Roman" w:cs="Times New Roman" w:eastAsia="Times New Roman" w:hint="default"/>
                <w:sz w:val="18"/>
                <w:szCs w:val="18"/>
              </w:rPr>
            </w:pPr>
            <w:r>
              <w:rPr>
                <w:rFonts w:ascii="Times New Roman"/>
                <w:sz w:val="18"/>
              </w:rPr>
              <w:t>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16"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76,275</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76,275</w:t>
            </w:r>
          </w:p>
        </w:tc>
      </w:tr>
      <w:tr>
        <w:trPr>
          <w:trHeight w:val="714" w:hRule="exact"/>
        </w:trPr>
        <w:tc>
          <w:tcPr>
            <w:tcW w:w="6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张韶衡</w:t>
            </w:r>
          </w:p>
        </w:tc>
        <w:tc>
          <w:tcPr>
            <w:tcW w:w="10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85"/>
              <w:jc w:val="left"/>
              <w:rPr>
                <w:rFonts w:ascii="宋体" w:hAnsi="宋体" w:cs="宋体" w:eastAsia="宋体" w:hint="default"/>
                <w:sz w:val="18"/>
                <w:szCs w:val="18"/>
              </w:rPr>
            </w:pPr>
            <w:r>
              <w:rPr>
                <w:rFonts w:ascii="宋体" w:hAnsi="宋体" w:cs="宋体" w:eastAsia="宋体" w:hint="default"/>
                <w:sz w:val="18"/>
                <w:szCs w:val="18"/>
              </w:rPr>
              <w:t>董事、常务 副总经理</w:t>
            </w:r>
          </w:p>
        </w:tc>
        <w:tc>
          <w:tcPr>
            <w:tcW w:w="526"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96"/>
              <w:jc w:val="center"/>
              <w:rPr>
                <w:rFonts w:ascii="宋体" w:hAnsi="宋体" w:cs="宋体" w:eastAsia="宋体" w:hint="default"/>
                <w:sz w:val="18"/>
                <w:szCs w:val="18"/>
              </w:rPr>
            </w:pPr>
            <w:r>
              <w:rPr>
                <w:rFonts w:ascii="宋体" w:hAnsi="宋体" w:cs="宋体" w:eastAsia="宋体" w:hint="default"/>
                <w:sz w:val="18"/>
                <w:szCs w:val="18"/>
              </w:rPr>
              <w:t>现任</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81"/>
              <w:jc w:val="right"/>
              <w:rPr>
                <w:rFonts w:ascii="宋体" w:hAnsi="宋体" w:cs="宋体" w:eastAsia="宋体" w:hint="default"/>
                <w:sz w:val="18"/>
                <w:szCs w:val="18"/>
              </w:rPr>
            </w:pPr>
            <w:r>
              <w:rPr>
                <w:rFonts w:ascii="宋体" w:hAnsi="宋体" w:cs="宋体" w:eastAsia="宋体" w:hint="default"/>
                <w:sz w:val="18"/>
                <w:szCs w:val="18"/>
              </w:rPr>
              <w:t>男</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45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16"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77,175</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77,175</w:t>
            </w:r>
          </w:p>
        </w:tc>
      </w:tr>
      <w:tr>
        <w:trPr>
          <w:trHeight w:val="402" w:hRule="exact"/>
        </w:trPr>
        <w:tc>
          <w:tcPr>
            <w:tcW w:w="6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刘小斌</w:t>
            </w:r>
          </w:p>
        </w:tc>
        <w:tc>
          <w:tcPr>
            <w:tcW w:w="10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6"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2"/>
              <w:ind w:right="96"/>
              <w:jc w:val="center"/>
              <w:rPr>
                <w:rFonts w:ascii="宋体" w:hAnsi="宋体" w:cs="宋体" w:eastAsia="宋体" w:hint="default"/>
                <w:sz w:val="18"/>
                <w:szCs w:val="18"/>
              </w:rPr>
            </w:pPr>
            <w:r>
              <w:rPr>
                <w:rFonts w:ascii="宋体" w:hAnsi="宋体" w:cs="宋体" w:eastAsia="宋体" w:hint="default"/>
                <w:sz w:val="18"/>
                <w:szCs w:val="18"/>
              </w:rPr>
              <w:t>现任</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1"/>
              <w:jc w:val="right"/>
              <w:rPr>
                <w:rFonts w:ascii="宋体" w:hAnsi="宋体" w:cs="宋体" w:eastAsia="宋体" w:hint="default"/>
                <w:sz w:val="18"/>
                <w:szCs w:val="18"/>
              </w:rPr>
            </w:pPr>
            <w:r>
              <w:rPr>
                <w:rFonts w:ascii="宋体" w:hAnsi="宋体" w:cs="宋体" w:eastAsia="宋体" w:hint="default"/>
                <w:sz w:val="18"/>
                <w:szCs w:val="18"/>
              </w:rPr>
              <w:t>男</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center"/>
              <w:rPr>
                <w:rFonts w:ascii="Times New Roman" w:hAnsi="Times New Roman" w:cs="Times New Roman" w:eastAsia="Times New Roman" w:hint="default"/>
                <w:sz w:val="18"/>
                <w:szCs w:val="18"/>
              </w:rPr>
            </w:pPr>
            <w:r>
              <w:rPr>
                <w:rFonts w:ascii="Times New Roman"/>
                <w:sz w:val="18"/>
              </w:rPr>
              <w:t>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16"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汪思洋</w:t>
            </w:r>
          </w:p>
        </w:tc>
        <w:tc>
          <w:tcPr>
            <w:tcW w:w="10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6"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2"/>
              <w:ind w:right="96"/>
              <w:jc w:val="center"/>
              <w:rPr>
                <w:rFonts w:ascii="宋体" w:hAnsi="宋体" w:cs="宋体" w:eastAsia="宋体" w:hint="default"/>
                <w:sz w:val="18"/>
                <w:szCs w:val="18"/>
              </w:rPr>
            </w:pPr>
            <w:r>
              <w:rPr>
                <w:rFonts w:ascii="宋体" w:hAnsi="宋体" w:cs="宋体" w:eastAsia="宋体" w:hint="default"/>
                <w:sz w:val="18"/>
                <w:szCs w:val="18"/>
              </w:rPr>
              <w:t>离任</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1"/>
              <w:jc w:val="right"/>
              <w:rPr>
                <w:rFonts w:ascii="宋体" w:hAnsi="宋体" w:cs="宋体" w:eastAsia="宋体" w:hint="default"/>
                <w:sz w:val="18"/>
                <w:szCs w:val="18"/>
              </w:rPr>
            </w:pPr>
            <w:r>
              <w:rPr>
                <w:rFonts w:ascii="宋体" w:hAnsi="宋体" w:cs="宋体" w:eastAsia="宋体" w:hint="default"/>
                <w:sz w:val="18"/>
                <w:szCs w:val="18"/>
              </w:rPr>
              <w:t>男</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center"/>
              <w:rPr>
                <w:rFonts w:ascii="Times New Roman" w:hAnsi="Times New Roman" w:cs="Times New Roman" w:eastAsia="Times New Roman" w:hint="default"/>
                <w:sz w:val="18"/>
                <w:szCs w:val="18"/>
              </w:rPr>
            </w:pPr>
            <w:r>
              <w:rPr>
                <w:rFonts w:ascii="Times New Roman"/>
                <w:sz w:val="18"/>
              </w:rPr>
              <w:t>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叶雪芳</w:t>
            </w:r>
          </w:p>
        </w:tc>
        <w:tc>
          <w:tcPr>
            <w:tcW w:w="10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6"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2"/>
              <w:ind w:right="96"/>
              <w:jc w:val="center"/>
              <w:rPr>
                <w:rFonts w:ascii="宋体" w:hAnsi="宋体" w:cs="宋体" w:eastAsia="宋体" w:hint="default"/>
                <w:sz w:val="18"/>
                <w:szCs w:val="18"/>
              </w:rPr>
            </w:pPr>
            <w:r>
              <w:rPr>
                <w:rFonts w:ascii="宋体" w:hAnsi="宋体" w:cs="宋体" w:eastAsia="宋体" w:hint="default"/>
                <w:sz w:val="18"/>
                <w:szCs w:val="18"/>
              </w:rPr>
              <w:t>现任</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1"/>
              <w:jc w:val="right"/>
              <w:rPr>
                <w:rFonts w:ascii="宋体" w:hAnsi="宋体" w:cs="宋体" w:eastAsia="宋体" w:hint="default"/>
                <w:sz w:val="18"/>
                <w:szCs w:val="18"/>
              </w:rPr>
            </w:pPr>
            <w:r>
              <w:rPr>
                <w:rFonts w:ascii="宋体" w:hAnsi="宋体" w:cs="宋体" w:eastAsia="宋体" w:hint="default"/>
                <w:sz w:val="18"/>
                <w:szCs w:val="18"/>
              </w:rPr>
              <w:t>女</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center"/>
              <w:rPr>
                <w:rFonts w:ascii="Times New Roman" w:hAnsi="Times New Roman" w:cs="Times New Roman" w:eastAsia="Times New Roman" w:hint="default"/>
                <w:sz w:val="18"/>
                <w:szCs w:val="18"/>
              </w:rPr>
            </w:pPr>
            <w:r>
              <w:rPr>
                <w:rFonts w:ascii="Times New Roman"/>
                <w:sz w:val="18"/>
              </w:rPr>
              <w:t>53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16"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蔡才河</w:t>
            </w:r>
          </w:p>
        </w:tc>
        <w:tc>
          <w:tcPr>
            <w:tcW w:w="10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6"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2"/>
              <w:ind w:right="96"/>
              <w:jc w:val="center"/>
              <w:rPr>
                <w:rFonts w:ascii="宋体" w:hAnsi="宋体" w:cs="宋体" w:eastAsia="宋体" w:hint="default"/>
                <w:sz w:val="18"/>
                <w:szCs w:val="18"/>
              </w:rPr>
            </w:pPr>
            <w:r>
              <w:rPr>
                <w:rFonts w:ascii="宋体" w:hAnsi="宋体" w:cs="宋体" w:eastAsia="宋体" w:hint="default"/>
                <w:sz w:val="18"/>
                <w:szCs w:val="18"/>
              </w:rPr>
              <w:t>现任</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1"/>
              <w:jc w:val="right"/>
              <w:rPr>
                <w:rFonts w:ascii="宋体" w:hAnsi="宋体" w:cs="宋体" w:eastAsia="宋体" w:hint="default"/>
                <w:sz w:val="18"/>
                <w:szCs w:val="18"/>
              </w:rPr>
            </w:pPr>
            <w:r>
              <w:rPr>
                <w:rFonts w:ascii="宋体" w:hAnsi="宋体" w:cs="宋体" w:eastAsia="宋体" w:hint="default"/>
                <w:sz w:val="18"/>
                <w:szCs w:val="18"/>
              </w:rPr>
              <w:t>男</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center"/>
              <w:rPr>
                <w:rFonts w:ascii="Times New Roman" w:hAnsi="Times New Roman" w:cs="Times New Roman" w:eastAsia="Times New Roman" w:hint="default"/>
                <w:sz w:val="18"/>
                <w:szCs w:val="18"/>
              </w:rPr>
            </w:pPr>
            <w:r>
              <w:rPr>
                <w:rFonts w:ascii="Times New Roman"/>
                <w:sz w:val="18"/>
              </w:rPr>
              <w:t>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16"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郭全中</w:t>
            </w:r>
          </w:p>
        </w:tc>
        <w:tc>
          <w:tcPr>
            <w:tcW w:w="10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6"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2"/>
              <w:ind w:right="96"/>
              <w:jc w:val="center"/>
              <w:rPr>
                <w:rFonts w:ascii="宋体" w:hAnsi="宋体" w:cs="宋体" w:eastAsia="宋体" w:hint="default"/>
                <w:sz w:val="18"/>
                <w:szCs w:val="18"/>
              </w:rPr>
            </w:pPr>
            <w:r>
              <w:rPr>
                <w:rFonts w:ascii="宋体" w:hAnsi="宋体" w:cs="宋体" w:eastAsia="宋体" w:hint="default"/>
                <w:sz w:val="18"/>
                <w:szCs w:val="18"/>
              </w:rPr>
              <w:t>现任</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1"/>
              <w:jc w:val="right"/>
              <w:rPr>
                <w:rFonts w:ascii="宋体" w:hAnsi="宋体" w:cs="宋体" w:eastAsia="宋体" w:hint="default"/>
                <w:sz w:val="18"/>
                <w:szCs w:val="18"/>
              </w:rPr>
            </w:pPr>
            <w:r>
              <w:rPr>
                <w:rFonts w:ascii="宋体" w:hAnsi="宋体" w:cs="宋体" w:eastAsia="宋体" w:hint="default"/>
                <w:sz w:val="18"/>
                <w:szCs w:val="18"/>
              </w:rPr>
              <w:t>男</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center"/>
              <w:rPr>
                <w:rFonts w:ascii="Times New Roman" w:hAnsi="Times New Roman" w:cs="Times New Roman" w:eastAsia="Times New Roman" w:hint="default"/>
                <w:sz w:val="18"/>
                <w:szCs w:val="18"/>
              </w:rPr>
            </w:pPr>
            <w:r>
              <w:rPr>
                <w:rFonts w:ascii="Times New Roman"/>
                <w:sz w:val="18"/>
              </w:rPr>
              <w:t>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16"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沈旭微</w:t>
            </w:r>
          </w:p>
        </w:tc>
        <w:tc>
          <w:tcPr>
            <w:tcW w:w="10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26"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2"/>
              <w:ind w:right="96"/>
              <w:jc w:val="center"/>
              <w:rPr>
                <w:rFonts w:ascii="宋体" w:hAnsi="宋体" w:cs="宋体" w:eastAsia="宋体" w:hint="default"/>
                <w:sz w:val="18"/>
                <w:szCs w:val="18"/>
              </w:rPr>
            </w:pPr>
            <w:r>
              <w:rPr>
                <w:rFonts w:ascii="宋体" w:hAnsi="宋体" w:cs="宋体" w:eastAsia="宋体" w:hint="default"/>
                <w:sz w:val="18"/>
                <w:szCs w:val="18"/>
              </w:rPr>
              <w:t>现任</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1"/>
              <w:jc w:val="right"/>
              <w:rPr>
                <w:rFonts w:ascii="宋体" w:hAnsi="宋体" w:cs="宋体" w:eastAsia="宋体" w:hint="default"/>
                <w:sz w:val="18"/>
                <w:szCs w:val="18"/>
              </w:rPr>
            </w:pPr>
            <w:r>
              <w:rPr>
                <w:rFonts w:ascii="宋体" w:hAnsi="宋体" w:cs="宋体" w:eastAsia="宋体" w:hint="default"/>
                <w:sz w:val="18"/>
                <w:szCs w:val="18"/>
              </w:rPr>
              <w:t>男</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center"/>
              <w:rPr>
                <w:rFonts w:ascii="Times New Roman" w:hAnsi="Times New Roman" w:cs="Times New Roman" w:eastAsia="Times New Roman" w:hint="default"/>
                <w:sz w:val="18"/>
                <w:szCs w:val="18"/>
              </w:rPr>
            </w:pPr>
            <w:r>
              <w:rPr>
                <w:rFonts w:ascii="Times New Roman"/>
                <w:sz w:val="18"/>
              </w:rPr>
              <w:t>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16"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陈军雄</w:t>
            </w:r>
          </w:p>
        </w:tc>
        <w:tc>
          <w:tcPr>
            <w:tcW w:w="10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26"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2"/>
              <w:ind w:right="96"/>
              <w:jc w:val="center"/>
              <w:rPr>
                <w:rFonts w:ascii="宋体" w:hAnsi="宋体" w:cs="宋体" w:eastAsia="宋体" w:hint="default"/>
                <w:sz w:val="18"/>
                <w:szCs w:val="18"/>
              </w:rPr>
            </w:pPr>
            <w:r>
              <w:rPr>
                <w:rFonts w:ascii="宋体" w:hAnsi="宋体" w:cs="宋体" w:eastAsia="宋体" w:hint="default"/>
                <w:sz w:val="18"/>
                <w:szCs w:val="18"/>
              </w:rPr>
              <w:t>现任</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1"/>
              <w:jc w:val="right"/>
              <w:rPr>
                <w:rFonts w:ascii="宋体" w:hAnsi="宋体" w:cs="宋体" w:eastAsia="宋体" w:hint="default"/>
                <w:sz w:val="18"/>
                <w:szCs w:val="18"/>
              </w:rPr>
            </w:pPr>
            <w:r>
              <w:rPr>
                <w:rFonts w:ascii="宋体" w:hAnsi="宋体" w:cs="宋体" w:eastAsia="宋体" w:hint="default"/>
                <w:sz w:val="18"/>
                <w:szCs w:val="18"/>
              </w:rPr>
              <w:t>男</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center"/>
              <w:rPr>
                <w:rFonts w:ascii="Times New Roman" w:hAnsi="Times New Roman" w:cs="Times New Roman" w:eastAsia="Times New Roman" w:hint="default"/>
                <w:sz w:val="18"/>
                <w:szCs w:val="18"/>
              </w:rPr>
            </w:pPr>
            <w:r>
              <w:rPr>
                <w:rFonts w:ascii="Times New Roman"/>
                <w:sz w:val="18"/>
              </w:rPr>
              <w:t>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16"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裴蓉</w:t>
            </w:r>
          </w:p>
        </w:tc>
        <w:tc>
          <w:tcPr>
            <w:tcW w:w="10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26"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2"/>
              <w:ind w:right="96"/>
              <w:jc w:val="center"/>
              <w:rPr>
                <w:rFonts w:ascii="宋体" w:hAnsi="宋体" w:cs="宋体" w:eastAsia="宋体" w:hint="default"/>
                <w:sz w:val="18"/>
                <w:szCs w:val="18"/>
              </w:rPr>
            </w:pPr>
            <w:r>
              <w:rPr>
                <w:rFonts w:ascii="宋体" w:hAnsi="宋体" w:cs="宋体" w:eastAsia="宋体" w:hint="default"/>
                <w:sz w:val="18"/>
                <w:szCs w:val="18"/>
              </w:rPr>
              <w:t>现任</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1"/>
              <w:jc w:val="right"/>
              <w:rPr>
                <w:rFonts w:ascii="宋体" w:hAnsi="宋体" w:cs="宋体" w:eastAsia="宋体" w:hint="default"/>
                <w:sz w:val="18"/>
                <w:szCs w:val="18"/>
              </w:rPr>
            </w:pPr>
            <w:r>
              <w:rPr>
                <w:rFonts w:ascii="宋体" w:hAnsi="宋体" w:cs="宋体" w:eastAsia="宋体" w:hint="default"/>
                <w:sz w:val="18"/>
                <w:szCs w:val="18"/>
              </w:rPr>
              <w:t>女</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center"/>
              <w:rPr>
                <w:rFonts w:ascii="Times New Roman" w:hAnsi="Times New Roman" w:cs="Times New Roman" w:eastAsia="Times New Roman" w:hint="default"/>
                <w:sz w:val="18"/>
                <w:szCs w:val="18"/>
              </w:rPr>
            </w:pPr>
            <w:r>
              <w:rPr>
                <w:rFonts w:ascii="Times New Roman"/>
                <w:sz w:val="18"/>
              </w:rPr>
              <w:t>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16"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邹箭峰</w:t>
            </w:r>
          </w:p>
        </w:tc>
        <w:tc>
          <w:tcPr>
            <w:tcW w:w="10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526"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2"/>
              <w:ind w:right="96"/>
              <w:jc w:val="center"/>
              <w:rPr>
                <w:rFonts w:ascii="宋体" w:hAnsi="宋体" w:cs="宋体" w:eastAsia="宋体" w:hint="default"/>
                <w:sz w:val="18"/>
                <w:szCs w:val="18"/>
              </w:rPr>
            </w:pPr>
            <w:r>
              <w:rPr>
                <w:rFonts w:ascii="宋体" w:hAnsi="宋体" w:cs="宋体" w:eastAsia="宋体" w:hint="default"/>
                <w:sz w:val="18"/>
                <w:szCs w:val="18"/>
              </w:rPr>
              <w:t>现任</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1"/>
              <w:jc w:val="right"/>
              <w:rPr>
                <w:rFonts w:ascii="宋体" w:hAnsi="宋体" w:cs="宋体" w:eastAsia="宋体" w:hint="default"/>
                <w:sz w:val="18"/>
                <w:szCs w:val="18"/>
              </w:rPr>
            </w:pPr>
            <w:r>
              <w:rPr>
                <w:rFonts w:ascii="宋体" w:hAnsi="宋体" w:cs="宋体" w:eastAsia="宋体" w:hint="default"/>
                <w:sz w:val="18"/>
                <w:szCs w:val="18"/>
              </w:rPr>
              <w:t>男</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center"/>
              <w:rPr>
                <w:rFonts w:ascii="Times New Roman" w:hAnsi="Times New Roman" w:cs="Times New Roman" w:eastAsia="Times New Roman" w:hint="default"/>
                <w:sz w:val="18"/>
                <w:szCs w:val="18"/>
              </w:rPr>
            </w:pPr>
            <w:r>
              <w:rPr>
                <w:rFonts w:ascii="Times New Roman"/>
                <w:sz w:val="18"/>
              </w:rPr>
              <w:t>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16"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洪晓明</w:t>
            </w:r>
          </w:p>
        </w:tc>
        <w:tc>
          <w:tcPr>
            <w:tcW w:w="10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526"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2"/>
              <w:ind w:right="96"/>
              <w:jc w:val="center"/>
              <w:rPr>
                <w:rFonts w:ascii="宋体" w:hAnsi="宋体" w:cs="宋体" w:eastAsia="宋体" w:hint="default"/>
                <w:sz w:val="18"/>
                <w:szCs w:val="18"/>
              </w:rPr>
            </w:pPr>
            <w:r>
              <w:rPr>
                <w:rFonts w:ascii="宋体" w:hAnsi="宋体" w:cs="宋体" w:eastAsia="宋体" w:hint="default"/>
                <w:sz w:val="18"/>
                <w:szCs w:val="18"/>
              </w:rPr>
              <w:t>现任</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1"/>
              <w:jc w:val="right"/>
              <w:rPr>
                <w:rFonts w:ascii="宋体" w:hAnsi="宋体" w:cs="宋体" w:eastAsia="宋体" w:hint="default"/>
                <w:sz w:val="18"/>
                <w:szCs w:val="18"/>
              </w:rPr>
            </w:pPr>
            <w:r>
              <w:rPr>
                <w:rFonts w:ascii="宋体" w:hAnsi="宋体" w:cs="宋体" w:eastAsia="宋体" w:hint="default"/>
                <w:sz w:val="18"/>
                <w:szCs w:val="18"/>
              </w:rPr>
              <w:t>男</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center"/>
              <w:rPr>
                <w:rFonts w:ascii="Times New Roman" w:hAnsi="Times New Roman" w:cs="Times New Roman" w:eastAsia="Times New Roman" w:hint="default"/>
                <w:sz w:val="18"/>
                <w:szCs w:val="18"/>
              </w:rPr>
            </w:pPr>
            <w:r>
              <w:rPr>
                <w:rFonts w:ascii="Times New Roman"/>
                <w:sz w:val="18"/>
              </w:rPr>
              <w:t>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16"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于国清</w:t>
            </w:r>
          </w:p>
        </w:tc>
        <w:tc>
          <w:tcPr>
            <w:tcW w:w="10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26"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2"/>
              <w:ind w:right="96"/>
              <w:jc w:val="center"/>
              <w:rPr>
                <w:rFonts w:ascii="宋体" w:hAnsi="宋体" w:cs="宋体" w:eastAsia="宋体" w:hint="default"/>
                <w:sz w:val="18"/>
                <w:szCs w:val="18"/>
              </w:rPr>
            </w:pPr>
            <w:r>
              <w:rPr>
                <w:rFonts w:ascii="宋体" w:hAnsi="宋体" w:cs="宋体" w:eastAsia="宋体" w:hint="default"/>
                <w:sz w:val="18"/>
                <w:szCs w:val="18"/>
              </w:rPr>
              <w:t>现任</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1"/>
              <w:jc w:val="right"/>
              <w:rPr>
                <w:rFonts w:ascii="宋体" w:hAnsi="宋体" w:cs="宋体" w:eastAsia="宋体" w:hint="default"/>
                <w:sz w:val="18"/>
                <w:szCs w:val="18"/>
              </w:rPr>
            </w:pPr>
            <w:r>
              <w:rPr>
                <w:rFonts w:ascii="宋体" w:hAnsi="宋体" w:cs="宋体" w:eastAsia="宋体" w:hint="default"/>
                <w:sz w:val="18"/>
                <w:szCs w:val="18"/>
              </w:rPr>
              <w:t>男</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center"/>
              <w:rPr>
                <w:rFonts w:ascii="Times New Roman" w:hAnsi="Times New Roman" w:cs="Times New Roman" w:eastAsia="Times New Roman" w:hint="default"/>
                <w:sz w:val="18"/>
                <w:szCs w:val="18"/>
              </w:rPr>
            </w:pPr>
            <w:r>
              <w:rPr>
                <w:rFonts w:ascii="Times New Roman"/>
                <w:sz w:val="18"/>
              </w:rPr>
              <w:t>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16"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77,325</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77,325</w:t>
            </w:r>
          </w:p>
        </w:tc>
      </w:tr>
      <w:tr>
        <w:trPr>
          <w:trHeight w:val="402" w:hRule="exact"/>
        </w:trPr>
        <w:tc>
          <w:tcPr>
            <w:tcW w:w="6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宋浩</w:t>
            </w:r>
          </w:p>
        </w:tc>
        <w:tc>
          <w:tcPr>
            <w:tcW w:w="10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26"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2"/>
              <w:ind w:right="96"/>
              <w:jc w:val="center"/>
              <w:rPr>
                <w:rFonts w:ascii="宋体" w:hAnsi="宋体" w:cs="宋体" w:eastAsia="宋体" w:hint="default"/>
                <w:sz w:val="18"/>
                <w:szCs w:val="18"/>
              </w:rPr>
            </w:pPr>
            <w:r>
              <w:rPr>
                <w:rFonts w:ascii="宋体" w:hAnsi="宋体" w:cs="宋体" w:eastAsia="宋体" w:hint="default"/>
                <w:sz w:val="18"/>
                <w:szCs w:val="18"/>
              </w:rPr>
              <w:t>离任</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1"/>
              <w:jc w:val="right"/>
              <w:rPr>
                <w:rFonts w:ascii="宋体" w:hAnsi="宋体" w:cs="宋体" w:eastAsia="宋体" w:hint="default"/>
                <w:sz w:val="18"/>
                <w:szCs w:val="18"/>
              </w:rPr>
            </w:pPr>
            <w:r>
              <w:rPr>
                <w:rFonts w:ascii="宋体" w:hAnsi="宋体" w:cs="宋体" w:eastAsia="宋体" w:hint="default"/>
                <w:sz w:val="18"/>
                <w:szCs w:val="18"/>
              </w:rPr>
              <w:t>男</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center"/>
              <w:rPr>
                <w:rFonts w:ascii="Times New Roman" w:hAnsi="Times New Roman" w:cs="Times New Roman" w:eastAsia="Times New Roman" w:hint="default"/>
                <w:sz w:val="18"/>
                <w:szCs w:val="18"/>
              </w:rPr>
            </w:pPr>
            <w:r>
              <w:rPr>
                <w:rFonts w:ascii="Times New Roman"/>
                <w:sz w:val="18"/>
              </w:rPr>
              <w:t>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77,100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77,100</w:t>
            </w:r>
          </w:p>
        </w:tc>
      </w:tr>
      <w:tr>
        <w:trPr>
          <w:trHeight w:val="402" w:hRule="exact"/>
        </w:trPr>
        <w:tc>
          <w:tcPr>
            <w:tcW w:w="6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10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26"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2"/>
              <w:ind w:right="96"/>
              <w:jc w:val="center"/>
              <w:rPr>
                <w:rFonts w:ascii="宋体" w:hAnsi="宋体" w:cs="宋体" w:eastAsia="宋体" w:hint="default"/>
                <w:sz w:val="18"/>
                <w:szCs w:val="18"/>
              </w:rPr>
            </w:pPr>
            <w:r>
              <w:rPr>
                <w:rFonts w:ascii="宋体" w:hAnsi="宋体" w:cs="宋体" w:eastAsia="宋体" w:hint="default"/>
                <w:sz w:val="18"/>
                <w:szCs w:val="18"/>
              </w:rPr>
              <w:t>现任</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1"/>
              <w:jc w:val="right"/>
              <w:rPr>
                <w:rFonts w:ascii="宋体" w:hAnsi="宋体" w:cs="宋体" w:eastAsia="宋体" w:hint="default"/>
                <w:sz w:val="18"/>
                <w:szCs w:val="18"/>
              </w:rPr>
            </w:pPr>
            <w:r>
              <w:rPr>
                <w:rFonts w:ascii="宋体" w:hAnsi="宋体" w:cs="宋体" w:eastAsia="宋体" w:hint="default"/>
                <w:sz w:val="18"/>
                <w:szCs w:val="18"/>
              </w:rPr>
              <w:t>男</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center"/>
              <w:rPr>
                <w:rFonts w:ascii="Times New Roman" w:hAnsi="Times New Roman" w:cs="Times New Roman" w:eastAsia="Times New Roman" w:hint="default"/>
                <w:sz w:val="18"/>
                <w:szCs w:val="18"/>
              </w:rPr>
            </w:pPr>
            <w:r>
              <w:rPr>
                <w:rFonts w:ascii="Times New Roman"/>
                <w:sz w:val="18"/>
              </w:rPr>
              <w:t>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16"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76,875</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76,875</w:t>
            </w:r>
          </w:p>
        </w:tc>
      </w:tr>
      <w:tr>
        <w:trPr>
          <w:trHeight w:val="402" w:hRule="exact"/>
        </w:trPr>
        <w:tc>
          <w:tcPr>
            <w:tcW w:w="6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高坚强</w:t>
            </w:r>
          </w:p>
        </w:tc>
        <w:tc>
          <w:tcPr>
            <w:tcW w:w="10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526"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2"/>
              <w:ind w:right="96"/>
              <w:jc w:val="center"/>
              <w:rPr>
                <w:rFonts w:ascii="宋体" w:hAnsi="宋体" w:cs="宋体" w:eastAsia="宋体" w:hint="default"/>
                <w:sz w:val="18"/>
                <w:szCs w:val="18"/>
              </w:rPr>
            </w:pPr>
            <w:r>
              <w:rPr>
                <w:rFonts w:ascii="宋体" w:hAnsi="宋体" w:cs="宋体" w:eastAsia="宋体" w:hint="default"/>
                <w:sz w:val="18"/>
                <w:szCs w:val="18"/>
              </w:rPr>
              <w:t>现任</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1"/>
              <w:jc w:val="right"/>
              <w:rPr>
                <w:rFonts w:ascii="宋体" w:hAnsi="宋体" w:cs="宋体" w:eastAsia="宋体" w:hint="default"/>
                <w:sz w:val="18"/>
                <w:szCs w:val="18"/>
              </w:rPr>
            </w:pPr>
            <w:r>
              <w:rPr>
                <w:rFonts w:ascii="宋体" w:hAnsi="宋体" w:cs="宋体" w:eastAsia="宋体" w:hint="default"/>
                <w:sz w:val="18"/>
                <w:szCs w:val="18"/>
              </w:rPr>
              <w:t>男</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center"/>
              <w:rPr>
                <w:rFonts w:ascii="Times New Roman" w:hAnsi="Times New Roman" w:cs="Times New Roman" w:eastAsia="Times New Roman" w:hint="default"/>
                <w:sz w:val="18"/>
                <w:szCs w:val="18"/>
              </w:rPr>
            </w:pPr>
            <w:r>
              <w:rPr>
                <w:rFonts w:ascii="Times New Roman"/>
                <w:sz w:val="18"/>
              </w:rPr>
              <w:t>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16"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77,700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77,700</w:t>
            </w:r>
          </w:p>
        </w:tc>
      </w:tr>
      <w:tr>
        <w:trPr>
          <w:trHeight w:val="402" w:hRule="exact"/>
        </w:trPr>
        <w:tc>
          <w:tcPr>
            <w:tcW w:w="6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王柏华</w:t>
            </w:r>
          </w:p>
        </w:tc>
        <w:tc>
          <w:tcPr>
            <w:tcW w:w="10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26"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2"/>
              <w:ind w:right="96"/>
              <w:jc w:val="center"/>
              <w:rPr>
                <w:rFonts w:ascii="宋体" w:hAnsi="宋体" w:cs="宋体" w:eastAsia="宋体" w:hint="default"/>
                <w:sz w:val="18"/>
                <w:szCs w:val="18"/>
              </w:rPr>
            </w:pPr>
            <w:r>
              <w:rPr>
                <w:rFonts w:ascii="宋体" w:hAnsi="宋体" w:cs="宋体" w:eastAsia="宋体" w:hint="default"/>
                <w:sz w:val="18"/>
                <w:szCs w:val="18"/>
              </w:rPr>
              <w:t>现任</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1"/>
              <w:jc w:val="right"/>
              <w:rPr>
                <w:rFonts w:ascii="宋体" w:hAnsi="宋体" w:cs="宋体" w:eastAsia="宋体" w:hint="default"/>
                <w:sz w:val="18"/>
                <w:szCs w:val="18"/>
              </w:rPr>
            </w:pPr>
            <w:r>
              <w:rPr>
                <w:rFonts w:ascii="宋体" w:hAnsi="宋体" w:cs="宋体" w:eastAsia="宋体" w:hint="default"/>
                <w:sz w:val="18"/>
                <w:szCs w:val="18"/>
              </w:rPr>
              <w:t>男</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center"/>
              <w:rPr>
                <w:rFonts w:ascii="Times New Roman" w:hAnsi="Times New Roman" w:cs="Times New Roman" w:eastAsia="Times New Roman" w:hint="default"/>
                <w:sz w:val="18"/>
                <w:szCs w:val="18"/>
              </w:rPr>
            </w:pPr>
            <w:r>
              <w:rPr>
                <w:rFonts w:ascii="Times New Roman"/>
                <w:sz w:val="18"/>
              </w:rPr>
              <w:t>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16"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6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w:t>
            </w:r>
          </w:p>
        </w:tc>
        <w:tc>
          <w:tcPr>
            <w:tcW w:w="5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w:t>
            </w:r>
          </w:p>
        </w:tc>
        <w:tc>
          <w:tcPr>
            <w:tcW w:w="3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32"/>
              <w:jc w:val="right"/>
              <w:rPr>
                <w:rFonts w:ascii="Times New Roman" w:hAnsi="Times New Roman" w:cs="Times New Roman" w:eastAsia="Times New Roman" w:hint="default"/>
                <w:sz w:val="18"/>
                <w:szCs w:val="18"/>
              </w:rPr>
            </w:pPr>
            <w:r>
              <w:rPr>
                <w:rFonts w:ascii="Times New Roman"/>
                <w:sz w:val="18"/>
              </w:rPr>
              <w:t>--</w:t>
            </w:r>
          </w:p>
        </w:tc>
        <w:tc>
          <w:tcPr>
            <w:tcW w:w="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462,450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462,450</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330"/>
        <w:gridCol w:w="1540"/>
        <w:gridCol w:w="4026"/>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汪思洋</w:t>
            </w:r>
          </w:p>
        </w:tc>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第八届董事会任期届满</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刘小斌</w:t>
            </w:r>
          </w:p>
        </w:tc>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年年度股东大会选举第九届董事会董事</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330"/>
        <w:gridCol w:w="1540"/>
        <w:gridCol w:w="4026"/>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宋浩</w:t>
            </w:r>
          </w:p>
        </w:tc>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鲍林强</w:t>
            </w:r>
          </w:p>
        </w:tc>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工作调动</w:t>
            </w:r>
          </w:p>
        </w:tc>
      </w:tr>
    </w:tbl>
    <w:p>
      <w:pPr>
        <w:spacing w:line="240" w:lineRule="auto" w:before="2"/>
        <w:rPr>
          <w:rFonts w:ascii="宋体" w:hAnsi="宋体" w:cs="宋体" w:eastAsia="宋体" w:hint="default"/>
          <w:sz w:val="18"/>
          <w:szCs w:val="18"/>
        </w:rPr>
      </w:pPr>
    </w:p>
    <w:p>
      <w:pPr>
        <w:pStyle w:val="Heading2"/>
        <w:spacing w:line="240" w:lineRule="auto" w:before="26"/>
        <w:ind w:right="0"/>
        <w:jc w:val="both"/>
        <w:rPr>
          <w:b w:val="0"/>
          <w:bCs w:val="0"/>
        </w:rPr>
      </w:pP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13" w:right="1121" w:hanging="360"/>
        <w:jc w:val="left"/>
      </w:pPr>
      <w:r>
        <w:rPr/>
        <w:t>公司现任董事、监事、高级管理人员专业背景、主要工作经历以及目前在公司的主要职责 董悦先生，</w:t>
      </w:r>
      <w:r>
        <w:rPr>
          <w:rFonts w:ascii="Times New Roman" w:hAnsi="Times New Roman" w:cs="Times New Roman" w:eastAsia="Times New Roman" w:hint="default"/>
        </w:rPr>
        <w:t>1972</w:t>
      </w:r>
      <w:r>
        <w:rPr/>
        <w:t>年生，公共管理硕士，中国国籍，无境外居住权。</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月，任建德市市长、建德市委</w:t>
      </w:r>
    </w:p>
    <w:p>
      <w:pPr>
        <w:pStyle w:val="BodyText"/>
        <w:spacing w:line="214" w:lineRule="exact"/>
        <w:ind w:right="0"/>
        <w:jc w:val="both"/>
      </w:pPr>
      <w:r>
        <w:rPr/>
        <w:t>书记；</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月，任中共杭州市委副秘书长、宣传部副部长、市文明办主任；</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月，任中</w:t>
      </w:r>
    </w:p>
    <w:p>
      <w:pPr>
        <w:pStyle w:val="BodyText"/>
        <w:spacing w:line="300" w:lineRule="auto" w:before="63"/>
        <w:ind w:right="1138"/>
        <w:jc w:val="both"/>
      </w:pPr>
      <w:r>
        <w:rPr/>
        <w:t>共杭州市委宣传部副部长、市文明办主任；</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月至今，任杭州日报报业集团党委书记、社长，杭州日报报业集团有限 公司董事长、总经理；第十届浙江省政协委员，第十六届团中央委员，中共十届、十一届、十二届杭州市委委员。</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 </w:t>
      </w:r>
      <w:r>
        <w:rPr/>
        <w:t>月至今，任浙江华媒控股股份有限公司董事长。</w:t>
      </w:r>
    </w:p>
    <w:p>
      <w:pPr>
        <w:pStyle w:val="BodyText"/>
        <w:spacing w:line="300" w:lineRule="auto" w:before="70"/>
        <w:ind w:right="1128" w:firstLine="360"/>
        <w:jc w:val="both"/>
      </w:pPr>
      <w:r>
        <w:rPr>
          <w:spacing w:val="-2"/>
        </w:rPr>
        <w:t>鲍林强先生，</w:t>
      </w:r>
      <w:r>
        <w:rPr>
          <w:rFonts w:ascii="Times New Roman" w:hAnsi="Times New Roman" w:cs="Times New Roman" w:eastAsia="Times New Roman" w:hint="default"/>
          <w:spacing w:val="-2"/>
        </w:rPr>
        <w:t>1972</w:t>
      </w:r>
      <w:r>
        <w:rPr>
          <w:spacing w:val="-2"/>
        </w:rPr>
        <w:t>年出生，硕士，中国国籍，无境外居住权。</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2</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月，任杭报集团浙江都市快报控股有</w:t>
      </w:r>
      <w:r>
        <w:rPr/>
        <w:t> </w:t>
      </w:r>
      <w:r>
        <w:rPr>
          <w:spacing w:val="-2"/>
        </w:rPr>
        <w:t>限公司总经理；</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月至今，任杭州日报报业集团（杭州日报社）党委委员；</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月，任浙江华媒控股</w:t>
      </w:r>
      <w:r>
        <w:rPr>
          <w:spacing w:val="-52"/>
        </w:rPr>
        <w:t> </w:t>
      </w:r>
      <w:r>
        <w:rPr>
          <w:spacing w:val="-52"/>
        </w:rPr>
      </w:r>
      <w:r>
        <w:rPr/>
        <w:t>股份有限公司总经理；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月，任杭州日报报业集团有限公司副总经理。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月，任浙江 华媒控股股份有限公司副董事长。</w:t>
      </w:r>
    </w:p>
    <w:p>
      <w:pPr>
        <w:pStyle w:val="BodyText"/>
        <w:spacing w:line="307" w:lineRule="auto" w:before="70"/>
        <w:ind w:right="1131" w:firstLine="360"/>
        <w:jc w:val="both"/>
      </w:pPr>
      <w:r>
        <w:rPr/>
        <w:t>张剑秋先生，</w:t>
      </w:r>
      <w:r>
        <w:rPr>
          <w:rFonts w:ascii="Times New Roman" w:hAnsi="Times New Roman" w:cs="Times New Roman" w:eastAsia="Times New Roman" w:hint="default"/>
        </w:rPr>
        <w:t>1972</w:t>
      </w:r>
      <w:r>
        <w:rPr>
          <w:rFonts w:ascii="Times New Roman" w:hAnsi="Times New Roman" w:cs="Times New Roman" w:eastAsia="Times New Roman" w:hint="default"/>
          <w:spacing w:val="26"/>
        </w:rPr>
        <w:t> </w:t>
      </w:r>
      <w:r>
        <w:rPr/>
        <w:t>年生，硕士，中国国籍，无境外居住权，主任编辑职称。曾任杭报集团发行中心主任、每日送电子 </w:t>
      </w:r>
      <w:r>
        <w:rPr>
          <w:spacing w:val="-2"/>
        </w:rPr>
        <w:t>商务有限公司总经理，杭报集团编委，每日商报社社长，杭州每日传媒有限公司总经理、董事长，浙江华媒控股股份有限公</w:t>
      </w:r>
      <w:r>
        <w:rPr>
          <w:spacing w:val="-66"/>
        </w:rPr>
        <w:t> </w:t>
      </w:r>
      <w:r>
        <w:rPr>
          <w:spacing w:val="-66"/>
        </w:rPr>
      </w:r>
      <w:r>
        <w:rPr/>
        <w:t>司副总经理。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月至今，任华媒控股总经理；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月至今，任华媒控股董事；</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月至今，任杭州日报报业集 团党委委员。</w:t>
      </w:r>
    </w:p>
    <w:p>
      <w:pPr>
        <w:pStyle w:val="BodyText"/>
        <w:spacing w:line="300" w:lineRule="auto" w:before="65"/>
        <w:ind w:left="153" w:right="1031" w:firstLine="360"/>
        <w:jc w:val="left"/>
      </w:pPr>
      <w:r>
        <w:rPr>
          <w:spacing w:val="-3"/>
        </w:rPr>
        <w:t>张韶衡先生，</w:t>
      </w:r>
      <w:r>
        <w:rPr>
          <w:rFonts w:ascii="Times New Roman" w:hAnsi="Times New Roman" w:cs="Times New Roman" w:eastAsia="Times New Roman" w:hint="default"/>
          <w:spacing w:val="-3"/>
        </w:rPr>
        <w:t>1974</w:t>
      </w:r>
      <w:r>
        <w:rPr>
          <w:spacing w:val="-3"/>
        </w:rPr>
        <w:t>年出生，本科，中国国籍，无境外居住权。</w:t>
      </w:r>
      <w:r>
        <w:rPr>
          <w:rFonts w:ascii="Times New Roman" w:hAnsi="Times New Roman" w:cs="Times New Roman" w:eastAsia="Times New Roman" w:hint="default"/>
          <w:spacing w:val="-3"/>
        </w:rPr>
        <w:t>2009</w:t>
      </w:r>
      <w:r>
        <w:rPr>
          <w:spacing w:val="-3"/>
        </w:rPr>
        <w:t>年至</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月，任杭报集团盛元印务有限公司董事、</w:t>
      </w:r>
      <w:r>
        <w:rPr/>
        <w:t> 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月至今，任杭报集团盛元印务有限公司董事长、杭报集团每日送电子商务有限公司董事长；</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月至 </w:t>
      </w:r>
      <w:r>
        <w:rPr>
          <w:spacing w:val="-2"/>
        </w:rPr>
        <w:t>今，任浙江风盛传媒股份有限公司董事长。</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月，任浙江华媒控股股份有限公司副总经理；</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月至</w:t>
      </w:r>
      <w:r>
        <w:rPr>
          <w:spacing w:val="-50"/>
        </w:rPr>
        <w:t> </w:t>
      </w:r>
      <w:r>
        <w:rPr/>
        <w:t>今，任浙江华媒控股股份有限公司常务副总经理；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月至今，任浙江华媒控股股份有限公司董事。</w:t>
      </w:r>
    </w:p>
    <w:p>
      <w:pPr>
        <w:pStyle w:val="BodyText"/>
        <w:spacing w:line="314" w:lineRule="auto" w:before="51"/>
        <w:ind w:left="153" w:right="1031" w:firstLine="360"/>
        <w:jc w:val="left"/>
      </w:pPr>
      <w:r>
        <w:rPr>
          <w:spacing w:val="-2"/>
        </w:rPr>
        <w:t>刘小斌先生，</w:t>
      </w:r>
      <w:r>
        <w:rPr>
          <w:rFonts w:ascii="Times New Roman" w:hAnsi="Times New Roman" w:cs="Times New Roman" w:eastAsia="Times New Roman" w:hint="default"/>
          <w:spacing w:val="-2"/>
        </w:rPr>
        <w:t>1970</w:t>
      </w:r>
      <w:r>
        <w:rPr>
          <w:spacing w:val="-2"/>
        </w:rPr>
        <w:t>年生，硕士，中国国籍，无境外居住权。历任浙江华立医药投资集团有限公司财务总监，浙江华智控</w:t>
      </w:r>
      <w:r>
        <w:rPr/>
        <w:t> 股股份有限公司董事长，昆药集团股份有限公司董事，健民药业集团股份有限公司董事，华立集团股份有限公司财务总监、 </w:t>
      </w:r>
      <w:r>
        <w:rPr>
          <w:spacing w:val="-2"/>
        </w:rPr>
        <w:t>副总裁，上海开创国际海洋资源股份有限公司董事、副董事长，上海华策投资有限公司董事长，云南南天电子信息产业股份</w:t>
      </w:r>
      <w:r>
        <w:rPr>
          <w:spacing w:val="-66"/>
        </w:rPr>
        <w:t> </w:t>
      </w:r>
      <w:r>
        <w:rPr>
          <w:spacing w:val="-66"/>
        </w:rPr>
      </w:r>
      <w:r>
        <w:rPr>
          <w:spacing w:val="-2"/>
        </w:rPr>
        <w:t>有限公司董事，传化集团有限公司高级副总裁，浙江百瑞教育科技股份有限公司董事兼副总裁。现任华立集团股份有限公司</w:t>
      </w:r>
      <w:r>
        <w:rPr>
          <w:spacing w:val="-66"/>
        </w:rPr>
        <w:t> </w:t>
      </w:r>
      <w:r>
        <w:rPr>
          <w:spacing w:val="-66"/>
        </w:rPr>
      </w:r>
      <w:r>
        <w:rPr/>
        <w:t>董事。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月至今，任浙江华媒控股股份有限公司董事。</w:t>
      </w:r>
    </w:p>
    <w:p>
      <w:pPr>
        <w:pStyle w:val="BodyText"/>
        <w:spacing w:line="300" w:lineRule="auto" w:before="39"/>
        <w:ind w:left="153" w:right="1131" w:firstLine="360"/>
        <w:jc w:val="both"/>
      </w:pPr>
      <w:r>
        <w:rPr>
          <w:spacing w:val="-2"/>
        </w:rPr>
        <w:t>叶雪芳女士，</w:t>
      </w:r>
      <w:r>
        <w:rPr>
          <w:rFonts w:ascii="Times New Roman" w:hAnsi="Times New Roman" w:cs="Times New Roman" w:eastAsia="Times New Roman" w:hint="default"/>
          <w:spacing w:val="-2"/>
        </w:rPr>
        <w:t>1966</w:t>
      </w:r>
      <w:r>
        <w:rPr>
          <w:spacing w:val="-2"/>
        </w:rPr>
        <w:t>年出生，硕士，教授、注册会计师、资产评估师，中国国籍，无境外居住权。浙江工商大学财务与会</w:t>
      </w:r>
      <w:r>
        <w:rPr/>
        <w:t> 计学院担任会计学教授，主讲审计学、舞弊审计、审计理论与实务等本科生、研究生课程；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月，任浙 江海亮股份有限公司独立董事；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月，任浙江华策影视股份有限公司独立董事；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月至今，任浙江 康恩贝制药股份有限公司独立董事。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月至今，任浙江华媒控股股份有限公司独立董事。</w:t>
      </w:r>
    </w:p>
    <w:p>
      <w:pPr>
        <w:pStyle w:val="BodyText"/>
        <w:spacing w:line="300" w:lineRule="auto" w:before="52"/>
        <w:ind w:left="153" w:right="1128" w:firstLine="360"/>
        <w:jc w:val="both"/>
      </w:pPr>
      <w:r>
        <w:rPr>
          <w:spacing w:val="-5"/>
        </w:rPr>
        <w:t>蔡才河先生，</w:t>
      </w:r>
      <w:r>
        <w:rPr>
          <w:rFonts w:ascii="Times New Roman" w:hAnsi="Times New Roman" w:cs="Times New Roman" w:eastAsia="Times New Roman" w:hint="default"/>
          <w:spacing w:val="-5"/>
        </w:rPr>
        <w:t>1970</w:t>
      </w:r>
      <w:r>
        <w:rPr>
          <w:spacing w:val="-5"/>
        </w:rPr>
        <w:t>年出生，硕士，注册会计师、注册税务师，中国国籍，无境外居住权，浙江省第十二届政协委员。</w:t>
      </w:r>
      <w:r>
        <w:rPr>
          <w:rFonts w:ascii="Times New Roman" w:hAnsi="Times New Roman" w:cs="Times New Roman" w:eastAsia="Times New Roman" w:hint="default"/>
          <w:spacing w:val="-5"/>
        </w:rPr>
        <w:t>2007</w:t>
      </w:r>
      <w:r>
        <w:rPr>
          <w:rFonts w:ascii="Times New Roman" w:hAnsi="Times New Roman" w:cs="Times New Roman" w:eastAsia="Times New Roman" w:hint="default"/>
        </w:rPr>
        <w:t> </w:t>
      </w:r>
      <w:r>
        <w:rPr>
          <w:spacing w:val="-1"/>
        </w:rPr>
        <w:t>年</w:t>
      </w:r>
      <w:r>
        <w:rPr>
          <w:rFonts w:ascii="Times New Roman" w:hAnsi="Times New Roman" w:cs="Times New Roman" w:eastAsia="Times New Roman" w:hint="default"/>
          <w:spacing w:val="-1"/>
        </w:rPr>
        <w:t>4</w:t>
      </w:r>
      <w:r>
        <w:rPr>
          <w:spacing w:val="-1"/>
        </w:rPr>
        <w:t>月至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3</w:t>
      </w:r>
      <w:r>
        <w:rPr>
          <w:spacing w:val="-1"/>
        </w:rPr>
        <w:t>月，历任深圳发展银行</w:t>
      </w:r>
      <w:r>
        <w:rPr>
          <w:rFonts w:ascii="Times New Roman" w:hAnsi="Times New Roman" w:cs="Times New Roman" w:eastAsia="Times New Roman" w:hint="default"/>
          <w:spacing w:val="-1"/>
        </w:rPr>
        <w:t>/</w:t>
      </w:r>
      <w:r>
        <w:rPr>
          <w:spacing w:val="-1"/>
        </w:rPr>
        <w:t>平安银行杭州分行投资银行部总经理助理、副总经理、总经理；</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3</w:t>
      </w:r>
      <w:r>
        <w:rPr>
          <w:spacing w:val="-1"/>
        </w:rPr>
        <w:t>月至</w:t>
      </w:r>
      <w:r>
        <w:rPr>
          <w:rFonts w:ascii="Times New Roman" w:hAnsi="Times New Roman" w:cs="Times New Roman" w:eastAsia="Times New Roman" w:hint="default"/>
          <w:spacing w:val="-1"/>
        </w:rPr>
        <w:t>2016</w:t>
      </w:r>
      <w:r>
        <w:rPr>
          <w:spacing w:val="-1"/>
        </w:rPr>
        <w:t>年</w:t>
      </w:r>
      <w:r>
        <w:rPr>
          <w:spacing w:val="-72"/>
        </w:rPr>
        <w:t> </w:t>
      </w:r>
      <w:r>
        <w:rPr>
          <w:rFonts w:ascii="Times New Roman" w:hAnsi="Times New Roman" w:cs="Times New Roman" w:eastAsia="Times New Roman" w:hint="default"/>
          <w:spacing w:val="-2"/>
        </w:rPr>
        <w:t>2</w:t>
      </w:r>
      <w:r>
        <w:rPr>
          <w:spacing w:val="-2"/>
        </w:rPr>
        <w:t>月，任浙江省物产集团有限公司投资与金融产业部副部长、资金运营管理中心副主任；</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2</w:t>
      </w:r>
      <w:r>
        <w:rPr>
          <w:spacing w:val="-2"/>
        </w:rPr>
        <w:t>月至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月，任物产中</w:t>
      </w:r>
      <w:r>
        <w:rPr>
          <w:spacing w:val="-54"/>
        </w:rPr>
        <w:t> </w:t>
      </w:r>
      <w:r>
        <w:rPr>
          <w:spacing w:val="-54"/>
        </w:rPr>
      </w:r>
      <w:r>
        <w:rPr/>
        <w:t>大集团股份有限公司资金管理运营中心副总经理；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月，任物产中大集团财务有限公司副董事长、总经 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月至今，任物产中大集团财务有限公司董事长；</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月至今，任物产中大集团股份有限公司资金运营中心 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月至今，任浙江华媒控股股份有限公司独立董事。</w:t>
      </w:r>
    </w:p>
    <w:p>
      <w:pPr>
        <w:pStyle w:val="BodyText"/>
        <w:spacing w:line="307" w:lineRule="auto" w:before="51"/>
        <w:ind w:right="0" w:firstLine="360"/>
        <w:jc w:val="left"/>
      </w:pPr>
      <w:r>
        <w:rPr>
          <w:spacing w:val="-2"/>
        </w:rPr>
        <w:t>郭全中先生，</w:t>
      </w:r>
      <w:r>
        <w:rPr>
          <w:rFonts w:ascii="Times New Roman" w:hAnsi="Times New Roman" w:cs="Times New Roman" w:eastAsia="Times New Roman" w:hint="default"/>
          <w:spacing w:val="-2"/>
        </w:rPr>
        <w:t>1976</w:t>
      </w:r>
      <w:r>
        <w:rPr>
          <w:spacing w:val="-2"/>
        </w:rPr>
        <w:t>年出生，管理学博士、工商管理博士后，高级经济师，中国国籍，无境外居留权。曾任南方报业传媒</w:t>
      </w:r>
      <w:r>
        <w:rPr/>
        <w:t> </w:t>
      </w:r>
      <w:r>
        <w:rPr>
          <w:spacing w:val="-4"/>
        </w:rPr>
        <w:t>集团战略运营部副主任，中国新闻出版传媒集团有限公司董事会秘书、投资咨询部主任。现任中共中央党校（国家行政学院）</w:t>
      </w:r>
      <w:r>
        <w:rPr>
          <w:spacing w:val="-46"/>
        </w:rPr>
        <w:t> </w:t>
      </w:r>
      <w:r>
        <w:rPr>
          <w:spacing w:val="-46"/>
        </w:rPr>
      </w:r>
      <w:r>
        <w:rPr/>
        <w:t>高级经济师，华闻传媒投资集团股份有限公司、东方网力科技股份有限公司独立董事。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月至今，任浙江华媒控股股 份有限公司独立董事。</w:t>
      </w:r>
    </w:p>
    <w:p>
      <w:pPr>
        <w:pStyle w:val="BodyText"/>
        <w:spacing w:line="240" w:lineRule="auto" w:before="64"/>
        <w:ind w:left="514" w:right="0"/>
        <w:jc w:val="left"/>
      </w:pPr>
      <w:r>
        <w:rPr/>
        <w:t>沈旭微先生，</w:t>
      </w:r>
      <w:r>
        <w:rPr>
          <w:rFonts w:ascii="Times New Roman" w:hAnsi="Times New Roman" w:cs="Times New Roman" w:eastAsia="Times New Roman" w:hint="default"/>
        </w:rPr>
        <w:t>1967</w:t>
      </w:r>
      <w:r>
        <w:rPr/>
        <w:t>年出生，本科，中国国籍，无境外居住权。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月，任中共杭州市余杭区委常委、</w:t>
      </w:r>
    </w:p>
    <w:p>
      <w:pPr>
        <w:spacing w:after="0" w:line="240" w:lineRule="auto"/>
        <w:jc w:val="left"/>
        <w:sectPr>
          <w:pgSz w:w="11910" w:h="16840"/>
          <w:pgMar w:header="877" w:footer="982" w:top="1100" w:bottom="1180" w:left="980" w:right="0"/>
        </w:sectPr>
      </w:pPr>
    </w:p>
    <w:p>
      <w:pPr>
        <w:spacing w:line="240" w:lineRule="auto" w:before="12"/>
        <w:rPr>
          <w:rFonts w:ascii="宋体" w:hAnsi="宋体" w:cs="宋体" w:eastAsia="宋体" w:hint="default"/>
          <w:sz w:val="21"/>
          <w:szCs w:val="21"/>
        </w:rPr>
      </w:pPr>
    </w:p>
    <w:p>
      <w:pPr>
        <w:pStyle w:val="BodyText"/>
        <w:spacing w:line="300" w:lineRule="auto" w:before="44"/>
        <w:ind w:left="153" w:right="1138"/>
        <w:jc w:val="both"/>
      </w:pPr>
      <w:r>
        <w:rPr/>
        <w:t>统战部长，</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月至今，任杭州日报报业集团党委副书记、副总编辑，</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月，任杭州日报传媒有限公 司副董事长；</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月至今，任杭州日报传媒有限公司董事长。</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月至今，任浙江华媒控股股份有限公司监事会主 席。</w:t>
      </w:r>
    </w:p>
    <w:p>
      <w:pPr>
        <w:pStyle w:val="BodyText"/>
        <w:spacing w:line="302" w:lineRule="auto" w:before="70"/>
        <w:ind w:left="153" w:right="1138" w:firstLine="360"/>
        <w:jc w:val="both"/>
      </w:pPr>
      <w:r>
        <w:rPr/>
        <w:t>陈军雄先生，</w:t>
      </w:r>
      <w:r>
        <w:rPr>
          <w:rFonts w:ascii="Times New Roman" w:hAnsi="Times New Roman" w:cs="Times New Roman" w:eastAsia="Times New Roman" w:hint="default"/>
        </w:rPr>
        <w:t>1965</w:t>
      </w:r>
      <w:r>
        <w:rPr/>
        <w:t>年出生，硕士，中国国籍，无境外居住权。</w:t>
      </w:r>
      <w:r>
        <w:rPr>
          <w:rFonts w:ascii="Times New Roman" w:hAnsi="Times New Roman" w:cs="Times New Roman" w:eastAsia="Times New Roman" w:hint="default"/>
        </w:rPr>
        <w:t>2009</w:t>
      </w:r>
      <w:r>
        <w:rPr/>
        <w:t>年至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月，任杭报集团都市快报社编委；</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11</w:t>
      </w:r>
      <w:r>
        <w:rPr/>
        <w:t>月至今，任浙江都市快报控股有限公司董事、副总经理。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月至今，任浙江华媒控股股份有限公司监事。</w:t>
      </w:r>
    </w:p>
    <w:p>
      <w:pPr>
        <w:pStyle w:val="BodyText"/>
        <w:spacing w:line="304" w:lineRule="auto" w:before="50"/>
        <w:ind w:left="153" w:right="1128" w:firstLine="360"/>
        <w:jc w:val="both"/>
      </w:pPr>
      <w:r>
        <w:rPr>
          <w:spacing w:val="-2"/>
        </w:rPr>
        <w:t>裴蓉女士，</w:t>
      </w:r>
      <w:r>
        <w:rPr>
          <w:rFonts w:ascii="Times New Roman" w:hAnsi="Times New Roman" w:cs="Times New Roman" w:eastAsia="Times New Roman" w:hint="default"/>
          <w:spacing w:val="-2"/>
        </w:rPr>
        <w:t>1971</w:t>
      </w:r>
      <w:r>
        <w:rPr>
          <w:spacing w:val="-2"/>
        </w:rPr>
        <w:t>年出生，硕士，中国注册会计师，国际注册内审师，中国国籍，无境外居住权。</w:t>
      </w:r>
      <w:r>
        <w:rPr>
          <w:rFonts w:ascii="Times New Roman" w:hAnsi="Times New Roman" w:cs="Times New Roman" w:eastAsia="Times New Roman" w:hint="default"/>
          <w:spacing w:val="-2"/>
        </w:rPr>
        <w:t>1992</w:t>
      </w:r>
      <w:r>
        <w:rPr>
          <w:spacing w:val="-2"/>
        </w:rPr>
        <w:t>年起参加工作，任</w:t>
      </w:r>
      <w:r>
        <w:rPr/>
        <w:t> </w:t>
      </w:r>
      <w:r>
        <w:rPr>
          <w:spacing w:val="-2"/>
        </w:rPr>
        <w:t>杭州侨兴织带机厂财务科副科长；</w:t>
      </w:r>
      <w:r>
        <w:rPr>
          <w:rFonts w:ascii="Times New Roman" w:hAnsi="Times New Roman" w:cs="Times New Roman" w:eastAsia="Times New Roman" w:hint="default"/>
          <w:spacing w:val="-2"/>
        </w:rPr>
        <w:t>1994</w:t>
      </w:r>
      <w:r>
        <w:rPr>
          <w:spacing w:val="-2"/>
        </w:rPr>
        <w:t>年</w:t>
      </w:r>
      <w:r>
        <w:rPr>
          <w:rFonts w:ascii="Times New Roman" w:hAnsi="Times New Roman" w:cs="Times New Roman" w:eastAsia="Times New Roman" w:hint="default"/>
          <w:spacing w:val="-2"/>
        </w:rPr>
        <w:t>7</w:t>
      </w:r>
      <w:r>
        <w:rPr>
          <w:spacing w:val="-2"/>
        </w:rPr>
        <w:t>月进入华立集团工作，历任财务经理、审计室主任、审计部部长。</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6</w:t>
      </w:r>
      <w:r>
        <w:rPr>
          <w:spacing w:val="-2"/>
        </w:rPr>
        <w:t>月起担</w:t>
      </w:r>
      <w:r>
        <w:rPr>
          <w:spacing w:val="-56"/>
        </w:rPr>
        <w:t> </w:t>
      </w:r>
      <w:r>
        <w:rPr>
          <w:spacing w:val="-56"/>
        </w:rPr>
      </w:r>
      <w:r>
        <w:rPr>
          <w:spacing w:val="-2"/>
        </w:rPr>
        <w:t>任营运总监、财务总监、副总裁。现任华立集团股份有限公司董事、总裁，华立医药集团有限公司董事，昆药集团股份有限</w:t>
      </w:r>
      <w:r>
        <w:rPr>
          <w:spacing w:val="-68"/>
        </w:rPr>
        <w:t> </w:t>
      </w:r>
      <w:r>
        <w:rPr>
          <w:spacing w:val="-68"/>
        </w:rPr>
      </w:r>
      <w:r>
        <w:rPr>
          <w:spacing w:val="-2"/>
        </w:rPr>
        <w:t>公司董事，健民药业集团股份有限公司董事，华立科技股份有限公司董事。</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月至今，任浙江华媒控股股份有限公司</w:t>
      </w:r>
      <w:r>
        <w:rPr>
          <w:spacing w:val="-60"/>
        </w:rPr>
        <w:t> </w:t>
      </w:r>
      <w:r>
        <w:rPr>
          <w:spacing w:val="-60"/>
        </w:rPr>
      </w:r>
      <w:r>
        <w:rPr/>
        <w:t>监事。</w:t>
      </w:r>
    </w:p>
    <w:p>
      <w:pPr>
        <w:pStyle w:val="BodyText"/>
        <w:spacing w:line="300" w:lineRule="auto" w:before="66"/>
        <w:ind w:right="1128" w:firstLine="360"/>
        <w:jc w:val="both"/>
      </w:pPr>
      <w:r>
        <w:rPr>
          <w:spacing w:val="-2"/>
        </w:rPr>
        <w:t>邹箭峰先生，</w:t>
      </w:r>
      <w:r>
        <w:rPr>
          <w:rFonts w:ascii="Times New Roman" w:hAnsi="Times New Roman" w:cs="Times New Roman" w:eastAsia="Times New Roman" w:hint="default"/>
          <w:spacing w:val="-2"/>
        </w:rPr>
        <w:t>1977</w:t>
      </w:r>
      <w:r>
        <w:rPr>
          <w:spacing w:val="-2"/>
        </w:rPr>
        <w:t>年出生，本科，中国国籍，无境外居住权。</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2</w:t>
      </w:r>
      <w:r>
        <w:rPr>
          <w:spacing w:val="-2"/>
        </w:rPr>
        <w:t>月至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月，任浙江华媒投资有限公司投资部</w:t>
      </w:r>
      <w:r>
        <w:rPr/>
        <w:t> </w:t>
      </w:r>
      <w:r>
        <w:rPr>
          <w:spacing w:val="-2"/>
        </w:rPr>
        <w:t>经理；</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月，任杭报金都创意产业发展有限公司副总经理；</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月，任浙江华媒投资有限</w:t>
      </w:r>
      <w:r>
        <w:rPr>
          <w:spacing w:val="-46"/>
        </w:rPr>
        <w:t> </w:t>
      </w:r>
      <w:r>
        <w:rPr>
          <w:spacing w:val="-46"/>
        </w:rPr>
      </w:r>
      <w:r>
        <w:rPr>
          <w:spacing w:val="-2"/>
        </w:rPr>
        <w:t>公司副总经理；</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月，任浙江华媒控股股份有限公司投融资部主任；</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月起至今，任浙江华媒投资</w:t>
      </w:r>
      <w:r>
        <w:rPr>
          <w:spacing w:val="-50"/>
        </w:rPr>
        <w:t> </w:t>
      </w:r>
      <w:r>
        <w:rPr>
          <w:spacing w:val="-50"/>
        </w:rPr>
      </w:r>
      <w:r>
        <w:rPr/>
        <w:t>有限公司副总经理。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月起至今，任浙江华媒控股股份有限公司职工监事。</w:t>
      </w:r>
    </w:p>
    <w:p>
      <w:pPr>
        <w:pStyle w:val="BodyText"/>
        <w:spacing w:line="300" w:lineRule="auto" w:before="51"/>
        <w:ind w:right="1138" w:firstLine="360"/>
        <w:jc w:val="both"/>
      </w:pPr>
      <w:r>
        <w:rPr/>
        <w:t>洪晓明先生，</w:t>
      </w:r>
      <w:r>
        <w:rPr>
          <w:rFonts w:ascii="Times New Roman" w:hAnsi="Times New Roman" w:cs="Times New Roman" w:eastAsia="Times New Roman" w:hint="default"/>
        </w:rPr>
        <w:t>1964</w:t>
      </w:r>
      <w:r>
        <w:rPr/>
        <w:t>年出生，本科，主任编辑，中国国籍，无境外居住权。</w:t>
      </w:r>
      <w:r>
        <w:rPr>
          <w:rFonts w:ascii="Times New Roman" w:hAnsi="Times New Roman" w:cs="Times New Roman" w:eastAsia="Times New Roman" w:hint="default"/>
        </w:rPr>
        <w:t>2009</w:t>
      </w:r>
      <w:r>
        <w:rPr/>
        <w:t>年至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月，任杭州日报报业集团新 闻研究所编辑、主管；</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月，任杭报集团经营管理办公室（总经理办公室）主管、主任助理；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 </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月，任浙江华媒控股股份有限公司总经理办公室副主任；</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月，任浙江华媒控股股份有限 公司董事会办公室副主任；</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月，任浙江华媒控股股份有限公司董事会办公室主任。</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月至今， 任浙江华媒控股有限公司顾问。</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月至今，任浙江华媒控股股份有限公司职工监事。</w:t>
      </w:r>
    </w:p>
    <w:p>
      <w:pPr>
        <w:pStyle w:val="BodyText"/>
        <w:spacing w:line="300" w:lineRule="auto" w:before="52"/>
        <w:ind w:right="1138" w:firstLine="360"/>
        <w:jc w:val="both"/>
      </w:pPr>
      <w:r>
        <w:rPr/>
        <w:t>于国清先生，</w:t>
      </w:r>
      <w:r>
        <w:rPr>
          <w:rFonts w:ascii="Times New Roman" w:hAnsi="Times New Roman" w:cs="Times New Roman" w:eastAsia="Times New Roman" w:hint="default"/>
        </w:rPr>
        <w:t>1973</w:t>
      </w:r>
      <w:r>
        <w:rPr/>
        <w:t>年出生，硕士，中国国籍，无境外居住权。</w:t>
      </w:r>
      <w:r>
        <w:rPr>
          <w:rFonts w:ascii="Times New Roman" w:hAnsi="Times New Roman" w:cs="Times New Roman" w:eastAsia="Times New Roman" w:hint="default"/>
        </w:rPr>
        <w:t>2009</w:t>
      </w:r>
      <w:r>
        <w:rPr/>
        <w:t>年至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月，任杭报集团杭州日报编委、办公室 主任；</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月，任杭报集团总编辑办公室主任；</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月，任杭报集团每日送电子商务有限 公司董事、总经理。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月至今，任浙江华媒控股股份有限公司副总经理。</w:t>
      </w:r>
    </w:p>
    <w:p>
      <w:pPr>
        <w:pStyle w:val="BodyText"/>
        <w:spacing w:line="300" w:lineRule="auto" w:before="51"/>
        <w:ind w:left="153" w:right="1031" w:firstLine="360"/>
        <w:jc w:val="left"/>
      </w:pPr>
      <w:r>
        <w:rPr/>
        <w:t>宋浩先生，</w:t>
      </w:r>
      <w:r>
        <w:rPr>
          <w:rFonts w:ascii="Times New Roman" w:hAnsi="Times New Roman" w:cs="Times New Roman" w:eastAsia="Times New Roman" w:hint="default"/>
        </w:rPr>
        <w:t>1972</w:t>
      </w:r>
      <w:r>
        <w:rPr/>
        <w:t>年出生，硕士，中国国籍，无境外居留权。</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月，任湖州市创业投资公司总经理； </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月，任杭州多策投资管理合伙企业合伙人；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月，任浙江华媒投资有限公司董事、 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月，任浙江华媒控股股份有限公司副总经理。</w:t>
      </w:r>
    </w:p>
    <w:p>
      <w:pPr>
        <w:pStyle w:val="BodyText"/>
        <w:spacing w:line="302" w:lineRule="auto" w:before="51"/>
        <w:ind w:right="1131" w:firstLine="360"/>
        <w:jc w:val="both"/>
      </w:pPr>
      <w:r>
        <w:rPr>
          <w:spacing w:val="-4"/>
        </w:rPr>
        <w:t>郭勤勇先生，</w:t>
      </w:r>
      <w:r>
        <w:rPr>
          <w:rFonts w:ascii="Times New Roman" w:hAnsi="Times New Roman" w:cs="Times New Roman" w:eastAsia="Times New Roman" w:hint="default"/>
          <w:spacing w:val="-4"/>
        </w:rPr>
        <w:t>1973</w:t>
      </w:r>
      <w:r>
        <w:rPr>
          <w:rFonts w:ascii="Times New Roman" w:hAnsi="Times New Roman" w:cs="Times New Roman" w:eastAsia="Times New Roman" w:hint="default"/>
          <w:spacing w:val="29"/>
        </w:rPr>
        <w:t> </w:t>
      </w:r>
      <w:r>
        <w:rPr>
          <w:spacing w:val="-5"/>
        </w:rPr>
        <w:t>年出生，本科，中国国籍，无境外居住权。</w:t>
      </w:r>
      <w:r>
        <w:rPr>
          <w:rFonts w:ascii="Times New Roman" w:hAnsi="Times New Roman" w:cs="Times New Roman" w:eastAsia="Times New Roman" w:hint="default"/>
          <w:spacing w:val="-5"/>
        </w:rPr>
        <w:t>2005</w:t>
      </w:r>
      <w:r>
        <w:rPr>
          <w:spacing w:val="-5"/>
        </w:rPr>
        <w:t>年至</w:t>
      </w: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5</w:t>
      </w:r>
      <w:r>
        <w:rPr>
          <w:spacing w:val="-5"/>
        </w:rPr>
        <w:t>月，任杭报集团资产运营中心主任。</w:t>
      </w:r>
      <w:r>
        <w:rPr>
          <w:rFonts w:ascii="Times New Roman" w:hAnsi="Times New Roman" w:cs="Times New Roman" w:eastAsia="Times New Roman" w:hint="default"/>
          <w:spacing w:val="-5"/>
        </w:rPr>
        <w:t>2014</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12</w:t>
      </w:r>
      <w:r>
        <w:rPr/>
        <w:t>月至今，任浙江华媒控股股份有限公司财务总监。</w:t>
      </w:r>
    </w:p>
    <w:p>
      <w:pPr>
        <w:pStyle w:val="BodyText"/>
        <w:spacing w:line="300" w:lineRule="auto" w:before="50"/>
        <w:ind w:right="1131" w:firstLine="360"/>
        <w:jc w:val="both"/>
      </w:pPr>
      <w:r>
        <w:rPr>
          <w:spacing w:val="-2"/>
        </w:rPr>
        <w:t>高坚强先生，</w:t>
      </w:r>
      <w:r>
        <w:rPr>
          <w:rFonts w:ascii="Times New Roman" w:hAnsi="Times New Roman" w:cs="Times New Roman" w:eastAsia="Times New Roman" w:hint="default"/>
          <w:spacing w:val="-2"/>
        </w:rPr>
        <w:t>1987</w:t>
      </w:r>
      <w:r>
        <w:rPr>
          <w:spacing w:val="-2"/>
        </w:rPr>
        <w:t>年出生，硕士研究生，中国注册会计师，中国国籍，无境外居住权。曾任职于安永会计师事务所、浙</w:t>
      </w:r>
      <w:r>
        <w:rPr/>
        <w:t> 江晶盛机电股份有限公司。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月至今，任浙江华媒控股股份有限公司董事会秘书，</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月至今，任浙江华媒投资 董事长兼总经理。</w:t>
      </w:r>
    </w:p>
    <w:p>
      <w:pPr>
        <w:pStyle w:val="BodyText"/>
        <w:spacing w:line="300" w:lineRule="auto" w:before="70"/>
        <w:ind w:right="1138" w:firstLine="360"/>
        <w:jc w:val="both"/>
      </w:pPr>
      <w:r>
        <w:rPr/>
        <w:t>王柏华先生，</w:t>
      </w:r>
      <w:r>
        <w:rPr>
          <w:rFonts w:ascii="Times New Roman" w:hAnsi="Times New Roman" w:cs="Times New Roman" w:eastAsia="Times New Roman" w:hint="default"/>
        </w:rPr>
        <w:t>1969</w:t>
      </w:r>
      <w:r>
        <w:rPr/>
        <w:t>年出生，本科，中国国籍，无境外居住权。</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月任萧山日报副总编辑；</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 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月任萧山日报副社长、杭州萧山日报传媒有限公司总经理；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月任萧山日报社长、杭州萧山日 报传媒有限公司副董事长。</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月至今任浙江华媒控股股份有限公司副总经理，杭州文化产权交易所有限公司董事长、 总经理。</w:t>
      </w:r>
    </w:p>
    <w:p>
      <w:pPr>
        <w:pStyle w:val="BodyText"/>
        <w:spacing w:line="240" w:lineRule="auto" w:before="71"/>
        <w:ind w:right="0"/>
        <w:jc w:val="both"/>
      </w:pPr>
      <w:r>
        <w:rPr/>
        <w:t>在股东单位任职情况</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869"/>
        <w:gridCol w:w="2460"/>
        <w:gridCol w:w="1592"/>
        <w:gridCol w:w="1735"/>
        <w:gridCol w:w="1592"/>
        <w:gridCol w:w="1446"/>
      </w:tblGrid>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48" w:right="68"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2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83"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10" w:right="69" w:hanging="540"/>
              <w:jc w:val="left"/>
              <w:rPr>
                <w:rFonts w:ascii="宋体" w:hAnsi="宋体" w:cs="宋体" w:eastAsia="宋体" w:hint="default"/>
                <w:sz w:val="18"/>
                <w:szCs w:val="18"/>
              </w:rPr>
            </w:pPr>
            <w:r>
              <w:rPr>
                <w:rFonts w:ascii="宋体" w:hAnsi="宋体" w:cs="宋体" w:eastAsia="宋体" w:hint="default"/>
                <w:sz w:val="18"/>
                <w:szCs w:val="18"/>
              </w:rPr>
              <w:t>在股东单位担任的 职务</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4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77" w:right="86"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8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董悦</w:t>
            </w:r>
          </w:p>
        </w:tc>
        <w:tc>
          <w:tcPr>
            <w:tcW w:w="24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15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2"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鲍林强</w:t>
            </w:r>
          </w:p>
        </w:tc>
        <w:tc>
          <w:tcPr>
            <w:tcW w:w="24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15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刘小斌</w:t>
            </w:r>
          </w:p>
        </w:tc>
        <w:tc>
          <w:tcPr>
            <w:tcW w:w="24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15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2"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869"/>
        <w:gridCol w:w="2460"/>
        <w:gridCol w:w="1592"/>
        <w:gridCol w:w="1735"/>
        <w:gridCol w:w="1592"/>
        <w:gridCol w:w="1446"/>
      </w:tblGrid>
      <w:tr>
        <w:trPr>
          <w:trHeight w:val="402" w:hRule="exact"/>
        </w:trPr>
        <w:tc>
          <w:tcPr>
            <w:tcW w:w="8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裴蓉</w:t>
            </w:r>
          </w:p>
        </w:tc>
        <w:tc>
          <w:tcPr>
            <w:tcW w:w="24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15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2"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0"/>
        <w:jc w:val="left"/>
      </w:pPr>
      <w:r>
        <w:rPr/>
        <w:t>在其他单位任职情况</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51"/>
        <w:gridCol w:w="2977"/>
        <w:gridCol w:w="1275"/>
        <w:gridCol w:w="1561"/>
        <w:gridCol w:w="1528"/>
        <w:gridCol w:w="1376"/>
      </w:tblGrid>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39" w:right="59"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4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2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72" w:right="92" w:hanging="180"/>
              <w:jc w:val="left"/>
              <w:rPr>
                <w:rFonts w:ascii="宋体" w:hAnsi="宋体" w:cs="宋体" w:eastAsia="宋体" w:hint="default"/>
                <w:sz w:val="18"/>
                <w:szCs w:val="18"/>
              </w:rPr>
            </w:pPr>
            <w:r>
              <w:rPr>
                <w:rFonts w:ascii="宋体" w:hAnsi="宋体" w:cs="宋体" w:eastAsia="宋体" w:hint="default"/>
                <w:sz w:val="18"/>
                <w:szCs w:val="18"/>
              </w:rPr>
              <w:t>在其他单位担 任的职务</w:t>
            </w:r>
          </w:p>
        </w:tc>
        <w:tc>
          <w:tcPr>
            <w:tcW w:w="15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董悦</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6"/>
                <w:sz w:val="18"/>
                <w:szCs w:val="18"/>
              </w:rPr>
              <w:t>党委书记、社长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鲍林强</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党委委员</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鲍林强</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浙江都市艺术文化发展有限公司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张剑秋</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党委委员</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张剑秋</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杭州萧山日报传媒有限公司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张剑秋</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华数数字电视传媒集团有限公司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张剑秋</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杭州华媒科创园区管理有限公司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张剑秋</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浙江华媒投资有限公司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张韶衡</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杭报集团盛元印务有限公司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张韶衡</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浙江风盛传媒股份有限公司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张韶衡</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杭报集团每日送电子商务有限公司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张韶衡</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浙江华媒投资有限公司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张韶衡</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62"/>
              <w:jc w:val="left"/>
              <w:rPr>
                <w:rFonts w:ascii="宋体" w:hAnsi="宋体" w:cs="宋体" w:eastAsia="宋体" w:hint="default"/>
                <w:sz w:val="18"/>
                <w:szCs w:val="18"/>
              </w:rPr>
            </w:pPr>
            <w:r>
              <w:rPr>
                <w:rFonts w:ascii="宋体" w:hAnsi="宋体" w:cs="宋体" w:eastAsia="宋体" w:hint="default"/>
                <w:sz w:val="18"/>
                <w:szCs w:val="18"/>
              </w:rPr>
              <w:t>中教未来国际教育科技（北京）有限 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刘小斌</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健民药业集团股份有限公司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刘小斌</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十九楼网络股份有限公司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叶雪芳</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浙江工商大学</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会计学教授</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叶雪芳</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浙江海亮股份有限公司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叶雪芳</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浙江康恩贝制药股份有限公司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蔡才河</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物产中大集团财务有限公司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6"/>
                <w:sz w:val="18"/>
                <w:szCs w:val="18"/>
              </w:rPr>
              <w:t>副董事长、总经</w:t>
            </w:r>
            <w:r>
              <w:rPr>
                <w:rFonts w:ascii="宋体" w:hAnsi="宋体" w:cs="宋体" w:eastAsia="宋体" w:hint="default"/>
                <w:sz w:val="18"/>
                <w:szCs w:val="18"/>
              </w:rPr>
              <w:t> 理</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蔡才河</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62"/>
              <w:jc w:val="left"/>
              <w:rPr>
                <w:rFonts w:ascii="宋体" w:hAnsi="宋体" w:cs="宋体" w:eastAsia="宋体" w:hint="default"/>
                <w:sz w:val="18"/>
                <w:szCs w:val="18"/>
              </w:rPr>
            </w:pPr>
            <w:r>
              <w:rPr>
                <w:rFonts w:ascii="宋体" w:hAnsi="宋体" w:cs="宋体" w:eastAsia="宋体" w:hint="default"/>
                <w:sz w:val="18"/>
                <w:szCs w:val="18"/>
              </w:rPr>
              <w:t>物产中大集团股份有限公司资金管理 运营中心</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郭全中</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国家行政学院社会和文化教研部</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高级经济师</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郭全中</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郭全中</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东方网力科技股份有限公司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沈旭微</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党委副书记</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沈旭微</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副总编辑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沈旭微</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杭州日报传媒有限公司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陈军雄</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浙江都市快报控股有限公司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6"/>
                <w:sz w:val="18"/>
                <w:szCs w:val="18"/>
              </w:rPr>
              <w:t>董事、副总经理</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851"/>
        <w:gridCol w:w="2977"/>
        <w:gridCol w:w="1275"/>
        <w:gridCol w:w="1561"/>
        <w:gridCol w:w="1528"/>
        <w:gridCol w:w="1376"/>
      </w:tblGrid>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陈军雄</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中教未来国际教育科技（北京）有限 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陈军雄</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杭州都健网络科技有限公司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陈军雄</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浙江饭美科技有限公司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陈军雄</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杭州都市周报传媒有限公司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董事长、总经理</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陈军雄</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浙江风盛传媒股份有限公司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裴蓉</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华立科技股份有限公司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裴蓉</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华立医药集团有限公司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裴蓉</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昆药集团股份有限公司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裴蓉</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健民药业集团股份有限公司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邹箭峰</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浙江华媒投资有限公司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董事、副总经理</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邹箭峰</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快点文化传播（上海）有限公司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董事、副总经理</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邹箭峰</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浙江华媒信息传播有限公司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洪晓明</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浙江都市快报控股有限公司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洪晓明</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浙江华媒教育科技有限公司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洪晓明</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杭州华媒企业管理有限公司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于国清</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浙江华媒信息传播有限公司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于国清</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杭州每日传媒有限公司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于国清</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杭州余杭晨报传媒有限公司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宋浩</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北京精典博维文化传媒有限公司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宋浩</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浙江华媒投资有限公司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董事长、总经理</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宋浩</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浙江绩丰岩土技术股份有限公司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宋浩</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浙江华媒信息传播有限公司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宋浩</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十九楼网络股份有限公司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宋浩</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浙江弘致投资管理有限公司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浙江都市快报控股有限公司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杭州每日传媒有限公司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浙江华媒投资有限公司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杭州网络传媒有限公司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浙江风盛传媒股份有限公司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杭报集团盛元印务有限公司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快点文化传播（上海）有限公司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浙江华媒信息传播有限公司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北京精典博维文化传媒有限公司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851"/>
        <w:gridCol w:w="2977"/>
        <w:gridCol w:w="1275"/>
        <w:gridCol w:w="1561"/>
        <w:gridCol w:w="1528"/>
        <w:gridCol w:w="1376"/>
      </w:tblGrid>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杭州文化产权交易所有限公司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高坚强</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杭州华泰一媒文化传媒有限公司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高坚强</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浙江华媒信息传播有限公司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高坚强</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浙江华媒投资有限公司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董事长、总经理</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王柏华</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杭州文化产权交易所有限公司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董事长、总经理</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王柏华</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十九楼网络股份有限公司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王柏华</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杭州富阳日报传媒有限公司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王柏华</w:t>
            </w:r>
          </w:p>
        </w:tc>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杭州余杭晨报传媒有限公司</w:t>
            </w:r>
          </w:p>
        </w:tc>
        <w:tc>
          <w:tcPr>
            <w:tcW w:w="12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公司现任及报告期内离任董事、监事和高级管理人员近三年证券监管机构处罚的情况</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3" w:right="1031" w:hanging="360"/>
        <w:jc w:val="left"/>
      </w:pPr>
      <w:r>
        <w:rPr/>
        <w:t>董事、监事、高级管理人员报酬的决策程序、确定依据、实际支付情况 公司第七届董事会第十七次会议、</w:t>
      </w:r>
      <w:r>
        <w:rPr>
          <w:rFonts w:ascii="Times New Roman" w:hAnsi="Times New Roman" w:cs="Times New Roman" w:eastAsia="Times New Roman" w:hint="default"/>
        </w:rPr>
        <w:t>2014</w:t>
      </w:r>
      <w:r>
        <w:rPr/>
        <w:t>年年度股东大会审议通过《董事、监事及高级管理人员薪酬管理制度》，董事、</w:t>
      </w:r>
    </w:p>
    <w:p>
      <w:pPr>
        <w:pStyle w:val="BodyText"/>
        <w:spacing w:line="202" w:lineRule="exact"/>
        <w:ind w:left="153" w:right="0"/>
        <w:jc w:val="left"/>
      </w:pPr>
      <w:r>
        <w:rPr/>
        <w:t>监事、高级管理人员的薪酬根据该制度执行。</w:t>
      </w:r>
    </w:p>
    <w:p>
      <w:pPr>
        <w:pStyle w:val="BodyText"/>
        <w:spacing w:line="302" w:lineRule="auto" w:before="116"/>
        <w:ind w:right="1135" w:firstLine="360"/>
        <w:jc w:val="left"/>
      </w:pPr>
      <w:r>
        <w:rPr>
          <w:rFonts w:ascii="Times New Roman" w:hAnsi="Times New Roman" w:cs="Times New Roman" w:eastAsia="Times New Roman" w:hint="default"/>
        </w:rPr>
        <w:t>2018</w:t>
      </w:r>
      <w:r>
        <w:rPr/>
        <w:t>年度高级管理人员实行年薪制，主要构成为基础年薪（年薪占比</w:t>
      </w:r>
      <w:r>
        <w:rPr>
          <w:rFonts w:ascii="Times New Roman" w:hAnsi="Times New Roman" w:cs="Times New Roman" w:eastAsia="Times New Roman" w:hint="default"/>
        </w:rPr>
        <w:t>60%~70%</w:t>
      </w:r>
      <w:r>
        <w:rPr/>
        <w:t>）和绩效年薪（年薪占比</w:t>
      </w:r>
      <w:r>
        <w:rPr>
          <w:rFonts w:ascii="Times New Roman" w:hAnsi="Times New Roman" w:cs="Times New Roman" w:eastAsia="Times New Roman" w:hint="default"/>
        </w:rPr>
        <w:t>30%~40%</w:t>
      </w:r>
      <w:r>
        <w:rPr/>
        <w:t>）。 在公司实现当年利润承诺的前提下，对高管进行超额奖励；同时以公司利润承诺指标为核心，引入风险扣罚机制。</w:t>
      </w:r>
    </w:p>
    <w:p>
      <w:pPr>
        <w:pStyle w:val="BodyText"/>
        <w:spacing w:line="338" w:lineRule="auto" w:before="69"/>
        <w:ind w:right="2650" w:firstLine="360"/>
        <w:jc w:val="left"/>
      </w:pPr>
      <w:r>
        <w:rPr/>
        <w:t>各高级管理人员的年薪标准结合具体岗位职责和工作目标，并参考</w:t>
      </w:r>
      <w:r>
        <w:rPr>
          <w:rFonts w:ascii="Times New Roman" w:hAnsi="Times New Roman" w:cs="Times New Roman" w:eastAsia="Times New Roman" w:hint="default"/>
        </w:rPr>
        <w:t>2017</w:t>
      </w:r>
      <w:r>
        <w:rPr/>
        <w:t>年度行业薪酬水平而确定。 公司报告期内董事、监事和高级管理人员报酬情况</w:t>
      </w:r>
    </w:p>
    <w:p>
      <w:pPr>
        <w:pStyle w:val="BodyText"/>
        <w:spacing w:line="240" w:lineRule="auto" w:before="43"/>
        <w:ind w:left="0" w:right="1129"/>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94"/>
        <w:gridCol w:w="1742"/>
        <w:gridCol w:w="1367"/>
        <w:gridCol w:w="1367"/>
        <w:gridCol w:w="1368"/>
        <w:gridCol w:w="1367"/>
        <w:gridCol w:w="1367"/>
      </w:tblGrid>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7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8"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董悦</w:t>
            </w:r>
          </w:p>
        </w:tc>
        <w:tc>
          <w:tcPr>
            <w:tcW w:w="174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鲍林强</w:t>
            </w:r>
          </w:p>
        </w:tc>
        <w:tc>
          <w:tcPr>
            <w:tcW w:w="174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张剑秋</w:t>
            </w:r>
          </w:p>
        </w:tc>
        <w:tc>
          <w:tcPr>
            <w:tcW w:w="174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张韶衡</w:t>
            </w:r>
          </w:p>
        </w:tc>
        <w:tc>
          <w:tcPr>
            <w:tcW w:w="174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董事、常务副总经理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刘小斌</w:t>
            </w:r>
          </w:p>
        </w:tc>
        <w:tc>
          <w:tcPr>
            <w:tcW w:w="174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汪思洋</w:t>
            </w:r>
          </w:p>
        </w:tc>
        <w:tc>
          <w:tcPr>
            <w:tcW w:w="174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叶雪芳</w:t>
            </w:r>
          </w:p>
        </w:tc>
        <w:tc>
          <w:tcPr>
            <w:tcW w:w="174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蔡才河</w:t>
            </w:r>
          </w:p>
        </w:tc>
        <w:tc>
          <w:tcPr>
            <w:tcW w:w="174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郭全中</w:t>
            </w:r>
          </w:p>
        </w:tc>
        <w:tc>
          <w:tcPr>
            <w:tcW w:w="174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沈旭微</w:t>
            </w:r>
          </w:p>
        </w:tc>
        <w:tc>
          <w:tcPr>
            <w:tcW w:w="174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陈军雄</w:t>
            </w:r>
          </w:p>
        </w:tc>
        <w:tc>
          <w:tcPr>
            <w:tcW w:w="174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裴蓉</w:t>
            </w:r>
          </w:p>
        </w:tc>
        <w:tc>
          <w:tcPr>
            <w:tcW w:w="174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邹箭峰</w:t>
            </w:r>
          </w:p>
        </w:tc>
        <w:tc>
          <w:tcPr>
            <w:tcW w:w="174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洪晓明</w:t>
            </w:r>
          </w:p>
        </w:tc>
        <w:tc>
          <w:tcPr>
            <w:tcW w:w="174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994"/>
        <w:gridCol w:w="1742"/>
        <w:gridCol w:w="1367"/>
        <w:gridCol w:w="1367"/>
        <w:gridCol w:w="1368"/>
        <w:gridCol w:w="1367"/>
        <w:gridCol w:w="1367"/>
      </w:tblGrid>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于国清</w:t>
            </w:r>
          </w:p>
        </w:tc>
        <w:tc>
          <w:tcPr>
            <w:tcW w:w="174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宋浩</w:t>
            </w:r>
          </w:p>
        </w:tc>
        <w:tc>
          <w:tcPr>
            <w:tcW w:w="174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174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高坚强</w:t>
            </w:r>
          </w:p>
        </w:tc>
        <w:tc>
          <w:tcPr>
            <w:tcW w:w="174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王柏华</w:t>
            </w:r>
          </w:p>
        </w:tc>
        <w:tc>
          <w:tcPr>
            <w:tcW w:w="174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618.05</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公司董事、高级管理人员报告期内被授予的股权激励情况</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9"/>
        <w:gridCol w:w="4787"/>
      </w:tblGrid>
      <w:tr>
        <w:trPr>
          <w:trHeight w:val="402" w:hRule="exact"/>
        </w:trPr>
        <w:tc>
          <w:tcPr>
            <w:tcW w:w="47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r>
      <w:tr>
        <w:trPr>
          <w:trHeight w:val="402" w:hRule="exact"/>
        </w:trPr>
        <w:tc>
          <w:tcPr>
            <w:tcW w:w="47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3,102</w:t>
            </w:r>
          </w:p>
        </w:tc>
      </w:tr>
      <w:tr>
        <w:trPr>
          <w:trHeight w:val="402" w:hRule="exact"/>
        </w:trPr>
        <w:tc>
          <w:tcPr>
            <w:tcW w:w="47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3,155</w:t>
            </w:r>
          </w:p>
        </w:tc>
      </w:tr>
      <w:tr>
        <w:trPr>
          <w:trHeight w:val="402" w:hRule="exact"/>
        </w:trPr>
        <w:tc>
          <w:tcPr>
            <w:tcW w:w="47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3,155</w:t>
            </w:r>
          </w:p>
        </w:tc>
      </w:tr>
      <w:tr>
        <w:trPr>
          <w:trHeight w:val="402" w:hRule="exact"/>
        </w:trPr>
        <w:tc>
          <w:tcPr>
            <w:tcW w:w="47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2" w:hRule="exact"/>
        </w:trPr>
        <w:tc>
          <w:tcPr>
            <w:tcW w:w="47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80"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401</w:t>
            </w:r>
          </w:p>
        </w:tc>
      </w:tr>
      <w:tr>
        <w:trPr>
          <w:trHeight w:val="402" w:hRule="exact"/>
        </w:trPr>
        <w:tc>
          <w:tcPr>
            <w:tcW w:w="47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w:t>
            </w:r>
          </w:p>
        </w:tc>
      </w:tr>
      <w:tr>
        <w:trPr>
          <w:trHeight w:val="402" w:hRule="exact"/>
        </w:trPr>
        <w:tc>
          <w:tcPr>
            <w:tcW w:w="47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w:t>
            </w:r>
          </w:p>
        </w:tc>
      </w:tr>
      <w:tr>
        <w:trPr>
          <w:trHeight w:val="402" w:hRule="exact"/>
        </w:trPr>
        <w:tc>
          <w:tcPr>
            <w:tcW w:w="47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媒体人员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w:t>
            </w:r>
          </w:p>
        </w:tc>
      </w:tr>
      <w:tr>
        <w:trPr>
          <w:trHeight w:val="402" w:hRule="exact"/>
        </w:trPr>
        <w:tc>
          <w:tcPr>
            <w:tcW w:w="47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390</w:t>
            </w:r>
          </w:p>
        </w:tc>
      </w:tr>
      <w:tr>
        <w:trPr>
          <w:trHeight w:val="402" w:hRule="exact"/>
        </w:trPr>
        <w:tc>
          <w:tcPr>
            <w:tcW w:w="47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682</w:t>
            </w:r>
          </w:p>
        </w:tc>
      </w:tr>
      <w:tr>
        <w:trPr>
          <w:trHeight w:val="402" w:hRule="exact"/>
        </w:trPr>
        <w:tc>
          <w:tcPr>
            <w:tcW w:w="47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发行人员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1,162</w:t>
            </w:r>
          </w:p>
        </w:tc>
      </w:tr>
      <w:tr>
        <w:trPr>
          <w:trHeight w:val="402" w:hRule="exact"/>
        </w:trPr>
        <w:tc>
          <w:tcPr>
            <w:tcW w:w="47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3,155</w:t>
            </w:r>
          </w:p>
        </w:tc>
      </w:tr>
      <w:tr>
        <w:trPr>
          <w:trHeight w:val="402"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113</w:t>
            </w:r>
          </w:p>
        </w:tc>
      </w:tr>
      <w:tr>
        <w:trPr>
          <w:trHeight w:val="402" w:hRule="exact"/>
        </w:trPr>
        <w:tc>
          <w:tcPr>
            <w:tcW w:w="47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大学本科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1,081</w:t>
            </w:r>
          </w:p>
        </w:tc>
      </w:tr>
      <w:tr>
        <w:trPr>
          <w:trHeight w:val="402" w:hRule="exact"/>
        </w:trPr>
        <w:tc>
          <w:tcPr>
            <w:tcW w:w="47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大学专科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399</w:t>
            </w:r>
          </w:p>
        </w:tc>
      </w:tr>
      <w:tr>
        <w:trPr>
          <w:trHeight w:val="402" w:hRule="exact"/>
        </w:trPr>
        <w:tc>
          <w:tcPr>
            <w:tcW w:w="47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中专技工</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w:t>
            </w:r>
          </w:p>
        </w:tc>
      </w:tr>
      <w:tr>
        <w:trPr>
          <w:trHeight w:val="402" w:hRule="exact"/>
        </w:trPr>
        <w:tc>
          <w:tcPr>
            <w:tcW w:w="47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1,478</w:t>
            </w:r>
          </w:p>
        </w:tc>
      </w:tr>
      <w:tr>
        <w:trPr>
          <w:trHeight w:val="402" w:hRule="exact"/>
        </w:trPr>
        <w:tc>
          <w:tcPr>
            <w:tcW w:w="47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10"/>
        <w:rPr>
          <w:rFonts w:ascii="宋体" w:hAnsi="宋体" w:cs="宋体" w:eastAsia="宋体" w:hint="default"/>
          <w:b/>
          <w:bCs/>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31" w:firstLine="360"/>
        <w:jc w:val="both"/>
      </w:pPr>
      <w:r>
        <w:rPr>
          <w:spacing w:val="-1"/>
        </w:rPr>
        <w:t>公司根据职工的职能和职级确定相应的薪酬形式，主要包括年薪制和组合工资制（岗位</w:t>
      </w:r>
      <w:r>
        <w:rPr>
          <w:rFonts w:ascii="Times New Roman" w:hAnsi="Times New Roman" w:cs="Times New Roman" w:eastAsia="Times New Roman" w:hint="default"/>
          <w:spacing w:val="-1"/>
        </w:rPr>
        <w:t>+</w:t>
      </w:r>
      <w:r>
        <w:rPr>
          <w:spacing w:val="-1"/>
        </w:rPr>
        <w:t>绩效）。公司严格按照国家和</w:t>
      </w:r>
      <w:r>
        <w:rPr/>
        <w:t> </w:t>
      </w:r>
      <w:r>
        <w:rPr>
          <w:spacing w:val="-2"/>
        </w:rPr>
        <w:t>地方法律法规以及公司制度为职工缴纳社会保险和住房公积金，并为职工提供丰富和完善的福利计划，包括就餐补贴、高温</w:t>
      </w:r>
      <w:r>
        <w:rPr>
          <w:spacing w:val="-66"/>
        </w:rPr>
        <w:t> </w:t>
      </w:r>
      <w:r>
        <w:rPr>
          <w:spacing w:val="-66"/>
        </w:rPr>
      </w:r>
      <w:r>
        <w:rPr/>
        <w:t>补贴、年度体检、带薪休假、带薪病假、婚育礼金、节日慰问、女工保险等。</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8"/>
        <w:rPr>
          <w:rFonts w:ascii="宋体" w:hAnsi="宋体" w:cs="宋体" w:eastAsia="宋体" w:hint="default"/>
          <w:b/>
          <w:bCs/>
          <w:sz w:val="26"/>
          <w:szCs w:val="26"/>
        </w:rPr>
      </w:pPr>
    </w:p>
    <w:p>
      <w:pPr>
        <w:pStyle w:val="BodyText"/>
        <w:spacing w:line="309" w:lineRule="auto"/>
        <w:ind w:right="0" w:firstLine="360"/>
        <w:jc w:val="left"/>
      </w:pPr>
      <w:r>
        <w:rPr>
          <w:spacing w:val="-2"/>
        </w:rPr>
        <w:t>公司注重职工的职业技能提升和个人职业发展。报告期内，公司（含全资子公司和控股子公司，不含参股公司）组织各</w:t>
      </w:r>
      <w:r>
        <w:rPr/>
        <w:t> 级、各类培训百余项，受训职工近</w:t>
      </w:r>
      <w:r>
        <w:rPr>
          <w:rFonts w:ascii="Times New Roman" w:hAnsi="Times New Roman" w:cs="Times New Roman" w:eastAsia="Times New Roman" w:hint="default"/>
        </w:rPr>
        <w:t>2000</w:t>
      </w:r>
      <w:r>
        <w:rPr/>
        <w:t>人次，采用内部授课、外部研修</w:t>
      </w:r>
      <w:r>
        <w:rPr>
          <w:rFonts w:ascii="Times New Roman" w:hAnsi="Times New Roman" w:cs="Times New Roman" w:eastAsia="Times New Roman" w:hint="default"/>
        </w:rPr>
        <w:t>/</w:t>
      </w:r>
      <w:r>
        <w:rPr/>
        <w:t>会议、同行交流、</w:t>
      </w:r>
      <w:r>
        <w:rPr>
          <w:rFonts w:ascii="Times New Roman" w:hAnsi="Times New Roman" w:cs="Times New Roman" w:eastAsia="Times New Roman" w:hint="default"/>
        </w:rPr>
        <w:t>“</w:t>
      </w:r>
      <w:r>
        <w:rPr/>
        <w:t>以赛代训</w:t>
      </w:r>
      <w:r>
        <w:rPr>
          <w:rFonts w:ascii="Times New Roman" w:hAnsi="Times New Roman" w:cs="Times New Roman" w:eastAsia="Times New Roman" w:hint="default"/>
        </w:rPr>
        <w:t>”</w:t>
      </w:r>
      <w:r>
        <w:rPr/>
        <w:t>等多种形式，内容覆 盖新员工培训、业务技能、职业资格、内部管控、职业生涯、领导能力等各个方面。</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82" w:top="110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537"/>
        <w:jc w:val="center"/>
        <w:rPr>
          <w:b w:val="0"/>
          <w:bCs w:val="0"/>
        </w:rPr>
      </w:pPr>
      <w:bookmarkStart w:name="_TOC_250003" w:id="9"/>
      <w:r>
        <w:rPr/>
        <w:t>第九节</w:t>
      </w:r>
      <w:r>
        <w:rPr>
          <w:spacing w:val="-5"/>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29" w:firstLine="360"/>
        <w:jc w:val="both"/>
      </w:pPr>
      <w:r>
        <w:rPr>
          <w:spacing w:val="-2"/>
        </w:rPr>
        <w:t>报告期内，公司严格按照《公司法》、《证券法》、《上市公司治理准则》、《深圳证券交易所股票上市规则》、《企</w:t>
      </w:r>
      <w:r>
        <w:rPr/>
        <w:t> </w:t>
      </w:r>
      <w:r>
        <w:rPr>
          <w:spacing w:val="-2"/>
        </w:rPr>
        <w:t>业内部控制基本规范》及其配套指引等有关法律法规、规范性文件的要求，不断完善公司法人治理结构，健全内部管理和控</w:t>
      </w:r>
      <w:r>
        <w:rPr>
          <w:spacing w:val="-66"/>
        </w:rPr>
        <w:t> </w:t>
      </w:r>
      <w:r>
        <w:rPr>
          <w:spacing w:val="-66"/>
        </w:rPr>
      </w:r>
      <w:r>
        <w:rPr/>
        <w:t>制制度，规范公司运作，加强内幕信息管理，强化信息披露工作。</w:t>
      </w:r>
    </w:p>
    <w:p>
      <w:pPr>
        <w:pStyle w:val="BodyText"/>
        <w:spacing w:line="360" w:lineRule="auto" w:before="19"/>
        <w:ind w:left="153" w:right="3551" w:firstLine="360"/>
        <w:jc w:val="left"/>
      </w:pPr>
      <w:r>
        <w:rPr/>
        <w:t>公司治理实际情况与《公司法》和中国证监会相关规定的要求不存在差异。 公司治理的实际状况与中国证监会发布的有关上市公司治理的规范性文件是否存在重大差异</w:t>
      </w:r>
    </w:p>
    <w:p>
      <w:pPr>
        <w:pStyle w:val="BodyText"/>
        <w:spacing w:line="338" w:lineRule="auto" w:before="27"/>
        <w:ind w:right="35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128" w:firstLine="360"/>
        <w:jc w:val="both"/>
      </w:pPr>
      <w:r>
        <w:rPr>
          <w:spacing w:val="-2"/>
        </w:rPr>
        <w:t>公司与控股股东在业务、人员、资产、机构、财务上已经做到“五分开”，具有独立完整的业务及自主经营能力，不存</w:t>
      </w:r>
      <w:r>
        <w:rPr/>
        <w:t> 在向控股股东报送未公开信息等有违公司治理准则的非规范行为。</w:t>
      </w:r>
    </w:p>
    <w:p>
      <w:pPr>
        <w:pStyle w:val="BodyText"/>
        <w:spacing w:line="240" w:lineRule="auto" w:before="58"/>
        <w:ind w:left="513" w:right="0"/>
        <w:jc w:val="left"/>
      </w:pPr>
      <w:r>
        <w:rPr>
          <w:rFonts w:ascii="Times New Roman" w:hAnsi="Times New Roman" w:cs="Times New Roman" w:eastAsia="Times New Roman" w:hint="default"/>
        </w:rPr>
        <w:t>1</w:t>
      </w:r>
      <w:r>
        <w:rPr/>
        <w:t>、业务方面：公司独立于控股股东，具有独立完整的业务及自主经营能力。</w:t>
      </w:r>
    </w:p>
    <w:p>
      <w:pPr>
        <w:pStyle w:val="BodyText"/>
        <w:spacing w:line="302" w:lineRule="auto" w:before="101"/>
        <w:ind w:left="153" w:right="1128" w:firstLine="360"/>
        <w:jc w:val="both"/>
      </w:pPr>
      <w:r>
        <w:rPr>
          <w:rFonts w:ascii="Times New Roman" w:hAnsi="Times New Roman" w:cs="Times New Roman" w:eastAsia="Times New Roman" w:hint="default"/>
        </w:rPr>
        <w:t>2</w:t>
      </w:r>
      <w:r>
        <w:rPr/>
        <w:t>、人员方面：公司在人事、薪酬管理方面进行独立管理；公司与所有员工均签定了劳动合同；公司股东推荐的董事、 监事通过合法程序任职，没有干预公司董事会和股东大会作出的人事任免决定的情形。</w:t>
      </w:r>
    </w:p>
    <w:p>
      <w:pPr>
        <w:pStyle w:val="BodyText"/>
        <w:spacing w:line="312" w:lineRule="auto" w:before="68"/>
        <w:ind w:left="153" w:right="1128" w:firstLine="360"/>
        <w:jc w:val="both"/>
      </w:pPr>
      <w:r>
        <w:rPr>
          <w:rFonts w:ascii="Times New Roman" w:hAnsi="Times New Roman" w:cs="Times New Roman" w:eastAsia="Times New Roman" w:hint="default"/>
        </w:rPr>
        <w:t>3</w:t>
      </w:r>
      <w:r>
        <w:rPr/>
        <w:t>、资产方面：公司拥有独立于控股股东的生产系统、辅助生产系统和配套设施等；公司拥有独立的采购和销售系统。 </w:t>
      </w:r>
      <w:r>
        <w:rPr>
          <w:spacing w:val="-2"/>
        </w:rPr>
        <w:t>公司与控股股东及其他关联方资产权属清晰，不存在控股股东及其他关联方违规占用公司资产、资产及其他资源的情形。公</w:t>
      </w:r>
      <w:r>
        <w:rPr>
          <w:spacing w:val="-66"/>
        </w:rPr>
        <w:t> </w:t>
      </w:r>
      <w:r>
        <w:rPr>
          <w:spacing w:val="-66"/>
        </w:rPr>
      </w:r>
      <w:r>
        <w:rPr>
          <w:spacing w:val="-2"/>
        </w:rPr>
        <w:t>司不存在以资产或信誉为各股东的债务提供担保，也未以公司名义的借款、授信额度转借给各股东。公司对所有资产具有完</w:t>
      </w:r>
      <w:r>
        <w:rPr>
          <w:spacing w:val="-66"/>
        </w:rPr>
        <w:t> </w:t>
      </w:r>
      <w:r>
        <w:rPr>
          <w:spacing w:val="-66"/>
        </w:rPr>
      </w:r>
      <w:r>
        <w:rPr/>
        <w:t>全的控制支配权，不存在资产、资金被控股股东占用而损害公司利益的情形。</w:t>
      </w:r>
    </w:p>
    <w:p>
      <w:pPr>
        <w:pStyle w:val="BodyText"/>
        <w:spacing w:line="302" w:lineRule="auto" w:before="62"/>
        <w:ind w:left="153" w:right="1041" w:firstLine="360"/>
        <w:jc w:val="both"/>
      </w:pPr>
      <w:r>
        <w:rPr>
          <w:rFonts w:ascii="Times New Roman" w:hAnsi="Times New Roman" w:cs="Times New Roman" w:eastAsia="Times New Roman" w:hint="default"/>
          <w:spacing w:val="-2"/>
        </w:rPr>
        <w:t>4</w:t>
      </w:r>
      <w:r>
        <w:rPr>
          <w:spacing w:val="-2"/>
        </w:rPr>
        <w:t>、机构方面：公司具有完整、独立的法人治理结构，公司的股东大会、董事会、监事会、经营管理机构等均依法设立，</w:t>
      </w:r>
      <w:r>
        <w:rPr/>
        <w:t> 并规范运作；不存在与控股股东合署办公的情况。</w:t>
      </w:r>
    </w:p>
    <w:p>
      <w:pPr>
        <w:pStyle w:val="BodyText"/>
        <w:spacing w:line="302" w:lineRule="auto" w:before="68"/>
        <w:ind w:left="153" w:right="1128" w:firstLine="360"/>
        <w:jc w:val="both"/>
      </w:pPr>
      <w:r>
        <w:rPr>
          <w:rFonts w:ascii="Times New Roman" w:hAnsi="Times New Roman" w:cs="Times New Roman" w:eastAsia="Times New Roman" w:hint="default"/>
        </w:rPr>
        <w:t>5</w:t>
      </w:r>
      <w:r>
        <w:rPr/>
        <w:t>、财务方面：公司设有独立的财务部门，建立了独立的会计核算体系和财务管理制度，开立了独立的银行帐户和税务 登记号，独立经营纳税。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61"/>
        <w:ind w:right="0"/>
        <w:jc w:val="left"/>
        <w:rPr>
          <w:b w:val="0"/>
          <w:bCs w:val="0"/>
        </w:rPr>
      </w:pP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四、报告期内召开的年度股东大会和临时股东大会的有关情况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2402"/>
        <w:gridCol w:w="1207"/>
        <w:gridCol w:w="1399"/>
        <w:gridCol w:w="1636"/>
        <w:gridCol w:w="1637"/>
        <w:gridCol w:w="1401"/>
      </w:tblGrid>
      <w:tr>
        <w:trPr>
          <w:trHeight w:val="402" w:hRule="exact"/>
        </w:trPr>
        <w:tc>
          <w:tcPr>
            <w:tcW w:w="2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3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投资者参与比例</w:t>
            </w:r>
          </w:p>
        </w:tc>
        <w:tc>
          <w:tcPr>
            <w:tcW w:w="16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4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2" w:hRule="exact"/>
        </w:trPr>
        <w:tc>
          <w:tcPr>
            <w:tcW w:w="24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62.41%</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号公告</w:t>
            </w:r>
          </w:p>
        </w:tc>
      </w:tr>
      <w:tr>
        <w:trPr>
          <w:trHeight w:val="402" w:hRule="exact"/>
        </w:trPr>
        <w:tc>
          <w:tcPr>
            <w:tcW w:w="24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0"/>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62.40%</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6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2018-038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号公告</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b/>
          <w:bCs/>
          <w:sz w:val="24"/>
          <w:szCs w:val="24"/>
        </w:rPr>
      </w:pPr>
    </w:p>
    <w:tbl>
      <w:tblPr>
        <w:tblW w:w="0" w:type="auto"/>
        <w:jc w:val="left"/>
        <w:tblInd w:w="121" w:type="dxa"/>
        <w:tblLayout w:type="fixed"/>
        <w:tblCellMar>
          <w:top w:w="0" w:type="dxa"/>
          <w:left w:w="0" w:type="dxa"/>
          <w:bottom w:w="0" w:type="dxa"/>
          <w:right w:w="0" w:type="dxa"/>
        </w:tblCellMar>
        <w:tblLook w:val="01E0"/>
      </w:tblPr>
      <w:tblGrid>
        <w:gridCol w:w="2402"/>
        <w:gridCol w:w="1207"/>
        <w:gridCol w:w="1399"/>
        <w:gridCol w:w="1636"/>
        <w:gridCol w:w="1637"/>
        <w:gridCol w:w="1401"/>
      </w:tblGrid>
      <w:tr>
        <w:trPr>
          <w:trHeight w:val="402" w:hRule="exact"/>
        </w:trPr>
        <w:tc>
          <w:tcPr>
            <w:tcW w:w="24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7" w:right="0"/>
              <w:jc w:val="left"/>
              <w:rPr>
                <w:rFonts w:ascii="Times New Roman" w:hAnsi="Times New Roman" w:cs="Times New Roman" w:eastAsia="Times New Roman" w:hint="default"/>
                <w:sz w:val="18"/>
                <w:szCs w:val="18"/>
              </w:rPr>
            </w:pPr>
            <w:r>
              <w:rPr>
                <w:rFonts w:ascii="Times New Roman"/>
                <w:sz w:val="18"/>
              </w:rPr>
              <w:t>11.16%</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2018-060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号公告</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85"/>
        <w:gridCol w:w="1441"/>
        <w:gridCol w:w="1112"/>
        <w:gridCol w:w="1441"/>
        <w:gridCol w:w="1111"/>
        <w:gridCol w:w="893"/>
        <w:gridCol w:w="1879"/>
        <w:gridCol w:w="1003"/>
      </w:tblGrid>
      <w:tr>
        <w:trPr>
          <w:trHeight w:val="402" w:hRule="exact"/>
        </w:trPr>
        <w:tc>
          <w:tcPr>
            <w:tcW w:w="9666"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714" w:hRule="exact"/>
        </w:trPr>
        <w:tc>
          <w:tcPr>
            <w:tcW w:w="7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06" w:right="26" w:hanging="180"/>
              <w:jc w:val="left"/>
              <w:rPr>
                <w:rFonts w:ascii="宋体" w:hAnsi="宋体" w:cs="宋体" w:eastAsia="宋体" w:hint="default"/>
                <w:sz w:val="18"/>
                <w:szCs w:val="18"/>
              </w:rPr>
            </w:pPr>
            <w:r>
              <w:rPr>
                <w:rFonts w:ascii="宋体" w:hAnsi="宋体" w:cs="宋体" w:eastAsia="宋体" w:hint="default"/>
                <w:sz w:val="18"/>
                <w:szCs w:val="18"/>
              </w:rPr>
              <w:t>独立董事 姓名</w:t>
            </w:r>
          </w:p>
        </w:tc>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5" w:right="84"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1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90" w:right="101" w:hanging="90"/>
              <w:jc w:val="left"/>
              <w:rPr>
                <w:rFonts w:ascii="宋体" w:hAnsi="宋体" w:cs="宋体" w:eastAsia="宋体" w:hint="default"/>
                <w:sz w:val="18"/>
                <w:szCs w:val="18"/>
              </w:rPr>
            </w:pPr>
            <w:r>
              <w:rPr>
                <w:rFonts w:ascii="宋体" w:hAnsi="宋体" w:cs="宋体" w:eastAsia="宋体" w:hint="default"/>
                <w:sz w:val="18"/>
                <w:szCs w:val="18"/>
              </w:rPr>
              <w:t>现场出席董 事会次数</w:t>
            </w:r>
          </w:p>
        </w:tc>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5" w:right="84" w:hanging="180"/>
              <w:jc w:val="left"/>
              <w:rPr>
                <w:rFonts w:ascii="宋体" w:hAnsi="宋体" w:cs="宋体" w:eastAsia="宋体" w:hint="default"/>
                <w:sz w:val="18"/>
                <w:szCs w:val="18"/>
              </w:rPr>
            </w:pPr>
            <w:r>
              <w:rPr>
                <w:rFonts w:ascii="宋体" w:hAnsi="宋体" w:cs="宋体" w:eastAsia="宋体" w:hint="default"/>
                <w:sz w:val="18"/>
                <w:szCs w:val="18"/>
              </w:rPr>
              <w:t>以通讯方式参加 董事会次数</w:t>
            </w:r>
          </w:p>
        </w:tc>
        <w:tc>
          <w:tcPr>
            <w:tcW w:w="1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90" w:right="98" w:hanging="90"/>
              <w:jc w:val="left"/>
              <w:rPr>
                <w:rFonts w:ascii="宋体" w:hAnsi="宋体" w:cs="宋体" w:eastAsia="宋体" w:hint="default"/>
                <w:sz w:val="18"/>
                <w:szCs w:val="18"/>
              </w:rPr>
            </w:pPr>
            <w:r>
              <w:rPr>
                <w:rFonts w:ascii="宋体" w:hAnsi="宋体" w:cs="宋体" w:eastAsia="宋体" w:hint="default"/>
                <w:sz w:val="18"/>
                <w:szCs w:val="18"/>
              </w:rPr>
              <w:t>委托出席董 事会次数</w:t>
            </w:r>
          </w:p>
        </w:tc>
        <w:tc>
          <w:tcPr>
            <w:tcW w:w="8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71" w:right="79" w:hanging="90"/>
              <w:jc w:val="left"/>
              <w:rPr>
                <w:rFonts w:ascii="宋体" w:hAnsi="宋体" w:cs="宋体" w:eastAsia="宋体" w:hint="default"/>
                <w:sz w:val="18"/>
                <w:szCs w:val="18"/>
              </w:rPr>
            </w:pPr>
            <w:r>
              <w:rPr>
                <w:rFonts w:ascii="宋体" w:hAnsi="宋体" w:cs="宋体" w:eastAsia="宋体" w:hint="default"/>
                <w:sz w:val="18"/>
                <w:szCs w:val="18"/>
              </w:rPr>
              <w:t>缺席董事 会次数</w:t>
            </w:r>
          </w:p>
        </w:tc>
        <w:tc>
          <w:tcPr>
            <w:tcW w:w="18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94" w:right="32" w:hanging="360"/>
              <w:jc w:val="left"/>
              <w:rPr>
                <w:rFonts w:ascii="宋体" w:hAnsi="宋体" w:cs="宋体" w:eastAsia="宋体" w:hint="default"/>
                <w:sz w:val="18"/>
                <w:szCs w:val="18"/>
              </w:rPr>
            </w:pPr>
            <w:r>
              <w:rPr>
                <w:rFonts w:ascii="宋体" w:hAnsi="宋体" w:cs="宋体" w:eastAsia="宋体" w:hint="default"/>
                <w:sz w:val="18"/>
                <w:szCs w:val="18"/>
              </w:rPr>
              <w:t>是否连续两次未亲自参 加董事会会议</w:t>
            </w:r>
          </w:p>
        </w:tc>
        <w:tc>
          <w:tcPr>
            <w:tcW w:w="10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5" w:right="47" w:hanging="180"/>
              <w:jc w:val="left"/>
              <w:rPr>
                <w:rFonts w:ascii="宋体" w:hAnsi="宋体" w:cs="宋体" w:eastAsia="宋体" w:hint="default"/>
                <w:sz w:val="18"/>
                <w:szCs w:val="18"/>
              </w:rPr>
            </w:pPr>
            <w:r>
              <w:rPr>
                <w:rFonts w:ascii="宋体" w:hAnsi="宋体" w:cs="宋体" w:eastAsia="宋体" w:hint="default"/>
                <w:sz w:val="18"/>
                <w:szCs w:val="18"/>
              </w:rPr>
              <w:t>出席股东大 会次数</w:t>
            </w:r>
          </w:p>
        </w:tc>
      </w:tr>
      <w:tr>
        <w:trPr>
          <w:trHeight w:val="402" w:hRule="exact"/>
        </w:trPr>
        <w:tc>
          <w:tcPr>
            <w:tcW w:w="7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叶雪芳</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7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蔡才河</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7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郭全中</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360" w:lineRule="auto" w:before="51"/>
        <w:ind w:left="153" w:right="8051"/>
        <w:jc w:val="left"/>
      </w:pPr>
      <w:r>
        <w:rPr/>
        <w:t>连续两次未亲自出席董事会的说明 不适用</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38" w:lineRule="auto" w:before="116"/>
        <w:ind w:right="697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48" w:lineRule="auto" w:before="117"/>
        <w:ind w:right="67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 独立董事对公司有关建议均已被采纳。</w:t>
      </w:r>
    </w:p>
    <w:p>
      <w:pPr>
        <w:spacing w:line="240" w:lineRule="auto" w:before="13"/>
        <w:rPr>
          <w:rFonts w:ascii="宋体" w:hAnsi="宋体" w:cs="宋体" w:eastAsia="宋体" w:hint="default"/>
          <w:sz w:val="18"/>
          <w:szCs w:val="18"/>
        </w:rPr>
      </w:pPr>
    </w:p>
    <w:p>
      <w:pPr>
        <w:pStyle w:val="Heading2"/>
        <w:spacing w:line="240" w:lineRule="auto"/>
        <w:ind w:right="0"/>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1128" w:firstLine="424"/>
        <w:jc w:val="both"/>
      </w:pPr>
      <w:r>
        <w:rPr>
          <w:rFonts w:ascii="Times New Roman" w:hAnsi="Times New Roman" w:cs="Times New Roman" w:eastAsia="Times New Roman" w:hint="default"/>
          <w:spacing w:val="-2"/>
        </w:rPr>
        <w:t>1</w:t>
      </w:r>
      <w:r>
        <w:rPr>
          <w:spacing w:val="-2"/>
        </w:rPr>
        <w:t>、报告期内，公司董事会下设战略与投资委员会根据《公司法》、《上市公司治理准则》等相关法律、法规、规范性</w:t>
      </w:r>
      <w:r>
        <w:rPr/>
        <w:t> </w:t>
      </w:r>
      <w:r>
        <w:rPr>
          <w:spacing w:val="-2"/>
        </w:rPr>
        <w:t>文件及《公司章程》、《战略与投资委员会工作细则》的要求，主要负责对公司长期发展战略和重大投资决策进行研究并提</w:t>
      </w:r>
      <w:r>
        <w:rPr>
          <w:spacing w:val="-67"/>
        </w:rPr>
        <w:t> </w:t>
      </w:r>
      <w:r>
        <w:rPr>
          <w:spacing w:val="-67"/>
        </w:rPr>
      </w:r>
      <w:r>
        <w:rPr/>
        <w:t>出建议。报告期内，战略与投资委员会共召开</w:t>
      </w:r>
      <w:r>
        <w:rPr>
          <w:rFonts w:ascii="Times New Roman" w:hAnsi="Times New Roman" w:cs="Times New Roman" w:eastAsia="Times New Roman" w:hint="default"/>
        </w:rPr>
        <w:t>4</w:t>
      </w:r>
      <w:r>
        <w:rPr/>
        <w:t>次会议，具体如下：</w:t>
      </w:r>
    </w:p>
    <w:p>
      <w:pPr>
        <w:pStyle w:val="BodyText"/>
        <w:spacing w:line="300" w:lineRule="auto" w:before="5"/>
        <w:ind w:right="1048" w:firstLine="424"/>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9</w:t>
      </w:r>
      <w:r>
        <w:rPr/>
        <w:t>日，战略与投资委员会召开</w:t>
      </w:r>
      <w:r>
        <w:rPr>
          <w:rFonts w:ascii="Times New Roman" w:hAnsi="Times New Roman" w:cs="Times New Roman" w:eastAsia="Times New Roman" w:hint="default"/>
        </w:rPr>
        <w:t>2018</w:t>
      </w:r>
      <w:r>
        <w:rPr/>
        <w:t>年第一次会议，审议：《关于公司公开发行公司债券的议案》、《关于 使用自有闲置资金购买信托产品的议案》和《关于子公司对外投资设立有限合伙企业的议案》，并出具了同意的审核意见。</w:t>
      </w:r>
    </w:p>
    <w:p>
      <w:pPr>
        <w:pStyle w:val="BodyText"/>
        <w:spacing w:line="300" w:lineRule="auto" w:before="31"/>
        <w:ind w:right="1041" w:firstLine="424"/>
        <w:jc w:val="both"/>
      </w:pPr>
      <w:r>
        <w:rPr>
          <w:rFonts w:ascii="Times New Roman" w:hAnsi="Times New Roman" w:cs="Times New Roman" w:eastAsia="Times New Roman" w:hint="default"/>
          <w:spacing w:val="-5"/>
        </w:rPr>
        <w:t>2</w:t>
      </w:r>
      <w:r>
        <w:rPr>
          <w:spacing w:val="-5"/>
        </w:rPr>
        <w:t>）</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19</w:t>
      </w:r>
      <w:r>
        <w:rPr>
          <w:spacing w:val="-5"/>
        </w:rPr>
        <w:t>日，战略与投资委员会召开</w:t>
      </w:r>
      <w:r>
        <w:rPr>
          <w:rFonts w:ascii="Times New Roman" w:hAnsi="Times New Roman" w:cs="Times New Roman" w:eastAsia="Times New Roman" w:hint="default"/>
          <w:spacing w:val="-5"/>
        </w:rPr>
        <w:t>2018</w:t>
      </w:r>
      <w:r>
        <w:rPr>
          <w:spacing w:val="-5"/>
        </w:rPr>
        <w:t>年第二次会议，审议：《关于使用自有闲置资金购买理财产品的议案》，</w:t>
      </w:r>
      <w:r>
        <w:rPr/>
        <w:t> 并出具了同意的审核意见。</w:t>
      </w:r>
    </w:p>
    <w:p>
      <w:pPr>
        <w:pStyle w:val="BodyText"/>
        <w:spacing w:line="240" w:lineRule="auto" w:before="31"/>
        <w:ind w:left="578"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w:t>
      </w:r>
      <w:r>
        <w:rPr/>
        <w:t>日，战略与投资委员会召开</w:t>
      </w:r>
      <w:r>
        <w:rPr>
          <w:rFonts w:ascii="Times New Roman" w:hAnsi="Times New Roman" w:cs="Times New Roman" w:eastAsia="Times New Roman" w:hint="default"/>
        </w:rPr>
        <w:t>2018</w:t>
      </w:r>
      <w:r>
        <w:rPr/>
        <w:t>年第三次会议，审议：《关于对外投资设立杭州火鸟区块链有限公司的</w:t>
      </w:r>
    </w:p>
    <w:p>
      <w:pPr>
        <w:spacing w:after="0" w:line="240" w:lineRule="auto"/>
        <w:jc w:val="left"/>
        <w:sectPr>
          <w:pgSz w:w="11910" w:h="16840"/>
          <w:pgMar w:header="877" w:footer="982" w:top="1100" w:bottom="1180" w:left="980" w:right="0"/>
        </w:sectPr>
      </w:pPr>
    </w:p>
    <w:p>
      <w:pPr>
        <w:spacing w:line="240" w:lineRule="auto" w:before="12"/>
        <w:rPr>
          <w:rFonts w:ascii="宋体" w:hAnsi="宋体" w:cs="宋体" w:eastAsia="宋体" w:hint="default"/>
          <w:sz w:val="21"/>
          <w:szCs w:val="21"/>
        </w:rPr>
      </w:pPr>
    </w:p>
    <w:p>
      <w:pPr>
        <w:pStyle w:val="BodyText"/>
        <w:spacing w:line="240" w:lineRule="auto" w:before="44"/>
        <w:ind w:left="153" w:right="0"/>
        <w:jc w:val="left"/>
      </w:pPr>
      <w:r>
        <w:rPr/>
        <w:t>议案》，并出具了同意的审核意见。</w:t>
      </w:r>
    </w:p>
    <w:p>
      <w:pPr>
        <w:pStyle w:val="BodyText"/>
        <w:spacing w:line="300" w:lineRule="auto" w:before="76"/>
        <w:ind w:left="153" w:right="1193" w:firstLine="424"/>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日，战略与投资委员会召开</w:t>
      </w:r>
      <w:r>
        <w:rPr>
          <w:rFonts w:ascii="Times New Roman" w:hAnsi="Times New Roman" w:cs="Times New Roman" w:eastAsia="Times New Roman" w:hint="default"/>
        </w:rPr>
        <w:t>2018</w:t>
      </w:r>
      <w:r>
        <w:rPr/>
        <w:t>年第四次会议，审议：《关于收购杭州萧文置业有限公司</w:t>
      </w:r>
      <w:r>
        <w:rPr>
          <w:rFonts w:ascii="Times New Roman" w:hAnsi="Times New Roman" w:cs="Times New Roman" w:eastAsia="Times New Roman" w:hint="default"/>
        </w:rPr>
        <w:t>55%</w:t>
      </w:r>
      <w:r>
        <w:rPr/>
        <w:t>股权暨 关联交易的议案》，并出具了同意的审核意见。</w:t>
      </w:r>
    </w:p>
    <w:p>
      <w:pPr>
        <w:pStyle w:val="BodyText"/>
        <w:spacing w:line="240" w:lineRule="auto" w:before="31"/>
        <w:ind w:left="578" w:right="0"/>
        <w:jc w:val="left"/>
      </w:pPr>
      <w:r>
        <w:rPr>
          <w:rFonts w:ascii="Times New Roman" w:hAnsi="Times New Roman" w:cs="Times New Roman" w:eastAsia="Times New Roman" w:hint="default"/>
        </w:rPr>
        <w:t>2</w:t>
      </w:r>
      <w:r>
        <w:rPr/>
        <w:t>、报告期内，公司董事会下设审计委员会根据《公司法》、《上市公司治理准则》等相关法律、法规、规范性文件及</w:t>
      </w:r>
    </w:p>
    <w:p>
      <w:pPr>
        <w:pStyle w:val="BodyText"/>
        <w:spacing w:line="316" w:lineRule="auto" w:before="63"/>
        <w:ind w:left="153" w:right="0"/>
        <w:jc w:val="left"/>
      </w:pPr>
      <w:r>
        <w:rPr>
          <w:spacing w:val="-2"/>
        </w:rPr>
        <w:t>《公司章程》、《审计委员会工作细则》的要求，主要负责公司内、外部审计、监督和核查工作。报告期内，审计委员会共</w:t>
      </w:r>
      <w:r>
        <w:rPr>
          <w:spacing w:val="-69"/>
        </w:rPr>
        <w:t> </w:t>
      </w:r>
      <w:r>
        <w:rPr>
          <w:spacing w:val="-69"/>
        </w:rPr>
      </w:r>
      <w:r>
        <w:rPr/>
        <w:t>召开</w:t>
      </w:r>
      <w:r>
        <w:rPr>
          <w:rFonts w:ascii="Times New Roman" w:hAnsi="Times New Roman" w:cs="Times New Roman" w:eastAsia="Times New Roman" w:hint="default"/>
        </w:rPr>
        <w:t>4</w:t>
      </w:r>
      <w:r>
        <w:rPr/>
        <w:t>次会议，具体如下：</w:t>
      </w:r>
    </w:p>
    <w:p>
      <w:pPr>
        <w:pStyle w:val="BodyText"/>
        <w:spacing w:line="300" w:lineRule="auto"/>
        <w:ind w:left="153" w:right="1130" w:firstLine="424"/>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日，审计委员会召开</w:t>
      </w:r>
      <w:r>
        <w:rPr>
          <w:rFonts w:ascii="Times New Roman" w:hAnsi="Times New Roman" w:cs="Times New Roman" w:eastAsia="Times New Roman" w:hint="default"/>
        </w:rPr>
        <w:t>2018</w:t>
      </w:r>
      <w:r>
        <w:rPr/>
        <w:t>年第一次会议，审议：《 </w:t>
      </w: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t>年度报告全文及其摘要》、《</w:t>
      </w:r>
      <w:r>
        <w:rPr>
          <w:rFonts w:ascii="Times New Roman" w:hAnsi="Times New Roman" w:cs="Times New Roman" w:eastAsia="Times New Roman" w:hint="default"/>
        </w:rPr>
        <w:t>2017</w:t>
      </w:r>
      <w:r>
        <w:rPr/>
        <w:t>年度财务 </w:t>
      </w:r>
      <w:r>
        <w:rPr>
          <w:spacing w:val="-2"/>
        </w:rPr>
        <w:t>决算报告》、《</w:t>
      </w:r>
      <w:r>
        <w:rPr>
          <w:rFonts w:ascii="Times New Roman" w:hAnsi="Times New Roman" w:cs="Times New Roman" w:eastAsia="Times New Roman" w:hint="default"/>
          <w:spacing w:val="-2"/>
        </w:rPr>
        <w:t>2017</w:t>
      </w:r>
      <w:r>
        <w:rPr>
          <w:spacing w:val="-2"/>
        </w:rPr>
        <w:t>年度利润分配预案》、《关于</w:t>
      </w:r>
      <w:r>
        <w:rPr>
          <w:rFonts w:ascii="Times New Roman" w:hAnsi="Times New Roman" w:cs="Times New Roman" w:eastAsia="Times New Roman" w:hint="default"/>
          <w:spacing w:val="-2"/>
        </w:rPr>
        <w:t>2017</w:t>
      </w:r>
      <w:r>
        <w:rPr>
          <w:spacing w:val="-2"/>
        </w:rPr>
        <w:t>年度关联交易情况和</w:t>
      </w:r>
      <w:r>
        <w:rPr>
          <w:rFonts w:ascii="Times New Roman" w:hAnsi="Times New Roman" w:cs="Times New Roman" w:eastAsia="Times New Roman" w:hint="default"/>
          <w:spacing w:val="-2"/>
        </w:rPr>
        <w:t>2018</w:t>
      </w:r>
      <w:r>
        <w:rPr>
          <w:spacing w:val="-2"/>
        </w:rPr>
        <w:t>年度日常关联交易预计》、《关于会计政策</w:t>
      </w:r>
      <w:r>
        <w:rPr>
          <w:spacing w:val="-56"/>
        </w:rPr>
        <w:t> </w:t>
      </w:r>
      <w:r>
        <w:rPr>
          <w:spacing w:val="-56"/>
        </w:rPr>
      </w:r>
      <w:r>
        <w:rPr>
          <w:spacing w:val="-2"/>
        </w:rPr>
        <w:t>变更》、《关于计提资产减值准备》、《关于使用自有闲置资金购买理财产品》、《</w:t>
      </w:r>
      <w:r>
        <w:rPr>
          <w:rFonts w:ascii="Times New Roman" w:hAnsi="Times New Roman" w:cs="Times New Roman" w:eastAsia="Times New Roman" w:hint="default"/>
          <w:spacing w:val="-2"/>
        </w:rPr>
        <w:t>2017</w:t>
      </w:r>
      <w:r>
        <w:rPr>
          <w:spacing w:val="-2"/>
        </w:rPr>
        <w:t>年度内部控制评价报告》、《关于</w:t>
      </w:r>
      <w:r>
        <w:rPr>
          <w:spacing w:val="-67"/>
        </w:rPr>
        <w:t> </w:t>
      </w:r>
      <w:r>
        <w:rPr>
          <w:spacing w:val="-67"/>
        </w:rPr>
      </w:r>
      <w:r>
        <w:rPr/>
        <w:t>聘请</w:t>
      </w:r>
      <w:r>
        <w:rPr>
          <w:rFonts w:ascii="Times New Roman" w:hAnsi="Times New Roman" w:cs="Times New Roman" w:eastAsia="Times New Roman" w:hint="default"/>
        </w:rPr>
        <w:t>2018</w:t>
      </w:r>
      <w:r>
        <w:rPr/>
        <w:t>年度审计机构》、《关于聘请</w:t>
      </w:r>
      <w:r>
        <w:rPr>
          <w:rFonts w:ascii="Times New Roman" w:hAnsi="Times New Roman" w:cs="Times New Roman" w:eastAsia="Times New Roman" w:hint="default"/>
        </w:rPr>
        <w:t>2018</w:t>
      </w:r>
      <w:r>
        <w:rPr/>
        <w:t>年度内部控制审计机构》议案，并出具了同意的审核意见。</w:t>
      </w:r>
    </w:p>
    <w:p>
      <w:pPr>
        <w:pStyle w:val="BodyText"/>
        <w:spacing w:line="300" w:lineRule="auto" w:before="13"/>
        <w:ind w:right="1163" w:firstLine="424"/>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日，审计委员会召开</w:t>
      </w:r>
      <w:r>
        <w:rPr>
          <w:rFonts w:ascii="Times New Roman" w:hAnsi="Times New Roman" w:cs="Times New Roman" w:eastAsia="Times New Roman" w:hint="default"/>
        </w:rPr>
        <w:t>2018</w:t>
      </w:r>
      <w:r>
        <w:rPr/>
        <w:t>年第二次会议，审议：《浙江华媒控股股份有限公司</w:t>
      </w:r>
      <w:r>
        <w:rPr>
          <w:rFonts w:ascii="Times New Roman" w:hAnsi="Times New Roman" w:cs="Times New Roman" w:eastAsia="Times New Roman" w:hint="default"/>
        </w:rPr>
        <w:t>2018</w:t>
      </w:r>
      <w:r>
        <w:rPr/>
        <w:t>年第一季度报告》 及正文的议案，并出具了同意的审核意见。</w:t>
      </w:r>
    </w:p>
    <w:p>
      <w:pPr>
        <w:pStyle w:val="BodyText"/>
        <w:spacing w:line="300" w:lineRule="auto" w:before="31"/>
        <w:ind w:right="1163" w:firstLine="424"/>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日，审计委员会召开</w:t>
      </w:r>
      <w:r>
        <w:rPr>
          <w:rFonts w:ascii="Times New Roman" w:hAnsi="Times New Roman" w:cs="Times New Roman" w:eastAsia="Times New Roman" w:hint="default"/>
        </w:rPr>
        <w:t>2018</w:t>
      </w:r>
      <w:r>
        <w:rPr/>
        <w:t>年第三次会议，审议：《</w:t>
      </w:r>
      <w:r>
        <w:rPr>
          <w:rFonts w:ascii="Times New Roman" w:hAnsi="Times New Roman" w:cs="Times New Roman" w:eastAsia="Times New Roman" w:hint="default"/>
        </w:rPr>
        <w:t>2018</w:t>
      </w:r>
      <w:r>
        <w:rPr/>
        <w:t>年半年度报告全文及其摘要》及《关于对子公 司提供担保》的议案，并出具了同意的审核意见。</w:t>
      </w:r>
    </w:p>
    <w:p>
      <w:pPr>
        <w:pStyle w:val="BodyText"/>
        <w:spacing w:line="300" w:lineRule="auto" w:before="31"/>
        <w:ind w:right="1131" w:firstLine="424"/>
        <w:jc w:val="both"/>
      </w:pPr>
      <w:r>
        <w:rPr>
          <w:rFonts w:ascii="Times New Roman" w:hAnsi="Times New Roman" w:cs="Times New Roman" w:eastAsia="Times New Roman" w:hint="default"/>
          <w:spacing w:val="-1"/>
        </w:rPr>
        <w:t>4</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29</w:t>
      </w:r>
      <w:r>
        <w:rPr>
          <w:spacing w:val="-1"/>
        </w:rPr>
        <w:t>日，审计委员会召开</w:t>
      </w:r>
      <w:r>
        <w:rPr>
          <w:rFonts w:ascii="Times New Roman" w:hAnsi="Times New Roman" w:cs="Times New Roman" w:eastAsia="Times New Roman" w:hint="default"/>
          <w:spacing w:val="-1"/>
        </w:rPr>
        <w:t>2018</w:t>
      </w:r>
      <w:r>
        <w:rPr>
          <w:spacing w:val="-1"/>
        </w:rPr>
        <w:t>年第四次会议，审议：《</w:t>
      </w:r>
      <w:r>
        <w:rPr>
          <w:rFonts w:ascii="Times New Roman" w:hAnsi="Times New Roman" w:cs="Times New Roman" w:eastAsia="Times New Roman" w:hint="default"/>
          <w:spacing w:val="-1"/>
        </w:rPr>
        <w:t>2018</w:t>
      </w:r>
      <w:r>
        <w:rPr>
          <w:spacing w:val="-1"/>
        </w:rPr>
        <w:t>年第三季度报告》的议案，并出具了同意的审</w:t>
      </w:r>
      <w:r>
        <w:rPr/>
        <w:t> 核意见。</w:t>
      </w:r>
    </w:p>
    <w:p>
      <w:pPr>
        <w:pStyle w:val="BodyText"/>
        <w:spacing w:line="240" w:lineRule="auto" w:before="31"/>
        <w:ind w:left="578" w:right="0"/>
        <w:jc w:val="left"/>
      </w:pPr>
      <w:r>
        <w:rPr>
          <w:rFonts w:ascii="Times New Roman" w:hAnsi="Times New Roman" w:cs="Times New Roman" w:eastAsia="Times New Roman" w:hint="default"/>
        </w:rPr>
        <w:t>3</w:t>
      </w:r>
      <w:r>
        <w:rPr/>
        <w:t>、报告期内，公司董事会下设提名委员会根据《公司法》、《上市公司治理准则》等相关法律、法规、规范性文件及</w:t>
      </w:r>
    </w:p>
    <w:p>
      <w:pPr>
        <w:pStyle w:val="BodyText"/>
        <w:spacing w:line="316" w:lineRule="auto" w:before="63"/>
        <w:ind w:right="0"/>
        <w:jc w:val="left"/>
      </w:pPr>
      <w:r>
        <w:rPr>
          <w:spacing w:val="-2"/>
        </w:rPr>
        <w:t>《公司章程》、《提名委员会工作细则》的要求，主要负责对公司董事、高级管理人员的人选、选择标准等进行审查并提出</w:t>
      </w:r>
      <w:r>
        <w:rPr>
          <w:spacing w:val="-65"/>
        </w:rPr>
        <w:t> </w:t>
      </w:r>
      <w:r>
        <w:rPr>
          <w:spacing w:val="-65"/>
        </w:rPr>
      </w:r>
      <w:r>
        <w:rPr/>
        <w:t>建议。报告期内，提名委员会共计召开</w:t>
      </w:r>
      <w:r>
        <w:rPr>
          <w:rFonts w:ascii="Times New Roman" w:hAnsi="Times New Roman" w:cs="Times New Roman" w:eastAsia="Times New Roman" w:hint="default"/>
        </w:rPr>
        <w:t>2</w:t>
      </w:r>
      <w:r>
        <w:rPr/>
        <w:t>次会议，具体如下：</w:t>
      </w:r>
    </w:p>
    <w:p>
      <w:pPr>
        <w:pStyle w:val="BodyText"/>
        <w:spacing w:line="300" w:lineRule="auto"/>
        <w:ind w:left="153" w:right="1130" w:firstLine="424"/>
        <w:jc w:val="both"/>
      </w:pP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19</w:t>
      </w:r>
      <w:r>
        <w:rPr>
          <w:spacing w:val="-3"/>
        </w:rPr>
        <w:t>日，提名委员会召开</w:t>
      </w:r>
      <w:r>
        <w:rPr>
          <w:rFonts w:ascii="Times New Roman" w:hAnsi="Times New Roman" w:cs="Times New Roman" w:eastAsia="Times New Roman" w:hint="default"/>
          <w:spacing w:val="-3"/>
        </w:rPr>
        <w:t>2018</w:t>
      </w:r>
      <w:r>
        <w:rPr>
          <w:spacing w:val="-3"/>
        </w:rPr>
        <w:t>年第一次会议，审议：《关于公司董事会换届选举非独立董事的议案》、《关</w:t>
      </w:r>
      <w:r>
        <w:rPr/>
        <w:t> 于公司董事会换届选举独立董事的议案》、《关于公司监事会换届选举非职工代表的议案》共</w:t>
      </w:r>
      <w:r>
        <w:rPr>
          <w:rFonts w:ascii="Times New Roman" w:hAnsi="Times New Roman" w:cs="Times New Roman" w:eastAsia="Times New Roman" w:hint="default"/>
        </w:rPr>
        <w:t>3</w:t>
      </w:r>
      <w:r>
        <w:rPr/>
        <w:t>项议案，并均出具了同意的 核查意见。</w:t>
      </w:r>
    </w:p>
    <w:p>
      <w:pPr>
        <w:pStyle w:val="BodyText"/>
        <w:spacing w:line="300" w:lineRule="auto" w:before="31"/>
        <w:ind w:left="153" w:right="1038" w:firstLine="424"/>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rFonts w:ascii="Times New Roman" w:hAnsi="Times New Roman" w:cs="Times New Roman" w:eastAsia="Times New Roman" w:hint="default"/>
          <w:spacing w:val="10"/>
        </w:rPr>
        <w:t> </w:t>
      </w:r>
      <w:r>
        <w:rPr/>
        <w:t>日，提名委员会召开</w:t>
      </w:r>
      <w:r>
        <w:rPr>
          <w:rFonts w:ascii="Times New Roman" w:hAnsi="Times New Roman" w:cs="Times New Roman" w:eastAsia="Times New Roman" w:hint="default"/>
        </w:rPr>
        <w:t>2018</w:t>
      </w:r>
      <w:r>
        <w:rPr/>
        <w:t>年第二次会议，审议：《关于续聘公司总经理的议案》、《关于续聘公司副 </w:t>
      </w:r>
      <w:r>
        <w:rPr>
          <w:spacing w:val="-2"/>
        </w:rPr>
        <w:t>总经理、财务总监等高级管理人员的议案》、《关于续聘公司董事会秘书的议案》共</w:t>
      </w:r>
      <w:r>
        <w:rPr>
          <w:rFonts w:ascii="Times New Roman" w:hAnsi="Times New Roman" w:cs="Times New Roman" w:eastAsia="Times New Roman" w:hint="default"/>
          <w:spacing w:val="-2"/>
        </w:rPr>
        <w:t>3</w:t>
      </w:r>
      <w:r>
        <w:rPr>
          <w:spacing w:val="-2"/>
        </w:rPr>
        <w:t>项议案，并均出具了同意的核查意见。</w:t>
      </w:r>
    </w:p>
    <w:p>
      <w:pPr>
        <w:pStyle w:val="BodyText"/>
        <w:spacing w:line="307" w:lineRule="auto" w:before="13"/>
        <w:ind w:right="1128" w:firstLine="424"/>
        <w:jc w:val="both"/>
      </w:pPr>
      <w:r>
        <w:rPr>
          <w:rFonts w:ascii="Times New Roman" w:hAnsi="Times New Roman" w:cs="Times New Roman" w:eastAsia="Times New Roman" w:hint="default"/>
          <w:spacing w:val="-2"/>
        </w:rPr>
        <w:t>4</w:t>
      </w:r>
      <w:r>
        <w:rPr>
          <w:spacing w:val="-2"/>
        </w:rPr>
        <w:t>、报告期内，公司董事会下设薪酬与考核委员会根据《公司法》、《上市公司治理准则》等相关法律、法规、规范性</w:t>
      </w:r>
      <w:r>
        <w:rPr/>
        <w:t> </w:t>
      </w:r>
      <w:r>
        <w:rPr>
          <w:spacing w:val="-2"/>
        </w:rPr>
        <w:t>文件及《公司章程》、《薪酬与考核委员会工作细则》的要求，主要负责制定公司董事及高级管理人员的考核标准并进行考</w:t>
      </w:r>
      <w:r>
        <w:rPr>
          <w:spacing w:val="-67"/>
        </w:rPr>
        <w:t> </w:t>
      </w:r>
      <w:r>
        <w:rPr>
          <w:spacing w:val="-67"/>
        </w:rPr>
      </w:r>
      <w:r>
        <w:rPr/>
        <w:t>核，负责制定、审查公司董事及高级管理人员的薪酬政策与方案。报告期内，薪酬与考核委员会共计召开</w:t>
      </w:r>
      <w:r>
        <w:rPr>
          <w:rFonts w:ascii="Times New Roman" w:hAnsi="Times New Roman" w:cs="Times New Roman" w:eastAsia="Times New Roman" w:hint="default"/>
        </w:rPr>
        <w:t>1</w:t>
      </w:r>
      <w:r>
        <w:rPr/>
        <w:t>次会议，具体如 下：</w:t>
      </w:r>
    </w:p>
    <w:p>
      <w:pPr>
        <w:pStyle w:val="BodyText"/>
        <w:spacing w:line="300" w:lineRule="auto" w:before="26"/>
        <w:ind w:left="153" w:right="1118" w:firstLine="424"/>
        <w:jc w:val="left"/>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19</w:t>
      </w:r>
      <w:r>
        <w:rPr>
          <w:spacing w:val="-1"/>
        </w:rPr>
        <w:t>日，薪酬与考核委员会召开</w:t>
      </w:r>
      <w:r>
        <w:rPr>
          <w:rFonts w:ascii="Times New Roman" w:hAnsi="Times New Roman" w:cs="Times New Roman" w:eastAsia="Times New Roman" w:hint="default"/>
          <w:spacing w:val="-1"/>
        </w:rPr>
        <w:t>2018</w:t>
      </w:r>
      <w:r>
        <w:rPr>
          <w:spacing w:val="-1"/>
        </w:rPr>
        <w:t>年第一次会议，审议：《</w:t>
      </w:r>
      <w:r>
        <w:rPr>
          <w:rFonts w:ascii="Times New Roman" w:hAnsi="Times New Roman" w:cs="Times New Roman" w:eastAsia="Times New Roman" w:hint="default"/>
          <w:spacing w:val="-1"/>
        </w:rPr>
        <w:t>2017</w:t>
      </w:r>
      <w:r>
        <w:rPr>
          <w:spacing w:val="-1"/>
        </w:rPr>
        <w:t>年度高管薪酬分配方案》及《</w:t>
      </w:r>
      <w:r>
        <w:rPr>
          <w:rFonts w:ascii="Times New Roman" w:hAnsi="Times New Roman" w:cs="Times New Roman" w:eastAsia="Times New Roman" w:hint="default"/>
          <w:spacing w:val="-1"/>
        </w:rPr>
        <w:t>2018</w:t>
      </w:r>
      <w:r>
        <w:rPr>
          <w:spacing w:val="-1"/>
        </w:rPr>
        <w:t>年度高管</w:t>
      </w:r>
      <w:r>
        <w:rPr/>
        <w:t> 薪酬与考核方案》共</w:t>
      </w:r>
      <w:r>
        <w:rPr>
          <w:rFonts w:ascii="Times New Roman" w:hAnsi="Times New Roman" w:cs="Times New Roman" w:eastAsia="Times New Roman" w:hint="default"/>
        </w:rPr>
        <w:t>2</w:t>
      </w:r>
      <w:r>
        <w:rPr/>
        <w:t>项议案，并均出具了同意的核查意见。</w:t>
      </w:r>
    </w:p>
    <w:p>
      <w:pPr>
        <w:pStyle w:val="BodyText"/>
        <w:spacing w:line="312" w:lineRule="auto" w:before="13"/>
        <w:ind w:right="1129" w:firstLine="424"/>
        <w:jc w:val="both"/>
      </w:pPr>
      <w:r>
        <w:rPr>
          <w:rFonts w:ascii="Times New Roman" w:hAnsi="Times New Roman" w:cs="Times New Roman" w:eastAsia="Times New Roman" w:hint="default"/>
          <w:spacing w:val="-2"/>
        </w:rPr>
        <w:t>5</w:t>
      </w:r>
      <w:r>
        <w:rPr>
          <w:spacing w:val="-2"/>
        </w:rPr>
        <w:t>、报告期内，公司董事会下设关联交易控制委员会根据《公司法》、《上市公司治理准则》等相关法律、法规、规范</w:t>
      </w:r>
      <w:r>
        <w:rPr/>
        <w:t> </w:t>
      </w:r>
      <w:r>
        <w:rPr>
          <w:spacing w:val="-2"/>
        </w:rPr>
        <w:t>性文件及《公司章程》、《关联交易控制委员会工作细则》的要求，主要负责对公司须提交董事会或股东大会审议的关联交</w:t>
      </w:r>
      <w:r>
        <w:rPr>
          <w:spacing w:val="-69"/>
        </w:rPr>
        <w:t> </w:t>
      </w:r>
      <w:r>
        <w:rPr>
          <w:spacing w:val="-69"/>
        </w:rPr>
      </w:r>
      <w:r>
        <w:rPr>
          <w:spacing w:val="-2"/>
        </w:rPr>
        <w:t>易事项的客观性、公允性及合理性进行审核，并对经董事会或股东大会审议批准的关联交易的执行情况进行监督管理。报告</w:t>
      </w:r>
      <w:r>
        <w:rPr>
          <w:spacing w:val="-66"/>
        </w:rPr>
        <w:t> </w:t>
      </w:r>
      <w:r>
        <w:rPr>
          <w:spacing w:val="-66"/>
        </w:rPr>
      </w:r>
      <w:r>
        <w:rPr/>
        <w:t>期内，关联交易控制委员会共计召开</w:t>
      </w:r>
      <w:r>
        <w:rPr>
          <w:rFonts w:ascii="Times New Roman" w:hAnsi="Times New Roman" w:cs="Times New Roman" w:eastAsia="Times New Roman" w:hint="default"/>
        </w:rPr>
        <w:t>2</w:t>
      </w:r>
      <w:r>
        <w:rPr/>
        <w:t>次会议，具体如下：</w:t>
      </w:r>
    </w:p>
    <w:p>
      <w:pPr>
        <w:pStyle w:val="BodyText"/>
        <w:spacing w:line="300" w:lineRule="auto" w:before="3"/>
        <w:ind w:left="153" w:right="1182" w:firstLine="424"/>
        <w:jc w:val="left"/>
      </w:pPr>
      <w:r>
        <w:rPr>
          <w:rFonts w:ascii="Times New Roman" w:hAnsi="Times New Roman" w:cs="Times New Roman" w:eastAsia="Times New Roman" w:hint="default"/>
        </w:rPr>
        <w:t>1</w:t>
      </w:r>
      <w:r>
        <w:rPr/>
        <w:t>）</w:t>
      </w:r>
      <w:r>
        <w:rPr>
          <w:spacing w:val="55"/>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日，关联交易控制委员会召开</w:t>
      </w:r>
      <w:r>
        <w:rPr>
          <w:rFonts w:ascii="Times New Roman" w:hAnsi="Times New Roman" w:cs="Times New Roman" w:eastAsia="Times New Roman" w:hint="default"/>
        </w:rPr>
        <w:t>2018</w:t>
      </w:r>
      <w:r>
        <w:rPr/>
        <w:t>年第一次会议，审议：《关于</w:t>
      </w:r>
      <w:r>
        <w:rPr>
          <w:rFonts w:ascii="Times New Roman" w:hAnsi="Times New Roman" w:cs="Times New Roman" w:eastAsia="Times New Roman" w:hint="default"/>
        </w:rPr>
        <w:t>2017</w:t>
      </w:r>
      <w:r>
        <w:rPr/>
        <w:t>年度关联交易情况和</w:t>
      </w:r>
      <w:r>
        <w:rPr>
          <w:rFonts w:ascii="Times New Roman" w:hAnsi="Times New Roman" w:cs="Times New Roman" w:eastAsia="Times New Roman" w:hint="default"/>
        </w:rPr>
        <w:t>2018</w:t>
      </w:r>
      <w:r>
        <w:rPr/>
        <w:t>年度 日常关联交易预计的议案》，并出具了同意的核查意见。</w:t>
      </w:r>
    </w:p>
    <w:p>
      <w:pPr>
        <w:pStyle w:val="BodyText"/>
        <w:tabs>
          <w:tab w:pos="6873" w:val="left" w:leader="none"/>
        </w:tabs>
        <w:spacing w:line="300" w:lineRule="auto" w:before="31"/>
        <w:ind w:right="1129" w:firstLine="424"/>
        <w:jc w:val="left"/>
      </w:pPr>
      <w:r>
        <w:rPr>
          <w:rFonts w:ascii="Times New Roman" w:hAnsi="Times New Roman" w:cs="Times New Roman" w:eastAsia="Times New Roman" w:hint="default"/>
        </w:rPr>
        <w:t>2</w:t>
      </w:r>
      <w:r>
        <w:rPr/>
        <w:t>）</w:t>
      </w:r>
      <w:r>
        <w:rPr>
          <w:spacing w:val="55"/>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日，关联交易控制委员会召开</w:t>
      </w:r>
      <w:r>
        <w:rPr>
          <w:rFonts w:ascii="Times New Roman" w:hAnsi="Times New Roman" w:cs="Times New Roman" w:eastAsia="Times New Roman" w:hint="default"/>
        </w:rPr>
        <w:t>2018</w:t>
      </w:r>
      <w:r>
        <w:rPr/>
        <w:t>年第二次会议，审议：《</w:t>
        <w:tab/>
        <w:t>关于收购杭州萧文置业有限公司</w:t>
      </w:r>
      <w:r>
        <w:rPr>
          <w:rFonts w:ascii="Times New Roman" w:hAnsi="Times New Roman" w:cs="Times New Roman" w:eastAsia="Times New Roman" w:hint="default"/>
        </w:rPr>
        <w:t>55% </w:t>
      </w:r>
      <w:r>
        <w:rPr>
          <w:spacing w:val="-2"/>
        </w:rPr>
        <w:t>股权暨关联交易的议案》、《关于控股股东对萧文置业提供财务资助暨关联交易的议案》和《关于</w:t>
      </w:r>
      <w:r>
        <w:rPr>
          <w:rFonts w:ascii="Times New Roman" w:hAnsi="Times New Roman" w:cs="Times New Roman" w:eastAsia="Times New Roman" w:hint="default"/>
          <w:spacing w:val="-2"/>
        </w:rPr>
        <w:t>2019</w:t>
      </w:r>
      <w:r>
        <w:rPr>
          <w:spacing w:val="-2"/>
        </w:rPr>
        <w:t>年度日常关联交易预</w:t>
      </w:r>
      <w:r>
        <w:rPr>
          <w:spacing w:val="-61"/>
        </w:rPr>
        <w:t> </w:t>
      </w:r>
      <w:r>
        <w:rPr/>
        <w:t>计的议案》，并出具了同意的核查意见。</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877" w:footer="982" w:top="1100" w:bottom="1180" w:left="980" w:right="0"/>
        </w:sectPr>
      </w:pPr>
    </w:p>
    <w:p>
      <w:pPr>
        <w:spacing w:line="240" w:lineRule="auto" w:before="13"/>
        <w:rPr>
          <w:rFonts w:ascii="宋体" w:hAnsi="宋体" w:cs="宋体" w:eastAsia="宋体" w:hint="default"/>
          <w:sz w:val="21"/>
          <w:szCs w:val="21"/>
        </w:rPr>
      </w:pPr>
    </w:p>
    <w:p>
      <w:pPr>
        <w:pStyle w:val="BodyText"/>
        <w:spacing w:line="240" w:lineRule="auto" w:before="44"/>
        <w:ind w:left="153" w:right="0"/>
        <w:jc w:val="left"/>
      </w:pPr>
      <w:r>
        <w:rPr/>
        <w:t>监事会对报告期内的监督事项无异议。</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八、高级管理人员的考评及激励情况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3" w:right="1131"/>
        <w:jc w:val="left"/>
      </w:pPr>
      <w:r>
        <w:rPr/>
        <w:t>报告期内，公司对高级管理人员的业绩和履职情况进行年度考评，并根据考评结果决定本年度的薪酬。 公司目前尚未建立股权激励机制，公司将不断完善内部激励与约束机制，逐渐建立起短期激励与长期激励相结合的</w:t>
      </w:r>
      <w:r>
        <w:rPr>
          <w:rFonts w:ascii="Times New Roman" w:hAnsi="Times New Roman" w:cs="Times New Roman" w:eastAsia="Times New Roman" w:hint="default"/>
        </w:rPr>
        <w:t>“</w:t>
      </w:r>
      <w:r>
        <w:rPr/>
        <w:t>利</w:t>
      </w:r>
    </w:p>
    <w:p>
      <w:pPr>
        <w:pStyle w:val="BodyText"/>
        <w:spacing w:line="216" w:lineRule="exact"/>
        <w:ind w:right="0"/>
        <w:jc w:val="left"/>
      </w:pPr>
      <w:r>
        <w:rPr/>
        <w:t>益共享、风险共担</w:t>
      </w:r>
      <w:r>
        <w:rPr>
          <w:rFonts w:ascii="Times New Roman" w:hAnsi="Times New Roman" w:cs="Times New Roman" w:eastAsia="Times New Roman" w:hint="default"/>
        </w:rPr>
        <w:t>”</w:t>
      </w:r>
      <w:r>
        <w:rPr/>
        <w:t>的激励体系，推动管理层与公司、股东利益的紧密结合。</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九、内部控制情况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94"/>
        <w:gridCol w:w="2398"/>
        <w:gridCol w:w="1004"/>
        <w:gridCol w:w="3472"/>
      </w:tblGrid>
      <w:tr>
        <w:trPr>
          <w:trHeight w:val="402" w:hRule="exact"/>
        </w:trPr>
        <w:tc>
          <w:tcPr>
            <w:tcW w:w="50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4476"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50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4476" w:type="dxa"/>
            <w:gridSpan w:val="2"/>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6"/>
                <w:sz w:val="18"/>
                <w:szCs w:val="18"/>
              </w:rPr>
              <w:t> </w:t>
            </w:r>
            <w:hyperlink r:id="rId11">
              <w:r>
                <w:rPr>
                  <w:rFonts w:ascii="Times New Roman" w:hAnsi="Times New Roman" w:cs="Times New Roman" w:eastAsia="Times New Roman" w:hint="default"/>
                  <w:sz w:val="18"/>
                  <w:szCs w:val="18"/>
                </w:rPr>
                <w:t>http://www.cninfo.com.cn</w:t>
              </w:r>
            </w:hyperlink>
          </w:p>
        </w:tc>
      </w:tr>
      <w:tr>
        <w:trPr>
          <w:trHeight w:val="402" w:hRule="exact"/>
        </w:trPr>
        <w:tc>
          <w:tcPr>
            <w:tcW w:w="50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纳入评价范围单位资产总额占公司合并财务报表资产总额的比例</w:t>
            </w:r>
          </w:p>
        </w:tc>
        <w:tc>
          <w:tcPr>
            <w:tcW w:w="4476"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99.95%</w:t>
            </w:r>
          </w:p>
        </w:tc>
      </w:tr>
      <w:tr>
        <w:trPr>
          <w:trHeight w:val="402" w:hRule="exact"/>
        </w:trPr>
        <w:tc>
          <w:tcPr>
            <w:tcW w:w="50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纳入评价范围单位营业收入占公司合并财务报表营业收入的比例</w:t>
            </w:r>
          </w:p>
        </w:tc>
        <w:tc>
          <w:tcPr>
            <w:tcW w:w="4476"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40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57" w:hRule="exact"/>
        </w:trPr>
        <w:tc>
          <w:tcPr>
            <w:tcW w:w="2694" w:type="dxa"/>
            <w:vMerge w:val="restart"/>
            <w:tcBorders>
              <w:top w:val="single" w:sz="4" w:space="0" w:color="000000"/>
              <w:left w:val="single" w:sz="4" w:space="0" w:color="000000"/>
              <w:right w:val="single" w:sz="4" w:space="0" w:color="000000"/>
            </w:tcBorders>
            <w:shd w:val="clear" w:color="auto" w:fill="D3D3D3"/>
          </w:tcPr>
          <w:p>
            <w:pPr/>
          </w:p>
        </w:tc>
        <w:tc>
          <w:tcPr>
            <w:tcW w:w="3402" w:type="dxa"/>
            <w:gridSpan w:val="2"/>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重大缺陷</w:t>
            </w:r>
            <w:r>
              <w:rPr>
                <w:rFonts w:ascii="宋体" w:hAnsi="宋体" w:cs="宋体" w:eastAsia="宋体" w:hint="default"/>
                <w:spacing w:val="-75"/>
                <w:sz w:val="18"/>
                <w:szCs w:val="18"/>
              </w:rPr>
              <w:t>：</w:t>
            </w:r>
            <w:r>
              <w:rPr>
                <w:rFonts w:ascii="宋体" w:hAnsi="宋体" w:cs="宋体" w:eastAsia="宋体" w:hint="default"/>
                <w:sz w:val="18"/>
                <w:szCs w:val="18"/>
              </w:rPr>
              <w:t>单独缺陷或连同其他缺陷导致不</w:t>
            </w:r>
          </w:p>
        </w:tc>
        <w:tc>
          <w:tcPr>
            <w:tcW w:w="3472"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1832" w:hRule="exact"/>
        </w:trPr>
        <w:tc>
          <w:tcPr>
            <w:tcW w:w="2694" w:type="dxa"/>
            <w:vMerge/>
            <w:tcBorders>
              <w:left w:val="single" w:sz="4" w:space="0" w:color="000000"/>
              <w:bottom w:val="nil" w:sz="6" w:space="0" w:color="auto"/>
              <w:right w:val="single" w:sz="4" w:space="0" w:color="000000"/>
            </w:tcBorders>
            <w:shd w:val="clear" w:color="auto" w:fill="D3D3D3"/>
          </w:tcPr>
          <w:p>
            <w:pPr/>
          </w:p>
        </w:tc>
        <w:tc>
          <w:tcPr>
            <w:tcW w:w="3402" w:type="dxa"/>
            <w:gridSpan w:val="2"/>
            <w:vMerge w:val="restart"/>
            <w:tcBorders>
              <w:top w:val="nil" w:sz="6" w:space="0" w:color="auto"/>
              <w:left w:val="single" w:sz="9" w:space="0" w:color="D3D3D3"/>
              <w:right w:val="single" w:sz="4" w:space="0" w:color="000000"/>
            </w:tcBorders>
            <w:shd w:val="clear" w:color="auto" w:fill="C7EDCC"/>
          </w:tcPr>
          <w:p>
            <w:pPr>
              <w:pStyle w:val="TableParagraph"/>
              <w:spacing w:line="312" w:lineRule="auto" w:before="10"/>
              <w:ind w:left="16" w:right="23"/>
              <w:jc w:val="left"/>
              <w:rPr>
                <w:rFonts w:ascii="宋体" w:hAnsi="宋体" w:cs="宋体" w:eastAsia="宋体" w:hint="default"/>
                <w:sz w:val="18"/>
                <w:szCs w:val="18"/>
              </w:rPr>
            </w:pPr>
            <w:r>
              <w:rPr>
                <w:rFonts w:ascii="宋体" w:hAnsi="宋体" w:cs="宋体" w:eastAsia="宋体" w:hint="default"/>
                <w:sz w:val="18"/>
                <w:szCs w:val="18"/>
              </w:rPr>
              <w:t>能及时防止或发现并纠正财务报告中的重 </w:t>
            </w:r>
            <w:r>
              <w:rPr>
                <w:rFonts w:ascii="宋体" w:hAnsi="宋体" w:cs="宋体" w:eastAsia="宋体" w:hint="default"/>
                <w:spacing w:val="-9"/>
                <w:sz w:val="18"/>
                <w:szCs w:val="18"/>
              </w:rPr>
              <w:t>大错报。出现下列情形的，认定为重大缺陷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(1)</w:t>
            </w:r>
            <w:r>
              <w:rPr>
                <w:rFonts w:ascii="宋体" w:hAnsi="宋体" w:cs="宋体" w:eastAsia="宋体" w:hint="default"/>
                <w:sz w:val="18"/>
                <w:szCs w:val="18"/>
              </w:rPr>
              <w:t>董事、监事和高级管理人员舞弊；</w:t>
            </w:r>
            <w:r>
              <w:rPr>
                <w:rFonts w:ascii="Times New Roman" w:hAnsi="Times New Roman" w:cs="Times New Roman" w:eastAsia="Times New Roman" w:hint="default"/>
                <w:sz w:val="18"/>
                <w:szCs w:val="18"/>
              </w:rPr>
              <w:t>(2)</w:t>
            </w:r>
            <w:r>
              <w:rPr>
                <w:rFonts w:ascii="宋体" w:hAnsi="宋体" w:cs="宋体" w:eastAsia="宋体" w:hint="default"/>
                <w:sz w:val="18"/>
                <w:szCs w:val="18"/>
              </w:rPr>
              <w:t>企 业更正已公布的财务报告；</w:t>
            </w:r>
            <w:r>
              <w:rPr>
                <w:rFonts w:ascii="Times New Roman" w:hAnsi="Times New Roman" w:cs="Times New Roman" w:eastAsia="Times New Roman" w:hint="default"/>
                <w:sz w:val="18"/>
                <w:szCs w:val="18"/>
              </w:rPr>
              <w:t>(3)</w:t>
            </w:r>
            <w:r>
              <w:rPr>
                <w:rFonts w:ascii="宋体" w:hAnsi="宋体" w:cs="宋体" w:eastAsia="宋体" w:hint="default"/>
                <w:sz w:val="18"/>
                <w:szCs w:val="18"/>
              </w:rPr>
              <w:t>外部审计披 露的重大错报而不是由公司首先发现的； </w:t>
            </w:r>
            <w:r>
              <w:rPr>
                <w:rFonts w:ascii="Times New Roman" w:hAnsi="Times New Roman" w:cs="Times New Roman" w:eastAsia="Times New Roman" w:hint="default"/>
                <w:sz w:val="18"/>
                <w:szCs w:val="18"/>
              </w:rPr>
              <w:t>(4)</w:t>
            </w:r>
            <w:r>
              <w:rPr>
                <w:rFonts w:ascii="宋体" w:hAnsi="宋体" w:cs="宋体" w:eastAsia="宋体" w:hint="default"/>
                <w:sz w:val="18"/>
                <w:szCs w:val="18"/>
              </w:rPr>
              <w:t>企业审计委员会和内部审计机构对内部 控制的监督无效；</w:t>
            </w:r>
            <w:r>
              <w:rPr>
                <w:rFonts w:ascii="Times New Roman" w:hAnsi="Times New Roman" w:cs="Times New Roman" w:eastAsia="Times New Roman" w:hint="default"/>
                <w:sz w:val="18"/>
                <w:szCs w:val="18"/>
              </w:rPr>
              <w:t>(5)</w:t>
            </w:r>
            <w:r>
              <w:rPr>
                <w:rFonts w:ascii="宋体" w:hAnsi="宋体" w:cs="宋体" w:eastAsia="宋体" w:hint="default"/>
                <w:sz w:val="18"/>
                <w:szCs w:val="18"/>
              </w:rPr>
              <w:t>已经发现并报告给管 理层的重大内部控制缺陷在经过合理的时 </w:t>
            </w:r>
            <w:r>
              <w:rPr>
                <w:rFonts w:ascii="宋体" w:hAnsi="宋体" w:cs="宋体" w:eastAsia="宋体" w:hint="default"/>
                <w:spacing w:val="-5"/>
                <w:sz w:val="18"/>
                <w:szCs w:val="18"/>
              </w:rPr>
              <w:t>间后，并未加以改正。重要缺陷：单独缺陷</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或连同其他缺陷导致不能及时防止或发现 并纠正财务报告中虽然未达到和超过重要 </w:t>
            </w:r>
            <w:r>
              <w:rPr>
                <w:rFonts w:ascii="宋体" w:hAnsi="宋体" w:cs="宋体" w:eastAsia="宋体" w:hint="default"/>
                <w:spacing w:val="-4"/>
                <w:sz w:val="18"/>
                <w:szCs w:val="18"/>
              </w:rPr>
              <w:t>性水平，仍应引起管理层重视的错报。一般</w:t>
            </w:r>
            <w:r>
              <w:rPr>
                <w:rFonts w:ascii="宋体" w:hAnsi="宋体" w:cs="宋体" w:eastAsia="宋体" w:hint="default"/>
                <w:sz w:val="18"/>
                <w:szCs w:val="18"/>
              </w:rPr>
              <w:t> </w:t>
            </w:r>
            <w:r>
              <w:rPr>
                <w:rFonts w:ascii="宋体" w:hAnsi="宋体" w:cs="宋体" w:eastAsia="宋体" w:hint="default"/>
                <w:spacing w:val="-4"/>
                <w:sz w:val="18"/>
                <w:szCs w:val="18"/>
              </w:rPr>
              <w:t>缺陷：不构成重大缺陷或重要缺陷的其他内</w:t>
            </w:r>
          </w:p>
        </w:tc>
        <w:tc>
          <w:tcPr>
            <w:tcW w:w="3472" w:type="dxa"/>
            <w:vMerge w:val="restart"/>
            <w:tcBorders>
              <w:top w:val="nil" w:sz="6" w:space="0" w:color="auto"/>
              <w:left w:val="single" w:sz="4" w:space="0" w:color="000000"/>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195" w:lineRule="exact"/>
              <w:ind w:left="22" w:right="0"/>
              <w:jc w:val="left"/>
              <w:rPr>
                <w:rFonts w:ascii="宋体" w:hAnsi="宋体" w:cs="宋体" w:eastAsia="宋体" w:hint="default"/>
                <w:sz w:val="18"/>
                <w:szCs w:val="18"/>
              </w:rPr>
            </w:pPr>
            <w:r>
              <w:rPr>
                <w:rFonts w:ascii="宋体" w:hAnsi="宋体" w:cs="宋体" w:eastAsia="宋体" w:hint="default"/>
                <w:sz w:val="18"/>
                <w:szCs w:val="18"/>
              </w:rPr>
              <w:t>出现以下情形的，认定为重大缺陷，其他情</w:t>
            </w:r>
          </w:p>
          <w:p>
            <w:pPr>
              <w:pStyle w:val="TableParagraph"/>
              <w:spacing w:line="155"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形按影响程度分别确定为重要缺陷或一般</w:t>
            </w:r>
          </w:p>
          <w:p>
            <w:pPr>
              <w:pStyle w:val="TableParagraph"/>
              <w:spacing w:line="304" w:lineRule="auto" w:before="76"/>
              <w:ind w:left="22" w:right="17"/>
              <w:jc w:val="left"/>
              <w:rPr>
                <w:rFonts w:ascii="宋体" w:hAnsi="宋体" w:cs="宋体" w:eastAsia="宋体" w:hint="default"/>
                <w:sz w:val="18"/>
                <w:szCs w:val="18"/>
              </w:rPr>
            </w:pPr>
            <w:r>
              <w:rPr>
                <w:rFonts w:ascii="宋体" w:hAnsi="宋体" w:cs="宋体" w:eastAsia="宋体" w:hint="default"/>
                <w:sz w:val="18"/>
                <w:szCs w:val="18"/>
              </w:rPr>
              <w:t>缺陷</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）企业决策程序不科学，如决策失 </w:t>
            </w:r>
            <w:r>
              <w:rPr>
                <w:rFonts w:ascii="宋体" w:hAnsi="宋体" w:cs="宋体" w:eastAsia="宋体" w:hint="default"/>
                <w:spacing w:val="-5"/>
                <w:sz w:val="18"/>
                <w:szCs w:val="18"/>
              </w:rPr>
              <w:t>误，导致并购不成功；（</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）违犯国家法律、</w:t>
            </w:r>
            <w:r>
              <w:rPr>
                <w:rFonts w:ascii="宋体" w:hAnsi="宋体" w:cs="宋体" w:eastAsia="宋体" w:hint="default"/>
                <w:spacing w:val="-80"/>
                <w:sz w:val="18"/>
                <w:szCs w:val="18"/>
              </w:rPr>
              <w:t> </w:t>
            </w:r>
            <w:r>
              <w:rPr>
                <w:rFonts w:ascii="宋体" w:hAnsi="宋体" w:cs="宋体" w:eastAsia="宋体" w:hint="default"/>
                <w:spacing w:val="-5"/>
                <w:sz w:val="18"/>
                <w:szCs w:val="18"/>
              </w:rPr>
              <w:t>法规，如环境污染；（</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）管理人员或技术人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员纷纷流失；（</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）媒体负面新闻频现；（</w:t>
            </w: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w:t>
            </w:r>
            <w:r>
              <w:rPr>
                <w:rFonts w:ascii="宋体" w:hAnsi="宋体" w:cs="宋体" w:eastAsia="宋体" w:hint="default"/>
                <w:spacing w:val="-81"/>
                <w:sz w:val="18"/>
                <w:szCs w:val="18"/>
              </w:rPr>
              <w:t> </w:t>
            </w:r>
            <w:r>
              <w:rPr>
                <w:rFonts w:ascii="宋体" w:hAnsi="宋体" w:cs="宋体" w:eastAsia="宋体" w:hint="default"/>
                <w:sz w:val="18"/>
                <w:szCs w:val="18"/>
              </w:rPr>
              <w:t>内部控制评价的结果特别是重大或重要缺 </w:t>
            </w:r>
            <w:r>
              <w:rPr>
                <w:rFonts w:ascii="宋体" w:hAnsi="宋体" w:cs="宋体" w:eastAsia="宋体" w:hint="default"/>
                <w:spacing w:val="-5"/>
                <w:sz w:val="18"/>
                <w:szCs w:val="18"/>
              </w:rPr>
              <w:t>陷未得到整改；（</w:t>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）重要业务缺乏制度控制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或制度系统性失效；（</w:t>
            </w:r>
            <w:r>
              <w:rPr>
                <w:rFonts w:ascii="Times New Roman" w:hAnsi="Times New Roman" w:cs="Times New Roman" w:eastAsia="Times New Roman" w:hint="default"/>
                <w:spacing w:val="-5"/>
                <w:sz w:val="18"/>
                <w:szCs w:val="18"/>
              </w:rPr>
              <w:t>7</w:t>
            </w:r>
            <w:r>
              <w:rPr>
                <w:rFonts w:ascii="宋体" w:hAnsi="宋体" w:cs="宋体" w:eastAsia="宋体" w:hint="default"/>
                <w:spacing w:val="-5"/>
                <w:sz w:val="18"/>
                <w:szCs w:val="18"/>
              </w:rPr>
              <w:t>）并购重组失败，或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新扩充下属单位经营难以为继；（</w:t>
            </w:r>
            <w:r>
              <w:rPr>
                <w:rFonts w:ascii="Times New Roman" w:hAnsi="Times New Roman" w:cs="Times New Roman" w:eastAsia="Times New Roman" w:hint="default"/>
                <w:spacing w:val="-5"/>
                <w:sz w:val="18"/>
                <w:szCs w:val="18"/>
              </w:rPr>
              <w:t>8</w:t>
            </w:r>
            <w:r>
              <w:rPr>
                <w:rFonts w:ascii="宋体" w:hAnsi="宋体" w:cs="宋体" w:eastAsia="宋体" w:hint="default"/>
                <w:spacing w:val="-5"/>
                <w:sz w:val="18"/>
                <w:szCs w:val="18"/>
              </w:rPr>
              <w:t>）发生重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大负面事项，并对企业定期报告披露造成负</w:t>
            </w:r>
            <w:r>
              <w:rPr>
                <w:rFonts w:ascii="宋体" w:hAnsi="宋体" w:cs="宋体" w:eastAsia="宋体" w:hint="default"/>
                <w:sz w:val="18"/>
                <w:szCs w:val="18"/>
              </w:rPr>
              <w:t> 面影响。</w:t>
            </w:r>
          </w:p>
        </w:tc>
      </w:tr>
      <w:tr>
        <w:trPr>
          <w:trHeight w:val="392" w:hRule="exact"/>
        </w:trPr>
        <w:tc>
          <w:tcPr>
            <w:tcW w:w="26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402" w:type="dxa"/>
            <w:gridSpan w:val="2"/>
            <w:vMerge/>
            <w:tcBorders>
              <w:left w:val="single" w:sz="9" w:space="0" w:color="D3D3D3"/>
              <w:right w:val="single" w:sz="4" w:space="0" w:color="000000"/>
            </w:tcBorders>
            <w:shd w:val="clear" w:color="auto" w:fill="C7EDCC"/>
          </w:tcPr>
          <w:p>
            <w:pPr/>
          </w:p>
        </w:tc>
        <w:tc>
          <w:tcPr>
            <w:tcW w:w="3472" w:type="dxa"/>
            <w:vMerge/>
            <w:tcBorders>
              <w:left w:val="single" w:sz="4" w:space="0" w:color="000000"/>
              <w:right w:val="single" w:sz="4" w:space="0" w:color="000000"/>
            </w:tcBorders>
            <w:shd w:val="clear" w:color="auto" w:fill="C7EDCC"/>
          </w:tcPr>
          <w:p>
            <w:pPr/>
          </w:p>
        </w:tc>
      </w:tr>
      <w:tr>
        <w:trPr>
          <w:trHeight w:val="1832" w:hRule="exact"/>
        </w:trPr>
        <w:tc>
          <w:tcPr>
            <w:tcW w:w="2694" w:type="dxa"/>
            <w:vMerge w:val="restart"/>
            <w:tcBorders>
              <w:top w:val="nil" w:sz="6" w:space="0" w:color="auto"/>
              <w:left w:val="single" w:sz="4" w:space="0" w:color="000000"/>
              <w:right w:val="single" w:sz="4" w:space="0" w:color="000000"/>
            </w:tcBorders>
            <w:shd w:val="clear" w:color="auto" w:fill="D3D3D3"/>
          </w:tcPr>
          <w:p>
            <w:pPr/>
          </w:p>
        </w:tc>
        <w:tc>
          <w:tcPr>
            <w:tcW w:w="3402" w:type="dxa"/>
            <w:gridSpan w:val="2"/>
            <w:vMerge/>
            <w:tcBorders>
              <w:left w:val="single" w:sz="9" w:space="0" w:color="D3D3D3"/>
              <w:bottom w:val="nil" w:sz="6" w:space="0" w:color="auto"/>
              <w:right w:val="single" w:sz="4" w:space="0" w:color="000000"/>
            </w:tcBorders>
            <w:shd w:val="clear" w:color="auto" w:fill="C7EDCC"/>
          </w:tcPr>
          <w:p>
            <w:pPr/>
          </w:p>
        </w:tc>
        <w:tc>
          <w:tcPr>
            <w:tcW w:w="3472" w:type="dxa"/>
            <w:vMerge/>
            <w:tcBorders>
              <w:left w:val="single" w:sz="4" w:space="0" w:color="000000"/>
              <w:bottom w:val="nil" w:sz="6" w:space="0" w:color="auto"/>
              <w:right w:val="single" w:sz="4" w:space="0" w:color="000000"/>
            </w:tcBorders>
            <w:shd w:val="clear" w:color="auto" w:fill="C7EDCC"/>
          </w:tcPr>
          <w:p>
            <w:pPr/>
          </w:p>
        </w:tc>
      </w:tr>
      <w:tr>
        <w:trPr>
          <w:trHeight w:val="357" w:hRule="exact"/>
        </w:trPr>
        <w:tc>
          <w:tcPr>
            <w:tcW w:w="2694" w:type="dxa"/>
            <w:vMerge/>
            <w:tcBorders>
              <w:left w:val="single" w:sz="4" w:space="0" w:color="000000"/>
              <w:bottom w:val="single" w:sz="4" w:space="0" w:color="000000"/>
              <w:right w:val="single" w:sz="4" w:space="0" w:color="000000"/>
            </w:tcBorders>
            <w:shd w:val="clear" w:color="auto" w:fill="D3D3D3"/>
          </w:tcPr>
          <w:p>
            <w:pPr/>
          </w:p>
        </w:tc>
        <w:tc>
          <w:tcPr>
            <w:tcW w:w="3402" w:type="dxa"/>
            <w:gridSpan w:val="2"/>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部控制缺陷。</w:t>
            </w:r>
          </w:p>
        </w:tc>
        <w:tc>
          <w:tcPr>
            <w:tcW w:w="3472"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362" w:hRule="exact"/>
        </w:trPr>
        <w:tc>
          <w:tcPr>
            <w:tcW w:w="2694" w:type="dxa"/>
            <w:vMerge w:val="restart"/>
            <w:tcBorders>
              <w:top w:val="single" w:sz="4" w:space="0" w:color="000000"/>
              <w:left w:val="single" w:sz="4" w:space="0" w:color="000000"/>
              <w:right w:val="single" w:sz="4" w:space="0" w:color="000000"/>
            </w:tcBorders>
            <w:shd w:val="clear" w:color="auto" w:fill="D3D3D3"/>
          </w:tcPr>
          <w:p>
            <w:pPr/>
          </w:p>
        </w:tc>
        <w:tc>
          <w:tcPr>
            <w:tcW w:w="3402" w:type="dxa"/>
            <w:gridSpan w:val="2"/>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w:t>
            </w:r>
            <w:r>
              <w:rPr>
                <w:rFonts w:ascii="宋体" w:hAnsi="宋体" w:cs="宋体" w:eastAsia="宋体" w:hint="default"/>
                <w:sz w:val="18"/>
                <w:szCs w:val="18"/>
              </w:rPr>
              <w:t>潜在错报金额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或潜</w:t>
            </w:r>
          </w:p>
        </w:tc>
        <w:tc>
          <w:tcPr>
            <w:tcW w:w="3472"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重大缺陷：直接财产损失</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或直</w:t>
            </w:r>
          </w:p>
        </w:tc>
      </w:tr>
      <w:tr>
        <w:trPr>
          <w:trHeight w:val="246" w:hRule="exact"/>
        </w:trPr>
        <w:tc>
          <w:tcPr>
            <w:tcW w:w="2694" w:type="dxa"/>
            <w:vMerge/>
            <w:tcBorders>
              <w:left w:val="single" w:sz="4" w:space="0" w:color="000000"/>
              <w:bottom w:val="nil" w:sz="6" w:space="0" w:color="auto"/>
              <w:right w:val="single" w:sz="4" w:space="0" w:color="000000"/>
            </w:tcBorders>
            <w:shd w:val="clear" w:color="auto" w:fill="D3D3D3"/>
          </w:tcPr>
          <w:p>
            <w:pPr/>
          </w:p>
        </w:tc>
        <w:tc>
          <w:tcPr>
            <w:tcW w:w="3402" w:type="dxa"/>
            <w:gridSpan w:val="2"/>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在错报金额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或潜在错报金额</w:t>
            </w:r>
            <w:r>
              <w:rPr>
                <w:rFonts w:ascii="Times New Roman" w:hAnsi="Times New Roman" w:cs="Times New Roman" w:eastAsia="Times New Roman" w:hint="default"/>
                <w:sz w:val="18"/>
                <w:szCs w:val="18"/>
              </w:rPr>
              <w:t>≥</w:t>
            </w:r>
          </w:p>
        </w:tc>
        <w:tc>
          <w:tcPr>
            <w:tcW w:w="347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接财产损失</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或直接财产损失</w:t>
            </w:r>
            <w:r>
              <w:rPr>
                <w:rFonts w:ascii="Times New Roman" w:hAnsi="Times New Roman" w:cs="Times New Roman" w:eastAsia="Times New Roman" w:hint="default"/>
                <w:sz w:val="18"/>
                <w:szCs w:val="18"/>
              </w:rPr>
              <w:t>≥</w:t>
            </w:r>
          </w:p>
        </w:tc>
      </w:tr>
      <w:tr>
        <w:trPr>
          <w:trHeight w:val="393" w:hRule="exact"/>
        </w:trPr>
        <w:tc>
          <w:tcPr>
            <w:tcW w:w="26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402" w:type="dxa"/>
            <w:gridSpan w:val="2"/>
            <w:tcBorders>
              <w:top w:val="nil" w:sz="6" w:space="0" w:color="auto"/>
              <w:left w:val="single" w:sz="9" w:space="0" w:color="D3D3D3"/>
              <w:bottom w:val="nil" w:sz="6" w:space="0" w:color="auto"/>
              <w:right w:val="single" w:sz="4" w:space="0" w:color="000000"/>
            </w:tcBorders>
            <w:shd w:val="clear" w:color="auto" w:fill="C7EDCC"/>
          </w:tcPr>
          <w:p>
            <w:pPr>
              <w:pStyle w:val="TableParagraph"/>
              <w:spacing w:line="240" w:lineRule="auto" w:before="68"/>
              <w:ind w:left="16"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。重要缺陷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未达到重大缺陷定</w:t>
            </w:r>
          </w:p>
        </w:tc>
        <w:tc>
          <w:tcPr>
            <w:tcW w:w="347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。重要缺陷：未达到重大缺陷</w:t>
            </w:r>
          </w:p>
        </w:tc>
      </w:tr>
      <w:tr>
        <w:trPr>
          <w:trHeight w:val="296" w:hRule="exact"/>
        </w:trPr>
        <w:tc>
          <w:tcPr>
            <w:tcW w:w="2694" w:type="dxa"/>
            <w:vMerge w:val="restart"/>
            <w:tcBorders>
              <w:top w:val="nil" w:sz="6" w:space="0" w:color="auto"/>
              <w:left w:val="single" w:sz="4" w:space="0" w:color="000000"/>
              <w:right w:val="single" w:sz="4" w:space="0" w:color="000000"/>
            </w:tcBorders>
            <w:shd w:val="clear" w:color="auto" w:fill="D3D3D3"/>
          </w:tcPr>
          <w:p>
            <w:pPr/>
          </w:p>
        </w:tc>
        <w:tc>
          <w:tcPr>
            <w:tcW w:w="3402" w:type="dxa"/>
            <w:gridSpan w:val="2"/>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39" w:lineRule="exact"/>
              <w:ind w:left="22" w:right="0"/>
              <w:jc w:val="left"/>
              <w:rPr>
                <w:rFonts w:ascii="宋体" w:hAnsi="宋体" w:cs="宋体" w:eastAsia="宋体" w:hint="default"/>
                <w:sz w:val="18"/>
                <w:szCs w:val="18"/>
              </w:rPr>
            </w:pPr>
            <w:r>
              <w:rPr>
                <w:rFonts w:ascii="宋体" w:hAnsi="宋体" w:cs="宋体" w:eastAsia="宋体" w:hint="default"/>
                <w:sz w:val="18"/>
                <w:szCs w:val="18"/>
              </w:rPr>
              <w:t>量标准，但利润总额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z w:val="18"/>
                <w:szCs w:val="18"/>
              </w:rPr>
              <w:t>≤</w:t>
            </w:r>
            <w:r>
              <w:rPr>
                <w:rFonts w:ascii="宋体" w:hAnsi="宋体" w:cs="宋体" w:eastAsia="宋体" w:hint="default"/>
                <w:sz w:val="18"/>
                <w:szCs w:val="18"/>
              </w:rPr>
              <w:t>潜在错报风险＜</w:t>
            </w:r>
          </w:p>
        </w:tc>
        <w:tc>
          <w:tcPr>
            <w:tcW w:w="347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39" w:lineRule="exact"/>
              <w:ind w:left="22" w:right="0"/>
              <w:jc w:val="left"/>
              <w:rPr>
                <w:rFonts w:ascii="宋体" w:hAnsi="宋体" w:cs="宋体" w:eastAsia="宋体" w:hint="default"/>
                <w:sz w:val="18"/>
                <w:szCs w:val="18"/>
              </w:rPr>
            </w:pPr>
            <w:r>
              <w:rPr>
                <w:rFonts w:ascii="宋体" w:hAnsi="宋体" w:cs="宋体" w:eastAsia="宋体" w:hint="default"/>
                <w:spacing w:val="-3"/>
                <w:sz w:val="18"/>
                <w:szCs w:val="18"/>
              </w:rPr>
              <w:t>定量标准，但利润总额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z w:val="18"/>
                <w:szCs w:val="18"/>
              </w:rPr>
              <w:t>≤</w:t>
            </w:r>
            <w:r>
              <w:rPr>
                <w:rFonts w:ascii="宋体" w:hAnsi="宋体" w:cs="宋体" w:eastAsia="宋体" w:hint="default"/>
                <w:sz w:val="18"/>
                <w:szCs w:val="18"/>
              </w:rPr>
              <w:t>直接财产损失＜</w:t>
            </w:r>
          </w:p>
        </w:tc>
      </w:tr>
      <w:tr>
        <w:trPr>
          <w:trHeight w:val="312" w:hRule="exact"/>
        </w:trPr>
        <w:tc>
          <w:tcPr>
            <w:tcW w:w="2694" w:type="dxa"/>
            <w:vMerge/>
            <w:tcBorders>
              <w:left w:val="single" w:sz="4" w:space="0" w:color="000000"/>
              <w:bottom w:val="single" w:sz="4" w:space="0" w:color="000000"/>
              <w:right w:val="single" w:sz="4" w:space="0" w:color="000000"/>
            </w:tcBorders>
            <w:shd w:val="clear" w:color="auto" w:fill="D3D3D3"/>
          </w:tcPr>
          <w:p>
            <w:pPr/>
          </w:p>
        </w:tc>
        <w:tc>
          <w:tcPr>
            <w:tcW w:w="3402" w:type="dxa"/>
            <w:gridSpan w:val="2"/>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利润总额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或资产总额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潜在错报风</w:t>
            </w:r>
          </w:p>
        </w:tc>
        <w:tc>
          <w:tcPr>
            <w:tcW w:w="3472"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利润总额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或资产总额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直接财产损</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2694"/>
        <w:gridCol w:w="3402"/>
        <w:gridCol w:w="3472"/>
      </w:tblGrid>
      <w:tr>
        <w:trPr>
          <w:trHeight w:val="986"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4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10"/>
              <w:ind w:left="22" w:right="20"/>
              <w:jc w:val="both"/>
              <w:rPr>
                <w:rFonts w:ascii="宋体" w:hAnsi="宋体" w:cs="宋体" w:eastAsia="宋体" w:hint="default"/>
                <w:sz w:val="18"/>
                <w:szCs w:val="18"/>
              </w:rPr>
            </w:pPr>
            <w:r>
              <w:rPr>
                <w:rFonts w:ascii="宋体" w:hAnsi="宋体" w:cs="宋体" w:eastAsia="宋体" w:hint="default"/>
                <w:sz w:val="18"/>
                <w:szCs w:val="18"/>
              </w:rPr>
              <w:t>险＜资产总额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或营业收入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潜在错 报风险＜营业收入</w:t>
            </w:r>
            <w:r>
              <w:rPr>
                <w:rFonts w:ascii="宋体" w:hAnsi="宋体" w:cs="宋体" w:eastAsia="宋体" w:hint="default"/>
                <w:spacing w:val="-38"/>
                <w:sz w:val="18"/>
                <w:szCs w:val="18"/>
              </w:rPr>
              <w:t>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。一般缺陷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潜在错报</w:t>
            </w:r>
            <w:r>
              <w:rPr>
                <w:rFonts w:ascii="宋体" w:hAnsi="宋体" w:cs="宋体" w:eastAsia="宋体" w:hint="default"/>
                <w:spacing w:val="-88"/>
                <w:sz w:val="18"/>
                <w:szCs w:val="18"/>
              </w:rPr>
              <w:t> </w:t>
            </w:r>
            <w:r>
              <w:rPr>
                <w:rFonts w:ascii="宋体" w:hAnsi="宋体" w:cs="宋体" w:eastAsia="宋体" w:hint="default"/>
                <w:sz w:val="18"/>
                <w:szCs w:val="18"/>
              </w:rPr>
              <w:t>未达到重大缺陷、重要缺陷标准</w:t>
            </w:r>
          </w:p>
        </w:tc>
        <w:tc>
          <w:tcPr>
            <w:tcW w:w="34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10"/>
              <w:ind w:left="22" w:right="92"/>
              <w:jc w:val="both"/>
              <w:rPr>
                <w:rFonts w:ascii="宋体" w:hAnsi="宋体" w:cs="宋体" w:eastAsia="宋体" w:hint="default"/>
                <w:sz w:val="18"/>
                <w:szCs w:val="18"/>
              </w:rPr>
            </w:pPr>
            <w:r>
              <w:rPr>
                <w:rFonts w:ascii="宋体" w:hAnsi="宋体" w:cs="宋体" w:eastAsia="宋体" w:hint="default"/>
                <w:sz w:val="18"/>
                <w:szCs w:val="18"/>
              </w:rPr>
              <w:t>失＜资产总额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或营业收入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直接财 产损失＜营业收入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。一般缺陷：直接财 产损失未达到重大缺陷、重要缺陷标准</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8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8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8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8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十、内部控制审计报告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650"/>
        <w:gridCol w:w="6917"/>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3"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2"/>
              <w:ind w:left="22" w:right="84"/>
              <w:jc w:val="left"/>
              <w:rPr>
                <w:rFonts w:ascii="宋体" w:hAnsi="宋体" w:cs="宋体" w:eastAsia="宋体" w:hint="default"/>
                <w:sz w:val="18"/>
                <w:szCs w:val="18"/>
              </w:rPr>
            </w:pPr>
            <w:r>
              <w:rPr>
                <w:rFonts w:ascii="宋体" w:hAnsi="宋体" w:cs="宋体" w:eastAsia="宋体" w:hint="default"/>
                <w:sz w:val="18"/>
                <w:szCs w:val="18"/>
              </w:rPr>
              <w:t>我们认为，浙江华媒控股股份有限公司于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日按照《企业内部控制基本规范》和相关规定在所有重大方面 保持了有效的财务报告内部控制。</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17"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6"/>
                <w:sz w:val="18"/>
                <w:szCs w:val="18"/>
              </w:rPr>
              <w:t> </w:t>
            </w:r>
            <w:hyperlink r:id="rId11">
              <w:r>
                <w:rPr>
                  <w:rFonts w:ascii="Times New Roman" w:hAnsi="Times New Roman" w:cs="Times New Roman" w:eastAsia="Times New Roman" w:hint="default"/>
                  <w:sz w:val="18"/>
                  <w:szCs w:val="18"/>
                </w:rPr>
                <w:t>http://www.cninfo.com.cn</w:t>
              </w:r>
            </w:hyperlink>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会计师事务所是否出具非标准意见的内部控制审计报告</w:t>
      </w:r>
    </w:p>
    <w:p>
      <w:pPr>
        <w:pStyle w:val="BodyText"/>
        <w:spacing w:line="340" w:lineRule="auto" w:before="116"/>
        <w:ind w:right="46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会计师事务所出具的内部控制审计报告与董事会的自我评价报告意见是否一致</w:t>
      </w:r>
    </w:p>
    <w:p>
      <w:pPr>
        <w:pStyle w:val="BodyText"/>
        <w:spacing w:line="240" w:lineRule="auto" w:before="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877" w:footer="982" w:top="110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126" w:right="0"/>
        <w:jc w:val="left"/>
        <w:rPr>
          <w:b w:val="0"/>
          <w:bCs w:val="0"/>
        </w:rPr>
      </w:pPr>
      <w:bookmarkStart w:name="_TOC_250002" w:id="10"/>
      <w:r>
        <w:rPr/>
        <w:t>第十节</w:t>
      </w:r>
      <w:r>
        <w:rPr>
          <w:spacing w:val="-9"/>
        </w:rPr>
        <w:t> </w:t>
      </w:r>
      <w:r>
        <w:rPr/>
        <w:t>公司债券相关情况</w:t>
      </w:r>
      <w:bookmarkEnd w:id="10"/>
      <w:r>
        <w:rPr>
          <w:b w:val="0"/>
          <w:bCs w:val="0"/>
        </w:rPr>
      </w:r>
    </w:p>
    <w:p>
      <w:pPr>
        <w:spacing w:line="240" w:lineRule="auto" w:before="8"/>
        <w:rPr>
          <w:rFonts w:ascii="宋体" w:hAnsi="宋体" w:cs="宋体" w:eastAsia="宋体" w:hint="default"/>
          <w:b/>
          <w:bCs/>
          <w:sz w:val="42"/>
          <w:szCs w:val="42"/>
        </w:rPr>
      </w:pPr>
    </w:p>
    <w:p>
      <w:pPr>
        <w:pStyle w:val="BodyText"/>
        <w:spacing w:line="357" w:lineRule="auto"/>
        <w:ind w:left="153" w:right="2111"/>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877" w:footer="982" w:top="110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607" w:right="0"/>
        <w:jc w:val="left"/>
        <w:rPr>
          <w:b w:val="0"/>
          <w:bCs w:val="0"/>
        </w:rPr>
      </w:pPr>
      <w:bookmarkStart w:name="_TOC_250001" w:id="11"/>
      <w:r>
        <w:rPr/>
        <w:t>第十一节</w:t>
      </w:r>
      <w:r>
        <w:rPr>
          <w:spacing w:val="-7"/>
        </w:rPr>
        <w:t> </w:t>
      </w:r>
      <w:r>
        <w:rPr/>
        <w:t>财务报告</w:t>
      </w:r>
      <w:bookmarkEnd w:id="11"/>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[2019]33090009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徐殷鹏、秦松涛</w:t>
            </w:r>
          </w:p>
        </w:tc>
      </w:tr>
    </w:tbl>
    <w:p>
      <w:pPr>
        <w:spacing w:line="357" w:lineRule="auto" w:before="51"/>
        <w:ind w:left="4433" w:right="5409" w:firstLine="0"/>
        <w:jc w:val="center"/>
        <w:rPr>
          <w:rFonts w:ascii="宋体" w:hAnsi="宋体" w:cs="宋体" w:eastAsia="宋体" w:hint="default"/>
          <w:sz w:val="18"/>
          <w:szCs w:val="18"/>
        </w:rPr>
      </w:pPr>
      <w:r>
        <w:rPr>
          <w:rFonts w:ascii="宋体" w:hAnsi="宋体" w:cs="宋体" w:eastAsia="宋体" w:hint="default"/>
          <w:sz w:val="18"/>
          <w:szCs w:val="18"/>
        </w:rPr>
        <w:t>审计报告正文 </w:t>
      </w:r>
      <w:r>
        <w:rPr>
          <w:rFonts w:ascii="宋体" w:hAnsi="宋体" w:cs="宋体" w:eastAsia="宋体" w:hint="default"/>
          <w:b/>
          <w:bCs/>
          <w:sz w:val="18"/>
          <w:szCs w:val="18"/>
        </w:rPr>
        <w:t>审 计 报</w:t>
      </w:r>
      <w:r>
        <w:rPr>
          <w:rFonts w:ascii="宋体" w:hAnsi="宋体" w:cs="宋体" w:eastAsia="宋体" w:hint="default"/>
          <w:b/>
          <w:bCs/>
          <w:spacing w:val="-43"/>
          <w:sz w:val="18"/>
          <w:szCs w:val="18"/>
        </w:rPr>
        <w:t> </w:t>
      </w:r>
      <w:r>
        <w:rPr>
          <w:rFonts w:ascii="宋体" w:hAnsi="宋体" w:cs="宋体" w:eastAsia="宋体" w:hint="default"/>
          <w:b/>
          <w:bCs/>
          <w:sz w:val="18"/>
          <w:szCs w:val="18"/>
        </w:rPr>
        <w:t>告</w:t>
      </w:r>
      <w:r>
        <w:rPr>
          <w:rFonts w:ascii="宋体" w:hAnsi="宋体" w:cs="宋体" w:eastAsia="宋体" w:hint="default"/>
          <w:sz w:val="18"/>
          <w:szCs w:val="18"/>
        </w:rPr>
      </w:r>
    </w:p>
    <w:p>
      <w:pPr>
        <w:spacing w:line="240" w:lineRule="auto" w:before="7"/>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877" w:footer="982" w:top="1100" w:bottom="1180" w:left="980" w:right="0"/>
        </w:sectPr>
      </w:pPr>
    </w:p>
    <w:p>
      <w:pPr>
        <w:spacing w:line="240" w:lineRule="auto" w:before="0"/>
        <w:rPr>
          <w:rFonts w:ascii="宋体" w:hAnsi="宋体" w:cs="宋体" w:eastAsia="宋体" w:hint="default"/>
          <w:b/>
          <w:bCs/>
          <w:sz w:val="18"/>
          <w:szCs w:val="18"/>
        </w:rPr>
      </w:pPr>
    </w:p>
    <w:p>
      <w:pPr>
        <w:pStyle w:val="Heading4"/>
        <w:spacing w:line="316" w:lineRule="auto" w:before="121"/>
        <w:ind w:left="636" w:right="-19" w:hanging="483"/>
        <w:jc w:val="left"/>
        <w:rPr>
          <w:b w:val="0"/>
          <w:bCs w:val="0"/>
        </w:rPr>
      </w:pPr>
      <w:r>
        <w:rPr/>
        <w:t>浙江华媒控股股份有限公司全体股东：</w:t>
      </w:r>
      <w:r>
        <w:rPr>
          <w:spacing w:val="1"/>
          <w:w w:val="99"/>
        </w:rPr>
        <w:t> </w:t>
      </w:r>
      <w:r>
        <w:rPr/>
        <w:t>一、审计意见</w:t>
      </w:r>
      <w:r>
        <w:rPr>
          <w:b w:val="0"/>
          <w:bCs w:val="0"/>
        </w:rPr>
      </w:r>
    </w:p>
    <w:p>
      <w:pPr>
        <w:pStyle w:val="BodyText"/>
        <w:spacing w:line="240" w:lineRule="auto" w:before="44"/>
        <w:ind w:right="0"/>
        <w:jc w:val="left"/>
      </w:pPr>
      <w:r>
        <w:rPr/>
        <w:br w:type="column"/>
      </w:r>
      <w:r>
        <w:rPr/>
        <w:t>瑞华字</w:t>
      </w:r>
      <w:r>
        <w:rPr>
          <w:rFonts w:ascii="Times New Roman" w:hAnsi="Times New Roman" w:cs="Times New Roman" w:eastAsia="Times New Roman" w:hint="default"/>
        </w:rPr>
        <w:t>[2019]33090009</w:t>
      </w:r>
      <w:r>
        <w:rPr/>
        <w:t>号</w:t>
      </w:r>
    </w:p>
    <w:p>
      <w:pPr>
        <w:spacing w:after="0" w:line="240" w:lineRule="auto"/>
        <w:jc w:val="left"/>
        <w:sectPr>
          <w:type w:val="continuous"/>
          <w:pgSz w:w="11910" w:h="16840"/>
          <w:pgMar w:top="1060" w:bottom="1180" w:left="980" w:right="0"/>
          <w:cols w:num="2" w:equalWidth="0">
            <w:col w:w="3227" w:space="4467"/>
            <w:col w:w="3236"/>
          </w:cols>
        </w:sectPr>
      </w:pPr>
    </w:p>
    <w:p>
      <w:pPr>
        <w:pStyle w:val="BodyText"/>
        <w:spacing w:line="300" w:lineRule="auto" w:before="19"/>
        <w:ind w:right="1030" w:firstLine="480"/>
        <w:jc w:val="left"/>
      </w:pPr>
      <w:r>
        <w:rPr/>
        <w:t>我们审计了浙江华媒控股股份有限公司（以下简称</w:t>
      </w:r>
      <w:r>
        <w:rPr>
          <w:rFonts w:ascii="Times New Roman" w:hAnsi="Times New Roman" w:cs="Times New Roman" w:eastAsia="Times New Roman" w:hint="default"/>
        </w:rPr>
        <w:t>“</w:t>
      </w:r>
      <w:r>
        <w:rPr/>
        <w:t>华媒控股公司</w:t>
      </w:r>
      <w:r>
        <w:rPr>
          <w:rFonts w:ascii="Times New Roman" w:hAnsi="Times New Roman" w:cs="Times New Roman" w:eastAsia="Times New Roman" w:hint="default"/>
        </w:rPr>
        <w:t>”</w:t>
      </w:r>
      <w:r>
        <w:rPr/>
        <w:t>）的财务报表，包括</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 资产负债表，</w:t>
      </w:r>
      <w:r>
        <w:rPr>
          <w:rFonts w:ascii="Times New Roman" w:hAnsi="Times New Roman" w:cs="Times New Roman" w:eastAsia="Times New Roman" w:hint="default"/>
        </w:rPr>
        <w:t>2018</w:t>
      </w:r>
      <w:r>
        <w:rPr/>
        <w:t>年度的合并及公司利润表、合并及公司现金流量表、合并及公司股东权益变动表以及相关财务报表附注。</w:t>
      </w:r>
    </w:p>
    <w:p>
      <w:pPr>
        <w:pStyle w:val="BodyText"/>
        <w:spacing w:line="300" w:lineRule="auto" w:before="13"/>
        <w:ind w:right="0" w:firstLine="480"/>
        <w:jc w:val="left"/>
      </w:pPr>
      <w:r>
        <w:rPr>
          <w:spacing w:val="-1"/>
        </w:rPr>
        <w:t>我们认为，后附的财务报表在所有重大方面按照企业会计准则的规定编制，公允反映了华媒控股公司</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t> 合并及公司的财务状况以及</w:t>
      </w:r>
      <w:r>
        <w:rPr>
          <w:rFonts w:ascii="Times New Roman" w:hAnsi="Times New Roman" w:cs="Times New Roman" w:eastAsia="Times New Roman" w:hint="default"/>
        </w:rPr>
        <w:t>2018</w:t>
      </w:r>
      <w:r>
        <w:rPr/>
        <w:t>年度合并及公司的经营成果和现金流量。</w:t>
      </w:r>
    </w:p>
    <w:p>
      <w:pPr>
        <w:spacing w:line="240" w:lineRule="auto" w:before="11"/>
        <w:rPr>
          <w:rFonts w:ascii="宋体" w:hAnsi="宋体" w:cs="宋体" w:eastAsia="宋体" w:hint="default"/>
          <w:sz w:val="24"/>
          <w:szCs w:val="24"/>
        </w:rPr>
      </w:pPr>
    </w:p>
    <w:p>
      <w:pPr>
        <w:pStyle w:val="BodyText"/>
        <w:spacing w:line="316" w:lineRule="auto"/>
        <w:ind w:left="634" w:right="1110" w:firstLine="2"/>
        <w:jc w:val="left"/>
      </w:pPr>
      <w:r>
        <w:rPr>
          <w:rFonts w:ascii="宋体" w:hAnsi="宋体" w:cs="宋体" w:eastAsia="宋体" w:hint="default"/>
          <w:b/>
          <w:bCs/>
        </w:rPr>
        <w:t>二、形成审计意见的基础</w:t>
      </w:r>
      <w:r>
        <w:rPr>
          <w:rFonts w:ascii="宋体" w:hAnsi="宋体" w:cs="宋体" w:eastAsia="宋体" w:hint="default"/>
          <w:b/>
          <w:bCs/>
          <w:spacing w:val="1"/>
          <w:w w:val="99"/>
        </w:rPr>
        <w:t> </w:t>
      </w:r>
      <w:r>
        <w:rPr/>
        <w:t>我们按照中国注册会计师审计准则的规定执行了审计工作。审计报告的</w:t>
      </w:r>
      <w:r>
        <w:rPr>
          <w:rFonts w:ascii="Times New Roman" w:hAnsi="Times New Roman" w:cs="Times New Roman" w:eastAsia="Times New Roman" w:hint="default"/>
        </w:rPr>
        <w:t>“</w:t>
      </w:r>
      <w:r>
        <w:rPr/>
        <w:t>注册会计师对财务报表审计的责任</w:t>
      </w:r>
      <w:r>
        <w:rPr>
          <w:rFonts w:ascii="Times New Roman" w:hAnsi="Times New Roman" w:cs="Times New Roman" w:eastAsia="Times New Roman" w:hint="default"/>
        </w:rPr>
        <w:t>”</w:t>
      </w:r>
      <w:r>
        <w:rPr/>
        <w:t>部分进一</w:t>
      </w:r>
    </w:p>
    <w:p>
      <w:pPr>
        <w:pStyle w:val="BodyText"/>
        <w:spacing w:line="316" w:lineRule="auto"/>
        <w:ind w:right="0"/>
        <w:jc w:val="left"/>
      </w:pPr>
      <w:r>
        <w:rPr>
          <w:spacing w:val="-2"/>
        </w:rPr>
        <w:t>步阐述了我们在这些准则下的责任。按照中国注册会计师职业道德守则，我们独立于华媒控股公司，并履行了职业道德方面</w:t>
      </w:r>
      <w:r>
        <w:rPr>
          <w:spacing w:val="-66"/>
        </w:rPr>
        <w:t> </w:t>
      </w:r>
      <w:r>
        <w:rPr>
          <w:spacing w:val="-66"/>
        </w:rPr>
      </w:r>
      <w:r>
        <w:rPr/>
        <w:t>的其他责任。我们相信，我们获取的审计证据是充分、适当的，为发表审计意见提供了基础。</w:t>
      </w:r>
    </w:p>
    <w:p>
      <w:pPr>
        <w:spacing w:line="240" w:lineRule="auto" w:before="4"/>
        <w:rPr>
          <w:rFonts w:ascii="宋体" w:hAnsi="宋体" w:cs="宋体" w:eastAsia="宋体" w:hint="default"/>
          <w:sz w:val="25"/>
          <w:szCs w:val="25"/>
        </w:rPr>
      </w:pPr>
    </w:p>
    <w:p>
      <w:pPr>
        <w:pStyle w:val="BodyText"/>
        <w:spacing w:line="316" w:lineRule="auto"/>
        <w:ind w:left="634" w:right="0" w:firstLine="2"/>
        <w:jc w:val="left"/>
      </w:pPr>
      <w:r>
        <w:rPr>
          <w:rFonts w:ascii="宋体" w:hAnsi="宋体" w:cs="宋体" w:eastAsia="宋体" w:hint="default"/>
          <w:b/>
          <w:bCs/>
        </w:rPr>
        <w:t>三、关键审计事项</w:t>
      </w:r>
      <w:r>
        <w:rPr>
          <w:rFonts w:ascii="宋体" w:hAnsi="宋体" w:cs="宋体" w:eastAsia="宋体" w:hint="default"/>
          <w:b/>
          <w:bCs/>
          <w:w w:val="99"/>
        </w:rPr>
        <w:t> </w:t>
      </w:r>
      <w:r>
        <w:rPr>
          <w:spacing w:val="-1"/>
        </w:rPr>
        <w:t>关键审计事项是我们根据职业判断，认为对本期财务报表审计最为重要的事项。这些事项的应对以对财务报表整体进</w:t>
      </w:r>
    </w:p>
    <w:p>
      <w:pPr>
        <w:pStyle w:val="BodyText"/>
        <w:spacing w:line="316" w:lineRule="auto" w:before="19"/>
        <w:ind w:right="1117"/>
        <w:jc w:val="left"/>
      </w:pPr>
      <w:r>
        <w:rPr>
          <w:spacing w:val="-2"/>
        </w:rPr>
        <w:t>行审计并形成审计意见为背景，我们不对这些事项单独发表意见。我们确定下列事项是需要在审计报告中沟通的关键审计事</w:t>
      </w:r>
      <w:r>
        <w:rPr>
          <w:spacing w:val="-64"/>
        </w:rPr>
        <w:t> </w:t>
      </w:r>
      <w:r>
        <w:rPr>
          <w:spacing w:val="-64"/>
        </w:rPr>
      </w:r>
      <w:r>
        <w:rPr/>
        <w:t>项。</w:t>
      </w:r>
    </w:p>
    <w:p>
      <w:pPr>
        <w:spacing w:line="309" w:lineRule="auto" w:before="19"/>
        <w:ind w:left="634" w:right="1550" w:firstLine="2"/>
        <w:jc w:val="left"/>
        <w:rPr>
          <w:rFonts w:ascii="宋体" w:hAnsi="宋体" w:cs="宋体" w:eastAsia="宋体" w:hint="default"/>
          <w:sz w:val="18"/>
          <w:szCs w:val="18"/>
        </w:rPr>
      </w:pPr>
      <w:r>
        <w:rPr>
          <w:rFonts w:ascii="宋体" w:hAnsi="宋体" w:cs="宋体" w:eastAsia="宋体" w:hint="default"/>
          <w:b/>
          <w:bCs/>
          <w:sz w:val="18"/>
          <w:szCs w:val="18"/>
        </w:rPr>
        <w:t>（一）商誉减值</w:t>
      </w:r>
      <w:r>
        <w:rPr>
          <w:rFonts w:ascii="宋体" w:hAnsi="宋体" w:cs="宋体" w:eastAsia="宋体" w:hint="default"/>
          <w:b/>
          <w:bCs/>
          <w:w w:val="99"/>
          <w:sz w:val="18"/>
          <w:szCs w:val="18"/>
        </w:rPr>
        <w:t> </w:t>
      </w:r>
      <w:r>
        <w:rPr>
          <w:rFonts w:ascii="宋体" w:hAnsi="宋体" w:cs="宋体" w:eastAsia="宋体" w:hint="default"/>
          <w:sz w:val="18"/>
          <w:szCs w:val="18"/>
        </w:rPr>
        <w:t>请参阅财务报表附注</w:t>
      </w:r>
      <w:r>
        <w:rPr>
          <w:rFonts w:ascii="Times New Roman" w:hAnsi="Times New Roman" w:cs="Times New Roman" w:eastAsia="Times New Roman" w:hint="default"/>
          <w:sz w:val="18"/>
          <w:szCs w:val="18"/>
        </w:rPr>
        <w:t>“</w:t>
      </w:r>
      <w:r>
        <w:rPr>
          <w:rFonts w:ascii="宋体" w:hAnsi="宋体" w:cs="宋体" w:eastAsia="宋体" w:hint="default"/>
          <w:sz w:val="18"/>
          <w:szCs w:val="18"/>
        </w:rPr>
        <w:t>四、重要会计政策和会计估计</w:t>
      </w:r>
      <w:r>
        <w:rPr>
          <w:rFonts w:ascii="Times New Roman" w:hAnsi="Times New Roman" w:cs="Times New Roman" w:eastAsia="Times New Roman" w:hint="default"/>
          <w:sz w:val="18"/>
          <w:szCs w:val="18"/>
        </w:rPr>
        <w:t>”(18)</w:t>
      </w:r>
      <w:r>
        <w:rPr>
          <w:rFonts w:ascii="宋体" w:hAnsi="宋体" w:cs="宋体" w:eastAsia="宋体" w:hint="default"/>
          <w:sz w:val="18"/>
          <w:szCs w:val="18"/>
        </w:rPr>
        <w:t>长期资产减值及</w:t>
      </w:r>
      <w:r>
        <w:rPr>
          <w:rFonts w:ascii="Times New Roman" w:hAnsi="Times New Roman" w:cs="Times New Roman" w:eastAsia="Times New Roman" w:hint="default"/>
          <w:sz w:val="18"/>
          <w:szCs w:val="18"/>
        </w:rPr>
        <w:t>“</w:t>
      </w:r>
      <w:r>
        <w:rPr>
          <w:rFonts w:ascii="宋体" w:hAnsi="宋体" w:cs="宋体" w:eastAsia="宋体" w:hint="default"/>
          <w:sz w:val="18"/>
          <w:szCs w:val="18"/>
        </w:rPr>
        <w:t>六、合并财务报表项目注释</w:t>
      </w:r>
      <w:r>
        <w:rPr>
          <w:rFonts w:ascii="Times New Roman" w:hAnsi="Times New Roman" w:cs="Times New Roman" w:eastAsia="Times New Roman" w:hint="default"/>
          <w:sz w:val="18"/>
          <w:szCs w:val="18"/>
        </w:rPr>
        <w:t>”15</w:t>
      </w:r>
      <w:r>
        <w:rPr>
          <w:rFonts w:ascii="宋体" w:hAnsi="宋体" w:cs="宋体" w:eastAsia="宋体" w:hint="default"/>
          <w:sz w:val="18"/>
          <w:szCs w:val="18"/>
        </w:rPr>
        <w:t>商誉。 </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、事项描述</w:t>
      </w:r>
      <w:r>
        <w:rPr>
          <w:rFonts w:ascii="宋体" w:hAnsi="宋体" w:cs="宋体" w:eastAsia="宋体" w:hint="default"/>
          <w:sz w:val="18"/>
          <w:szCs w:val="18"/>
        </w:rPr>
      </w:r>
    </w:p>
    <w:p>
      <w:pPr>
        <w:pStyle w:val="BodyText"/>
        <w:spacing w:line="300" w:lineRule="auto" w:before="5"/>
        <w:ind w:right="1030" w:firstLine="48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日，浙江华媒控股股份有限公司合并财务报表中商誉账面净值为人民币</w:t>
      </w:r>
      <w:r>
        <w:rPr>
          <w:rFonts w:ascii="Times New Roman" w:hAnsi="Times New Roman" w:cs="Times New Roman" w:eastAsia="Times New Roman" w:hint="default"/>
        </w:rPr>
        <w:t>57,557.99</w:t>
      </w:r>
      <w:r>
        <w:rPr/>
        <w:t>万元。主要形成为浙江 华媒控股股份有限公司于</w:t>
      </w:r>
      <w:r>
        <w:rPr>
          <w:rFonts w:ascii="Times New Roman" w:hAnsi="Times New Roman" w:cs="Times New Roman" w:eastAsia="Times New Roman" w:hint="default"/>
        </w:rPr>
        <w:t>2016</w:t>
      </w:r>
      <w:r>
        <w:rPr/>
        <w:t>年非同一控制下收购中教未来国际教育科技（北京）有限公司形成商誉金额为</w:t>
      </w:r>
      <w:r>
        <w:rPr>
          <w:rFonts w:ascii="Times New Roman" w:hAnsi="Times New Roman" w:cs="Times New Roman" w:eastAsia="Times New Roman" w:hint="default"/>
        </w:rPr>
        <w:t>52,501.38</w:t>
      </w:r>
      <w:r>
        <w:rPr/>
        <w:t>万元， 中教未来国际教育科技（北京）有限公司于</w:t>
      </w:r>
      <w:r>
        <w:rPr>
          <w:rFonts w:ascii="Times New Roman" w:hAnsi="Times New Roman" w:cs="Times New Roman" w:eastAsia="Times New Roman" w:hint="default"/>
        </w:rPr>
        <w:t>2016</w:t>
      </w:r>
      <w:r>
        <w:rPr/>
        <w:t>年非同一控制下收购智明远扬教育科技（北京）有限公司形成商誉金额为</w:t>
      </w:r>
      <w:r>
        <w:rPr>
          <w:spacing w:val="-7"/>
        </w:rPr>
        <w:t> </w:t>
      </w:r>
      <w:r>
        <w:rPr>
          <w:spacing w:val="-7"/>
        </w:rPr>
      </w:r>
      <w:r>
        <w:rPr>
          <w:rFonts w:ascii="Times New Roman" w:hAnsi="Times New Roman" w:cs="Times New Roman" w:eastAsia="Times New Roman" w:hint="default"/>
        </w:rPr>
        <w:t>3,995.19</w:t>
      </w:r>
      <w:r>
        <w:rPr/>
        <w:t>万元。资产的可收回金额通过现金流量折现方法确定，该方法需要公司对未来现金流量进行假设。这些假设包括对</w:t>
      </w:r>
      <w:r>
        <w:rPr>
          <w:spacing w:val="-85"/>
        </w:rPr>
        <w:t> </w:t>
      </w:r>
      <w:r>
        <w:rPr>
          <w:spacing w:val="-85"/>
        </w:rPr>
      </w:r>
      <w:r>
        <w:rPr/>
        <w:t>商誉所属资产组产生的现金流量的预期以及折现率。因此，可收回金额的评估包含了重大的会计判断和估计。</w:t>
      </w:r>
    </w:p>
    <w:p>
      <w:pPr>
        <w:spacing w:line="300" w:lineRule="auto" w:before="31"/>
        <w:ind w:left="634" w:right="8110"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、审计应对</w:t>
      </w:r>
      <w:r>
        <w:rPr>
          <w:rFonts w:ascii="宋体" w:hAnsi="宋体" w:cs="宋体" w:eastAsia="宋体" w:hint="default"/>
          <w:b/>
          <w:bCs/>
          <w:spacing w:val="1"/>
          <w:w w:val="99"/>
          <w:sz w:val="18"/>
          <w:szCs w:val="18"/>
        </w:rPr>
        <w:t> </w:t>
      </w:r>
      <w:r>
        <w:rPr>
          <w:rFonts w:ascii="宋体" w:hAnsi="宋体" w:cs="宋体" w:eastAsia="宋体" w:hint="default"/>
          <w:sz w:val="18"/>
          <w:szCs w:val="18"/>
        </w:rPr>
        <w:t>我们执行的主要审计程序：</w:t>
      </w:r>
    </w:p>
    <w:p>
      <w:pPr>
        <w:pStyle w:val="BodyText"/>
        <w:spacing w:line="240" w:lineRule="auto" w:before="31"/>
        <w:ind w:left="513" w:right="0"/>
        <w:jc w:val="left"/>
      </w:pPr>
      <w:r>
        <w:rPr/>
        <w:t>（</w:t>
      </w:r>
      <w:r>
        <w:rPr>
          <w:rFonts w:ascii="Times New Roman" w:hAnsi="Times New Roman" w:cs="Times New Roman" w:eastAsia="Times New Roman" w:hint="default"/>
        </w:rPr>
        <w:t>1</w:t>
      </w:r>
      <w:r>
        <w:rPr/>
        <w:t>）我们评估管理层对华媒控股公司商誉所属资产组的认定和进行减值测试时采用的关键假设和方法，检查相关的假</w:t>
      </w:r>
    </w:p>
    <w:p>
      <w:pPr>
        <w:spacing w:after="0" w:line="240" w:lineRule="auto"/>
        <w:jc w:val="left"/>
        <w:sectPr>
          <w:type w:val="continuous"/>
          <w:pgSz w:w="11910" w:h="16840"/>
          <w:pgMar w:top="1060" w:bottom="1180" w:left="980" w:right="0"/>
        </w:sectPr>
      </w:pPr>
    </w:p>
    <w:p>
      <w:pPr>
        <w:spacing w:line="240" w:lineRule="auto" w:before="12"/>
        <w:rPr>
          <w:rFonts w:ascii="宋体" w:hAnsi="宋体" w:cs="宋体" w:eastAsia="宋体" w:hint="default"/>
          <w:sz w:val="21"/>
          <w:szCs w:val="21"/>
        </w:rPr>
      </w:pPr>
    </w:p>
    <w:p>
      <w:pPr>
        <w:pStyle w:val="BodyText"/>
        <w:spacing w:line="240" w:lineRule="auto" w:before="44"/>
        <w:ind w:left="153" w:right="0"/>
        <w:jc w:val="left"/>
      </w:pPr>
      <w:r>
        <w:rPr/>
        <w:t>设和方法的合理性；</w:t>
      </w:r>
    </w:p>
    <w:p>
      <w:pPr>
        <w:pStyle w:val="BodyText"/>
        <w:spacing w:line="309" w:lineRule="auto" w:before="76"/>
        <w:ind w:left="153" w:right="1031" w:firstLine="360"/>
        <w:jc w:val="left"/>
      </w:pPr>
      <w:r>
        <w:rPr/>
        <w:t>（</w:t>
      </w:r>
      <w:r>
        <w:rPr>
          <w:rFonts w:ascii="Times New Roman" w:hAnsi="Times New Roman" w:cs="Times New Roman" w:eastAsia="Times New Roman" w:hint="default"/>
        </w:rPr>
        <w:t>2</w:t>
      </w:r>
      <w:r>
        <w:rPr/>
        <w:t>）我们与公司管理层及外部评估专家讨论，了解减值测试结果最为敏感的假设并进行分析，分析检查管理层采用的 假设的恰当性及相关披露是否适当。我们评价了评估机构的专业资质、胜任能力和独立性并参考外部评估机构的评估报告。 外部评估机构的评估报告已经本所复核专家进行复核。</w:t>
      </w:r>
    </w:p>
    <w:p>
      <w:pPr>
        <w:pStyle w:val="Heading4"/>
        <w:spacing w:line="240" w:lineRule="auto" w:before="24"/>
        <w:ind w:left="636" w:right="0"/>
        <w:jc w:val="left"/>
        <w:rPr>
          <w:b w:val="0"/>
          <w:bCs w:val="0"/>
        </w:rPr>
      </w:pPr>
      <w:r>
        <w:rPr/>
        <w:t>（二）收入确认</w:t>
      </w:r>
      <w:r>
        <w:rPr>
          <w:b w:val="0"/>
          <w:bCs w:val="0"/>
        </w:rPr>
      </w:r>
    </w:p>
    <w:p>
      <w:pPr>
        <w:pStyle w:val="BodyText"/>
        <w:spacing w:line="300" w:lineRule="auto" w:before="76"/>
        <w:ind w:left="634" w:right="1117"/>
        <w:jc w:val="left"/>
      </w:pPr>
      <w:r>
        <w:rPr/>
        <w:t>请参阅财务报表附注</w:t>
      </w:r>
      <w:r>
        <w:rPr>
          <w:rFonts w:ascii="Times New Roman" w:hAnsi="Times New Roman" w:cs="Times New Roman" w:eastAsia="Times New Roman" w:hint="default"/>
        </w:rPr>
        <w:t>“</w:t>
      </w:r>
      <w:r>
        <w:rPr/>
        <w:t>四、重要会计政策和会计估计</w:t>
      </w:r>
      <w:r>
        <w:rPr>
          <w:rFonts w:ascii="Times New Roman" w:hAnsi="Times New Roman" w:cs="Times New Roman" w:eastAsia="Times New Roman" w:hint="default"/>
        </w:rPr>
        <w:t>”(21)</w:t>
      </w:r>
      <w:r>
        <w:rPr>
          <w:rFonts w:ascii="Times New Roman" w:hAnsi="Times New Roman" w:cs="Times New Roman" w:eastAsia="Times New Roman" w:hint="default"/>
          <w:spacing w:val="25"/>
        </w:rPr>
        <w:t> </w:t>
      </w:r>
      <w:r>
        <w:rPr/>
        <w:t>收入及</w:t>
      </w:r>
      <w:r>
        <w:rPr>
          <w:rFonts w:ascii="Times New Roman" w:hAnsi="Times New Roman" w:cs="Times New Roman" w:eastAsia="Times New Roman" w:hint="default"/>
        </w:rPr>
        <w:t>“</w:t>
      </w:r>
      <w:r>
        <w:rPr/>
        <w:t>六、合并财务报表项目注释</w:t>
      </w:r>
      <w:r>
        <w:rPr>
          <w:rFonts w:ascii="Times New Roman" w:hAnsi="Times New Roman" w:cs="Times New Roman" w:eastAsia="Times New Roman" w:hint="default"/>
        </w:rPr>
        <w:t>”33</w:t>
      </w:r>
      <w:r>
        <w:rPr/>
        <w:t>营业收入和成本。 </w:t>
      </w:r>
      <w:r>
        <w:rPr>
          <w:rFonts w:ascii="Times New Roman" w:hAnsi="Times New Roman" w:cs="Times New Roman" w:eastAsia="Times New Roman" w:hint="default"/>
          <w:b/>
          <w:bCs/>
        </w:rPr>
        <w:t>1</w:t>
      </w:r>
      <w:r>
        <w:rPr>
          <w:rFonts w:ascii="宋体" w:hAnsi="宋体" w:cs="宋体" w:eastAsia="宋体" w:hint="default"/>
          <w:b/>
          <w:bCs/>
        </w:rPr>
        <w:t>、事项描述</w:t>
      </w:r>
      <w:r>
        <w:rPr>
          <w:rFonts w:ascii="宋体" w:hAnsi="宋体" w:cs="宋体" w:eastAsia="宋体" w:hint="default"/>
          <w:b/>
          <w:bCs/>
          <w:spacing w:val="1"/>
          <w:w w:val="99"/>
        </w:rPr>
        <w:t> </w:t>
      </w:r>
      <w:r>
        <w:rPr>
          <w:spacing w:val="-1"/>
        </w:rPr>
        <w:t>收入的真实性对公司经营业绩影响重大，因此将收入作为重点审计事项。我们将以公司选用的会计政策为出发点，结</w:t>
      </w:r>
    </w:p>
    <w:p>
      <w:pPr>
        <w:pStyle w:val="BodyText"/>
        <w:spacing w:line="240" w:lineRule="auto" w:before="31"/>
        <w:ind w:right="0"/>
        <w:jc w:val="left"/>
      </w:pPr>
      <w:r>
        <w:rPr/>
        <w:t>合公司营业收入的特点，判断会计政策选用的准确性。公司收入类型主要为</w:t>
      </w:r>
      <w:r>
        <w:rPr>
          <w:rFonts w:ascii="Times New Roman" w:hAnsi="Times New Roman" w:cs="Times New Roman" w:eastAsia="Times New Roman" w:hint="default"/>
        </w:rPr>
        <w:t>4</w:t>
      </w:r>
      <w:r>
        <w:rPr/>
        <w:t>大类：（</w:t>
      </w:r>
      <w:r>
        <w:rPr>
          <w:rFonts w:ascii="Times New Roman" w:hAnsi="Times New Roman" w:cs="Times New Roman" w:eastAsia="Times New Roman" w:hint="default"/>
        </w:rPr>
        <w:t>1</w:t>
      </w:r>
      <w:r>
        <w:rPr/>
        <w:t>）报刊发行收入（</w:t>
      </w:r>
      <w:r>
        <w:rPr>
          <w:rFonts w:ascii="Times New Roman" w:hAnsi="Times New Roman" w:cs="Times New Roman" w:eastAsia="Times New Roman" w:hint="default"/>
        </w:rPr>
        <w:t>2</w:t>
      </w:r>
      <w:r>
        <w:rPr/>
        <w:t>）广告策划收入</w:t>
      </w:r>
    </w:p>
    <w:p>
      <w:pPr>
        <w:pStyle w:val="BodyText"/>
        <w:spacing w:line="300" w:lineRule="auto" w:before="63"/>
        <w:ind w:left="634" w:right="7870" w:hanging="480"/>
        <w:jc w:val="left"/>
      </w:pPr>
      <w:r>
        <w:rPr/>
        <w:t>（</w:t>
      </w:r>
      <w:r>
        <w:rPr>
          <w:rFonts w:ascii="Times New Roman" w:hAnsi="Times New Roman" w:cs="Times New Roman" w:eastAsia="Times New Roman" w:hint="default"/>
        </w:rPr>
        <w:t>3</w:t>
      </w:r>
      <w:r>
        <w:rPr/>
        <w:t>）印刷收入（</w:t>
      </w:r>
      <w:r>
        <w:rPr>
          <w:rFonts w:ascii="Times New Roman" w:hAnsi="Times New Roman" w:cs="Times New Roman" w:eastAsia="Times New Roman" w:hint="default"/>
        </w:rPr>
        <w:t>4</w:t>
      </w:r>
      <w:r>
        <w:rPr/>
        <w:t>）教育培训收入。 </w:t>
      </w:r>
      <w:r>
        <w:rPr>
          <w:rFonts w:ascii="Times New Roman" w:hAnsi="Times New Roman" w:cs="Times New Roman" w:eastAsia="Times New Roman" w:hint="default"/>
          <w:b/>
          <w:bCs/>
        </w:rPr>
        <w:t>2</w:t>
      </w:r>
      <w:r>
        <w:rPr>
          <w:rFonts w:ascii="宋体" w:hAnsi="宋体" w:cs="宋体" w:eastAsia="宋体" w:hint="default"/>
          <w:b/>
          <w:bCs/>
        </w:rPr>
        <w:t>、审计应对</w:t>
      </w:r>
      <w:r>
        <w:rPr>
          <w:rFonts w:ascii="宋体" w:hAnsi="宋体" w:cs="宋体" w:eastAsia="宋体" w:hint="default"/>
          <w:b/>
          <w:bCs/>
          <w:spacing w:val="1"/>
          <w:w w:val="99"/>
        </w:rPr>
        <w:t> </w:t>
      </w:r>
      <w:r>
        <w:rPr/>
        <w:t>我们执行的主要审计程序：</w:t>
      </w:r>
    </w:p>
    <w:p>
      <w:pPr>
        <w:pStyle w:val="BodyText"/>
        <w:spacing w:line="240" w:lineRule="auto" w:before="31"/>
        <w:ind w:left="634" w:right="0"/>
        <w:jc w:val="left"/>
      </w:pPr>
      <w:r>
        <w:rPr/>
        <w:t>（</w:t>
      </w:r>
      <w:r>
        <w:rPr>
          <w:rFonts w:ascii="Times New Roman" w:hAnsi="Times New Roman" w:cs="Times New Roman" w:eastAsia="Times New Roman" w:hint="default"/>
        </w:rPr>
        <w:t>1</w:t>
      </w:r>
      <w:r>
        <w:rPr/>
        <w:t>）获取公司销售与收款循环内部控制制度，并针对其中的关键控制点设计控制测试，测试其内部控制有效性；</w:t>
      </w:r>
    </w:p>
    <w:p>
      <w:pPr>
        <w:pStyle w:val="BodyText"/>
        <w:spacing w:line="240" w:lineRule="auto" w:before="63"/>
        <w:ind w:left="634" w:right="0"/>
        <w:jc w:val="left"/>
      </w:pPr>
      <w:r>
        <w:rPr/>
        <w:t>（</w:t>
      </w:r>
      <w:r>
        <w:rPr>
          <w:rFonts w:ascii="Times New Roman" w:hAnsi="Times New Roman" w:cs="Times New Roman" w:eastAsia="Times New Roman" w:hint="default"/>
        </w:rPr>
        <w:t>2</w:t>
      </w:r>
      <w:r>
        <w:rPr/>
        <w:t>）运用分析性复核，将数据与上年数据，同行业可比公司进行比较；</w:t>
      </w:r>
    </w:p>
    <w:p>
      <w:pPr>
        <w:pStyle w:val="BodyText"/>
        <w:spacing w:line="240" w:lineRule="auto" w:before="63"/>
        <w:ind w:left="634" w:right="0"/>
        <w:jc w:val="left"/>
      </w:pPr>
      <w:r>
        <w:rPr/>
        <w:t>（</w:t>
      </w:r>
      <w:r>
        <w:rPr>
          <w:rFonts w:ascii="Times New Roman" w:hAnsi="Times New Roman" w:cs="Times New Roman" w:eastAsia="Times New Roman" w:hint="default"/>
        </w:rPr>
        <w:t>3</w:t>
      </w:r>
      <w:r>
        <w:rPr/>
        <w:t>）报刊发行收入着重检查报纸投递情况和收款情况；</w:t>
      </w:r>
    </w:p>
    <w:p>
      <w:pPr>
        <w:pStyle w:val="BodyText"/>
        <w:spacing w:line="240" w:lineRule="auto" w:before="63"/>
        <w:ind w:left="634" w:right="0"/>
        <w:jc w:val="left"/>
      </w:pPr>
      <w:r>
        <w:rPr/>
        <w:t>（</w:t>
      </w:r>
      <w:r>
        <w:rPr>
          <w:rFonts w:ascii="Times New Roman" w:hAnsi="Times New Roman" w:cs="Times New Roman" w:eastAsia="Times New Roman" w:hint="default"/>
        </w:rPr>
        <w:t>4</w:t>
      </w:r>
      <w:r>
        <w:rPr/>
        <w:t>）广告及策划收入着重检查广告合同，广告刊登情况；</w:t>
      </w:r>
    </w:p>
    <w:p>
      <w:pPr>
        <w:pStyle w:val="BodyText"/>
        <w:spacing w:line="240" w:lineRule="auto" w:before="63"/>
        <w:ind w:left="642" w:right="0"/>
        <w:jc w:val="left"/>
      </w:pPr>
      <w:r>
        <w:rPr/>
        <w:t>（</w:t>
      </w:r>
      <w:r>
        <w:rPr>
          <w:rFonts w:ascii="Times New Roman" w:hAnsi="Times New Roman" w:cs="Times New Roman" w:eastAsia="Times New Roman" w:hint="default"/>
        </w:rPr>
        <w:t>5</w:t>
      </w:r>
      <w:r>
        <w:rPr/>
        <w:t>）印刷收入着重检查印刷合同，订单，运输记录和验收记录；</w:t>
      </w:r>
    </w:p>
    <w:p>
      <w:pPr>
        <w:pStyle w:val="BodyText"/>
        <w:spacing w:line="240" w:lineRule="auto" w:before="63"/>
        <w:ind w:left="641" w:right="0"/>
        <w:jc w:val="left"/>
      </w:pPr>
      <w:r>
        <w:rPr/>
        <w:t>（</w:t>
      </w:r>
      <w:r>
        <w:rPr>
          <w:rFonts w:ascii="Times New Roman" w:hAnsi="Times New Roman" w:cs="Times New Roman" w:eastAsia="Times New Roman" w:hint="default"/>
        </w:rPr>
        <w:t>6</w:t>
      </w:r>
      <w:r>
        <w:rPr/>
        <w:t>）教育培训收入着重检查与高校的合作协议，学费收取情况，与高校的结算单，教师授课情况，学生考勤记录；</w:t>
      </w:r>
    </w:p>
    <w:p>
      <w:pPr>
        <w:pStyle w:val="BodyText"/>
        <w:spacing w:line="240" w:lineRule="auto" w:before="63"/>
        <w:ind w:left="642" w:right="0"/>
        <w:jc w:val="left"/>
      </w:pPr>
      <w:r>
        <w:rPr/>
        <w:t>（</w:t>
      </w:r>
      <w:r>
        <w:rPr>
          <w:rFonts w:ascii="Times New Roman" w:hAnsi="Times New Roman" w:cs="Times New Roman" w:eastAsia="Times New Roman" w:hint="default"/>
        </w:rPr>
        <w:t>7</w:t>
      </w:r>
      <w:r>
        <w:rPr/>
        <w:t>）对大额的交易额和应收账款余额进行函证确认。</w:t>
      </w:r>
    </w:p>
    <w:p>
      <w:pPr>
        <w:spacing w:line="316" w:lineRule="auto" w:before="63"/>
        <w:ind w:left="634" w:right="0" w:firstLine="2"/>
        <w:jc w:val="left"/>
        <w:rPr>
          <w:rFonts w:ascii="宋体" w:hAnsi="宋体" w:cs="宋体" w:eastAsia="宋体" w:hint="default"/>
          <w:sz w:val="18"/>
          <w:szCs w:val="18"/>
        </w:rPr>
      </w:pPr>
      <w:r>
        <w:rPr>
          <w:rFonts w:ascii="宋体" w:hAnsi="宋体" w:cs="宋体" w:eastAsia="宋体" w:hint="default"/>
          <w:b/>
          <w:bCs/>
          <w:sz w:val="18"/>
          <w:szCs w:val="18"/>
        </w:rPr>
        <w:t>（三）可供出售金融资产和长期股权投资减值</w:t>
      </w:r>
      <w:r>
        <w:rPr>
          <w:rFonts w:ascii="宋体" w:hAnsi="宋体" w:cs="宋体" w:eastAsia="宋体" w:hint="default"/>
          <w:b/>
          <w:bCs/>
          <w:w w:val="99"/>
          <w:sz w:val="18"/>
          <w:szCs w:val="18"/>
        </w:rPr>
        <w:t> </w:t>
      </w:r>
      <w:r>
        <w:rPr>
          <w:rFonts w:ascii="宋体" w:hAnsi="宋体" w:cs="宋体" w:eastAsia="宋体" w:hint="default"/>
          <w:spacing w:val="-2"/>
          <w:sz w:val="18"/>
          <w:szCs w:val="18"/>
        </w:rPr>
        <w:t>请参阅财务报表附注</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四、重要会计政策和会计估计</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18</w:t>
      </w:r>
      <w:r>
        <w:rPr>
          <w:rFonts w:ascii="宋体" w:hAnsi="宋体" w:cs="宋体" w:eastAsia="宋体" w:hint="default"/>
          <w:spacing w:val="-2"/>
          <w:sz w:val="18"/>
          <w:szCs w:val="18"/>
        </w:rPr>
        <w:t>）长期资产减值及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六、合并财务报表项目注释</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可供出售金</w:t>
      </w:r>
    </w:p>
    <w:p>
      <w:pPr>
        <w:pStyle w:val="BodyText"/>
        <w:spacing w:line="235" w:lineRule="exact"/>
        <w:ind w:right="0"/>
        <w:jc w:val="left"/>
      </w:pPr>
      <w:r>
        <w:rPr/>
        <w:t>融资产。</w:t>
      </w:r>
    </w:p>
    <w:p>
      <w:pPr>
        <w:pStyle w:val="Heading4"/>
        <w:spacing w:line="240" w:lineRule="auto" w:before="76"/>
        <w:ind w:left="636" w:right="0"/>
        <w:jc w:val="left"/>
        <w:rPr>
          <w:b w:val="0"/>
          <w:bCs w:val="0"/>
        </w:rPr>
      </w:pPr>
      <w:r>
        <w:rPr>
          <w:rFonts w:ascii="Times New Roman" w:hAnsi="Times New Roman" w:cs="Times New Roman" w:eastAsia="Times New Roman" w:hint="default"/>
        </w:rPr>
        <w:t>1</w:t>
      </w:r>
      <w:r>
        <w:rPr/>
        <w:t>、事项描述</w:t>
      </w:r>
      <w:r>
        <w:rPr>
          <w:b w:val="0"/>
          <w:bCs w:val="0"/>
        </w:rPr>
      </w:r>
    </w:p>
    <w:p>
      <w:pPr>
        <w:pStyle w:val="BodyText"/>
        <w:spacing w:line="304" w:lineRule="auto" w:before="63"/>
        <w:ind w:left="153" w:right="1126" w:firstLine="48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日，浙江华媒控股股份有限公司合并财务报表中可供出售金融资产金额为</w:t>
      </w:r>
      <w:r>
        <w:rPr>
          <w:rFonts w:ascii="Times New Roman" w:hAnsi="Times New Roman" w:cs="Times New Roman" w:eastAsia="Times New Roman" w:hint="default"/>
        </w:rPr>
        <w:t>8,558.57</w:t>
      </w:r>
      <w:r>
        <w:rPr/>
        <w:t>万元，长期股权投资 金额为</w:t>
      </w:r>
      <w:r>
        <w:rPr>
          <w:rFonts w:ascii="Times New Roman" w:hAnsi="Times New Roman" w:cs="Times New Roman" w:eastAsia="Times New Roman" w:hint="default"/>
        </w:rPr>
        <w:t>64,978.05</w:t>
      </w:r>
      <w:r>
        <w:rPr/>
        <w:t>万元，合计为</w:t>
      </w:r>
      <w:r>
        <w:rPr>
          <w:rFonts w:ascii="Times New Roman" w:hAnsi="Times New Roman" w:cs="Times New Roman" w:eastAsia="Times New Roman" w:hint="default"/>
        </w:rPr>
        <w:t>73,536.62</w:t>
      </w:r>
      <w:r>
        <w:rPr/>
        <w:t>万元，占期末资产总额的比例为</w:t>
      </w:r>
      <w:r>
        <w:rPr>
          <w:rFonts w:ascii="Times New Roman" w:hAnsi="Times New Roman" w:cs="Times New Roman" w:eastAsia="Times New Roman" w:hint="default"/>
        </w:rPr>
        <w:t>22.64%</w:t>
      </w:r>
      <w:r>
        <w:rPr/>
        <w:t>，金额重大。</w:t>
      </w:r>
      <w:r>
        <w:rPr>
          <w:rFonts w:ascii="Times New Roman" w:hAnsi="Times New Roman" w:cs="Times New Roman" w:eastAsia="Times New Roman" w:hint="default"/>
        </w:rPr>
        <w:t>2018</w:t>
      </w:r>
      <w:r>
        <w:rPr/>
        <w:t>年度，合并财务报表中部</w:t>
      </w:r>
      <w:r>
        <w:rPr>
          <w:spacing w:val="-24"/>
        </w:rPr>
        <w:t> </w:t>
      </w:r>
      <w:r>
        <w:rPr>
          <w:spacing w:val="-24"/>
        </w:rPr>
      </w:r>
      <w:r>
        <w:rPr>
          <w:spacing w:val="-2"/>
        </w:rPr>
        <w:t>分可供出售金融资产出现减值迹象，管理层对所涉及的存在减值迹象的可供出售金融资产进行了减值测试。如财务报表附注</w:t>
      </w:r>
      <w:r>
        <w:rPr>
          <w:spacing w:val="-64"/>
        </w:rPr>
        <w:t> </w:t>
      </w:r>
      <w:r>
        <w:rPr>
          <w:spacing w:val="-64"/>
        </w:rPr>
      </w:r>
      <w:r>
        <w:rPr/>
        <w:t>六、</w:t>
      </w:r>
      <w:r>
        <w:rPr>
          <w:rFonts w:ascii="Times New Roman" w:hAnsi="Times New Roman" w:cs="Times New Roman" w:eastAsia="Times New Roman" w:hint="default"/>
        </w:rPr>
        <w:t>8</w:t>
      </w:r>
      <w:r>
        <w:rPr/>
        <w:t>、所示，本期确认可供出售金融资产减值损失</w:t>
      </w:r>
      <w:r>
        <w:rPr>
          <w:rFonts w:ascii="Times New Roman" w:hAnsi="Times New Roman" w:cs="Times New Roman" w:eastAsia="Times New Roman" w:hint="default"/>
        </w:rPr>
        <w:t>892.93</w:t>
      </w:r>
      <w:r>
        <w:rPr/>
        <w:t>万元。上述资产减值准备的计提涉及管理层的主观判断和估计，</w:t>
      </w:r>
      <w:r>
        <w:rPr>
          <w:spacing w:val="-47"/>
        </w:rPr>
        <w:t> </w:t>
      </w:r>
      <w:r>
        <w:rPr>
          <w:spacing w:val="-47"/>
        </w:rPr>
      </w:r>
      <w:r>
        <w:rPr/>
        <w:t>且结果对财务报表影响重大，因此将其作为重点审计事项。</w:t>
      </w:r>
    </w:p>
    <w:p>
      <w:pPr>
        <w:spacing w:line="300" w:lineRule="auto" w:before="28"/>
        <w:ind w:left="633" w:right="8111"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、审计应对</w:t>
      </w:r>
      <w:r>
        <w:rPr>
          <w:rFonts w:ascii="宋体" w:hAnsi="宋体" w:cs="宋体" w:eastAsia="宋体" w:hint="default"/>
          <w:b/>
          <w:bCs/>
          <w:spacing w:val="1"/>
          <w:w w:val="99"/>
          <w:sz w:val="18"/>
          <w:szCs w:val="18"/>
        </w:rPr>
        <w:t> </w:t>
      </w:r>
      <w:r>
        <w:rPr>
          <w:rFonts w:ascii="宋体" w:hAnsi="宋体" w:cs="宋体" w:eastAsia="宋体" w:hint="default"/>
          <w:sz w:val="18"/>
          <w:szCs w:val="18"/>
        </w:rPr>
        <w:t>我们执行的主要审计程序：</w:t>
      </w:r>
    </w:p>
    <w:p>
      <w:pPr>
        <w:pStyle w:val="BodyText"/>
        <w:spacing w:line="300" w:lineRule="auto" w:before="31"/>
        <w:ind w:right="0" w:firstLine="480"/>
        <w:jc w:val="left"/>
      </w:pPr>
      <w:r>
        <w:rPr/>
        <w:t>（</w:t>
      </w:r>
      <w:r>
        <w:rPr>
          <w:rFonts w:ascii="Times New Roman" w:hAnsi="Times New Roman" w:cs="Times New Roman" w:eastAsia="Times New Roman" w:hint="default"/>
        </w:rPr>
        <w:t>1</w:t>
      </w:r>
      <w:r>
        <w:rPr/>
        <w:t>）我们获取并复核了公司管理层评价股权投资是否存在减值迹象所依据的资料，考虑了管理层评价减值迹象存在</w:t>
      </w:r>
      <w:r>
        <w:rPr>
          <w:spacing w:val="1"/>
        </w:rPr>
        <w:t> </w:t>
      </w:r>
      <w:r>
        <w:rPr/>
        <w:t>的恰当性和完整性；</w:t>
      </w:r>
    </w:p>
    <w:p>
      <w:pPr>
        <w:pStyle w:val="BodyText"/>
        <w:spacing w:line="309" w:lineRule="auto" w:before="31"/>
        <w:ind w:right="1127" w:firstLine="480"/>
        <w:jc w:val="both"/>
      </w:pPr>
      <w:r>
        <w:rPr/>
        <w:t>（</w:t>
      </w:r>
      <w:r>
        <w:rPr>
          <w:rFonts w:ascii="Times New Roman" w:hAnsi="Times New Roman" w:cs="Times New Roman" w:eastAsia="Times New Roman" w:hint="default"/>
        </w:rPr>
        <w:t>2</w:t>
      </w:r>
      <w:r>
        <w:rPr/>
        <w:t>）对重要的联营企业由项目组成员执行审计程序，对非重要的联营企业和合营企业获取外部审计报告并复核审计</w:t>
      </w:r>
      <w:r>
        <w:rPr>
          <w:spacing w:val="1"/>
        </w:rPr>
        <w:t> </w:t>
      </w:r>
      <w:r>
        <w:rPr>
          <w:spacing w:val="-2"/>
        </w:rPr>
        <w:t>报告的准确性和真实性，对长期股权投资期末金额与被投资单位净资产份额进行比较，尤其对溢价收购部分关注期末长期股</w:t>
      </w:r>
      <w:r>
        <w:rPr>
          <w:spacing w:val="-64"/>
        </w:rPr>
        <w:t> </w:t>
      </w:r>
      <w:r>
        <w:rPr>
          <w:spacing w:val="-64"/>
        </w:rPr>
      </w:r>
      <w:r>
        <w:rPr/>
        <w:t>权投资是否存在减值迹象，考虑了管理层评价减值迹象是否存在所作出的判断；</w:t>
      </w:r>
    </w:p>
    <w:p>
      <w:pPr>
        <w:pStyle w:val="BodyText"/>
        <w:spacing w:line="300" w:lineRule="auto" w:before="24"/>
        <w:ind w:right="0" w:firstLine="480"/>
        <w:jc w:val="left"/>
      </w:pPr>
      <w:r>
        <w:rPr/>
        <w:t>（</w:t>
      </w:r>
      <w:r>
        <w:rPr>
          <w:rFonts w:ascii="Times New Roman" w:hAnsi="Times New Roman" w:cs="Times New Roman" w:eastAsia="Times New Roman" w:hint="default"/>
        </w:rPr>
        <w:t>3</w:t>
      </w:r>
      <w:r>
        <w:rPr/>
        <w:t>）对于可供出售金融资产，我们评估了管理层识别是否存在减值迹象所作出的判断，该评估是基于该金融工具的</w:t>
      </w:r>
      <w:r>
        <w:rPr>
          <w:spacing w:val="1"/>
        </w:rPr>
        <w:t> </w:t>
      </w:r>
      <w:r>
        <w:rPr/>
        <w:t>市场价格或被投资单位的财务状况。</w:t>
      </w:r>
    </w:p>
    <w:p>
      <w:pPr>
        <w:pStyle w:val="BodyText"/>
        <w:spacing w:line="300" w:lineRule="auto" w:before="31"/>
        <w:ind w:right="0" w:firstLine="480"/>
        <w:jc w:val="left"/>
      </w:pPr>
      <w:r>
        <w:rPr/>
        <w:t>（</w:t>
      </w:r>
      <w:r>
        <w:rPr>
          <w:rFonts w:ascii="Times New Roman" w:hAnsi="Times New Roman" w:cs="Times New Roman" w:eastAsia="Times New Roman" w:hint="default"/>
        </w:rPr>
        <w:t>4</w:t>
      </w:r>
      <w:r>
        <w:rPr/>
        <w:t>）对发生减值的可供出售金融资产，我们测试了管理层计提减值准备的金额，检查了财务报表中对资产减值相关</w:t>
      </w:r>
      <w:r>
        <w:rPr>
          <w:spacing w:val="1"/>
        </w:rPr>
        <w:t> </w:t>
      </w:r>
      <w:r>
        <w:rPr/>
        <w:t>信息的列报和披露。</w:t>
      </w:r>
    </w:p>
    <w:p>
      <w:pPr>
        <w:spacing w:line="240" w:lineRule="auto" w:before="11"/>
        <w:rPr>
          <w:rFonts w:ascii="宋体" w:hAnsi="宋体" w:cs="宋体" w:eastAsia="宋体" w:hint="default"/>
          <w:sz w:val="22"/>
          <w:szCs w:val="22"/>
        </w:rPr>
      </w:pPr>
    </w:p>
    <w:p>
      <w:pPr>
        <w:pStyle w:val="BodyText"/>
        <w:spacing w:line="316" w:lineRule="auto" w:before="44"/>
        <w:ind w:left="634" w:right="1117" w:firstLine="2"/>
        <w:jc w:val="left"/>
      </w:pPr>
      <w:r>
        <w:rPr>
          <w:rFonts w:ascii="宋体" w:hAnsi="宋体" w:cs="宋体" w:eastAsia="宋体" w:hint="default"/>
          <w:b/>
          <w:bCs/>
        </w:rPr>
        <w:t>四、其他信息</w:t>
      </w:r>
      <w:r>
        <w:rPr>
          <w:rFonts w:ascii="宋体" w:hAnsi="宋体" w:cs="宋体" w:eastAsia="宋体" w:hint="default"/>
          <w:b/>
          <w:bCs/>
          <w:w w:val="99"/>
        </w:rPr>
        <w:t> </w:t>
      </w:r>
      <w:r>
        <w:rPr>
          <w:spacing w:val="-1"/>
        </w:rPr>
        <w:t>华媒控股公司管理层对其他信息负责。其他信息包括</w:t>
      </w:r>
      <w:r>
        <w:rPr>
          <w:rFonts w:ascii="Times New Roman" w:hAnsi="Times New Roman" w:cs="Times New Roman" w:eastAsia="Times New Roman" w:hint="default"/>
          <w:spacing w:val="-1"/>
        </w:rPr>
        <w:t>2018</w:t>
      </w:r>
      <w:r>
        <w:rPr>
          <w:spacing w:val="-1"/>
        </w:rPr>
        <w:t>年度报告中涵盖的信息，但不包括财务报表和我们的审计报</w:t>
      </w:r>
    </w:p>
    <w:p>
      <w:pPr>
        <w:pStyle w:val="BodyText"/>
        <w:spacing w:line="235" w:lineRule="exact"/>
        <w:ind w:right="0"/>
        <w:jc w:val="left"/>
      </w:pPr>
      <w:r>
        <w:rPr/>
        <w:t>告。</w:t>
      </w:r>
    </w:p>
    <w:p>
      <w:pPr>
        <w:pStyle w:val="BodyText"/>
        <w:spacing w:line="240" w:lineRule="auto" w:before="76"/>
        <w:ind w:left="634" w:right="0"/>
        <w:jc w:val="left"/>
      </w:pPr>
      <w:r>
        <w:rPr/>
        <w:t>我们对财务报表发表的审计意见不涵盖其他信息，我们也不对其他信息发表任何形式的鉴证结论。</w:t>
      </w:r>
    </w:p>
    <w:p>
      <w:pPr>
        <w:spacing w:after="0" w:line="240" w:lineRule="auto"/>
        <w:jc w:val="left"/>
        <w:sectPr>
          <w:pgSz w:w="11910" w:h="16840"/>
          <w:pgMar w:header="877" w:footer="982" w:top="1100" w:bottom="1180" w:left="980" w:right="0"/>
        </w:sectPr>
      </w:pPr>
    </w:p>
    <w:p>
      <w:pPr>
        <w:spacing w:line="240" w:lineRule="auto" w:before="12"/>
        <w:rPr>
          <w:rFonts w:ascii="宋体" w:hAnsi="宋体" w:cs="宋体" w:eastAsia="宋体" w:hint="default"/>
          <w:sz w:val="21"/>
          <w:szCs w:val="21"/>
        </w:rPr>
      </w:pPr>
    </w:p>
    <w:p>
      <w:pPr>
        <w:pStyle w:val="BodyText"/>
        <w:spacing w:line="316" w:lineRule="auto" w:before="44"/>
        <w:ind w:left="153" w:right="0" w:firstLine="480"/>
        <w:jc w:val="left"/>
      </w:pPr>
      <w:r>
        <w:rPr>
          <w:spacing w:val="-1"/>
        </w:rPr>
        <w:t>结合我们对财务报表的审计，我们的责任是阅读其他信息，在此过程中，考虑其他信息是否与财务报表或我们在审计</w:t>
      </w:r>
      <w:r>
        <w:rPr/>
        <w:t> 过程中了解到的情况存在重大不一致或者似乎存在重大错报。</w:t>
      </w:r>
    </w:p>
    <w:p>
      <w:pPr>
        <w:pStyle w:val="BodyText"/>
        <w:spacing w:line="316" w:lineRule="auto" w:before="19"/>
        <w:ind w:left="153" w:right="1117" w:firstLine="480"/>
        <w:jc w:val="left"/>
      </w:pPr>
      <w:r>
        <w:rPr>
          <w:spacing w:val="-1"/>
        </w:rPr>
        <w:t>基于我们已执行的工作，如果我们确定其他信息存在重大错报，我们应当报告该事实。在这方面，我们无任何事项需</w:t>
      </w:r>
      <w:r>
        <w:rPr/>
        <w:t> 要报告。</w:t>
      </w:r>
    </w:p>
    <w:p>
      <w:pPr>
        <w:spacing w:line="240" w:lineRule="auto" w:before="4"/>
        <w:rPr>
          <w:rFonts w:ascii="宋体" w:hAnsi="宋体" w:cs="宋体" w:eastAsia="宋体" w:hint="default"/>
          <w:sz w:val="25"/>
          <w:szCs w:val="25"/>
        </w:rPr>
      </w:pPr>
    </w:p>
    <w:p>
      <w:pPr>
        <w:spacing w:line="316" w:lineRule="auto" w:before="0"/>
        <w:ind w:left="633" w:right="1091" w:firstLine="2"/>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spacing w:val="1"/>
          <w:w w:val="99"/>
          <w:sz w:val="18"/>
          <w:szCs w:val="18"/>
        </w:rPr>
        <w:t> </w:t>
      </w:r>
      <w:r>
        <w:rPr>
          <w:rFonts w:ascii="宋体" w:hAnsi="宋体" w:cs="宋体" w:eastAsia="宋体" w:hint="default"/>
          <w:sz w:val="18"/>
          <w:szCs w:val="18"/>
        </w:rPr>
        <w:t>华媒控股公司管理层（以下简称管理层）负责按照企业会计准则的规定编制财务报表，使其实现公允反映，并设计、</w:t>
      </w:r>
    </w:p>
    <w:p>
      <w:pPr>
        <w:pStyle w:val="BodyText"/>
        <w:spacing w:line="316" w:lineRule="auto" w:before="19"/>
        <w:ind w:left="633" w:right="0" w:hanging="480"/>
        <w:jc w:val="left"/>
      </w:pPr>
      <w:r>
        <w:rPr/>
        <w:t>执行和维护必要的内部控制，以使财务报表不存在由于舞弊或错误导致的重大错报。 </w:t>
      </w:r>
      <w:r>
        <w:rPr>
          <w:spacing w:val="-1"/>
        </w:rPr>
        <w:t>在编制财务报表时，管理层负责评估华媒控股公司的持续经营能力，披露与持续经营相关的事项（如适用），并运用</w:t>
      </w:r>
    </w:p>
    <w:p>
      <w:pPr>
        <w:pStyle w:val="BodyText"/>
        <w:spacing w:line="316" w:lineRule="auto" w:before="19"/>
        <w:ind w:left="633" w:right="3911" w:hanging="480"/>
        <w:jc w:val="left"/>
      </w:pPr>
      <w:r>
        <w:rPr/>
        <w:t>持续经营假设，除非管理层计划清算华媒控股公司、终止运营或别无其他现实的选择。 治理层负责监督华媒控股公司的财务报告过程。</w:t>
      </w:r>
    </w:p>
    <w:p>
      <w:pPr>
        <w:spacing w:line="240" w:lineRule="auto" w:before="4"/>
        <w:rPr>
          <w:rFonts w:ascii="宋体" w:hAnsi="宋体" w:cs="宋体" w:eastAsia="宋体" w:hint="default"/>
          <w:sz w:val="25"/>
          <w:szCs w:val="25"/>
        </w:rPr>
      </w:pPr>
    </w:p>
    <w:p>
      <w:pPr>
        <w:spacing w:line="316" w:lineRule="auto" w:before="0"/>
        <w:ind w:left="633" w:right="0" w:firstLine="2"/>
        <w:jc w:val="left"/>
        <w:rPr>
          <w:rFonts w:ascii="宋体" w:hAnsi="宋体" w:cs="宋体" w:eastAsia="宋体" w:hint="default"/>
          <w:sz w:val="18"/>
          <w:szCs w:val="18"/>
        </w:rPr>
      </w:pPr>
      <w:r>
        <w:rPr>
          <w:rFonts w:ascii="宋体" w:hAnsi="宋体" w:cs="宋体" w:eastAsia="宋体" w:hint="default"/>
          <w:b/>
          <w:bCs/>
          <w:sz w:val="18"/>
          <w:szCs w:val="18"/>
        </w:rPr>
        <w:t>六、注册会计师对财务报表审计的责任</w:t>
      </w:r>
      <w:r>
        <w:rPr>
          <w:rFonts w:ascii="宋体" w:hAnsi="宋体" w:cs="宋体" w:eastAsia="宋体" w:hint="default"/>
          <w:b/>
          <w:bCs/>
          <w:spacing w:val="1"/>
          <w:w w:val="99"/>
          <w:sz w:val="18"/>
          <w:szCs w:val="18"/>
        </w:rPr>
        <w:t> </w:t>
      </w:r>
      <w:r>
        <w:rPr>
          <w:rFonts w:ascii="宋体" w:hAnsi="宋体" w:cs="宋体" w:eastAsia="宋体" w:hint="default"/>
          <w:spacing w:val="-1"/>
          <w:sz w:val="18"/>
          <w:szCs w:val="18"/>
        </w:rPr>
        <w:t>我们的目标是对财务报表整体是否不存在由于舞弊或错误导致的重大错报获取合理保证，并出具包含审计意见的审计</w:t>
      </w:r>
    </w:p>
    <w:p>
      <w:pPr>
        <w:pStyle w:val="BodyText"/>
        <w:spacing w:line="316" w:lineRule="auto" w:before="19"/>
        <w:ind w:left="153" w:right="1130"/>
        <w:jc w:val="both"/>
      </w:pPr>
      <w:r>
        <w:rPr>
          <w:spacing w:val="-2"/>
        </w:rPr>
        <w:t>报告。合理保证是高水平的保证，但并不能保证按照审计准则执行的审计在某一重大错报存在时总能发现。错报可能由于舞</w:t>
      </w:r>
      <w:r>
        <w:rPr>
          <w:spacing w:val="-66"/>
        </w:rPr>
        <w:t> </w:t>
      </w:r>
      <w:r>
        <w:rPr>
          <w:spacing w:val="-66"/>
        </w:rPr>
      </w:r>
      <w:r>
        <w:rPr>
          <w:spacing w:val="-2"/>
        </w:rPr>
        <w:t>弊或错误导致，如果合理预期错报单独或汇总起来可能影响财务报表使用者依据财务报表作出的经济决策，则通常认为错报</w:t>
      </w:r>
      <w:r>
        <w:rPr>
          <w:spacing w:val="-64"/>
        </w:rPr>
        <w:t> </w:t>
      </w:r>
      <w:r>
        <w:rPr>
          <w:spacing w:val="-64"/>
        </w:rPr>
      </w:r>
      <w:r>
        <w:rPr/>
        <w:t>是重大的。</w:t>
      </w:r>
    </w:p>
    <w:p>
      <w:pPr>
        <w:pStyle w:val="BodyText"/>
        <w:spacing w:line="240" w:lineRule="auto" w:before="19"/>
        <w:ind w:left="633" w:right="0"/>
        <w:jc w:val="left"/>
      </w:pPr>
      <w:r>
        <w:rPr/>
        <w:t>在按照审计准则执行审计工作的过程中，我们运用职业判断，并保持职业怀疑。同时，我们也执行以下工作：</w:t>
      </w:r>
    </w:p>
    <w:p>
      <w:pPr>
        <w:pStyle w:val="BodyText"/>
        <w:spacing w:line="316" w:lineRule="auto" w:before="76"/>
        <w:ind w:left="153" w:right="1040" w:firstLine="480"/>
        <w:jc w:val="both"/>
      </w:pPr>
      <w:r>
        <w:rPr>
          <w:spacing w:val="-3"/>
        </w:rPr>
        <w:t>（一）识别和评估由于舞弊或错误导致的财务报表重大错报风险，设计和实施审计程序以应对这些风险，并获取充分、</w:t>
      </w:r>
      <w:r>
        <w:rPr/>
        <w:t>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19"/>
        <w:ind w:left="633" w:right="0"/>
        <w:jc w:val="left"/>
      </w:pPr>
      <w:r>
        <w:rPr/>
        <w:t>（二）了解与审计相关的内部控制，以设计恰当的审计程序。</w:t>
      </w:r>
    </w:p>
    <w:p>
      <w:pPr>
        <w:pStyle w:val="BodyText"/>
        <w:spacing w:line="240" w:lineRule="auto" w:before="76"/>
        <w:ind w:left="633" w:right="0"/>
        <w:jc w:val="left"/>
      </w:pPr>
      <w:r>
        <w:rPr/>
        <w:t>（三）评价管理层选用会计政策的恰当性和作出会计估计及相关披露的合理性。</w:t>
      </w:r>
    </w:p>
    <w:p>
      <w:pPr>
        <w:pStyle w:val="BodyText"/>
        <w:spacing w:line="316" w:lineRule="auto" w:before="76"/>
        <w:ind w:left="153" w:right="0" w:firstLine="480"/>
        <w:jc w:val="left"/>
      </w:pPr>
      <w:r>
        <w:rPr>
          <w:spacing w:val="-1"/>
        </w:rPr>
        <w:t>（四）对管理层使用持续经营假设的恰当性得出结论。同时，根据获取的审计证据，就可能导致对华媒控股公司持续</w:t>
      </w:r>
      <w:r>
        <w:rPr/>
        <w:t> </w:t>
      </w:r>
      <w:r>
        <w:rPr>
          <w:spacing w:val="-2"/>
        </w:rPr>
        <w:t>经营能力产生重大疑虑的事项或情况是否存在重大不确定性得出结论。如果我们得出结论认为存在重大不确定性，审计准则</w:t>
      </w:r>
      <w:r>
        <w:rPr>
          <w:spacing w:val="-64"/>
        </w:rPr>
        <w:t> </w:t>
      </w:r>
      <w:r>
        <w:rPr>
          <w:spacing w:val="-64"/>
        </w:rPr>
      </w:r>
      <w:r>
        <w:rPr/>
        <w:t>要求我们在审计报告中提请报表使用者注意财务报表中的相关披露；如果披 </w:t>
      </w:r>
      <w:r>
        <w:rPr>
          <w:spacing w:val="-2"/>
        </w:rPr>
        <w:t>露不充分，我们应当发表非无保留意见。我们的结论基于截至审计报告日可获得的信息。然而，未来的事项或情况可能导致</w:t>
      </w:r>
      <w:r>
        <w:rPr>
          <w:spacing w:val="-66"/>
        </w:rPr>
        <w:t> </w:t>
      </w:r>
      <w:r>
        <w:rPr>
          <w:spacing w:val="-66"/>
        </w:rPr>
      </w:r>
      <w:r>
        <w:rPr/>
        <w:t>华媒控股公司不能持续经营。</w:t>
      </w:r>
    </w:p>
    <w:p>
      <w:pPr>
        <w:pStyle w:val="BodyText"/>
        <w:spacing w:line="240" w:lineRule="auto" w:before="19"/>
        <w:ind w:left="633" w:right="0"/>
        <w:jc w:val="left"/>
      </w:pPr>
      <w:r>
        <w:rPr/>
        <w:t>（五）评价财务报表的总体列报、结构和内容（包括披露），并评价财务报表是否公允反映相关交易和事项。</w:t>
      </w:r>
    </w:p>
    <w:p>
      <w:pPr>
        <w:pStyle w:val="BodyText"/>
        <w:spacing w:line="316" w:lineRule="auto" w:before="76"/>
        <w:ind w:left="153" w:right="0" w:firstLine="480"/>
        <w:jc w:val="left"/>
      </w:pPr>
      <w:r>
        <w:rPr>
          <w:spacing w:val="-1"/>
        </w:rPr>
        <w:t>（六）就华媒控股公司中实体或业务活动的财务信息获取充分、适当的审计证据，以对财务报表发表意见。我们负责</w:t>
      </w:r>
      <w:r>
        <w:rPr/>
        <w:t> 指导、监督和执行集团审计。我们对审计意见承担全部责任。</w:t>
      </w:r>
    </w:p>
    <w:p>
      <w:pPr>
        <w:pStyle w:val="BodyText"/>
        <w:spacing w:line="316" w:lineRule="auto" w:before="19"/>
        <w:ind w:left="153" w:right="0" w:firstLine="470"/>
        <w:jc w:val="left"/>
      </w:pPr>
      <w:r>
        <w:rPr>
          <w:spacing w:val="-1"/>
        </w:rPr>
        <w:t>我们与治理层就计划的审计范围、时间安排和重大审计发现等事项进行沟通，包括沟通我们在审计中识别出的值得关</w:t>
      </w:r>
      <w:r>
        <w:rPr/>
        <w:t> 注的内部控制缺陷。</w:t>
      </w:r>
    </w:p>
    <w:p>
      <w:pPr>
        <w:pStyle w:val="BodyText"/>
        <w:spacing w:line="316" w:lineRule="auto" w:before="19"/>
        <w:ind w:left="153" w:right="0" w:firstLine="480"/>
        <w:jc w:val="left"/>
      </w:pPr>
      <w:r>
        <w:rPr>
          <w:spacing w:val="-1"/>
        </w:rPr>
        <w:t>我们还就已遵守与独立性相关的职业道德要求向治理层提供声明，并与治理层沟通可能被合理认为影响我们独立性的</w:t>
      </w:r>
      <w:r>
        <w:rPr/>
        <w:t> 所有关系和其他事项，以及相关的防范措施。</w:t>
      </w:r>
    </w:p>
    <w:p>
      <w:pPr>
        <w:pStyle w:val="BodyText"/>
        <w:spacing w:line="316" w:lineRule="auto" w:before="19"/>
        <w:ind w:left="153" w:right="1130" w:firstLine="480"/>
        <w:jc w:val="both"/>
      </w:pPr>
      <w:r>
        <w:rPr>
          <w:spacing w:val="-1"/>
        </w:rPr>
        <w:t>从与治理层沟通过的事项中，我们确定哪些事项对本期财务报表审计最为重要，因而构成关键审计事项。我们在审计</w:t>
      </w:r>
      <w:r>
        <w:rPr/>
        <w:t> </w:t>
      </w:r>
      <w:r>
        <w:rPr>
          <w:spacing w:val="-2"/>
        </w:rPr>
        <w:t>报告中描述这些事项，除非法律法规禁止公开披露这些事项，或在极少数情形下，如果合理预期在审计报告中沟通某事项造</w:t>
      </w:r>
      <w:r>
        <w:rPr>
          <w:spacing w:val="-66"/>
        </w:rPr>
        <w:t> </w:t>
      </w:r>
      <w:r>
        <w:rPr>
          <w:spacing w:val="-66"/>
        </w:rPr>
      </w:r>
      <w:r>
        <w:rPr/>
        <w:t>成的负面后果超过在公众利益方面产生的益处，我们确定不应在审计报告中沟通该事项。</w:t>
      </w:r>
    </w:p>
    <w:p>
      <w:pPr>
        <w:pStyle w:val="BodyText"/>
        <w:tabs>
          <w:tab w:pos="4698" w:val="left" w:leader="none"/>
        </w:tabs>
        <w:spacing w:line="240" w:lineRule="auto" w:before="28"/>
        <w:ind w:left="980" w:right="0"/>
        <w:jc w:val="left"/>
      </w:pPr>
      <w:r>
        <w:rPr/>
        <w:t>瑞华会计师事务所（特殊普通合伙）</w:t>
        <w:tab/>
        <w:t>中国注册会计师</w:t>
      </w:r>
    </w:p>
    <w:p>
      <w:pPr>
        <w:pStyle w:val="BodyText"/>
        <w:spacing w:line="316" w:lineRule="auto" w:before="76"/>
        <w:ind w:left="4698" w:right="4766"/>
        <w:jc w:val="left"/>
      </w:pPr>
      <w:r>
        <w:rPr/>
        <w:t>（项目合伙人）： 徐殷鹏</w:t>
      </w:r>
    </w:p>
    <w:p>
      <w:pPr>
        <w:pStyle w:val="BodyText"/>
        <w:tabs>
          <w:tab w:pos="4698" w:val="left" w:leader="none"/>
        </w:tabs>
        <w:spacing w:line="300" w:lineRule="auto" w:before="39"/>
        <w:ind w:left="4698" w:right="4784" w:hanging="2668"/>
        <w:jc w:val="left"/>
      </w:pPr>
      <w:r>
        <w:rPr/>
        <w:t>中国</w:t>
      </w:r>
      <w:r>
        <w:rPr>
          <w:rFonts w:ascii="Times New Roman" w:hAnsi="Times New Roman" w:cs="Times New Roman" w:eastAsia="Times New Roman" w:hint="default"/>
        </w:rPr>
        <w:t>·</w:t>
      </w:r>
      <w:r>
        <w:rPr/>
        <w:t>北京</w:t>
        <w:tab/>
        <w:t>中国注册会计师： 秦松涛</w:t>
      </w:r>
    </w:p>
    <w:p>
      <w:pPr>
        <w:pStyle w:val="BodyText"/>
        <w:spacing w:line="240" w:lineRule="auto" w:before="52"/>
        <w:ind w:left="6246" w:right="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w:t>
      </w:r>
    </w:p>
    <w:p>
      <w:pPr>
        <w:spacing w:after="0" w:line="240" w:lineRule="auto"/>
        <w:jc w:val="left"/>
        <w:sectPr>
          <w:pgSz w:w="11910" w:h="16840"/>
          <w:pgMar w:header="877" w:footer="982" w:top="1100" w:bottom="118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编制单位：浙江华媒控股股份有限公司</w:t>
      </w:r>
    </w:p>
    <w:p>
      <w:pPr>
        <w:pStyle w:val="BodyText"/>
        <w:spacing w:line="240" w:lineRule="auto" w:before="116"/>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6"/>
        <w:gridCol w:w="3423"/>
        <w:gridCol w:w="2968"/>
      </w:tblGrid>
      <w:tr>
        <w:trPr>
          <w:trHeight w:val="251"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7"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30"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98" w:lineRule="exact"/>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2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49"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2" w:lineRule="exact"/>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23" w:type="dxa"/>
            <w:tcBorders>
              <w:top w:val="single" w:sz="9" w:space="0" w:color="D3D3D3"/>
              <w:left w:val="single" w:sz="13" w:space="0" w:color="D3D3D3"/>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889,081,555.55</w:t>
            </w:r>
          </w:p>
        </w:tc>
        <w:tc>
          <w:tcPr>
            <w:tcW w:w="2968" w:type="dxa"/>
            <w:tcBorders>
              <w:top w:val="single" w:sz="9" w:space="0" w:color="D3D3D3"/>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831,552,890.63</w:t>
            </w:r>
          </w:p>
        </w:tc>
      </w:tr>
      <w:tr>
        <w:trPr>
          <w:trHeight w:val="244"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23" w:type="dxa"/>
            <w:tcBorders>
              <w:top w:val="single" w:sz="4" w:space="0" w:color="000000"/>
              <w:left w:val="single" w:sz="13" w:space="0" w:color="D3D3D3"/>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23" w:type="dxa"/>
            <w:tcBorders>
              <w:top w:val="single" w:sz="4" w:space="0" w:color="000000"/>
              <w:left w:val="single" w:sz="13" w:space="0" w:color="D3D3D3"/>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损益的金融资产</w:t>
            </w:r>
          </w:p>
        </w:tc>
        <w:tc>
          <w:tcPr>
            <w:tcW w:w="3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6"/>
              <w:ind w:right="19"/>
              <w:jc w:val="right"/>
              <w:rPr>
                <w:rFonts w:ascii="Times New Roman" w:hAnsi="Times New Roman" w:cs="Times New Roman" w:eastAsia="Times New Roman" w:hint="default"/>
                <w:sz w:val="18"/>
                <w:szCs w:val="18"/>
              </w:rPr>
            </w:pPr>
            <w:r>
              <w:rPr>
                <w:rFonts w:ascii="Times New Roman"/>
                <w:spacing w:val="-1"/>
                <w:sz w:val="18"/>
              </w:rPr>
              <w:t>2,011,267.77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9"/>
              <w:jc w:val="right"/>
              <w:rPr>
                <w:rFonts w:ascii="Times New Roman" w:hAnsi="Times New Roman" w:cs="Times New Roman" w:eastAsia="Times New Roman" w:hint="default"/>
                <w:sz w:val="18"/>
                <w:szCs w:val="18"/>
              </w:rPr>
            </w:pPr>
            <w:r>
              <w:rPr>
                <w:rFonts w:ascii="Times New Roman"/>
                <w:spacing w:val="-1"/>
                <w:sz w:val="18"/>
              </w:rPr>
              <w:t>1,744,298.06</w:t>
            </w:r>
          </w:p>
        </w:tc>
      </w:tr>
      <w:tr>
        <w:trPr>
          <w:trHeight w:val="24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23" w:type="dxa"/>
            <w:tcBorders>
              <w:top w:val="single" w:sz="4" w:space="0" w:color="000000"/>
              <w:left w:val="single" w:sz="13" w:space="0" w:color="D3D3D3"/>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378,936,285.79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367,982,009.84</w:t>
            </w:r>
          </w:p>
        </w:tc>
      </w:tr>
      <w:tr>
        <w:trPr>
          <w:trHeight w:val="244"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7,204,008.80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4,610,000.00</w:t>
            </w:r>
          </w:p>
        </w:tc>
      </w:tr>
      <w:tr>
        <w:trPr>
          <w:trHeight w:val="244"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right="25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371,732,276.99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363,372,009.84</w:t>
            </w:r>
          </w:p>
        </w:tc>
      </w:tr>
      <w:tr>
        <w:trPr>
          <w:trHeight w:val="244"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22,450,344.12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40,871,018.47</w:t>
            </w:r>
          </w:p>
        </w:tc>
      </w:tr>
      <w:tr>
        <w:trPr>
          <w:trHeight w:val="244"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23" w:type="dxa"/>
            <w:tcBorders>
              <w:top w:val="single" w:sz="4" w:space="0" w:color="000000"/>
              <w:left w:val="single" w:sz="13" w:space="0" w:color="D3D3D3"/>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23" w:type="dxa"/>
            <w:tcBorders>
              <w:top w:val="single" w:sz="4" w:space="0" w:color="000000"/>
              <w:left w:val="single" w:sz="13" w:space="0" w:color="D3D3D3"/>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23" w:type="dxa"/>
            <w:tcBorders>
              <w:top w:val="single" w:sz="4" w:space="0" w:color="000000"/>
              <w:left w:val="single" w:sz="13" w:space="0" w:color="D3D3D3"/>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82,564,803.57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206,332,366.98</w:t>
            </w:r>
          </w:p>
        </w:tc>
      </w:tr>
      <w:tr>
        <w:trPr>
          <w:trHeight w:val="244"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523,888.90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74,055.56</w:t>
            </w:r>
          </w:p>
        </w:tc>
      </w:tr>
      <w:tr>
        <w:trPr>
          <w:trHeight w:val="244"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right="251"/>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23" w:type="dxa"/>
            <w:tcBorders>
              <w:top w:val="single" w:sz="4" w:space="0" w:color="000000"/>
              <w:left w:val="single" w:sz="13" w:space="0" w:color="D3D3D3"/>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23" w:type="dxa"/>
            <w:tcBorders>
              <w:top w:val="single" w:sz="4" w:space="0" w:color="000000"/>
              <w:left w:val="single" w:sz="13" w:space="0" w:color="D3D3D3"/>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41,915,530.99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31,434,880.24</w:t>
            </w:r>
          </w:p>
        </w:tc>
      </w:tr>
      <w:tr>
        <w:trPr>
          <w:trHeight w:val="244"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23" w:type="dxa"/>
            <w:tcBorders>
              <w:top w:val="single" w:sz="4" w:space="0" w:color="000000"/>
              <w:left w:val="single" w:sz="13" w:space="0" w:color="D3D3D3"/>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23" w:type="dxa"/>
            <w:tcBorders>
              <w:top w:val="single" w:sz="4" w:space="0" w:color="000000"/>
              <w:left w:val="single" w:sz="13" w:space="0" w:color="D3D3D3"/>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140,181,902.58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118,231,541.26</w:t>
            </w:r>
          </w:p>
        </w:tc>
      </w:tr>
      <w:tr>
        <w:trPr>
          <w:trHeight w:val="250"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23" w:type="dxa"/>
            <w:tcBorders>
              <w:top w:val="single" w:sz="4" w:space="0" w:color="000000"/>
              <w:left w:val="single" w:sz="13" w:space="0" w:color="D3D3D3"/>
              <w:bottom w:val="single" w:sz="9" w:space="0" w:color="D3D3D3"/>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1,557,141,690.37</w:t>
            </w:r>
          </w:p>
        </w:tc>
        <w:tc>
          <w:tcPr>
            <w:tcW w:w="2968" w:type="dxa"/>
            <w:tcBorders>
              <w:top w:val="single" w:sz="4" w:space="0" w:color="000000"/>
              <w:left w:val="single" w:sz="4" w:space="0" w:color="000000"/>
              <w:bottom w:val="single" w:sz="9" w:space="0" w:color="D3D3D3"/>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1,598,149,005.48</w:t>
            </w:r>
          </w:p>
        </w:tc>
      </w:tr>
      <w:tr>
        <w:trPr>
          <w:trHeight w:val="231"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0" w:lineRule="exact"/>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2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50"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2" w:lineRule="exact"/>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23" w:type="dxa"/>
            <w:tcBorders>
              <w:top w:val="single" w:sz="9" w:space="0" w:color="D3D3D3"/>
              <w:left w:val="single" w:sz="13" w:space="0" w:color="D3D3D3"/>
              <w:bottom w:val="single" w:sz="4" w:space="0" w:color="000000"/>
              <w:right w:val="single" w:sz="4" w:space="0" w:color="000000"/>
            </w:tcBorders>
          </w:tcPr>
          <w:p>
            <w:pPr/>
          </w:p>
        </w:tc>
        <w:tc>
          <w:tcPr>
            <w:tcW w:w="2968" w:type="dxa"/>
            <w:tcBorders>
              <w:top w:val="single" w:sz="9" w:space="0" w:color="D3D3D3"/>
              <w:left w:val="single" w:sz="4" w:space="0" w:color="000000"/>
              <w:bottom w:val="single" w:sz="4" w:space="0" w:color="000000"/>
              <w:right w:val="single" w:sz="4" w:space="0" w:color="000000"/>
            </w:tcBorders>
          </w:tcPr>
          <w:p>
            <w:pPr/>
          </w:p>
        </w:tc>
      </w:tr>
      <w:tr>
        <w:trPr>
          <w:trHeight w:val="244"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85,585,686.64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115,857,403.76</w:t>
            </w:r>
          </w:p>
        </w:tc>
      </w:tr>
      <w:tr>
        <w:trPr>
          <w:trHeight w:val="244"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23" w:type="dxa"/>
            <w:tcBorders>
              <w:top w:val="single" w:sz="4" w:space="0" w:color="000000"/>
              <w:left w:val="single" w:sz="13" w:space="0" w:color="D3D3D3"/>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23" w:type="dxa"/>
            <w:tcBorders>
              <w:top w:val="single" w:sz="4" w:space="0" w:color="000000"/>
              <w:left w:val="single" w:sz="13" w:space="0" w:color="D3D3D3"/>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649,780,455.57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533,354,473.67</w:t>
            </w:r>
          </w:p>
        </w:tc>
      </w:tr>
      <w:tr>
        <w:trPr>
          <w:trHeight w:val="244"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17,353,491.43</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192,241,429.59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233,048,360.22</w:t>
            </w:r>
          </w:p>
        </w:tc>
      </w:tr>
      <w:tr>
        <w:trPr>
          <w:trHeight w:val="244"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1,712,150.94</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23" w:type="dxa"/>
            <w:tcBorders>
              <w:top w:val="single" w:sz="4" w:space="0" w:color="000000"/>
              <w:left w:val="single" w:sz="13" w:space="0" w:color="D3D3D3"/>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23" w:type="dxa"/>
            <w:tcBorders>
              <w:top w:val="single" w:sz="4" w:space="0" w:color="000000"/>
              <w:left w:val="single" w:sz="13" w:space="0" w:color="D3D3D3"/>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85,112,323.99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79,166,277.90</w:t>
            </w:r>
          </w:p>
        </w:tc>
      </w:tr>
      <w:tr>
        <w:trPr>
          <w:trHeight w:val="24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23" w:type="dxa"/>
            <w:tcBorders>
              <w:top w:val="single" w:sz="4" w:space="0" w:color="000000"/>
              <w:left w:val="single" w:sz="13" w:space="0" w:color="D3D3D3"/>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1,098,508.76</w:t>
            </w:r>
          </w:p>
        </w:tc>
      </w:tr>
      <w:tr>
        <w:trPr>
          <w:trHeight w:val="244"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575,579,932.05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570,065,947.34</w:t>
            </w:r>
          </w:p>
        </w:tc>
      </w:tr>
      <w:tr>
        <w:trPr>
          <w:trHeight w:val="244"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33,202,728.45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14,225,694.83</w:t>
            </w:r>
          </w:p>
        </w:tc>
      </w:tr>
      <w:tr>
        <w:trPr>
          <w:trHeight w:val="244"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2,417,962.61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5,404,840.99</w:t>
            </w:r>
          </w:p>
        </w:tc>
      </w:tr>
      <w:tr>
        <w:trPr>
          <w:trHeight w:val="244"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48,476,158.80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50,233,829.33</w:t>
            </w:r>
          </w:p>
        </w:tc>
      </w:tr>
      <w:tr>
        <w:trPr>
          <w:trHeight w:val="244"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1,691,462,320.07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1,602,455,336.80</w:t>
            </w:r>
          </w:p>
        </w:tc>
      </w:tr>
      <w:tr>
        <w:trPr>
          <w:trHeight w:val="250"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23" w:type="dxa"/>
            <w:tcBorders>
              <w:top w:val="single" w:sz="4" w:space="0" w:color="000000"/>
              <w:left w:val="single" w:sz="13" w:space="0" w:color="D3D3D3"/>
              <w:bottom w:val="single" w:sz="6" w:space="0" w:color="D3D3D3"/>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3,248,604,010.44</w:t>
            </w:r>
          </w:p>
        </w:tc>
        <w:tc>
          <w:tcPr>
            <w:tcW w:w="2968" w:type="dxa"/>
            <w:tcBorders>
              <w:top w:val="single" w:sz="4" w:space="0" w:color="000000"/>
              <w:left w:val="single" w:sz="4" w:space="0" w:color="000000"/>
              <w:bottom w:val="single" w:sz="6" w:space="0" w:color="D3D3D3"/>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3,200,604,342.28</w:t>
            </w:r>
          </w:p>
        </w:tc>
      </w:tr>
      <w:tr>
        <w:trPr>
          <w:trHeight w:val="231"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99" w:lineRule="exact"/>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2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49"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2" w:lineRule="exact"/>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23" w:type="dxa"/>
            <w:tcBorders>
              <w:top w:val="single" w:sz="9" w:space="0" w:color="D3D3D3"/>
              <w:left w:val="single" w:sz="13" w:space="0" w:color="D3D3D3"/>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216,450,000.00</w:t>
            </w:r>
          </w:p>
        </w:tc>
        <w:tc>
          <w:tcPr>
            <w:tcW w:w="2968" w:type="dxa"/>
            <w:tcBorders>
              <w:top w:val="single" w:sz="9" w:space="0" w:color="D3D3D3"/>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190,450,000.00</w:t>
            </w:r>
          </w:p>
        </w:tc>
      </w:tr>
      <w:tr>
        <w:trPr>
          <w:trHeight w:val="245"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23" w:type="dxa"/>
            <w:tcBorders>
              <w:top w:val="single" w:sz="4" w:space="0" w:color="000000"/>
              <w:left w:val="single" w:sz="13" w:space="0" w:color="D3D3D3"/>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244"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3D3D3"/>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3D3D3"/>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损益的金融负债</w:t>
            </w:r>
          </w:p>
        </w:tc>
        <w:tc>
          <w:tcPr>
            <w:tcW w:w="3418" w:type="dxa"/>
            <w:tcBorders>
              <w:top w:val="single" w:sz="4" w:space="0" w:color="000000"/>
              <w:left w:val="single" w:sz="13" w:space="0" w:color="D3D3D3"/>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3D3D3"/>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183,449,168.21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182,143,422.40</w:t>
            </w:r>
          </w:p>
        </w:tc>
      </w:tr>
      <w:tr>
        <w:trPr>
          <w:trHeight w:val="244"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359,616,459.27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304,659,662.92</w:t>
            </w:r>
          </w:p>
        </w:tc>
      </w:tr>
      <w:tr>
        <w:trPr>
          <w:trHeight w:val="244"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3D3D3"/>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3D3D3"/>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90,276,382.79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74,319,162.15</w:t>
            </w:r>
          </w:p>
        </w:tc>
      </w:tr>
      <w:tr>
        <w:trPr>
          <w:trHeight w:val="244"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31,675,393.35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26,560,924.39</w:t>
            </w:r>
          </w:p>
        </w:tc>
      </w:tr>
      <w:tr>
        <w:trPr>
          <w:trHeight w:val="244"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181,151,233.14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346,455,165.62</w:t>
            </w:r>
          </w:p>
        </w:tc>
      </w:tr>
      <w:tr>
        <w:trPr>
          <w:trHeight w:val="244"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414,136.59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447,772.48</w:t>
            </w:r>
          </w:p>
        </w:tc>
      </w:tr>
      <w:tr>
        <w:trPr>
          <w:trHeight w:val="244"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11,061,765.67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5,972,470.85</w:t>
            </w:r>
          </w:p>
        </w:tc>
      </w:tr>
      <w:tr>
        <w:trPr>
          <w:trHeight w:val="244"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3D3D3"/>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3D3D3"/>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3D3D3"/>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3D3D3"/>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3D3D3"/>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30,250,000.00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20,250,000.00</w:t>
            </w:r>
          </w:p>
        </w:tc>
      </w:tr>
      <w:tr>
        <w:trPr>
          <w:trHeight w:val="244"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3D3D3"/>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3D3D3"/>
              <w:bottom w:val="single" w:sz="9" w:space="0" w:color="D3D3D3"/>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1,092,868,636.76</w:t>
            </w:r>
          </w:p>
        </w:tc>
        <w:tc>
          <w:tcPr>
            <w:tcW w:w="2968" w:type="dxa"/>
            <w:tcBorders>
              <w:top w:val="single" w:sz="4" w:space="0" w:color="000000"/>
              <w:left w:val="single" w:sz="4" w:space="0" w:color="000000"/>
              <w:bottom w:val="single" w:sz="9" w:space="0" w:color="D3D3D3"/>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1,144,838,337.48</w:t>
            </w:r>
          </w:p>
        </w:tc>
      </w:tr>
      <w:tr>
        <w:trPr>
          <w:trHeight w:val="231"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99" w:lineRule="exact"/>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49"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2" w:lineRule="exact"/>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6" w:space="0" w:color="D3D3D3"/>
              <w:left w:val="single" w:sz="13" w:space="0" w:color="D3D3D3"/>
              <w:bottom w:val="single" w:sz="4" w:space="0" w:color="000000"/>
              <w:right w:val="single" w:sz="4" w:space="0" w:color="000000"/>
            </w:tcBorders>
          </w:tcPr>
          <w:p>
            <w:pPr>
              <w:pStyle w:val="TableParagraph"/>
              <w:spacing w:line="240" w:lineRule="auto" w:before="13"/>
              <w:ind w:right="19"/>
              <w:jc w:val="right"/>
              <w:rPr>
                <w:rFonts w:ascii="Times New Roman" w:hAnsi="Times New Roman" w:cs="Times New Roman" w:eastAsia="Times New Roman" w:hint="default"/>
                <w:sz w:val="18"/>
                <w:szCs w:val="18"/>
              </w:rPr>
            </w:pPr>
            <w:r>
              <w:rPr>
                <w:rFonts w:ascii="Times New Roman"/>
                <w:spacing w:val="-1"/>
                <w:sz w:val="18"/>
              </w:rPr>
              <w:t>30,380,023.75</w:t>
            </w:r>
          </w:p>
        </w:tc>
        <w:tc>
          <w:tcPr>
            <w:tcW w:w="2968" w:type="dxa"/>
            <w:tcBorders>
              <w:top w:val="single" w:sz="6" w:space="0" w:color="D3D3D3"/>
              <w:left w:val="single" w:sz="4" w:space="0" w:color="000000"/>
              <w:bottom w:val="single" w:sz="4" w:space="0" w:color="000000"/>
              <w:right w:val="single" w:sz="4" w:space="0" w:color="000000"/>
            </w:tcBorders>
          </w:tcPr>
          <w:p>
            <w:pPr>
              <w:pStyle w:val="TableParagraph"/>
              <w:spacing w:line="240" w:lineRule="auto" w:before="13"/>
              <w:ind w:right="19"/>
              <w:jc w:val="right"/>
              <w:rPr>
                <w:rFonts w:ascii="Times New Roman" w:hAnsi="Times New Roman" w:cs="Times New Roman" w:eastAsia="Times New Roman" w:hint="default"/>
                <w:sz w:val="18"/>
                <w:szCs w:val="18"/>
              </w:rPr>
            </w:pPr>
            <w:r>
              <w:rPr>
                <w:rFonts w:ascii="Times New Roman"/>
                <w:spacing w:val="-1"/>
                <w:sz w:val="18"/>
              </w:rPr>
              <w:t>47,630,000.00</w:t>
            </w:r>
          </w:p>
        </w:tc>
      </w:tr>
      <w:tr>
        <w:trPr>
          <w:trHeight w:val="244"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3D3D3"/>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3D3D3"/>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3D3D3"/>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3D3D3"/>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3D3D3"/>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3D3D3"/>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3,242,056.24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3,578,550.04</w:t>
            </w:r>
          </w:p>
        </w:tc>
      </w:tr>
      <w:tr>
        <w:trPr>
          <w:trHeight w:val="244"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116,287.93</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3D3D3"/>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33,738,367.92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51,208,550.04</w:t>
            </w:r>
          </w:p>
        </w:tc>
      </w:tr>
      <w:tr>
        <w:trPr>
          <w:trHeight w:val="251"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3" w:space="0" w:color="D3D3D3"/>
              <w:bottom w:val="single" w:sz="9" w:space="0" w:color="D3D3D3"/>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1,126,607,004.68</w:t>
            </w:r>
          </w:p>
        </w:tc>
        <w:tc>
          <w:tcPr>
            <w:tcW w:w="2968" w:type="dxa"/>
            <w:tcBorders>
              <w:top w:val="single" w:sz="4" w:space="0" w:color="000000"/>
              <w:left w:val="single" w:sz="4" w:space="0" w:color="000000"/>
              <w:bottom w:val="single" w:sz="9" w:space="0" w:color="D3D3D3"/>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1,196,046,887.52</w:t>
            </w:r>
          </w:p>
        </w:tc>
      </w:tr>
      <w:tr>
        <w:trPr>
          <w:trHeight w:val="230"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98" w:lineRule="exact"/>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51"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2" w:lineRule="exact"/>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6" w:space="0" w:color="D3D3D3"/>
              <w:left w:val="single" w:sz="13" w:space="0" w:color="D3D3D3"/>
              <w:bottom w:val="single" w:sz="4" w:space="0" w:color="000000"/>
              <w:right w:val="single" w:sz="4" w:space="0" w:color="000000"/>
            </w:tcBorders>
          </w:tcPr>
          <w:p>
            <w:pPr>
              <w:pStyle w:val="TableParagraph"/>
              <w:spacing w:line="240" w:lineRule="auto" w:before="13"/>
              <w:ind w:right="21"/>
              <w:jc w:val="right"/>
              <w:rPr>
                <w:rFonts w:ascii="Times New Roman" w:hAnsi="Times New Roman" w:cs="Times New Roman" w:eastAsia="Times New Roman" w:hint="default"/>
                <w:sz w:val="18"/>
                <w:szCs w:val="18"/>
              </w:rPr>
            </w:pPr>
            <w:r>
              <w:rPr>
                <w:rFonts w:ascii="Times New Roman"/>
                <w:spacing w:val="-1"/>
                <w:sz w:val="18"/>
              </w:rPr>
              <w:t>1,017,698,410.00</w:t>
            </w:r>
          </w:p>
        </w:tc>
        <w:tc>
          <w:tcPr>
            <w:tcW w:w="2968" w:type="dxa"/>
            <w:tcBorders>
              <w:top w:val="single" w:sz="6" w:space="0" w:color="D3D3D3"/>
              <w:left w:val="single" w:sz="4" w:space="0" w:color="000000"/>
              <w:bottom w:val="single" w:sz="4" w:space="0" w:color="000000"/>
              <w:right w:val="single" w:sz="4" w:space="0" w:color="000000"/>
            </w:tcBorders>
          </w:tcPr>
          <w:p>
            <w:pPr>
              <w:pStyle w:val="TableParagraph"/>
              <w:spacing w:line="240" w:lineRule="auto" w:before="13"/>
              <w:ind w:right="21"/>
              <w:jc w:val="right"/>
              <w:rPr>
                <w:rFonts w:ascii="Times New Roman" w:hAnsi="Times New Roman" w:cs="Times New Roman" w:eastAsia="Times New Roman" w:hint="default"/>
                <w:sz w:val="18"/>
                <w:szCs w:val="18"/>
              </w:rPr>
            </w:pPr>
            <w:r>
              <w:rPr>
                <w:rFonts w:ascii="Times New Roman"/>
                <w:spacing w:val="-1"/>
                <w:sz w:val="18"/>
              </w:rPr>
              <w:t>1,017,698,410.00</w:t>
            </w:r>
          </w:p>
        </w:tc>
      </w:tr>
      <w:tr>
        <w:trPr>
          <w:trHeight w:val="244"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8" w:type="dxa"/>
            <w:tcBorders>
              <w:top w:val="single" w:sz="4" w:space="0" w:color="000000"/>
              <w:left w:val="single" w:sz="13" w:space="0" w:color="D3D3D3"/>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3D3D3"/>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3D3D3"/>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-234,323,114.31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-234,802,992.81</w:t>
            </w:r>
          </w:p>
        </w:tc>
      </w:tr>
      <w:tr>
        <w:trPr>
          <w:trHeight w:val="244"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8" w:type="dxa"/>
            <w:tcBorders>
              <w:top w:val="single" w:sz="4" w:space="0" w:color="000000"/>
              <w:left w:val="single" w:sz="13" w:space="0" w:color="D3D3D3"/>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2,322,335.12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2,190,121.44</w:t>
            </w:r>
          </w:p>
        </w:tc>
      </w:tr>
      <w:tr>
        <w:trPr>
          <w:trHeight w:val="244"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18" w:type="dxa"/>
            <w:tcBorders>
              <w:top w:val="single" w:sz="4" w:space="0" w:color="000000"/>
              <w:left w:val="single" w:sz="13" w:space="0" w:color="D3D3D3"/>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71,286,408.39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71,424,943.39</w:t>
            </w:r>
          </w:p>
        </w:tc>
      </w:tr>
      <w:tr>
        <w:trPr>
          <w:trHeight w:val="242"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18" w:type="dxa"/>
            <w:tcBorders>
              <w:top w:val="single" w:sz="4" w:space="0" w:color="000000"/>
              <w:left w:val="single" w:sz="13" w:space="0" w:color="D3D3D3"/>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1,033,564,450.39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943,649,656.35</w:t>
            </w:r>
          </w:p>
        </w:tc>
      </w:tr>
      <w:tr>
        <w:trPr>
          <w:trHeight w:val="244"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1,890,548,489.59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1,800,160,138.37</w:t>
            </w:r>
          </w:p>
        </w:tc>
      </w:tr>
      <w:tr>
        <w:trPr>
          <w:trHeight w:val="244"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231,448,516.17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204,397,316.39</w:t>
            </w:r>
          </w:p>
        </w:tc>
      </w:tr>
      <w:tr>
        <w:trPr>
          <w:trHeight w:val="244"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2,121,997,005.76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2,004,557,454.76</w:t>
            </w:r>
          </w:p>
        </w:tc>
      </w:tr>
      <w:tr>
        <w:trPr>
          <w:trHeight w:val="244"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3,248,604,010.44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3,200,604,342.28</w:t>
            </w:r>
          </w:p>
        </w:tc>
      </w:tr>
    </w:tbl>
    <w:p>
      <w:pPr>
        <w:spacing w:line="240" w:lineRule="auto" w:before="6"/>
        <w:rPr>
          <w:rFonts w:ascii="宋体" w:hAnsi="宋体" w:cs="宋体" w:eastAsia="宋体" w:hint="default"/>
          <w:sz w:val="20"/>
          <w:szCs w:val="20"/>
        </w:rPr>
      </w:pPr>
    </w:p>
    <w:p>
      <w:pPr>
        <w:pStyle w:val="BodyText"/>
        <w:tabs>
          <w:tab w:pos="3573" w:val="left" w:leader="none"/>
          <w:tab w:pos="7893" w:val="left" w:leader="none"/>
        </w:tabs>
        <w:spacing w:line="240" w:lineRule="auto" w:before="44"/>
        <w:ind w:right="0"/>
        <w:jc w:val="left"/>
      </w:pPr>
      <w:r>
        <w:rPr/>
        <w:t>法定代表人：董悦</w:t>
        <w:tab/>
        <w:t>主管会计工作负责人：郭勤勇</w:t>
        <w:tab/>
        <w:t>会计机构负责人：王健</w:t>
      </w:r>
    </w:p>
    <w:p>
      <w:pPr>
        <w:spacing w:after="0" w:line="240" w:lineRule="auto"/>
        <w:jc w:val="left"/>
        <w:sectPr>
          <w:pgSz w:w="11910" w:h="16840"/>
          <w:pgMar w:header="877" w:footer="982" w:top="1100" w:bottom="11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3318"/>
        <w:gridCol w:w="2965"/>
      </w:tblGrid>
      <w:tr>
        <w:trPr>
          <w:trHeight w:val="323"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35,278,451.26</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127,525,804.06</w:t>
            </w:r>
          </w:p>
        </w:tc>
      </w:tr>
      <w:tr>
        <w:trPr>
          <w:trHeight w:val="635"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1"/>
              <w:ind w:left="11" w:right="1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8" w:type="dxa"/>
            <w:tcBorders>
              <w:top w:val="single" w:sz="4" w:space="0" w:color="000000"/>
              <w:left w:val="single" w:sz="10" w:space="0" w:color="D3D3D3"/>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8" w:type="dxa"/>
            <w:tcBorders>
              <w:top w:val="single" w:sz="4" w:space="0" w:color="000000"/>
              <w:left w:val="single" w:sz="10" w:space="0" w:color="D3D3D3"/>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312,237.03</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56,986.30</w:t>
            </w:r>
          </w:p>
        </w:tc>
      </w:tr>
      <w:tr>
        <w:trPr>
          <w:trHeight w:val="323"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8" w:type="dxa"/>
            <w:tcBorders>
              <w:top w:val="single" w:sz="4" w:space="0" w:color="000000"/>
              <w:left w:val="single" w:sz="10" w:space="0" w:color="D3D3D3"/>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358"/>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312,237.03</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56,986.30</w:t>
            </w: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8" w:type="dxa"/>
            <w:tcBorders>
              <w:top w:val="single" w:sz="4" w:space="0" w:color="000000"/>
              <w:left w:val="single" w:sz="10" w:space="0" w:color="D3D3D3"/>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493,124,991.91</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514,493,229.17</w:t>
            </w: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500,000.01</w:t>
            </w: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35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205,000,000.00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205,000,000.00</w:t>
            </w:r>
          </w:p>
        </w:tc>
      </w:tr>
      <w:tr>
        <w:trPr>
          <w:trHeight w:val="323"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10,526.00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15,509.00</w:t>
            </w: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8" w:type="dxa"/>
            <w:tcBorders>
              <w:top w:val="single" w:sz="4" w:space="0" w:color="000000"/>
              <w:left w:val="single" w:sz="10" w:space="0" w:color="D3D3D3"/>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8" w:type="dxa"/>
            <w:tcBorders>
              <w:top w:val="single" w:sz="4" w:space="0" w:color="000000"/>
              <w:left w:val="single" w:sz="10" w:space="0" w:color="D3D3D3"/>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35,060,927.68</w:t>
            </w: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563,787,133.88</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642,091,528.53</w:t>
            </w: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23"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8" w:type="dxa"/>
            <w:tcBorders>
              <w:top w:val="single" w:sz="4" w:space="0" w:color="000000"/>
              <w:left w:val="single" w:sz="10" w:space="0" w:color="D3D3D3"/>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8" w:type="dxa"/>
            <w:tcBorders>
              <w:top w:val="single" w:sz="4" w:space="0" w:color="000000"/>
              <w:left w:val="single" w:sz="10" w:space="0" w:color="D3D3D3"/>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8" w:type="dxa"/>
            <w:tcBorders>
              <w:top w:val="single" w:sz="4" w:space="0" w:color="000000"/>
              <w:left w:val="single" w:sz="10" w:space="0" w:color="D3D3D3"/>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2,932,814,951.62</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2,840,361,875.12</w:t>
            </w: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8" w:type="dxa"/>
            <w:tcBorders>
              <w:top w:val="single" w:sz="4" w:space="0" w:color="000000"/>
              <w:left w:val="single" w:sz="10" w:space="0" w:color="D3D3D3"/>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273,910.34</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405,399.71</w:t>
            </w:r>
          </w:p>
        </w:tc>
      </w:tr>
      <w:tr>
        <w:trPr>
          <w:trHeight w:val="323"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8" w:type="dxa"/>
            <w:tcBorders>
              <w:top w:val="single" w:sz="4" w:space="0" w:color="000000"/>
              <w:left w:val="single" w:sz="10" w:space="0" w:color="D3D3D3"/>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8" w:type="dxa"/>
            <w:tcBorders>
              <w:top w:val="single" w:sz="4" w:space="0" w:color="000000"/>
              <w:left w:val="single" w:sz="10" w:space="0" w:color="D3D3D3"/>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8" w:type="dxa"/>
            <w:tcBorders>
              <w:top w:val="single" w:sz="4" w:space="0" w:color="000000"/>
              <w:left w:val="single" w:sz="10" w:space="0" w:color="D3D3D3"/>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318,532.60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363,408.72</w:t>
            </w: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8" w:type="dxa"/>
            <w:tcBorders>
              <w:top w:val="single" w:sz="4" w:space="0" w:color="000000"/>
              <w:left w:val="single" w:sz="10" w:space="0" w:color="D3D3D3"/>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8" w:type="dxa"/>
            <w:tcBorders>
              <w:top w:val="single" w:sz="4" w:space="0" w:color="000000"/>
              <w:left w:val="single" w:sz="10" w:space="0" w:color="D3D3D3"/>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110,026.75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51,330.70</w:t>
            </w: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8" w:type="dxa"/>
            <w:tcBorders>
              <w:top w:val="single" w:sz="4" w:space="0" w:color="000000"/>
              <w:left w:val="single" w:sz="10" w:space="0" w:color="D3D3D3"/>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1,782,020.00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1,798,202.89</w:t>
            </w:r>
          </w:p>
        </w:tc>
      </w:tr>
      <w:tr>
        <w:trPr>
          <w:trHeight w:val="323"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2,935,299,441.31</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2,842,980,217.14</w:t>
            </w: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3,499,086,575.19</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3,485,071,745.67</w:t>
            </w: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23"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155,000,000.00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634"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11" w:right="1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8" w:type="dxa"/>
            <w:tcBorders>
              <w:top w:val="single" w:sz="4" w:space="0" w:color="000000"/>
              <w:left w:val="single" w:sz="10" w:space="0" w:color="D3D3D3"/>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273"/>
        <w:gridCol w:w="3318"/>
        <w:gridCol w:w="2965"/>
      </w:tblGrid>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8" w:type="dxa"/>
            <w:tcBorders>
              <w:top w:val="single" w:sz="4" w:space="0" w:color="000000"/>
              <w:left w:val="single" w:sz="10" w:space="0" w:color="D3D3D3"/>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3,500.00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73,500.00</w:t>
            </w: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8" w:type="dxa"/>
            <w:tcBorders>
              <w:top w:val="single" w:sz="4" w:space="0" w:color="000000"/>
              <w:left w:val="single" w:sz="10" w:space="0" w:color="D3D3D3"/>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3,578,663.14</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1,623,086.99</w:t>
            </w:r>
          </w:p>
        </w:tc>
      </w:tr>
      <w:tr>
        <w:trPr>
          <w:trHeight w:val="323"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1,033,960.23</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1,162,815.84</w:t>
            </w: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322,948,831.74</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305,988,417.35</w:t>
            </w: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8" w:type="dxa"/>
            <w:tcBorders>
              <w:top w:val="single" w:sz="4" w:space="0" w:color="000000"/>
              <w:left w:val="single" w:sz="10" w:space="0" w:color="D3D3D3"/>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35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8" w:type="dxa"/>
            <w:tcBorders>
              <w:top w:val="single" w:sz="4" w:space="0" w:color="000000"/>
              <w:left w:val="single" w:sz="10" w:space="0" w:color="D3D3D3"/>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8" w:type="dxa"/>
            <w:tcBorders>
              <w:top w:val="single" w:sz="4" w:space="0" w:color="000000"/>
              <w:left w:val="single" w:sz="10" w:space="0" w:color="D3D3D3"/>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8" w:type="dxa"/>
            <w:tcBorders>
              <w:top w:val="single" w:sz="4" w:space="0" w:color="000000"/>
              <w:left w:val="single" w:sz="10" w:space="0" w:color="D3D3D3"/>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8" w:type="dxa"/>
            <w:tcBorders>
              <w:top w:val="single" w:sz="4" w:space="0" w:color="000000"/>
              <w:left w:val="single" w:sz="10" w:space="0" w:color="D3D3D3"/>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482,564,955.11</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428,847,820.18</w:t>
            </w: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23"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8" w:type="dxa"/>
            <w:tcBorders>
              <w:top w:val="single" w:sz="4" w:space="0" w:color="000000"/>
              <w:left w:val="single" w:sz="10" w:space="0" w:color="D3D3D3"/>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8" w:type="dxa"/>
            <w:tcBorders>
              <w:top w:val="single" w:sz="4" w:space="0" w:color="000000"/>
              <w:left w:val="single" w:sz="10" w:space="0" w:color="D3D3D3"/>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8" w:type="dxa"/>
            <w:tcBorders>
              <w:top w:val="single" w:sz="4" w:space="0" w:color="000000"/>
              <w:left w:val="single" w:sz="10" w:space="0" w:color="D3D3D3"/>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53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8" w:type="dxa"/>
            <w:tcBorders>
              <w:top w:val="single" w:sz="4" w:space="0" w:color="000000"/>
              <w:left w:val="single" w:sz="10" w:space="0" w:color="D3D3D3"/>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8" w:type="dxa"/>
            <w:tcBorders>
              <w:top w:val="single" w:sz="4" w:space="0" w:color="000000"/>
              <w:left w:val="single" w:sz="10" w:space="0" w:color="D3D3D3"/>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8" w:type="dxa"/>
            <w:tcBorders>
              <w:top w:val="single" w:sz="4" w:space="0" w:color="000000"/>
              <w:left w:val="single" w:sz="10" w:space="0" w:color="D3D3D3"/>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8" w:type="dxa"/>
            <w:tcBorders>
              <w:top w:val="single" w:sz="4" w:space="0" w:color="000000"/>
              <w:left w:val="single" w:sz="10" w:space="0" w:color="D3D3D3"/>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8" w:type="dxa"/>
            <w:tcBorders>
              <w:top w:val="single" w:sz="4" w:space="0" w:color="000000"/>
              <w:left w:val="single" w:sz="10" w:space="0" w:color="D3D3D3"/>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8" w:type="dxa"/>
            <w:tcBorders>
              <w:top w:val="single" w:sz="4" w:space="0" w:color="000000"/>
              <w:left w:val="single" w:sz="10" w:space="0" w:color="D3D3D3"/>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8" w:type="dxa"/>
            <w:tcBorders>
              <w:top w:val="single" w:sz="4" w:space="0" w:color="000000"/>
              <w:left w:val="single" w:sz="10" w:space="0" w:color="D3D3D3"/>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8" w:type="dxa"/>
            <w:tcBorders>
              <w:top w:val="single" w:sz="4" w:space="0" w:color="000000"/>
              <w:left w:val="single" w:sz="10" w:space="0" w:color="D3D3D3"/>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482,564,955.11</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428,847,820.18</w:t>
            </w:r>
          </w:p>
        </w:tc>
      </w:tr>
      <w:tr>
        <w:trPr>
          <w:trHeight w:val="323"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1,017,698,410.00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1,017,698,410.00</w:t>
            </w: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8" w:type="dxa"/>
            <w:tcBorders>
              <w:top w:val="single" w:sz="4" w:space="0" w:color="000000"/>
              <w:left w:val="single" w:sz="10" w:space="0" w:color="D3D3D3"/>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8" w:type="dxa"/>
            <w:tcBorders>
              <w:top w:val="single" w:sz="4" w:space="0" w:color="000000"/>
              <w:left w:val="single" w:sz="10" w:space="0" w:color="D3D3D3"/>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53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8" w:type="dxa"/>
            <w:tcBorders>
              <w:top w:val="single" w:sz="4" w:space="0" w:color="000000"/>
              <w:left w:val="single" w:sz="10" w:space="0" w:color="D3D3D3"/>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1,809,704,919.76</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1,809,704,919.76</w:t>
            </w:r>
          </w:p>
        </w:tc>
      </w:tr>
      <w:tr>
        <w:trPr>
          <w:trHeight w:val="323"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8" w:type="dxa"/>
            <w:tcBorders>
              <w:top w:val="single" w:sz="4" w:space="0" w:color="000000"/>
              <w:left w:val="single" w:sz="10" w:space="0" w:color="D3D3D3"/>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2,322,335.12</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2,190,121.44</w:t>
            </w: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8" w:type="dxa"/>
            <w:tcBorders>
              <w:top w:val="single" w:sz="4" w:space="0" w:color="000000"/>
              <w:left w:val="single" w:sz="10" w:space="0" w:color="D3D3D3"/>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53,068,207.84</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53,068,207.84</w:t>
            </w: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133,727,747.36</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173,562,266.45</w:t>
            </w: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3,016,521,620.08</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3,056,223,925.49</w:t>
            </w:r>
          </w:p>
        </w:tc>
      </w:tr>
      <w:tr>
        <w:trPr>
          <w:trHeight w:val="323"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3,499,086,575.19</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3,485,071,745.67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1"/>
        <w:rPr>
          <w:rFonts w:ascii="Times New Roman" w:hAnsi="Times New Roman" w:cs="Times New Roman" w:eastAsia="Times New Roman"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w w:val="95"/>
        </w:rPr>
        <w:t>3</w:t>
      </w:r>
      <w:r>
        <w:rPr>
          <w:w w:val="95"/>
        </w:rPr>
        <w:t>、合并利润表</w:t>
      </w:r>
      <w:r>
        <w:rPr>
          <w:b w:val="0"/>
          <w:bCs w:val="0"/>
        </w:rPr>
      </w:r>
    </w:p>
    <w:p>
      <w:pPr>
        <w:pStyle w:val="BodyText"/>
        <w:spacing w:line="240" w:lineRule="auto" w:before="17"/>
        <w:ind w:left="153" w:right="0"/>
        <w:jc w:val="left"/>
      </w:pPr>
      <w:r>
        <w:rPr/>
        <w:br w:type="column"/>
      </w:r>
      <w:r>
        <w:rPr/>
        <w:t>浙江华媒控股股份有限公司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0"/>
        <w:rPr>
          <w:rFonts w:ascii="宋体" w:hAnsi="宋体" w:cs="宋体" w:eastAsia="宋体" w:hint="default"/>
          <w:sz w:val="18"/>
          <w:szCs w:val="18"/>
        </w:rPr>
      </w:pPr>
    </w:p>
    <w:p>
      <w:pPr>
        <w:pStyle w:val="BodyText"/>
        <w:spacing w:line="240" w:lineRule="auto" w:before="135"/>
        <w:ind w:left="3302" w:right="0"/>
        <w:jc w:val="left"/>
      </w:pPr>
      <w:r>
        <w:rPr/>
        <w:pict>
          <v:group style="position:absolute;margin-left:55.200001pt;margin-top:-9.737996pt;width:484.95pt;height:.1pt;mso-position-horizontal-relative:page;mso-position-vertical-relative:paragraph;z-index:-1149112" coordorigin="1104,-195" coordsize="9699,2">
            <v:shape style="position:absolute;left:1104;top:-195;width:9699;height:2" coordorigin="1104,-195" coordsize="9699,0" path="m1104,-195l10802,-195e" filled="false" stroked="true" strokeweight=".72003pt" strokecolor="#000000">
              <v:path arrowok="t"/>
            </v:shape>
            <w10:wrap type="none"/>
          </v:group>
        </w:pict>
      </w:r>
      <w:r>
        <w:rPr/>
        <w:t>单位：元</w:t>
      </w:r>
    </w:p>
    <w:p>
      <w:pPr>
        <w:spacing w:after="0" w:line="240" w:lineRule="auto"/>
        <w:jc w:val="left"/>
        <w:sectPr>
          <w:headerReference w:type="default" r:id="rId45"/>
          <w:footerReference w:type="default" r:id="rId46"/>
          <w:pgSz w:w="11910" w:h="16840"/>
          <w:pgMar w:header="0" w:footer="953" w:top="380" w:bottom="1160" w:left="980" w:right="0"/>
          <w:cols w:num="2" w:equalWidth="0">
            <w:col w:w="1524" w:space="4246"/>
            <w:col w:w="5160"/>
          </w:cols>
        </w:sectPr>
      </w:pPr>
    </w:p>
    <w:p>
      <w:pPr>
        <w:spacing w:line="240" w:lineRule="auto" w:before="0"/>
        <w:rPr>
          <w:rFonts w:ascii="宋体" w:hAnsi="宋体" w:cs="宋体" w:eastAsia="宋体" w:hint="default"/>
          <w:sz w:val="5"/>
          <w:szCs w:val="5"/>
        </w:rPr>
      </w:pPr>
      <w:r>
        <w:rPr/>
        <w:pict>
          <v:shape style="position:absolute;margin-left:534.119873pt;margin-top:806.796997pt;width:61pt;height:26.8pt;mso-position-horizontal-relative:page;mso-position-vertical-relative:page;z-index:-1149136" type="#_x0000_t202" filled="false" stroked="false">
            <v:textbox inset="0,0,0,0">
              <w:txbxContent>
                <w:p>
                  <w:pPr>
                    <w:spacing w:line="240" w:lineRule="auto" w:before="9"/>
                    <w:rPr>
                      <w:rFonts w:ascii="宋体" w:hAnsi="宋体" w:cs="宋体" w:eastAsia="宋体" w:hint="default"/>
                      <w:sz w:val="22"/>
                      <w:szCs w:val="22"/>
                    </w:rPr>
                  </w:pPr>
                </w:p>
                <w:p>
                  <w:pPr>
                    <w:pStyle w:val="BodyText"/>
                    <w:spacing w:line="240" w:lineRule="auto"/>
                    <w:ind w:left="0" w:right="0"/>
                    <w:jc w:val="left"/>
                    <w:rPr>
                      <w:rFonts w:ascii="Times New Roman" w:hAnsi="Times New Roman" w:cs="Times New Roman" w:eastAsia="Times New Roman" w:hint="default"/>
                    </w:rPr>
                  </w:pPr>
                  <w:r>
                    <w:rPr>
                      <w:rFonts w:ascii="Times New Roman"/>
                    </w:rPr>
                    <w:t>2</w:t>
                  </w:r>
                </w:p>
              </w:txbxContent>
            </v:textbox>
            <w10:wrap type="none"/>
          </v:shape>
        </w:pict>
      </w:r>
    </w:p>
    <w:tbl>
      <w:tblPr>
        <w:tblW w:w="0" w:type="auto"/>
        <w:jc w:val="left"/>
        <w:tblInd w:w="160" w:type="dxa"/>
        <w:tblLayout w:type="fixed"/>
        <w:tblCellMar>
          <w:top w:w="0" w:type="dxa"/>
          <w:left w:w="0" w:type="dxa"/>
          <w:bottom w:w="0" w:type="dxa"/>
          <w:right w:w="0" w:type="dxa"/>
        </w:tblCellMar>
        <w:tblLook w:val="01E0"/>
      </w:tblPr>
      <w:tblGrid>
        <w:gridCol w:w="4088"/>
        <w:gridCol w:w="2846"/>
        <w:gridCol w:w="2622"/>
      </w:tblGrid>
      <w:tr>
        <w:trPr>
          <w:trHeight w:val="244"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85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42"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1,749,518,996.88</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1,832,268,001.47</w:t>
            </w:r>
          </w:p>
        </w:tc>
      </w:tr>
      <w:tr>
        <w:trPr>
          <w:trHeight w:val="244"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1,749,518,996.88</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1,832,268,001.47</w:t>
            </w:r>
          </w:p>
        </w:tc>
      </w:tr>
      <w:tr>
        <w:trPr>
          <w:trHeight w:val="244"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846"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846"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846"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1,640,884,690.46</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1,700,797,852.35</w:t>
            </w:r>
          </w:p>
        </w:tc>
      </w:tr>
      <w:tr>
        <w:trPr>
          <w:trHeight w:val="244"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1,266,925,773.62</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1,368,394,473.46</w:t>
            </w:r>
          </w:p>
        </w:tc>
      </w:tr>
      <w:tr>
        <w:trPr>
          <w:trHeight w:val="242"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846"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846"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846"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846"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846"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846"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846"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19,954,961.36</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18,720,757.20</w:t>
            </w:r>
          </w:p>
        </w:tc>
      </w:tr>
      <w:tr>
        <w:trPr>
          <w:trHeight w:val="242"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131,788,710.57</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115,133,381.95</w:t>
            </w:r>
          </w:p>
        </w:tc>
      </w:tr>
      <w:tr>
        <w:trPr>
          <w:trHeight w:val="244"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171,990,584.62</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163,822,309.73</w:t>
            </w:r>
          </w:p>
        </w:tc>
      </w:tr>
      <w:tr>
        <w:trPr>
          <w:trHeight w:val="244"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9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10,612,874.73</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17,224,634.68</w:t>
            </w:r>
          </w:p>
        </w:tc>
      </w:tr>
      <w:tr>
        <w:trPr>
          <w:trHeight w:val="244"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10,480,791.24</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1,024,436.28</w:t>
            </w:r>
          </w:p>
        </w:tc>
      </w:tr>
      <w:tr>
        <w:trPr>
          <w:trHeight w:val="244"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09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15,705,947.93</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5,966,831.94</w:t>
            </w:r>
          </w:p>
        </w:tc>
      </w:tr>
      <w:tr>
        <w:trPr>
          <w:trHeight w:val="244"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right="93"/>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6,249,275.54</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5,749,526.01</w:t>
            </w:r>
          </w:p>
        </w:tc>
      </w:tr>
      <w:tr>
        <w:trPr>
          <w:trHeight w:val="244"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29,130,994.32</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16,477,859.05</w:t>
            </w:r>
          </w:p>
        </w:tc>
      </w:tr>
      <w:tr>
        <w:trPr>
          <w:trHeight w:val="242"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10,968,146.32</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9,265,910.72</w:t>
            </w:r>
          </w:p>
        </w:tc>
      </w:tr>
      <w:tr>
        <w:trPr>
          <w:trHeight w:val="244"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0" w:lineRule="exact"/>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52,640,000.66</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76,216,005.97</w:t>
            </w:r>
          </w:p>
        </w:tc>
      </w:tr>
      <w:tr>
        <w:trPr>
          <w:trHeight w:val="244"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right="104"/>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38,118,512.76</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22,566,076.53</w:t>
            </w:r>
          </w:p>
        </w:tc>
      </w:tr>
      <w:tr>
        <w:trPr>
          <w:trHeight w:val="244"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0" w:lineRule="exact"/>
              <w:ind w:right="125"/>
              <w:jc w:val="right"/>
              <w:rPr>
                <w:rFonts w:ascii="宋体" w:hAnsi="宋体" w:cs="宋体" w:eastAsia="宋体" w:hint="default"/>
                <w:sz w:val="18"/>
                <w:szCs w:val="18"/>
              </w:rPr>
            </w:pPr>
            <w:r>
              <w:rPr>
                <w:rFonts w:ascii="宋体" w:hAnsi="宋体" w:cs="宋体" w:eastAsia="宋体" w:hint="default"/>
                <w:spacing w:val="-1"/>
                <w:sz w:val="18"/>
                <w:szCs w:val="18"/>
              </w:rPr>
              <w:t>公允价值变动收益（损失以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11,267.77</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105,622.40</w:t>
            </w:r>
          </w:p>
        </w:tc>
      </w:tr>
      <w:tr>
        <w:trPr>
          <w:trHeight w:val="244"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731"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46"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-233,295.06</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3,512,242.63</w:t>
            </w:r>
          </w:p>
        </w:tc>
      </w:tr>
      <w:tr>
        <w:trPr>
          <w:trHeight w:val="244"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172,020,426.11</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220,569,930.84</w:t>
            </w:r>
          </w:p>
        </w:tc>
      </w:tr>
      <w:tr>
        <w:trPr>
          <w:trHeight w:val="242"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1,486,889.53</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3,628,339.97</w:t>
            </w:r>
          </w:p>
        </w:tc>
      </w:tr>
      <w:tr>
        <w:trPr>
          <w:trHeight w:val="244"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1,561,428.04</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3,796,197.70</w:t>
            </w:r>
          </w:p>
        </w:tc>
      </w:tr>
      <w:tr>
        <w:trPr>
          <w:trHeight w:val="244"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0" w:lineRule="exact"/>
              <w:ind w:left="11"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171,945,887.60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pacing w:val="-1"/>
                <w:sz w:val="18"/>
              </w:rPr>
              <w:t>220,402,073.11</w:t>
            </w:r>
          </w:p>
        </w:tc>
      </w:tr>
      <w:tr>
        <w:trPr>
          <w:trHeight w:val="244"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15,192,776.10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10,263,971.18</w:t>
            </w:r>
          </w:p>
        </w:tc>
      </w:tr>
      <w:tr>
        <w:trPr>
          <w:trHeight w:val="244"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2"/>
                <w:sz w:val="18"/>
              </w:rPr>
              <w:t>156,753,111.50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210,138,101.93</w:t>
            </w:r>
          </w:p>
        </w:tc>
      </w:tr>
      <w:tr>
        <w:trPr>
          <w:trHeight w:val="244" w:hRule="exact"/>
        </w:trPr>
        <w:tc>
          <w:tcPr>
            <w:tcW w:w="4088" w:type="dxa"/>
            <w:tcBorders>
              <w:top w:val="single" w:sz="4" w:space="0" w:color="000000"/>
              <w:left w:val="single" w:sz="4" w:space="0" w:color="000000"/>
              <w:bottom w:val="single" w:sz="4" w:space="0" w:color="000000"/>
              <w:right w:val="single" w:sz="9" w:space="0" w:color="FFFFFF"/>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46" w:type="dxa"/>
            <w:tcBorders>
              <w:top w:val="single" w:sz="4" w:space="0" w:color="000000"/>
              <w:left w:val="single" w:sz="23" w:space="0" w:color="FFFFFF"/>
              <w:bottom w:val="single" w:sz="4" w:space="0" w:color="000000"/>
              <w:right w:val="single" w:sz="4" w:space="0" w:color="000000"/>
            </w:tcBorders>
          </w:tcPr>
          <w:p>
            <w:pPr>
              <w:pStyle w:val="TableParagraph"/>
              <w:tabs>
                <w:tab w:pos="1679" w:val="left" w:leader="none"/>
              </w:tabs>
              <w:spacing w:line="219" w:lineRule="exact"/>
              <w:ind w:left="-15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156,753,111.50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210,138,101.93</w:t>
            </w:r>
          </w:p>
        </w:tc>
      </w:tr>
      <w:tr>
        <w:trPr>
          <w:trHeight w:val="244" w:hRule="exact"/>
        </w:trPr>
        <w:tc>
          <w:tcPr>
            <w:tcW w:w="4088" w:type="dxa"/>
            <w:tcBorders>
              <w:top w:val="single" w:sz="4" w:space="0" w:color="000000"/>
              <w:left w:val="single" w:sz="4" w:space="0" w:color="000000"/>
              <w:bottom w:val="single" w:sz="4" w:space="0" w:color="000000"/>
              <w:right w:val="single" w:sz="9" w:space="0" w:color="FFFFFF"/>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46" w:type="dxa"/>
            <w:tcBorders>
              <w:top w:val="single" w:sz="4" w:space="0" w:color="000000"/>
              <w:left w:val="single" w:sz="23" w:space="0" w:color="FFFFFF"/>
              <w:bottom w:val="single" w:sz="4" w:space="0" w:color="000000"/>
              <w:right w:val="single" w:sz="4" w:space="0" w:color="000000"/>
            </w:tcBorders>
          </w:tcPr>
          <w:p>
            <w:pPr>
              <w:pStyle w:val="TableParagraph"/>
              <w:spacing w:line="205" w:lineRule="exact"/>
              <w:ind w:left="-159" w:right="0"/>
              <w:jc w:val="left"/>
              <w:rPr>
                <w:rFonts w:ascii="宋体" w:hAnsi="宋体" w:cs="宋体" w:eastAsia="宋体" w:hint="default"/>
                <w:sz w:val="18"/>
                <w:szCs w:val="18"/>
              </w:rPr>
            </w:pPr>
            <w:r>
              <w:rPr>
                <w:rFonts w:ascii="宋体" w:hAnsi="宋体" w:cs="宋体" w:eastAsia="宋体" w:hint="default"/>
                <w:sz w:val="18"/>
                <w:szCs w:val="18"/>
              </w:rPr>
              <w:t>）</w:t>
            </w: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105,180,270.19</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146,809,823.33</w:t>
            </w:r>
          </w:p>
        </w:tc>
      </w:tr>
      <w:tr>
        <w:trPr>
          <w:trHeight w:val="242"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51,572,841.31</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63,328,278.60</w:t>
            </w:r>
          </w:p>
        </w:tc>
      </w:tr>
      <w:tr>
        <w:trPr>
          <w:trHeight w:val="244"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132,213.68</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2,190,121.44</w:t>
            </w:r>
          </w:p>
        </w:tc>
      </w:tr>
      <w:tr>
        <w:trPr>
          <w:trHeight w:val="244"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191"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132,213.68</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2,190,121.44</w:t>
            </w:r>
          </w:p>
        </w:tc>
      </w:tr>
      <w:tr>
        <w:trPr>
          <w:trHeight w:val="244"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846"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846"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right="15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权益法下不能转损益的其他综合收益</w:t>
            </w:r>
          </w:p>
        </w:tc>
        <w:tc>
          <w:tcPr>
            <w:tcW w:w="2846"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132,213.68</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2,190,121.44</w:t>
            </w:r>
          </w:p>
        </w:tc>
      </w:tr>
      <w:tr>
        <w:trPr>
          <w:trHeight w:val="242"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132,213.68</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2,190,121.44</w:t>
            </w:r>
          </w:p>
        </w:tc>
      </w:tr>
      <w:tr>
        <w:trPr>
          <w:trHeight w:val="244"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0" w:lineRule="exact"/>
              <w:ind w:right="15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可供出售金融资产公允价值变动损益</w:t>
            </w:r>
          </w:p>
        </w:tc>
        <w:tc>
          <w:tcPr>
            <w:tcW w:w="2846"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2" w:lineRule="exact"/>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w:t>
            </w:r>
          </w:p>
          <w:p>
            <w:pPr>
              <w:pStyle w:val="TableParagraph"/>
              <w:spacing w:line="227" w:lineRule="exact"/>
              <w:ind w:left="11" w:right="0"/>
              <w:jc w:val="left"/>
              <w:rPr>
                <w:rFonts w:ascii="宋体" w:hAnsi="宋体" w:cs="宋体" w:eastAsia="宋体" w:hint="default"/>
                <w:sz w:val="18"/>
                <w:szCs w:val="18"/>
              </w:rPr>
            </w:pPr>
            <w:r>
              <w:rPr>
                <w:rFonts w:ascii="宋体" w:hAnsi="宋体" w:cs="宋体" w:eastAsia="宋体" w:hint="default"/>
                <w:sz w:val="18"/>
                <w:szCs w:val="18"/>
              </w:rPr>
              <w:t>融资产损益</w:t>
            </w:r>
          </w:p>
        </w:tc>
        <w:tc>
          <w:tcPr>
            <w:tcW w:w="2846"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846"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846"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0" w:lineRule="exact"/>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846"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191"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846"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156,885,325.18</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212,328,223.37</w:t>
            </w:r>
          </w:p>
        </w:tc>
      </w:tr>
      <w:tr>
        <w:trPr>
          <w:trHeight w:val="244"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105,312,483.87</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148,999,944.77</w:t>
            </w:r>
          </w:p>
        </w:tc>
      </w:tr>
      <w:tr>
        <w:trPr>
          <w:trHeight w:val="244"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846" w:type="dxa"/>
            <w:tcBorders>
              <w:top w:val="single" w:sz="4" w:space="0" w:color="000000"/>
              <w:left w:val="single" w:sz="13" w:space="0" w:color="D3D3D3"/>
              <w:bottom w:val="single" w:sz="6" w:space="0" w:color="D3D3D3"/>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51,572,841.31</w:t>
            </w:r>
          </w:p>
        </w:tc>
        <w:tc>
          <w:tcPr>
            <w:tcW w:w="2622" w:type="dxa"/>
            <w:tcBorders>
              <w:top w:val="single" w:sz="4" w:space="0" w:color="000000"/>
              <w:left w:val="single" w:sz="4" w:space="0" w:color="000000"/>
              <w:bottom w:val="single" w:sz="6" w:space="0" w:color="D3D3D3"/>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63,328,278.60</w:t>
            </w:r>
          </w:p>
        </w:tc>
      </w:tr>
      <w:tr>
        <w:trPr>
          <w:trHeight w:val="244"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84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62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44"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846" w:type="dxa"/>
            <w:tcBorders>
              <w:top w:val="single" w:sz="9" w:space="0" w:color="D3D3D3"/>
              <w:left w:val="single" w:sz="13" w:space="0" w:color="D3D3D3"/>
              <w:bottom w:val="single" w:sz="4" w:space="0" w:color="000000"/>
              <w:right w:val="single" w:sz="4" w:space="0" w:color="000000"/>
            </w:tcBorders>
          </w:tcPr>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z w:val="18"/>
              </w:rPr>
              <w:t>0.10</w:t>
            </w:r>
          </w:p>
        </w:tc>
        <w:tc>
          <w:tcPr>
            <w:tcW w:w="2622" w:type="dxa"/>
            <w:tcBorders>
              <w:top w:val="single" w:sz="9" w:space="0" w:color="D3D3D3"/>
              <w:left w:val="single" w:sz="4" w:space="0" w:color="000000"/>
              <w:bottom w:val="single" w:sz="4" w:space="0" w:color="000000"/>
              <w:right w:val="single" w:sz="4" w:space="0" w:color="000000"/>
            </w:tcBorders>
          </w:tcPr>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z w:val="18"/>
              </w:rPr>
              <w:t>0.14</w:t>
            </w:r>
          </w:p>
        </w:tc>
      </w:tr>
      <w:tr>
        <w:trPr>
          <w:trHeight w:val="244"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0.10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0.14</w:t>
            </w:r>
          </w:p>
        </w:tc>
      </w:tr>
    </w:tbl>
    <w:p>
      <w:pPr>
        <w:pStyle w:val="BodyText"/>
        <w:tabs>
          <w:tab w:pos="3573" w:val="left" w:leader="none"/>
          <w:tab w:pos="7893" w:val="left" w:leader="none"/>
        </w:tabs>
        <w:spacing w:line="21" w:lineRule="exact"/>
        <w:ind w:right="0"/>
        <w:jc w:val="left"/>
      </w:pPr>
      <w:r>
        <w:rPr/>
        <w:t>法定代表人：董悦</w:t>
        <w:tab/>
        <w:t>主管会计工作负责人：郭勤勇</w:t>
        <w:tab/>
        <w:t>会计机构负责人：王健</w:t>
      </w:r>
    </w:p>
    <w:p>
      <w:pPr>
        <w:spacing w:after="0" w:line="21" w:lineRule="exact"/>
        <w:jc w:val="left"/>
        <w:sectPr>
          <w:type w:val="continuous"/>
          <w:pgSz w:w="11910" w:h="16840"/>
          <w:pgMar w:top="1060" w:bottom="1180" w:left="980" w:right="0"/>
        </w:sectPr>
      </w:pPr>
    </w:p>
    <w:p>
      <w:pPr>
        <w:spacing w:line="240" w:lineRule="auto" w:before="11"/>
        <w:rPr>
          <w:rFonts w:ascii="宋体" w:hAnsi="宋体" w:cs="宋体" w:eastAsia="宋体" w:hint="default"/>
          <w:sz w:val="5"/>
          <w:szCs w:val="5"/>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230"/>
        <w:gridCol w:w="2847"/>
        <w:gridCol w:w="2479"/>
      </w:tblGrid>
      <w:tr>
        <w:trPr>
          <w:trHeight w:val="323" w:hRule="exact"/>
        </w:trPr>
        <w:tc>
          <w:tcPr>
            <w:tcW w:w="4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4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78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4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8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5,836,617.36</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214,219.02</w:t>
            </w:r>
          </w:p>
        </w:tc>
      </w:tr>
      <w:tr>
        <w:trPr>
          <w:trHeight w:val="322" w:hRule="exact"/>
        </w:trPr>
        <w:tc>
          <w:tcPr>
            <w:tcW w:w="4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8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0.00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4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8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45,132.42</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42,525.74</w:t>
            </w:r>
          </w:p>
        </w:tc>
      </w:tr>
      <w:tr>
        <w:trPr>
          <w:trHeight w:val="322" w:hRule="exact"/>
        </w:trPr>
        <w:tc>
          <w:tcPr>
            <w:tcW w:w="4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847" w:type="dxa"/>
            <w:tcBorders>
              <w:top w:val="single" w:sz="4" w:space="0" w:color="000000"/>
              <w:left w:val="single" w:sz="13" w:space="0" w:color="D3D3D3"/>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8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26,284,216.79</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23,763,005.27</w:t>
            </w:r>
          </w:p>
        </w:tc>
      </w:tr>
      <w:tr>
        <w:trPr>
          <w:trHeight w:val="323" w:hRule="exact"/>
        </w:trPr>
        <w:tc>
          <w:tcPr>
            <w:tcW w:w="4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847" w:type="dxa"/>
            <w:tcBorders>
              <w:top w:val="single" w:sz="4" w:space="0" w:color="000000"/>
              <w:left w:val="single" w:sz="13" w:space="0" w:color="D3D3D3"/>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8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9,480,248.46</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1,959,695.38</w:t>
            </w:r>
          </w:p>
        </w:tc>
      </w:tr>
      <w:tr>
        <w:trPr>
          <w:trHeight w:val="322" w:hRule="exact"/>
        </w:trPr>
        <w:tc>
          <w:tcPr>
            <w:tcW w:w="4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8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10,190,501.97</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2,057,364.29</w:t>
            </w:r>
          </w:p>
        </w:tc>
      </w:tr>
      <w:tr>
        <w:trPr>
          <w:trHeight w:val="323" w:hRule="exact"/>
        </w:trPr>
        <w:tc>
          <w:tcPr>
            <w:tcW w:w="4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595"/>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28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777,392.41</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130,755.13</w:t>
            </w:r>
          </w:p>
        </w:tc>
      </w:tr>
      <w:tr>
        <w:trPr>
          <w:trHeight w:val="322" w:hRule="exact"/>
        </w:trPr>
        <w:tc>
          <w:tcPr>
            <w:tcW w:w="4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8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-147.50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210.50</w:t>
            </w:r>
          </w:p>
        </w:tc>
      </w:tr>
      <w:tr>
        <w:trPr>
          <w:trHeight w:val="322" w:hRule="exact"/>
        </w:trPr>
        <w:tc>
          <w:tcPr>
            <w:tcW w:w="4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8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1,420,442.53</w:t>
            </w: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3,983,347.34</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2,998,995.69</w:t>
            </w:r>
          </w:p>
        </w:tc>
      </w:tr>
      <w:tr>
        <w:trPr>
          <w:trHeight w:val="322" w:hRule="exact"/>
        </w:trPr>
        <w:tc>
          <w:tcPr>
            <w:tcW w:w="4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8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1,816,462.63</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6,073,944.23</w:t>
            </w:r>
          </w:p>
        </w:tc>
      </w:tr>
      <w:tr>
        <w:trPr>
          <w:trHeight w:val="322" w:hRule="exact"/>
        </w:trPr>
        <w:tc>
          <w:tcPr>
            <w:tcW w:w="4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47" w:type="dxa"/>
            <w:tcBorders>
              <w:top w:val="single" w:sz="4" w:space="0" w:color="000000"/>
              <w:left w:val="single" w:sz="13" w:space="0" w:color="D3D3D3"/>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47" w:type="dxa"/>
            <w:tcBorders>
              <w:top w:val="single" w:sz="4" w:space="0" w:color="000000"/>
              <w:left w:val="single" w:sz="13" w:space="0" w:color="D3D3D3"/>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-24,569,042.94</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-22,552,222.18</w:t>
            </w:r>
          </w:p>
        </w:tc>
      </w:tr>
      <w:tr>
        <w:trPr>
          <w:trHeight w:val="322" w:hRule="exact"/>
        </w:trPr>
        <w:tc>
          <w:tcPr>
            <w:tcW w:w="4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847" w:type="dxa"/>
            <w:tcBorders>
              <w:top w:val="single" w:sz="4" w:space="0" w:color="000000"/>
              <w:left w:val="single" w:sz="13" w:space="0" w:color="D3D3D3"/>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17,175.97</w:t>
            </w:r>
          </w:p>
        </w:tc>
      </w:tr>
      <w:tr>
        <w:trPr>
          <w:trHeight w:val="323" w:hRule="exact"/>
        </w:trPr>
        <w:tc>
          <w:tcPr>
            <w:tcW w:w="4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847" w:type="dxa"/>
            <w:tcBorders>
              <w:top w:val="single" w:sz="4" w:space="0" w:color="000000"/>
              <w:left w:val="single" w:sz="13" w:space="0" w:color="D3D3D3"/>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941.76</w:t>
            </w:r>
          </w:p>
        </w:tc>
      </w:tr>
      <w:tr>
        <w:trPr>
          <w:trHeight w:val="322" w:hRule="exact"/>
        </w:trPr>
        <w:tc>
          <w:tcPr>
            <w:tcW w:w="4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-24,569,042.94</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-22,535,987.97</w:t>
            </w:r>
          </w:p>
        </w:tc>
      </w:tr>
      <w:tr>
        <w:trPr>
          <w:trHeight w:val="322" w:hRule="exact"/>
        </w:trPr>
        <w:tc>
          <w:tcPr>
            <w:tcW w:w="4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847" w:type="dxa"/>
            <w:tcBorders>
              <w:top w:val="single" w:sz="4" w:space="0" w:color="000000"/>
              <w:left w:val="single" w:sz="13" w:space="0" w:color="D3D3D3"/>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-24,569,042.94</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-22,535,987.97</w:t>
            </w:r>
          </w:p>
        </w:tc>
      </w:tr>
      <w:tr>
        <w:trPr>
          <w:trHeight w:val="322" w:hRule="exact"/>
        </w:trPr>
        <w:tc>
          <w:tcPr>
            <w:tcW w:w="4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86"/>
              <w:jc w:val="righ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-24,569,042.94</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-22,535,987.97</w:t>
            </w:r>
          </w:p>
        </w:tc>
      </w:tr>
      <w:tr>
        <w:trPr>
          <w:trHeight w:val="322" w:hRule="exact"/>
        </w:trPr>
        <w:tc>
          <w:tcPr>
            <w:tcW w:w="4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86"/>
              <w:jc w:val="righ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47" w:type="dxa"/>
            <w:tcBorders>
              <w:top w:val="single" w:sz="4" w:space="0" w:color="000000"/>
              <w:left w:val="single" w:sz="13" w:space="0" w:color="D3D3D3"/>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8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132,213.68</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2,190,121.44</w:t>
            </w:r>
          </w:p>
        </w:tc>
      </w:tr>
      <w:tr>
        <w:trPr>
          <w:trHeight w:val="322" w:hRule="exact"/>
        </w:trPr>
        <w:tc>
          <w:tcPr>
            <w:tcW w:w="4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847" w:type="dxa"/>
            <w:tcBorders>
              <w:top w:val="single" w:sz="4" w:space="0" w:color="000000"/>
              <w:left w:val="single" w:sz="13" w:space="0" w:color="D3D3D3"/>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847" w:type="dxa"/>
            <w:tcBorders>
              <w:top w:val="single" w:sz="4" w:space="0" w:color="000000"/>
              <w:left w:val="single" w:sz="13" w:space="0" w:color="D3D3D3"/>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847" w:type="dxa"/>
            <w:tcBorders>
              <w:top w:val="single" w:sz="4" w:space="0" w:color="000000"/>
              <w:left w:val="single" w:sz="13" w:space="0" w:color="D3D3D3"/>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8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132,213.68</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2,190,121.44</w:t>
            </w:r>
          </w:p>
        </w:tc>
      </w:tr>
      <w:tr>
        <w:trPr>
          <w:trHeight w:val="322" w:hRule="exact"/>
        </w:trPr>
        <w:tc>
          <w:tcPr>
            <w:tcW w:w="4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8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132,213.68</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2,190,121.44</w:t>
            </w:r>
          </w:p>
        </w:tc>
      </w:tr>
      <w:tr>
        <w:trPr>
          <w:trHeight w:val="323" w:hRule="exact"/>
        </w:trPr>
        <w:tc>
          <w:tcPr>
            <w:tcW w:w="4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847" w:type="dxa"/>
            <w:tcBorders>
              <w:top w:val="single" w:sz="4" w:space="0" w:color="000000"/>
              <w:left w:val="single" w:sz="13" w:space="0" w:color="D3D3D3"/>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资产损益</w:t>
            </w:r>
          </w:p>
        </w:tc>
        <w:tc>
          <w:tcPr>
            <w:tcW w:w="2847" w:type="dxa"/>
            <w:tcBorders>
              <w:top w:val="single" w:sz="4" w:space="0" w:color="000000"/>
              <w:left w:val="single" w:sz="13" w:space="0" w:color="D3D3D3"/>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847" w:type="dxa"/>
            <w:tcBorders>
              <w:top w:val="single" w:sz="4" w:space="0" w:color="000000"/>
              <w:left w:val="single" w:sz="13" w:space="0" w:color="D3D3D3"/>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847" w:type="dxa"/>
            <w:tcBorders>
              <w:top w:val="single" w:sz="4" w:space="0" w:color="000000"/>
              <w:left w:val="single" w:sz="13" w:space="0" w:color="D3D3D3"/>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847" w:type="dxa"/>
            <w:tcBorders>
              <w:top w:val="single" w:sz="4" w:space="0" w:color="000000"/>
              <w:left w:val="single" w:sz="13" w:space="0" w:color="D3D3D3"/>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8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-24,436,829.26</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-20,345,866.53</w:t>
            </w:r>
          </w:p>
        </w:tc>
      </w:tr>
      <w:tr>
        <w:trPr>
          <w:trHeight w:val="323" w:hRule="exact"/>
        </w:trPr>
        <w:tc>
          <w:tcPr>
            <w:tcW w:w="4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84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79"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22" w:hRule="exact"/>
        </w:trPr>
        <w:tc>
          <w:tcPr>
            <w:tcW w:w="4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847" w:type="dxa"/>
            <w:tcBorders>
              <w:top w:val="single" w:sz="4" w:space="0" w:color="000000"/>
              <w:left w:val="single" w:sz="13" w:space="0" w:color="D3D3D3"/>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847" w:type="dxa"/>
            <w:tcBorders>
              <w:top w:val="single" w:sz="4" w:space="0" w:color="000000"/>
              <w:left w:val="single" w:sz="13" w:space="0" w:color="D3D3D3"/>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47"/>
          <w:footerReference w:type="default" r:id="rId48"/>
          <w:pgSz w:w="11910" w:h="16840"/>
          <w:pgMar w:header="736" w:footer="692" w:top="1020" w:bottom="880" w:left="980" w:right="0"/>
        </w:sectPr>
      </w:pPr>
    </w:p>
    <w:p>
      <w:pPr>
        <w:pStyle w:val="Heading3"/>
        <w:spacing w:line="226" w:lineRule="exact"/>
        <w:ind w:right="0"/>
        <w:jc w:val="left"/>
        <w:rPr>
          <w:b w:val="0"/>
          <w:bCs w:val="0"/>
        </w:rPr>
      </w:pPr>
      <w:r>
        <w:rPr/>
        <w:pict>
          <v:group style="position:absolute;margin-left:55.200001pt;margin-top:-2.916248pt;width:484.95pt;height:.1pt;mso-position-horizontal-relative:page;mso-position-vertical-relative:paragraph;z-index:1648" coordorigin="1104,-58" coordsize="9699,2">
            <v:shape style="position:absolute;left:1104;top:-58;width:9699;height:2" coordorigin="1104,-58" coordsize="9699,0" path="m1104,-58l10802,-58e" filled="false" stroked="true" strokeweight=".71997pt" strokecolor="#000000">
              <v:path arrowok="t"/>
            </v:shape>
            <w10:wrap type="none"/>
          </v:group>
        </w:pict>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075"/>
        <w:gridCol w:w="2427"/>
        <w:gridCol w:w="2054"/>
      </w:tblGrid>
      <w:tr>
        <w:trPr>
          <w:trHeight w:val="244"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76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57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44"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42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0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44"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427" w:type="dxa"/>
            <w:tcBorders>
              <w:top w:val="single" w:sz="9" w:space="0" w:color="D3D3D3"/>
              <w:left w:val="single" w:sz="13" w:space="0" w:color="D3D3D3"/>
              <w:bottom w:val="single" w:sz="4" w:space="0" w:color="000000"/>
              <w:right w:val="single" w:sz="4" w:space="0" w:color="000000"/>
            </w:tcBorders>
          </w:tcPr>
          <w:p>
            <w:pPr>
              <w:pStyle w:val="TableParagraph"/>
              <w:spacing w:line="240" w:lineRule="auto" w:before="1"/>
              <w:ind w:right="21"/>
              <w:jc w:val="right"/>
              <w:rPr>
                <w:rFonts w:ascii="Times New Roman" w:hAnsi="Times New Roman" w:cs="Times New Roman" w:eastAsia="Times New Roman" w:hint="default"/>
                <w:sz w:val="18"/>
                <w:szCs w:val="18"/>
              </w:rPr>
            </w:pPr>
            <w:r>
              <w:rPr>
                <w:rFonts w:ascii="Times New Roman"/>
                <w:spacing w:val="-1"/>
                <w:sz w:val="18"/>
              </w:rPr>
              <w:t>1,819,817,611.53</w:t>
            </w:r>
          </w:p>
        </w:tc>
        <w:tc>
          <w:tcPr>
            <w:tcW w:w="2054" w:type="dxa"/>
            <w:tcBorders>
              <w:top w:val="single" w:sz="6" w:space="0" w:color="D3D3D3"/>
              <w:left w:val="single" w:sz="4" w:space="0" w:color="000000"/>
              <w:bottom w:val="single" w:sz="4" w:space="0" w:color="000000"/>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8"/>
                <w:szCs w:val="18"/>
              </w:rPr>
            </w:pPr>
            <w:r>
              <w:rPr>
                <w:rFonts w:ascii="Times New Roman"/>
                <w:spacing w:val="-1"/>
                <w:sz w:val="18"/>
              </w:rPr>
              <w:t>1,919,120,577.39</w:t>
            </w:r>
          </w:p>
        </w:tc>
      </w:tr>
      <w:tr>
        <w:trPr>
          <w:trHeight w:val="243"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427" w:type="dxa"/>
            <w:tcBorders>
              <w:top w:val="single" w:sz="4" w:space="0" w:color="000000"/>
              <w:left w:val="single" w:sz="13" w:space="0" w:color="D3D3D3"/>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6" w:lineRule="exact"/>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427" w:type="dxa"/>
            <w:tcBorders>
              <w:top w:val="single" w:sz="4" w:space="0" w:color="000000"/>
              <w:left w:val="single" w:sz="13" w:space="0" w:color="D3D3D3"/>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6" w:lineRule="exact"/>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427" w:type="dxa"/>
            <w:tcBorders>
              <w:top w:val="single" w:sz="4" w:space="0" w:color="000000"/>
              <w:left w:val="single" w:sz="13" w:space="0" w:color="D3D3D3"/>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427" w:type="dxa"/>
            <w:tcBorders>
              <w:top w:val="single" w:sz="4" w:space="0" w:color="000000"/>
              <w:left w:val="single" w:sz="13" w:space="0" w:color="D3D3D3"/>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427" w:type="dxa"/>
            <w:tcBorders>
              <w:top w:val="single" w:sz="4" w:space="0" w:color="000000"/>
              <w:left w:val="single" w:sz="13" w:space="0" w:color="D3D3D3"/>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427" w:type="dxa"/>
            <w:tcBorders>
              <w:top w:val="single" w:sz="4" w:space="0" w:color="000000"/>
              <w:left w:val="single" w:sz="13" w:space="0" w:color="D3D3D3"/>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处置以公允价值计量且其变动计入当期损益的金融资产净增</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加额</w:t>
            </w:r>
          </w:p>
        </w:tc>
        <w:tc>
          <w:tcPr>
            <w:tcW w:w="2427" w:type="dxa"/>
            <w:tcBorders>
              <w:top w:val="single" w:sz="4" w:space="0" w:color="000000"/>
              <w:left w:val="single" w:sz="13" w:space="0" w:color="D3D3D3"/>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427" w:type="dxa"/>
            <w:tcBorders>
              <w:top w:val="single" w:sz="4" w:space="0" w:color="000000"/>
              <w:left w:val="single" w:sz="13" w:space="0" w:color="D3D3D3"/>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427" w:type="dxa"/>
            <w:tcBorders>
              <w:top w:val="single" w:sz="4" w:space="0" w:color="000000"/>
              <w:left w:val="single" w:sz="13" w:space="0" w:color="D3D3D3"/>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427" w:type="dxa"/>
            <w:tcBorders>
              <w:top w:val="single" w:sz="4" w:space="0" w:color="000000"/>
              <w:left w:val="single" w:sz="13" w:space="0" w:color="D3D3D3"/>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427" w:type="dxa"/>
            <w:tcBorders>
              <w:top w:val="single" w:sz="4" w:space="0" w:color="000000"/>
              <w:left w:val="single" w:sz="13" w:space="0" w:color="D3D3D3"/>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156,512.72</w:t>
            </w:r>
          </w:p>
        </w:tc>
      </w:tr>
      <w:tr>
        <w:trPr>
          <w:trHeight w:val="243"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4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2"/>
                <w:sz w:val="18"/>
              </w:rPr>
              <w:t>118,831,411.27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152,912,863.29</w:t>
            </w:r>
          </w:p>
        </w:tc>
      </w:tr>
      <w:tr>
        <w:trPr>
          <w:trHeight w:val="244"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6" w:lineRule="exact"/>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1,938,649,022.80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2,072,189,953.40</w:t>
            </w:r>
          </w:p>
        </w:tc>
      </w:tr>
      <w:tr>
        <w:trPr>
          <w:trHeight w:val="244"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6" w:lineRule="exact"/>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4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1,037,738,280.25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pacing w:val="-1"/>
                <w:sz w:val="18"/>
              </w:rPr>
              <w:t>1,181,626,113.48</w:t>
            </w:r>
          </w:p>
        </w:tc>
      </w:tr>
      <w:tr>
        <w:trPr>
          <w:trHeight w:val="243"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6" w:lineRule="exact"/>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427" w:type="dxa"/>
            <w:tcBorders>
              <w:top w:val="single" w:sz="4" w:space="0" w:color="000000"/>
              <w:left w:val="single" w:sz="13" w:space="0" w:color="D3D3D3"/>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427" w:type="dxa"/>
            <w:tcBorders>
              <w:top w:val="single" w:sz="4" w:space="0" w:color="000000"/>
              <w:left w:val="single" w:sz="13" w:space="0" w:color="D3D3D3"/>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427" w:type="dxa"/>
            <w:tcBorders>
              <w:top w:val="single" w:sz="4" w:space="0" w:color="000000"/>
              <w:left w:val="single" w:sz="13" w:space="0" w:color="D3D3D3"/>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427" w:type="dxa"/>
            <w:tcBorders>
              <w:top w:val="single" w:sz="4" w:space="0" w:color="000000"/>
              <w:left w:val="single" w:sz="13" w:space="0" w:color="D3D3D3"/>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427" w:type="dxa"/>
            <w:tcBorders>
              <w:top w:val="single" w:sz="4" w:space="0" w:color="000000"/>
              <w:left w:val="single" w:sz="13" w:space="0" w:color="D3D3D3"/>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6" w:lineRule="exact"/>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4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377,004,277.58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364,981,515.77</w:t>
            </w:r>
          </w:p>
        </w:tc>
      </w:tr>
      <w:tr>
        <w:trPr>
          <w:trHeight w:val="244"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6" w:lineRule="exact"/>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4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63,302,412.90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64,048,090.82</w:t>
            </w:r>
          </w:p>
        </w:tc>
      </w:tr>
      <w:tr>
        <w:trPr>
          <w:trHeight w:val="243"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6" w:lineRule="exact"/>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4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196,793,430.65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276,288,724.69</w:t>
            </w:r>
          </w:p>
        </w:tc>
      </w:tr>
      <w:tr>
        <w:trPr>
          <w:trHeight w:val="244"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1,674,838,401.38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1,886,944,444.76</w:t>
            </w:r>
          </w:p>
        </w:tc>
      </w:tr>
      <w:tr>
        <w:trPr>
          <w:trHeight w:val="244"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27" w:type="dxa"/>
            <w:tcBorders>
              <w:top w:val="single" w:sz="4" w:space="0" w:color="000000"/>
              <w:left w:val="single" w:sz="13" w:space="0" w:color="D3D3D3"/>
              <w:bottom w:val="single" w:sz="6" w:space="0" w:color="D3D3D3"/>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263,810,621.42</w:t>
            </w:r>
          </w:p>
        </w:tc>
        <w:tc>
          <w:tcPr>
            <w:tcW w:w="2054" w:type="dxa"/>
            <w:tcBorders>
              <w:top w:val="single" w:sz="4" w:space="0" w:color="000000"/>
              <w:left w:val="single" w:sz="4" w:space="0" w:color="000000"/>
              <w:bottom w:val="single" w:sz="6" w:space="0" w:color="D3D3D3"/>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185,245,508.64</w:t>
            </w:r>
          </w:p>
        </w:tc>
      </w:tr>
      <w:tr>
        <w:trPr>
          <w:trHeight w:val="244"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42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0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44"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427" w:type="dxa"/>
            <w:tcBorders>
              <w:top w:val="single" w:sz="9" w:space="0" w:color="D3D3D3"/>
              <w:left w:val="single" w:sz="13" w:space="0" w:color="D3D3D3"/>
              <w:bottom w:val="single" w:sz="4" w:space="0" w:color="000000"/>
              <w:right w:val="single" w:sz="4" w:space="0" w:color="000000"/>
            </w:tcBorders>
          </w:tcPr>
          <w:p>
            <w:pPr>
              <w:pStyle w:val="TableParagraph"/>
              <w:spacing w:line="240" w:lineRule="auto" w:before="1"/>
              <w:ind w:right="19"/>
              <w:jc w:val="right"/>
              <w:rPr>
                <w:rFonts w:ascii="Times New Roman" w:hAnsi="Times New Roman" w:cs="Times New Roman" w:eastAsia="Times New Roman" w:hint="default"/>
                <w:sz w:val="18"/>
                <w:szCs w:val="18"/>
              </w:rPr>
            </w:pPr>
            <w:r>
              <w:rPr>
                <w:rFonts w:ascii="Times New Roman"/>
                <w:spacing w:val="-1"/>
                <w:sz w:val="18"/>
              </w:rPr>
              <w:t>450,844,286.57</w:t>
            </w:r>
          </w:p>
        </w:tc>
        <w:tc>
          <w:tcPr>
            <w:tcW w:w="2054" w:type="dxa"/>
            <w:tcBorders>
              <w:top w:val="single" w:sz="9" w:space="0" w:color="D3D3D3"/>
              <w:left w:val="single" w:sz="4" w:space="0" w:color="000000"/>
              <w:bottom w:val="single" w:sz="4" w:space="0" w:color="000000"/>
              <w:right w:val="single" w:sz="4" w:space="0" w:color="000000"/>
            </w:tcBorders>
          </w:tcPr>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pacing w:val="-1"/>
                <w:sz w:val="18"/>
              </w:rPr>
              <w:t>402,717,408.94</w:t>
            </w:r>
          </w:p>
        </w:tc>
      </w:tr>
      <w:tr>
        <w:trPr>
          <w:trHeight w:val="243"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4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34,417,795.39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18,220,795.80</w:t>
            </w:r>
          </w:p>
        </w:tc>
      </w:tr>
      <w:tr>
        <w:trPr>
          <w:trHeight w:val="244"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6" w:lineRule="exact"/>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4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1,978,677.48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13,742,422.35</w:t>
            </w:r>
          </w:p>
        </w:tc>
      </w:tr>
      <w:tr>
        <w:trPr>
          <w:trHeight w:val="243"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6" w:lineRule="exact"/>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4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508,029.03</w:t>
            </w: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4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6,170,865.47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2,841,077.64</w:t>
            </w:r>
          </w:p>
        </w:tc>
      </w:tr>
      <w:tr>
        <w:trPr>
          <w:trHeight w:val="244"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493,919,653.94</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437,521,704.73</w:t>
            </w:r>
          </w:p>
        </w:tc>
      </w:tr>
      <w:tr>
        <w:trPr>
          <w:trHeight w:val="244"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4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35,915,239.38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78,787,622.06</w:t>
            </w:r>
          </w:p>
        </w:tc>
      </w:tr>
      <w:tr>
        <w:trPr>
          <w:trHeight w:val="244"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4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476,275,521.10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589,603,828.63</w:t>
            </w:r>
          </w:p>
        </w:tc>
      </w:tr>
      <w:tr>
        <w:trPr>
          <w:trHeight w:val="243"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427" w:type="dxa"/>
            <w:tcBorders>
              <w:top w:val="single" w:sz="4" w:space="0" w:color="000000"/>
              <w:left w:val="single" w:sz="13" w:space="0" w:color="D3D3D3"/>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6" w:lineRule="exact"/>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4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4,371,079.10</w:t>
            </w: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6" w:lineRule="exact"/>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4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27,268,969.30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45,430,631.17</w:t>
            </w:r>
          </w:p>
        </w:tc>
      </w:tr>
      <w:tr>
        <w:trPr>
          <w:trHeight w:val="243"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6" w:lineRule="exact"/>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543,830,808.88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713,822,081.86</w:t>
            </w:r>
          </w:p>
        </w:tc>
      </w:tr>
      <w:tr>
        <w:trPr>
          <w:trHeight w:val="244"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27" w:type="dxa"/>
            <w:tcBorders>
              <w:top w:val="single" w:sz="4" w:space="0" w:color="000000"/>
              <w:left w:val="single" w:sz="13" w:space="0" w:color="D3D3D3"/>
              <w:bottom w:val="single" w:sz="6" w:space="0" w:color="D3D3D3"/>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-49,911,154.94</w:t>
            </w:r>
          </w:p>
        </w:tc>
        <w:tc>
          <w:tcPr>
            <w:tcW w:w="2054" w:type="dxa"/>
            <w:tcBorders>
              <w:top w:val="single" w:sz="4" w:space="0" w:color="000000"/>
              <w:left w:val="single" w:sz="4" w:space="0" w:color="000000"/>
              <w:bottom w:val="single" w:sz="6" w:space="0" w:color="D3D3D3"/>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-276,300,377.13</w:t>
            </w:r>
          </w:p>
        </w:tc>
      </w:tr>
      <w:tr>
        <w:trPr>
          <w:trHeight w:val="244"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42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0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44"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427" w:type="dxa"/>
            <w:tcBorders>
              <w:top w:val="single" w:sz="6" w:space="0" w:color="D3D3D3"/>
              <w:left w:val="single" w:sz="13" w:space="0" w:color="D3D3D3"/>
              <w:bottom w:val="single" w:sz="4" w:space="0" w:color="000000"/>
              <w:right w:val="single" w:sz="4" w:space="0" w:color="000000"/>
            </w:tcBorders>
          </w:tcPr>
          <w:p>
            <w:pPr>
              <w:pStyle w:val="TableParagraph"/>
              <w:spacing w:line="240" w:lineRule="auto" w:before="6"/>
              <w:ind w:right="19"/>
              <w:jc w:val="right"/>
              <w:rPr>
                <w:rFonts w:ascii="Times New Roman" w:hAnsi="Times New Roman" w:cs="Times New Roman" w:eastAsia="Times New Roman" w:hint="default"/>
                <w:sz w:val="18"/>
                <w:szCs w:val="18"/>
              </w:rPr>
            </w:pPr>
            <w:r>
              <w:rPr>
                <w:rFonts w:ascii="Times New Roman"/>
                <w:spacing w:val="-1"/>
                <w:sz w:val="18"/>
              </w:rPr>
              <w:t>4,500,000.00</w:t>
            </w:r>
          </w:p>
        </w:tc>
        <w:tc>
          <w:tcPr>
            <w:tcW w:w="2054" w:type="dxa"/>
            <w:tcBorders>
              <w:top w:val="single" w:sz="9" w:space="0" w:color="D3D3D3"/>
              <w:left w:val="single" w:sz="4" w:space="0" w:color="000000"/>
              <w:bottom w:val="single" w:sz="4" w:space="0" w:color="000000"/>
              <w:right w:val="single" w:sz="4" w:space="0" w:color="000000"/>
            </w:tcBorders>
          </w:tcPr>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pacing w:val="-1"/>
                <w:sz w:val="18"/>
              </w:rPr>
              <w:t>8,198,320.00</w:t>
            </w:r>
          </w:p>
        </w:tc>
      </w:tr>
      <w:tr>
        <w:trPr>
          <w:trHeight w:val="244"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4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4,500,000.00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8,198,320.00</w:t>
            </w:r>
          </w:p>
        </w:tc>
      </w:tr>
      <w:tr>
        <w:trPr>
          <w:trHeight w:val="243"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4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319,450,023.75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359,480,000.00</w:t>
            </w:r>
          </w:p>
        </w:tc>
      </w:tr>
      <w:tr>
        <w:trPr>
          <w:trHeight w:val="244"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6" w:lineRule="exact"/>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427" w:type="dxa"/>
            <w:tcBorders>
              <w:top w:val="single" w:sz="4" w:space="0" w:color="000000"/>
              <w:left w:val="single" w:sz="13" w:space="0" w:color="D3D3D3"/>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6" w:lineRule="exact"/>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4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18,500,000.00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25,535,159.00</w:t>
            </w:r>
          </w:p>
        </w:tc>
      </w:tr>
      <w:tr>
        <w:trPr>
          <w:trHeight w:val="244"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342,450,023.75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393,213,479.00</w:t>
            </w:r>
          </w:p>
        </w:tc>
      </w:tr>
      <w:tr>
        <w:trPr>
          <w:trHeight w:val="244"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4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300,700,000.00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126,750,000.00</w:t>
            </w:r>
          </w:p>
        </w:tc>
      </w:tr>
      <w:tr>
        <w:trPr>
          <w:trHeight w:val="244"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4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29,272,562.84</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31,421,747.62</w:t>
            </w:r>
          </w:p>
        </w:tc>
      </w:tr>
      <w:tr>
        <w:trPr>
          <w:trHeight w:val="244"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4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4,026,303.48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6,357,440.00</w:t>
            </w:r>
          </w:p>
        </w:tc>
      </w:tr>
      <w:tr>
        <w:trPr>
          <w:trHeight w:val="243"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4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212,546,374.98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189,738,291.37</w:t>
            </w:r>
          </w:p>
        </w:tc>
      </w:tr>
      <w:tr>
        <w:trPr>
          <w:trHeight w:val="244"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6" w:lineRule="exact"/>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542,518,937.82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347,910,038.99</w:t>
            </w:r>
          </w:p>
        </w:tc>
      </w:tr>
      <w:tr>
        <w:trPr>
          <w:trHeight w:val="243"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6" w:lineRule="exact"/>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-200,068,914.07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45,303,440.01</w:t>
            </w:r>
          </w:p>
        </w:tc>
      </w:tr>
      <w:tr>
        <w:trPr>
          <w:trHeight w:val="244"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4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1,403.51</w:t>
            </w: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4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13,831,955.92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-45,751,428.48</w:t>
            </w:r>
          </w:p>
        </w:tc>
      </w:tr>
      <w:tr>
        <w:trPr>
          <w:trHeight w:val="244"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4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731,355,688.83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777,107,117.31</w:t>
            </w:r>
          </w:p>
        </w:tc>
      </w:tr>
      <w:tr>
        <w:trPr>
          <w:trHeight w:val="244" w:hRule="exact"/>
        </w:trPr>
        <w:tc>
          <w:tcPr>
            <w:tcW w:w="5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4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745,187,644.75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731,355,688.83</w:t>
            </w:r>
          </w:p>
        </w:tc>
      </w:tr>
    </w:tbl>
    <w:p>
      <w:pPr>
        <w:spacing w:line="240" w:lineRule="auto" w:before="9"/>
        <w:rPr>
          <w:rFonts w:ascii="宋体" w:hAnsi="宋体" w:cs="宋体" w:eastAsia="宋体" w:hint="default"/>
          <w:sz w:val="14"/>
          <w:szCs w:val="14"/>
        </w:rPr>
      </w:pPr>
    </w:p>
    <w:p>
      <w:pPr>
        <w:pStyle w:val="BodyText"/>
        <w:spacing w:line="240" w:lineRule="auto" w:before="76"/>
        <w:ind w:left="0" w:right="1130"/>
        <w:jc w:val="right"/>
        <w:rPr>
          <w:rFonts w:ascii="Times New Roman" w:hAnsi="Times New Roman" w:cs="Times New Roman" w:eastAsia="Times New Roman" w:hint="default"/>
        </w:rPr>
      </w:pPr>
      <w:r>
        <w:rPr/>
        <w:pict>
          <v:shape style="position:absolute;margin-left:535.609985pt;margin-top:-18.120352pt;width:59.499296pt;height:26.797393pt;mso-position-horizontal-relative:page;mso-position-vertical-relative:paragraph;z-index:-1149040" type="#_x0000_t75" stroked="false">
            <v:imagedata r:id="rId14" o:title=""/>
          </v:shape>
        </w:pict>
      </w:r>
      <w:r>
        <w:rPr>
          <w:rFonts w:ascii="Times New Roman"/>
        </w:rPr>
        <w:t>74</w:t>
      </w:r>
    </w:p>
    <w:p>
      <w:pPr>
        <w:spacing w:after="0" w:line="240" w:lineRule="auto"/>
        <w:jc w:val="right"/>
        <w:rPr>
          <w:rFonts w:ascii="Times New Roman" w:hAnsi="Times New Roman" w:cs="Times New Roman" w:eastAsia="Times New Roman" w:hint="default"/>
        </w:rPr>
        <w:sectPr>
          <w:footerReference w:type="default" r:id="rId49"/>
          <w:pgSz w:w="11910" w:h="16840"/>
          <w:pgMar w:footer="0" w:header="736" w:top="1020" w:bottom="0" w:left="980" w:right="0"/>
        </w:sectPr>
      </w:pPr>
    </w:p>
    <w:p>
      <w:pPr>
        <w:spacing w:line="240" w:lineRule="auto" w:before="9"/>
        <w:rPr>
          <w:rFonts w:ascii="Times New Roman" w:hAnsi="Times New Roman" w:cs="Times New Roman" w:eastAsia="Times New Roman" w:hint="default"/>
          <w:sz w:val="26"/>
          <w:szCs w:val="26"/>
        </w:rPr>
      </w:pPr>
      <w:r>
        <w:rPr/>
        <w:pict>
          <v:group style="position:absolute;margin-left:55.200001pt;margin-top:55.619984pt;width:484.95pt;height:.1pt;mso-position-horizontal-relative:page;mso-position-vertical-relative:page;z-index:1696" coordorigin="1104,1112" coordsize="9699,2">
            <v:shape style="position:absolute;left:1104;top:1112;width:9699;height:2" coordorigin="1104,1112" coordsize="9699,0" path="m1104,1112l10802,1112e" filled="false" stroked="true" strokeweight=".72003pt" strokecolor="#000000">
              <v:path arrowok="t"/>
            </v:shape>
            <w10:wrap type="none"/>
          </v:group>
        </w:pict>
      </w: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946"/>
        <w:gridCol w:w="2846"/>
        <w:gridCol w:w="2764"/>
      </w:tblGrid>
      <w:tr>
        <w:trPr>
          <w:trHeight w:val="323"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84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76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22"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4,286,404.26</w:t>
            </w: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846" w:type="dxa"/>
            <w:tcBorders>
              <w:top w:val="single" w:sz="4" w:space="0" w:color="000000"/>
              <w:left w:val="single" w:sz="13" w:space="0" w:color="D3D3D3"/>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176,453,551.80</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373,443,280.42</w:t>
            </w:r>
          </w:p>
        </w:tc>
      </w:tr>
      <w:tr>
        <w:trPr>
          <w:trHeight w:val="322"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180,739,956.06</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373,443,280.42</w:t>
            </w:r>
          </w:p>
        </w:tc>
      </w:tr>
      <w:tr>
        <w:trPr>
          <w:trHeight w:val="323"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301,490.94</w:t>
            </w: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17,720,487.25</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16,280,572.21</w:t>
            </w:r>
          </w:p>
        </w:tc>
      </w:tr>
      <w:tr>
        <w:trPr>
          <w:trHeight w:val="322"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45,102.28</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138,803.89</w:t>
            </w:r>
          </w:p>
        </w:tc>
      </w:tr>
      <w:tr>
        <w:trPr>
          <w:trHeight w:val="323"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162,139,744.13</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352,325,703.01</w:t>
            </w:r>
          </w:p>
        </w:tc>
      </w:tr>
      <w:tr>
        <w:trPr>
          <w:trHeight w:val="322"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180,206,824.60</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368,745,079.11</w:t>
            </w:r>
          </w:p>
        </w:tc>
      </w:tr>
      <w:tr>
        <w:trPr>
          <w:trHeight w:val="322"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533,131.46</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4,698,201.31</w:t>
            </w:r>
          </w:p>
        </w:tc>
      </w:tr>
      <w:tr>
        <w:trPr>
          <w:trHeight w:val="323"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84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76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22"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75,100,000.00</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65,100,000.00</w:t>
            </w:r>
          </w:p>
        </w:tc>
      </w:tr>
      <w:tr>
        <w:trPr>
          <w:trHeight w:val="322"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5,431,984.52</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41,189,500.00</w:t>
            </w:r>
          </w:p>
        </w:tc>
      </w:tr>
      <w:tr>
        <w:trPr>
          <w:trHeight w:val="635"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1"/>
              <w:ind w:left="11" w:right="11"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处置固定资产、无形资产和其他长期资产收回</w:t>
            </w:r>
            <w:r>
              <w:rPr>
                <w:rFonts w:ascii="宋体" w:hAnsi="宋体" w:cs="宋体" w:eastAsia="宋体" w:hint="default"/>
                <w:sz w:val="18"/>
                <w:szCs w:val="18"/>
              </w:rPr>
              <w:t> 的现金净额</w:t>
            </w:r>
          </w:p>
        </w:tc>
        <w:tc>
          <w:tcPr>
            <w:tcW w:w="2846" w:type="dxa"/>
            <w:tcBorders>
              <w:top w:val="single" w:sz="4" w:space="0" w:color="000000"/>
              <w:left w:val="single" w:sz="13" w:space="0" w:color="D3D3D3"/>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43"/>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846" w:type="dxa"/>
            <w:tcBorders>
              <w:top w:val="single" w:sz="4" w:space="0" w:color="000000"/>
              <w:left w:val="single" w:sz="13" w:space="0" w:color="D3D3D3"/>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5,584,587.71</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166,666.68</w:t>
            </w:r>
          </w:p>
        </w:tc>
      </w:tr>
      <w:tr>
        <w:trPr>
          <w:trHeight w:val="323"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86,116,572.23</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106,456,166.68</w:t>
            </w:r>
          </w:p>
        </w:tc>
      </w:tr>
      <w:tr>
        <w:trPr>
          <w:trHeight w:val="634"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11" w:right="11"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购建固定资产、无形资产和其他长期资产支付</w:t>
            </w:r>
            <w:r>
              <w:rPr>
                <w:rFonts w:ascii="宋体" w:hAnsi="宋体" w:cs="宋体" w:eastAsia="宋体" w:hint="default"/>
                <w:sz w:val="18"/>
                <w:szCs w:val="18"/>
              </w:rPr>
              <w:t> 的现金</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145,280.00</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229,380.00</w:t>
            </w:r>
          </w:p>
        </w:tc>
      </w:tr>
      <w:tr>
        <w:trPr>
          <w:trHeight w:val="322"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188,326,000.00</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146,176,000.00</w:t>
            </w:r>
          </w:p>
        </w:tc>
      </w:tr>
      <w:tr>
        <w:trPr>
          <w:trHeight w:val="323"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43"/>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846" w:type="dxa"/>
            <w:tcBorders>
              <w:top w:val="single" w:sz="4" w:space="0" w:color="000000"/>
              <w:left w:val="single" w:sz="13" w:space="0" w:color="D3D3D3"/>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14,500,000.00</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322"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202,971,280.00</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156,405,380.00</w:t>
            </w:r>
          </w:p>
        </w:tc>
      </w:tr>
      <w:tr>
        <w:trPr>
          <w:trHeight w:val="323"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-116,854,707.77</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-49,949,213.32</w:t>
            </w:r>
          </w:p>
        </w:tc>
      </w:tr>
      <w:tr>
        <w:trPr>
          <w:trHeight w:val="322"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84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76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22"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846" w:type="dxa"/>
            <w:tcBorders>
              <w:top w:val="single" w:sz="4" w:space="0" w:color="000000"/>
              <w:left w:val="single" w:sz="13" w:space="0" w:color="D3D3D3"/>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225,000,000.00</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322"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846" w:type="dxa"/>
            <w:tcBorders>
              <w:top w:val="single" w:sz="4" w:space="0" w:color="000000"/>
              <w:left w:val="single" w:sz="13" w:space="0" w:color="D3D3D3"/>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26,500,000.00</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45,000,000.00</w:t>
            </w:r>
          </w:p>
        </w:tc>
      </w:tr>
      <w:tr>
        <w:trPr>
          <w:trHeight w:val="322"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251,500,000.00</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245,000,000.00</w:t>
            </w:r>
          </w:p>
        </w:tc>
      </w:tr>
      <w:tr>
        <w:trPr>
          <w:trHeight w:val="323"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190,000,000.00</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322"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14,947,611.30</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23,737,065.66</w:t>
            </w:r>
          </w:p>
        </w:tc>
      </w:tr>
      <w:tr>
        <w:trPr>
          <w:trHeight w:val="322"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22,478,165.19</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547,551.79</w:t>
            </w:r>
          </w:p>
        </w:tc>
      </w:tr>
      <w:tr>
        <w:trPr>
          <w:trHeight w:val="323"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227,425,776.49</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104,284,617.45</w:t>
            </w:r>
          </w:p>
        </w:tc>
      </w:tr>
      <w:tr>
        <w:trPr>
          <w:trHeight w:val="322"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24,074,223.51</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140,715,382.55</w:t>
            </w:r>
          </w:p>
        </w:tc>
      </w:tr>
      <w:tr>
        <w:trPr>
          <w:trHeight w:val="322"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846" w:type="dxa"/>
            <w:tcBorders>
              <w:top w:val="single" w:sz="4" w:space="0" w:color="000000"/>
              <w:left w:val="single" w:sz="13" w:space="0" w:color="D3D3D3"/>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-92,247,352.80</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95,464,370.54</w:t>
            </w:r>
          </w:p>
        </w:tc>
      </w:tr>
      <w:tr>
        <w:trPr>
          <w:trHeight w:val="322"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127,525,804.06</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32,061,433.52</w:t>
            </w:r>
          </w:p>
        </w:tc>
      </w:tr>
      <w:tr>
        <w:trPr>
          <w:trHeight w:val="323"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35,278,451.26</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127,525,804.06</w:t>
            </w:r>
          </w:p>
        </w:tc>
      </w:tr>
    </w:tbl>
    <w:p>
      <w:pPr>
        <w:pStyle w:val="BodyText"/>
        <w:spacing w:line="240" w:lineRule="auto" w:before="20"/>
        <w:ind w:left="0" w:right="1130"/>
        <w:jc w:val="right"/>
        <w:rPr>
          <w:rFonts w:ascii="Times New Roman" w:hAnsi="Times New Roman" w:cs="Times New Roman" w:eastAsia="Times New Roman" w:hint="default"/>
        </w:rPr>
      </w:pPr>
      <w:r>
        <w:rPr/>
        <w:pict>
          <v:shape style="position:absolute;margin-left:535.609985pt;margin-top:26.05975pt;width:59.499296pt;height:26.797393pt;mso-position-horizontal-relative:page;mso-position-vertical-relative:paragraph;z-index:1720" type="#_x0000_t75" stroked="false">
            <v:imagedata r:id="rId14" o:title=""/>
          </v:shape>
        </w:pict>
      </w:r>
      <w:r>
        <w:rPr>
          <w:rFonts w:ascii="Times New Roman"/>
        </w:rPr>
        <w:t>75</w:t>
      </w:r>
    </w:p>
    <w:p>
      <w:pPr>
        <w:spacing w:after="0" w:line="240" w:lineRule="auto"/>
        <w:jc w:val="right"/>
        <w:rPr>
          <w:rFonts w:ascii="Times New Roman" w:hAnsi="Times New Roman" w:cs="Times New Roman" w:eastAsia="Times New Roman" w:hint="default"/>
        </w:rPr>
        <w:sectPr>
          <w:headerReference w:type="default" r:id="rId50"/>
          <w:footerReference w:type="default" r:id="rId51"/>
          <w:pgSz w:w="11910" w:h="16840"/>
          <w:pgMar w:header="736" w:footer="0" w:top="1400" w:bottom="0" w:left="980" w:right="0"/>
        </w:sectPr>
      </w:pPr>
    </w:p>
    <w:p>
      <w:pPr>
        <w:pStyle w:val="Heading3"/>
        <w:spacing w:line="284" w:lineRule="exact" w:before="31"/>
        <w:ind w:left="679" w:right="0"/>
        <w:jc w:val="left"/>
        <w:rPr>
          <w:b w:val="0"/>
          <w:bCs w:val="0"/>
        </w:rPr>
      </w:pPr>
      <w:r>
        <w:rPr/>
        <w:pict>
          <v:group style="position:absolute;margin-left:70.490997pt;margin-top:2.23366pt;width:700.95pt;height:.1pt;mso-position-horizontal-relative:page;mso-position-vertical-relative:paragraph;z-index:-1148968" coordorigin="1410,45" coordsize="14019,2">
            <v:shape style="position:absolute;left:1410;top:45;width:14019;height:2" coordorigin="1410,45" coordsize="14019,0" path="m1410,45l15428,45e" filled="false" stroked="true" strokeweight=".72pt" strokecolor="#000000">
              <v:path arrowok="t"/>
            </v:shape>
            <w10:wrap type="none"/>
          </v:group>
        </w:pict>
      </w:r>
      <w:r>
        <w:rPr>
          <w:rFonts w:ascii="Times New Roman" w:hAnsi="Times New Roman" w:cs="Times New Roman" w:eastAsia="Times New Roman" w:hint="default"/>
          <w:w w:val="95"/>
        </w:rPr>
        <w:t>7</w:t>
      </w:r>
      <w:r>
        <w:rPr>
          <w:w w:val="95"/>
        </w:rPr>
        <w:t>、合并所有者权益变动表</w:t>
      </w:r>
      <w:r>
        <w:rPr>
          <w:b w:val="0"/>
          <w:bCs w:val="0"/>
        </w:rPr>
      </w:r>
    </w:p>
    <w:p>
      <w:pPr>
        <w:pStyle w:val="BodyText"/>
        <w:spacing w:line="229" w:lineRule="exact"/>
        <w:ind w:left="679" w:right="0"/>
        <w:jc w:val="left"/>
      </w:pPr>
      <w:r>
        <w:rPr/>
        <w:t>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23"/>
          <w:szCs w:val="23"/>
        </w:rPr>
      </w:pPr>
    </w:p>
    <w:p>
      <w:pPr>
        <w:pStyle w:val="BodyText"/>
        <w:spacing w:line="240" w:lineRule="auto"/>
        <w:ind w:left="679" w:right="0"/>
        <w:jc w:val="left"/>
      </w:pPr>
      <w:r>
        <w:rPr/>
        <w:pict>
          <v:group style="position:absolute;margin-left:462.351013pt;margin-top:38.052032pt;width:26.2pt;height:29.5pt;mso-position-horizontal-relative:page;mso-position-vertical-relative:paragraph;z-index:-1148944" coordorigin="9247,761" coordsize="524,590">
            <v:group style="position:absolute;left:9247;top:761;width:524;height:590" coordorigin="9247,761" coordsize="524,590">
              <v:shape style="position:absolute;left:9247;top:761;width:524;height:590" coordorigin="9247,761" coordsize="524,590" path="m9770,883l9770,761,9247,761,9356,883,9770,883xe" filled="true" fillcolor="#d3d3d3" stroked="false">
                <v:path arrowok="t"/>
                <v:fill type="solid"/>
              </v:shape>
              <v:shape style="position:absolute;left:9247;top:761;width:524;height:590" coordorigin="9247,761" coordsize="524,590" path="m9747,1350l9747,1325,9356,883,9270,883,9270,1350,9747,1350xe" filled="true" fillcolor="#d3d3d3" stroked="false">
                <v:path arrowok="t"/>
                <v:fill type="solid"/>
              </v:shape>
              <v:shape style="position:absolute;left:9247;top:761;width:524;height:590" coordorigin="9247,761" coordsize="524,590" path="m9770,1350l9770,883,9747,883,9747,1325,9770,1350xe" filled="true" fillcolor="#d3d3d3" stroked="false">
                <v:path arrowok="t"/>
                <v:fill type="solid"/>
              </v:shape>
            </v:group>
            <v:group style="position:absolute;left:9270;top:883;width:478;height:233" coordorigin="9270,883" coordsize="478,233">
              <v:shape style="position:absolute;left:9270;top:883;width:478;height:233" coordorigin="9270,883" coordsize="478,233" path="m9270,883l9270,1116,9747,1116,9747,883,9270,883xe" filled="true" fillcolor="#d3d3d3" stroked="false">
                <v:path arrowok="t"/>
                <v:fill type="solid"/>
              </v:shape>
            </v:group>
            <v:group style="position:absolute;left:9270;top:1116;width:478;height:234" coordorigin="9270,1116" coordsize="478,234">
              <v:shape style="position:absolute;left:9270;top:1116;width:478;height:234" coordorigin="9270,1116" coordsize="478,234" path="m9270,1116l9270,1350,9747,1350,9747,1116,9270,1116xe" filled="true" fillcolor="#d3d3d3" stroked="false">
                <v:path arrowok="t"/>
                <v:fill type="solid"/>
              </v:shape>
            </v:group>
            <w10:wrap type="none"/>
          </v:group>
        </w:pict>
      </w:r>
      <w:r>
        <w:rPr/>
        <w:t>单位：元</w:t>
      </w:r>
    </w:p>
    <w:p>
      <w:pPr>
        <w:spacing w:after="0" w:line="240" w:lineRule="auto"/>
        <w:jc w:val="left"/>
        <w:sectPr>
          <w:headerReference w:type="default" r:id="rId52"/>
          <w:footerReference w:type="default" r:id="rId53"/>
          <w:pgSz w:w="16840" w:h="11910" w:orient="landscape"/>
          <w:pgMar w:header="867" w:footer="978" w:top="1060" w:bottom="1160" w:left="760" w:right="1280"/>
          <w:pgNumType w:start="76"/>
          <w:cols w:num="2" w:equalWidth="0">
            <w:col w:w="3103" w:space="10135"/>
            <w:col w:w="1562"/>
          </w:cols>
        </w:sectPr>
      </w:pPr>
    </w:p>
    <w:p>
      <w:pPr>
        <w:spacing w:line="240" w:lineRule="auto" w:before="3"/>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866"/>
        <w:gridCol w:w="1328"/>
        <w:gridCol w:w="424"/>
        <w:gridCol w:w="424"/>
        <w:gridCol w:w="320"/>
        <w:gridCol w:w="1241"/>
        <w:gridCol w:w="710"/>
        <w:gridCol w:w="1045"/>
        <w:gridCol w:w="533"/>
        <w:gridCol w:w="1091"/>
        <w:gridCol w:w="745"/>
        <w:gridCol w:w="1316"/>
        <w:gridCol w:w="1182"/>
        <w:gridCol w:w="1315"/>
      </w:tblGrid>
      <w:tr>
        <w:trPr>
          <w:trHeight w:val="244" w:hRule="exact"/>
        </w:trPr>
        <w:tc>
          <w:tcPr>
            <w:tcW w:w="2866" w:type="dxa"/>
            <w:vMerge w:val="restart"/>
            <w:tcBorders>
              <w:top w:val="single" w:sz="4" w:space="0" w:color="000000"/>
              <w:left w:val="single" w:sz="4" w:space="0" w:color="000000"/>
              <w:right w:val="single" w:sz="4" w:space="0" w:color="000000"/>
            </w:tcBorders>
            <w:shd w:val="clear" w:color="auto" w:fill="D3D3D3"/>
          </w:tcPr>
          <w:p>
            <w:pPr/>
          </w:p>
        </w:tc>
        <w:tc>
          <w:tcPr>
            <w:tcW w:w="11674"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44" w:hRule="exact"/>
        </w:trPr>
        <w:tc>
          <w:tcPr>
            <w:tcW w:w="2866" w:type="dxa"/>
            <w:vMerge/>
            <w:tcBorders>
              <w:left w:val="single" w:sz="4" w:space="0" w:color="000000"/>
              <w:bottom w:val="nil" w:sz="6" w:space="0" w:color="auto"/>
              <w:right w:val="single" w:sz="4" w:space="0" w:color="000000"/>
            </w:tcBorders>
            <w:shd w:val="clear" w:color="auto" w:fill="D3D3D3"/>
          </w:tcPr>
          <w:p>
            <w:pPr/>
          </w:p>
        </w:tc>
        <w:tc>
          <w:tcPr>
            <w:tcW w:w="9177"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82" w:type="dxa"/>
            <w:vMerge w:val="restart"/>
            <w:tcBorders>
              <w:top w:val="single" w:sz="4" w:space="0" w:color="000000"/>
              <w:left w:val="single" w:sz="4" w:space="0" w:color="000000"/>
              <w:right w:val="single" w:sz="4" w:space="0" w:color="000000"/>
            </w:tcBorders>
            <w:shd w:val="clear" w:color="auto" w:fill="D3D3D3"/>
          </w:tcPr>
          <w:p>
            <w:pPr/>
          </w:p>
        </w:tc>
        <w:tc>
          <w:tcPr>
            <w:tcW w:w="1315" w:type="dxa"/>
            <w:vMerge w:val="restart"/>
            <w:tcBorders>
              <w:top w:val="single" w:sz="4" w:space="0" w:color="000000"/>
              <w:left w:val="single" w:sz="4" w:space="0" w:color="000000"/>
              <w:right w:val="single" w:sz="4" w:space="0" w:color="000000"/>
            </w:tcBorders>
            <w:shd w:val="clear" w:color="auto" w:fill="D3D3D3"/>
          </w:tcPr>
          <w:p>
            <w:pPr/>
          </w:p>
        </w:tc>
      </w:tr>
      <w:tr>
        <w:trPr>
          <w:trHeight w:val="127" w:hRule="exact"/>
        </w:trPr>
        <w:tc>
          <w:tcPr>
            <w:tcW w:w="2866" w:type="dxa"/>
            <w:vMerge w:val="restart"/>
            <w:tcBorders>
              <w:top w:val="nil" w:sz="6" w:space="0" w:color="auto"/>
              <w:left w:val="single" w:sz="4" w:space="0" w:color="000000"/>
              <w:right w:val="single" w:sz="4" w:space="0" w:color="000000"/>
            </w:tcBorders>
            <w:shd w:val="clear" w:color="auto" w:fill="D3D3D3"/>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28" w:type="dxa"/>
            <w:vMerge w:val="restart"/>
            <w:tcBorders>
              <w:top w:val="single" w:sz="4" w:space="0" w:color="000000"/>
              <w:left w:val="single" w:sz="4" w:space="0" w:color="000000"/>
              <w:right w:val="single" w:sz="4" w:space="0" w:color="000000"/>
            </w:tcBorders>
            <w:shd w:val="clear" w:color="auto" w:fill="D3D3D3"/>
          </w:tcPr>
          <w:p>
            <w:pPr/>
          </w:p>
        </w:tc>
        <w:tc>
          <w:tcPr>
            <w:tcW w:w="1168"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05" w:lineRule="exact"/>
              <w:ind w:left="3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41" w:type="dxa"/>
            <w:vMerge w:val="restart"/>
            <w:tcBorders>
              <w:top w:val="single" w:sz="4" w:space="0" w:color="000000"/>
              <w:left w:val="single" w:sz="4" w:space="0" w:color="000000"/>
              <w:right w:val="single" w:sz="4" w:space="0" w:color="000000"/>
            </w:tcBorders>
            <w:shd w:val="clear" w:color="auto" w:fill="D3D3D3"/>
          </w:tcPr>
          <w:p>
            <w:pPr/>
          </w:p>
        </w:tc>
        <w:tc>
          <w:tcPr>
            <w:tcW w:w="71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45" w:type="dxa"/>
            <w:tcBorders>
              <w:top w:val="single" w:sz="4" w:space="0" w:color="000000"/>
              <w:left w:val="single" w:sz="4" w:space="0" w:color="000000"/>
              <w:bottom w:val="nil" w:sz="6" w:space="0" w:color="auto"/>
              <w:right w:val="single" w:sz="4" w:space="0" w:color="000000"/>
            </w:tcBorders>
            <w:shd w:val="clear" w:color="auto" w:fill="D3D3D3"/>
          </w:tcPr>
          <w:p>
            <w:pPr/>
          </w:p>
        </w:tc>
        <w:tc>
          <w:tcPr>
            <w:tcW w:w="533" w:type="dxa"/>
            <w:vMerge w:val="restart"/>
            <w:tcBorders>
              <w:top w:val="single" w:sz="4" w:space="0" w:color="000000"/>
              <w:left w:val="single" w:sz="4" w:space="0" w:color="000000"/>
              <w:right w:val="single" w:sz="4" w:space="0" w:color="000000"/>
            </w:tcBorders>
            <w:shd w:val="clear" w:color="auto" w:fill="D3D3D3"/>
          </w:tcPr>
          <w:p>
            <w:pPr>
              <w:pStyle w:val="TableParagraph"/>
              <w:spacing w:line="232" w:lineRule="exact" w:before="116"/>
              <w:ind w:left="81" w:right="79"/>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091" w:type="dxa"/>
            <w:vMerge w:val="restart"/>
            <w:tcBorders>
              <w:top w:val="single" w:sz="4" w:space="0" w:color="000000"/>
              <w:left w:val="single" w:sz="4" w:space="0" w:color="000000"/>
              <w:right w:val="single" w:sz="4" w:space="0" w:color="000000"/>
            </w:tcBorders>
            <w:shd w:val="clear" w:color="auto" w:fill="D3D3D3"/>
          </w:tcPr>
          <w:p>
            <w:pPr/>
          </w:p>
        </w:tc>
        <w:tc>
          <w:tcPr>
            <w:tcW w:w="745" w:type="dxa"/>
            <w:tcBorders>
              <w:top w:val="single" w:sz="4" w:space="0" w:color="000000"/>
              <w:left w:val="single" w:sz="4" w:space="0" w:color="000000"/>
              <w:bottom w:val="nil" w:sz="6" w:space="0" w:color="auto"/>
              <w:right w:val="single" w:sz="4" w:space="0" w:color="000000"/>
            </w:tcBorders>
            <w:shd w:val="clear" w:color="auto" w:fill="D3D3D3"/>
          </w:tcPr>
          <w:p>
            <w:pPr/>
          </w:p>
        </w:tc>
        <w:tc>
          <w:tcPr>
            <w:tcW w:w="1316" w:type="dxa"/>
            <w:vMerge w:val="restart"/>
            <w:tcBorders>
              <w:top w:val="single" w:sz="4" w:space="0" w:color="000000"/>
              <w:left w:val="single" w:sz="4" w:space="0" w:color="000000"/>
              <w:right w:val="single" w:sz="4" w:space="0" w:color="000000"/>
            </w:tcBorders>
            <w:shd w:val="clear" w:color="auto" w:fill="D3D3D3"/>
          </w:tcPr>
          <w:p>
            <w:pPr/>
          </w:p>
        </w:tc>
        <w:tc>
          <w:tcPr>
            <w:tcW w:w="1182" w:type="dxa"/>
            <w:vMerge/>
            <w:tcBorders>
              <w:left w:val="single" w:sz="4" w:space="0" w:color="000000"/>
              <w:bottom w:val="nil" w:sz="6" w:space="0" w:color="auto"/>
              <w:right w:val="single" w:sz="4" w:space="0" w:color="000000"/>
            </w:tcBorders>
            <w:shd w:val="clear" w:color="auto" w:fill="D3D3D3"/>
          </w:tcPr>
          <w:p>
            <w:pPr/>
          </w:p>
        </w:tc>
        <w:tc>
          <w:tcPr>
            <w:tcW w:w="1315" w:type="dxa"/>
            <w:vMerge/>
            <w:tcBorders>
              <w:left w:val="single" w:sz="4" w:space="0" w:color="000000"/>
              <w:bottom w:val="nil" w:sz="6" w:space="0" w:color="auto"/>
              <w:right w:val="single" w:sz="4" w:space="0" w:color="000000"/>
            </w:tcBorders>
            <w:shd w:val="clear" w:color="auto" w:fill="D3D3D3"/>
          </w:tcPr>
          <w:p>
            <w:pPr/>
          </w:p>
        </w:tc>
      </w:tr>
      <w:tr>
        <w:trPr>
          <w:trHeight w:val="118" w:hRule="exact"/>
        </w:trPr>
        <w:tc>
          <w:tcPr>
            <w:tcW w:w="2866" w:type="dxa"/>
            <w:vMerge/>
            <w:tcBorders>
              <w:left w:val="single" w:sz="4" w:space="0" w:color="000000"/>
              <w:bottom w:val="nil" w:sz="6" w:space="0" w:color="auto"/>
              <w:right w:val="single" w:sz="4" w:space="0" w:color="000000"/>
            </w:tcBorders>
            <w:shd w:val="clear" w:color="auto" w:fill="D3D3D3"/>
          </w:tcPr>
          <w:p>
            <w:pPr/>
          </w:p>
        </w:tc>
        <w:tc>
          <w:tcPr>
            <w:tcW w:w="1328" w:type="dxa"/>
            <w:vMerge/>
            <w:tcBorders>
              <w:left w:val="single" w:sz="4" w:space="0" w:color="000000"/>
              <w:bottom w:val="nil" w:sz="6" w:space="0" w:color="auto"/>
              <w:right w:val="single" w:sz="4" w:space="0" w:color="000000"/>
            </w:tcBorders>
            <w:shd w:val="clear" w:color="auto" w:fill="D3D3D3"/>
          </w:tcPr>
          <w:p>
            <w:pPr/>
          </w:p>
        </w:tc>
        <w:tc>
          <w:tcPr>
            <w:tcW w:w="1168" w:type="dxa"/>
            <w:gridSpan w:val="3"/>
            <w:vMerge/>
            <w:tcBorders>
              <w:left w:val="single" w:sz="4" w:space="0" w:color="000000"/>
              <w:bottom w:val="single" w:sz="4" w:space="0" w:color="000000"/>
              <w:right w:val="single" w:sz="4" w:space="0" w:color="000000"/>
            </w:tcBorders>
            <w:shd w:val="clear" w:color="auto" w:fill="D3D3D3"/>
          </w:tcPr>
          <w:p>
            <w:pPr/>
          </w:p>
        </w:tc>
        <w:tc>
          <w:tcPr>
            <w:tcW w:w="1241" w:type="dxa"/>
            <w:vMerge/>
            <w:tcBorders>
              <w:left w:val="single" w:sz="4" w:space="0" w:color="000000"/>
              <w:bottom w:val="nil" w:sz="6" w:space="0" w:color="auto"/>
              <w:right w:val="single" w:sz="4" w:space="0" w:color="000000"/>
            </w:tcBorders>
            <w:shd w:val="clear" w:color="auto" w:fill="D3D3D3"/>
          </w:tcPr>
          <w:p>
            <w:pPr/>
          </w:p>
        </w:tc>
        <w:tc>
          <w:tcPr>
            <w:tcW w:w="710" w:type="dxa"/>
            <w:vMerge w:val="restart"/>
            <w:tcBorders>
              <w:top w:val="nil" w:sz="6" w:space="0" w:color="auto"/>
              <w:left w:val="single" w:sz="4" w:space="0" w:color="000000"/>
              <w:right w:val="single" w:sz="4" w:space="0" w:color="000000"/>
            </w:tcBorders>
            <w:shd w:val="clear" w:color="auto" w:fill="D3D3D3"/>
          </w:tcPr>
          <w:p>
            <w:pPr>
              <w:pStyle w:val="TableParagraph"/>
              <w:spacing w:line="204" w:lineRule="exact"/>
              <w:ind w:left="1" w:right="0"/>
              <w:jc w:val="center"/>
              <w:rPr>
                <w:rFonts w:ascii="宋体" w:hAnsi="宋体" w:cs="宋体" w:eastAsia="宋体" w:hint="default"/>
                <w:sz w:val="18"/>
                <w:szCs w:val="18"/>
              </w:rPr>
            </w:pPr>
            <w:r>
              <w:rPr>
                <w:rFonts w:ascii="宋体" w:hAnsi="宋体" w:cs="宋体" w:eastAsia="宋体" w:hint="default"/>
                <w:spacing w:val="-17"/>
                <w:sz w:val="18"/>
                <w:szCs w:val="18"/>
              </w:rPr>
              <w:t>减：库存</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045" w:type="dxa"/>
            <w:vMerge w:val="restart"/>
            <w:tcBorders>
              <w:top w:val="nil" w:sz="6" w:space="0" w:color="auto"/>
              <w:left w:val="single" w:sz="4" w:space="0" w:color="000000"/>
              <w:right w:val="single" w:sz="4" w:space="0" w:color="000000"/>
            </w:tcBorders>
            <w:shd w:val="clear" w:color="auto" w:fill="D3D3D3"/>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其他综合收</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益</w:t>
            </w:r>
          </w:p>
        </w:tc>
        <w:tc>
          <w:tcPr>
            <w:tcW w:w="533" w:type="dxa"/>
            <w:vMerge/>
            <w:tcBorders>
              <w:left w:val="single" w:sz="4" w:space="0" w:color="000000"/>
              <w:right w:val="single" w:sz="4" w:space="0" w:color="000000"/>
            </w:tcBorders>
            <w:shd w:val="clear" w:color="auto" w:fill="D3D3D3"/>
          </w:tcPr>
          <w:p>
            <w:pPr/>
          </w:p>
        </w:tc>
        <w:tc>
          <w:tcPr>
            <w:tcW w:w="1091" w:type="dxa"/>
            <w:vMerge/>
            <w:tcBorders>
              <w:left w:val="single" w:sz="4" w:space="0" w:color="000000"/>
              <w:bottom w:val="nil" w:sz="6" w:space="0" w:color="auto"/>
              <w:right w:val="single" w:sz="4" w:space="0" w:color="000000"/>
            </w:tcBorders>
            <w:shd w:val="clear" w:color="auto" w:fill="D3D3D3"/>
          </w:tcPr>
          <w:p>
            <w:pPr/>
          </w:p>
        </w:tc>
        <w:tc>
          <w:tcPr>
            <w:tcW w:w="745" w:type="dxa"/>
            <w:vMerge w:val="restart"/>
            <w:tcBorders>
              <w:top w:val="nil" w:sz="6" w:space="0" w:color="auto"/>
              <w:left w:val="single" w:sz="4" w:space="0" w:color="000000"/>
              <w:right w:val="single" w:sz="4" w:space="0" w:color="000000"/>
            </w:tcBorders>
            <w:shd w:val="clear" w:color="auto" w:fill="D3D3D3"/>
          </w:tcPr>
          <w:p>
            <w:pPr>
              <w:pStyle w:val="TableParagraph"/>
              <w:spacing w:line="207" w:lineRule="exact"/>
              <w:ind w:left="97" w:right="0"/>
              <w:jc w:val="left"/>
              <w:rPr>
                <w:rFonts w:ascii="宋体" w:hAnsi="宋体" w:cs="宋体" w:eastAsia="宋体" w:hint="default"/>
                <w:sz w:val="18"/>
                <w:szCs w:val="18"/>
              </w:rPr>
            </w:pPr>
            <w:r>
              <w:rPr>
                <w:rFonts w:ascii="宋体" w:hAnsi="宋体" w:cs="宋体" w:eastAsia="宋体" w:hint="default"/>
                <w:sz w:val="18"/>
                <w:szCs w:val="18"/>
              </w:rPr>
              <w:t>一般风</w:t>
            </w:r>
          </w:p>
          <w:p>
            <w:pPr>
              <w:pStyle w:val="TableParagraph"/>
              <w:spacing w:line="234" w:lineRule="exact"/>
              <w:ind w:left="97"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1316" w:type="dxa"/>
            <w:vMerge/>
            <w:tcBorders>
              <w:left w:val="single" w:sz="4" w:space="0" w:color="000000"/>
              <w:bottom w:val="nil" w:sz="6" w:space="0" w:color="auto"/>
              <w:right w:val="single" w:sz="4" w:space="0" w:color="000000"/>
            </w:tcBorders>
            <w:shd w:val="clear" w:color="auto" w:fill="D3D3D3"/>
          </w:tcPr>
          <w:p>
            <w:pPr/>
          </w:p>
        </w:tc>
        <w:tc>
          <w:tcPr>
            <w:tcW w:w="1182" w:type="dxa"/>
            <w:vMerge w:val="restart"/>
            <w:tcBorders>
              <w:top w:val="nil" w:sz="6" w:space="0" w:color="auto"/>
              <w:left w:val="single" w:sz="22" w:space="0" w:color="D3D3D3"/>
              <w:right w:val="single" w:sz="22" w:space="0" w:color="D3D3D3"/>
            </w:tcBorders>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少数股东权益</w:t>
            </w:r>
            <w:r>
              <w:rPr>
                <w:rFonts w:ascii="宋体" w:hAnsi="宋体" w:cs="宋体" w:eastAsia="宋体" w:hint="default"/>
                <w:sz w:val="18"/>
                <w:szCs w:val="18"/>
              </w:rPr>
            </w:r>
          </w:p>
        </w:tc>
        <w:tc>
          <w:tcPr>
            <w:tcW w:w="1315" w:type="dxa"/>
            <w:vMerge w:val="restart"/>
            <w:tcBorders>
              <w:top w:val="nil" w:sz="6" w:space="0" w:color="auto"/>
              <w:left w:val="single" w:sz="22" w:space="0" w:color="D3D3D3"/>
              <w:right w:val="single" w:sz="9" w:space="0" w:color="D3D3D3"/>
            </w:tcBorders>
          </w:tcPr>
          <w:p>
            <w:pPr>
              <w:pStyle w:val="TableParagraph"/>
              <w:spacing w:line="202" w:lineRule="exact"/>
              <w:ind w:left="-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所有者权益合计</w:t>
            </w:r>
            <w:r>
              <w:rPr>
                <w:rFonts w:ascii="宋体" w:hAnsi="宋体" w:cs="宋体" w:eastAsia="宋体" w:hint="default"/>
                <w:sz w:val="18"/>
                <w:szCs w:val="18"/>
              </w:rPr>
            </w:r>
          </w:p>
        </w:tc>
      </w:tr>
      <w:tr>
        <w:trPr>
          <w:trHeight w:val="112" w:hRule="exact"/>
        </w:trPr>
        <w:tc>
          <w:tcPr>
            <w:tcW w:w="2866" w:type="dxa"/>
            <w:vMerge w:val="restart"/>
            <w:tcBorders>
              <w:top w:val="nil" w:sz="6" w:space="0" w:color="auto"/>
              <w:left w:val="single" w:sz="4" w:space="0" w:color="000000"/>
              <w:right w:val="single" w:sz="4" w:space="0" w:color="000000"/>
            </w:tcBorders>
            <w:shd w:val="clear" w:color="auto" w:fill="D3D3D3"/>
          </w:tcPr>
          <w:p>
            <w:pPr/>
          </w:p>
        </w:tc>
        <w:tc>
          <w:tcPr>
            <w:tcW w:w="1328" w:type="dxa"/>
            <w:vMerge w:val="restart"/>
            <w:tcBorders>
              <w:top w:val="nil" w:sz="6" w:space="0" w:color="auto"/>
              <w:left w:val="single" w:sz="4" w:space="0" w:color="000000"/>
              <w:right w:val="single" w:sz="4" w:space="0" w:color="000000"/>
            </w:tcBorders>
            <w:shd w:val="clear" w:color="auto" w:fill="D3D3D3"/>
          </w:tcPr>
          <w:p>
            <w:pPr>
              <w:pStyle w:val="TableParagraph"/>
              <w:spacing w:line="207" w:lineRule="exact"/>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424" w:type="dxa"/>
            <w:vMerge w:val="restart"/>
            <w:tcBorders>
              <w:top w:val="single" w:sz="4" w:space="0" w:color="000000"/>
              <w:left w:val="single" w:sz="4" w:space="0" w:color="000000"/>
              <w:right w:val="single" w:sz="4" w:space="0" w:color="000000"/>
            </w:tcBorders>
            <w:shd w:val="clear" w:color="auto" w:fill="D3D3D3"/>
          </w:tcPr>
          <w:p>
            <w:pPr>
              <w:pStyle w:val="TableParagraph"/>
              <w:spacing w:line="205" w:lineRule="exact"/>
              <w:ind w:left="116" w:right="0" w:hanging="90"/>
              <w:jc w:val="left"/>
              <w:rPr>
                <w:rFonts w:ascii="宋体" w:hAnsi="宋体" w:cs="宋体" w:eastAsia="宋体" w:hint="default"/>
                <w:sz w:val="18"/>
                <w:szCs w:val="18"/>
              </w:rPr>
            </w:pPr>
            <w:r>
              <w:rPr>
                <w:rFonts w:ascii="宋体" w:hAnsi="宋体" w:cs="宋体" w:eastAsia="宋体" w:hint="default"/>
                <w:sz w:val="18"/>
                <w:szCs w:val="18"/>
              </w:rPr>
              <w:t>优先</w:t>
            </w:r>
          </w:p>
          <w:p>
            <w:pPr>
              <w:pStyle w:val="TableParagraph"/>
              <w:spacing w:line="234" w:lineRule="exact"/>
              <w:ind w:left="116" w:right="0"/>
              <w:jc w:val="left"/>
              <w:rPr>
                <w:rFonts w:ascii="宋体" w:hAnsi="宋体" w:cs="宋体" w:eastAsia="宋体" w:hint="default"/>
                <w:sz w:val="18"/>
                <w:szCs w:val="18"/>
              </w:rPr>
            </w:pPr>
            <w:r>
              <w:rPr>
                <w:rFonts w:ascii="宋体" w:hAnsi="宋体" w:cs="宋体" w:eastAsia="宋体" w:hint="default"/>
                <w:sz w:val="18"/>
                <w:szCs w:val="18"/>
              </w:rPr>
              <w:t>股</w:t>
            </w:r>
          </w:p>
        </w:tc>
        <w:tc>
          <w:tcPr>
            <w:tcW w:w="424" w:type="dxa"/>
            <w:vMerge w:val="restart"/>
            <w:tcBorders>
              <w:top w:val="single" w:sz="4" w:space="0" w:color="000000"/>
              <w:left w:val="single" w:sz="4" w:space="0" w:color="000000"/>
              <w:right w:val="single" w:sz="4" w:space="0" w:color="000000"/>
            </w:tcBorders>
            <w:shd w:val="clear" w:color="auto" w:fill="D3D3D3"/>
          </w:tcPr>
          <w:p>
            <w:pPr>
              <w:pStyle w:val="TableParagraph"/>
              <w:spacing w:line="205" w:lineRule="exact"/>
              <w:ind w:left="116" w:right="0" w:hanging="90"/>
              <w:jc w:val="left"/>
              <w:rPr>
                <w:rFonts w:ascii="宋体" w:hAnsi="宋体" w:cs="宋体" w:eastAsia="宋体" w:hint="default"/>
                <w:sz w:val="18"/>
                <w:szCs w:val="18"/>
              </w:rPr>
            </w:pPr>
            <w:r>
              <w:rPr>
                <w:rFonts w:ascii="宋体" w:hAnsi="宋体" w:cs="宋体" w:eastAsia="宋体" w:hint="default"/>
                <w:sz w:val="18"/>
                <w:szCs w:val="18"/>
              </w:rPr>
              <w:t>永续</w:t>
            </w:r>
          </w:p>
          <w:p>
            <w:pPr>
              <w:pStyle w:val="TableParagraph"/>
              <w:spacing w:line="234" w:lineRule="exact"/>
              <w:ind w:left="116" w:right="0"/>
              <w:jc w:val="left"/>
              <w:rPr>
                <w:rFonts w:ascii="宋体" w:hAnsi="宋体" w:cs="宋体" w:eastAsia="宋体" w:hint="default"/>
                <w:sz w:val="18"/>
                <w:szCs w:val="18"/>
              </w:rPr>
            </w:pPr>
            <w:r>
              <w:rPr>
                <w:rFonts w:ascii="宋体" w:hAnsi="宋体" w:cs="宋体" w:eastAsia="宋体" w:hint="default"/>
                <w:sz w:val="18"/>
                <w:szCs w:val="18"/>
              </w:rPr>
              <w:t>债</w:t>
            </w:r>
          </w:p>
        </w:tc>
        <w:tc>
          <w:tcPr>
            <w:tcW w:w="320" w:type="dxa"/>
            <w:vMerge w:val="restart"/>
            <w:tcBorders>
              <w:top w:val="single" w:sz="4" w:space="0" w:color="000000"/>
              <w:left w:val="single" w:sz="4" w:space="0" w:color="000000"/>
              <w:right w:val="single" w:sz="4" w:space="0" w:color="000000"/>
            </w:tcBorders>
            <w:shd w:val="clear" w:color="auto" w:fill="D3D3D3"/>
          </w:tcPr>
          <w:p>
            <w:pPr>
              <w:pStyle w:val="TableParagraph"/>
              <w:spacing w:line="205" w:lineRule="exact"/>
              <w:ind w:left="65"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4" w:lineRule="exact"/>
              <w:ind w:left="65"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241" w:type="dxa"/>
            <w:vMerge w:val="restart"/>
            <w:tcBorders>
              <w:top w:val="nil" w:sz="6" w:space="0" w:color="auto"/>
              <w:left w:val="single" w:sz="4" w:space="0" w:color="000000"/>
              <w:right w:val="single" w:sz="4" w:space="0" w:color="000000"/>
            </w:tcBorders>
            <w:shd w:val="clear" w:color="auto" w:fill="D3D3D3"/>
          </w:tcPr>
          <w:p>
            <w:pPr>
              <w:pStyle w:val="TableParagraph"/>
              <w:spacing w:line="207" w:lineRule="exact"/>
              <w:ind w:left="25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10" w:type="dxa"/>
            <w:vMerge/>
            <w:tcBorders>
              <w:left w:val="single" w:sz="4" w:space="0" w:color="000000"/>
              <w:right w:val="single" w:sz="4" w:space="0" w:color="000000"/>
            </w:tcBorders>
            <w:shd w:val="clear" w:color="auto" w:fill="D3D3D3"/>
          </w:tcPr>
          <w:p>
            <w:pPr/>
          </w:p>
        </w:tc>
        <w:tc>
          <w:tcPr>
            <w:tcW w:w="1045" w:type="dxa"/>
            <w:vMerge/>
            <w:tcBorders>
              <w:left w:val="single" w:sz="4" w:space="0" w:color="000000"/>
              <w:right w:val="single" w:sz="4" w:space="0" w:color="000000"/>
            </w:tcBorders>
            <w:shd w:val="clear" w:color="auto" w:fill="D3D3D3"/>
          </w:tcPr>
          <w:p>
            <w:pPr/>
          </w:p>
        </w:tc>
        <w:tc>
          <w:tcPr>
            <w:tcW w:w="533" w:type="dxa"/>
            <w:vMerge/>
            <w:tcBorders>
              <w:left w:val="single" w:sz="4" w:space="0" w:color="000000"/>
              <w:right w:val="single" w:sz="4" w:space="0" w:color="000000"/>
            </w:tcBorders>
            <w:shd w:val="clear" w:color="auto" w:fill="D3D3D3"/>
          </w:tcPr>
          <w:p>
            <w:pPr/>
          </w:p>
        </w:tc>
        <w:tc>
          <w:tcPr>
            <w:tcW w:w="1091" w:type="dxa"/>
            <w:vMerge w:val="restart"/>
            <w:tcBorders>
              <w:top w:val="nil" w:sz="6" w:space="0" w:color="auto"/>
              <w:left w:val="single" w:sz="4" w:space="0" w:color="000000"/>
              <w:right w:val="single" w:sz="4" w:space="0" w:color="000000"/>
            </w:tcBorders>
            <w:shd w:val="clear" w:color="auto" w:fill="D3D3D3"/>
          </w:tcPr>
          <w:p>
            <w:pPr>
              <w:pStyle w:val="TableParagraph"/>
              <w:spacing w:line="206" w:lineRule="exact"/>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45" w:type="dxa"/>
            <w:vMerge/>
            <w:tcBorders>
              <w:left w:val="single" w:sz="4" w:space="0" w:color="000000"/>
              <w:right w:val="single" w:sz="4" w:space="0" w:color="000000"/>
            </w:tcBorders>
            <w:shd w:val="clear" w:color="auto" w:fill="D3D3D3"/>
          </w:tcPr>
          <w:p>
            <w:pPr/>
          </w:p>
        </w:tc>
        <w:tc>
          <w:tcPr>
            <w:tcW w:w="1316" w:type="dxa"/>
            <w:vMerge w:val="restart"/>
            <w:tcBorders>
              <w:top w:val="nil" w:sz="6" w:space="0" w:color="auto"/>
              <w:left w:val="single" w:sz="4" w:space="0" w:color="000000"/>
              <w:right w:val="single" w:sz="4" w:space="0" w:color="000000"/>
            </w:tcBorders>
            <w:shd w:val="clear" w:color="auto" w:fill="D3D3D3"/>
          </w:tcPr>
          <w:p>
            <w:pPr>
              <w:pStyle w:val="TableParagraph"/>
              <w:spacing w:line="206" w:lineRule="exact"/>
              <w:ind w:left="20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82" w:type="dxa"/>
            <w:vMerge/>
            <w:tcBorders>
              <w:left w:val="single" w:sz="22" w:space="0" w:color="D3D3D3"/>
              <w:bottom w:val="nil" w:sz="6" w:space="0" w:color="auto"/>
              <w:right w:val="single" w:sz="22" w:space="0" w:color="D3D3D3"/>
            </w:tcBorders>
          </w:tcPr>
          <w:p>
            <w:pPr/>
          </w:p>
        </w:tc>
        <w:tc>
          <w:tcPr>
            <w:tcW w:w="1315" w:type="dxa"/>
            <w:vMerge/>
            <w:tcBorders>
              <w:left w:val="single" w:sz="22" w:space="0" w:color="D3D3D3"/>
              <w:bottom w:val="nil" w:sz="6" w:space="0" w:color="auto"/>
              <w:right w:val="single" w:sz="9" w:space="0" w:color="D3D3D3"/>
            </w:tcBorders>
          </w:tcPr>
          <w:p>
            <w:pPr/>
          </w:p>
        </w:tc>
      </w:tr>
      <w:tr>
        <w:trPr>
          <w:trHeight w:val="121" w:hRule="exact"/>
        </w:trPr>
        <w:tc>
          <w:tcPr>
            <w:tcW w:w="2866" w:type="dxa"/>
            <w:vMerge/>
            <w:tcBorders>
              <w:left w:val="single" w:sz="4" w:space="0" w:color="000000"/>
              <w:right w:val="single" w:sz="4" w:space="0" w:color="000000"/>
            </w:tcBorders>
            <w:shd w:val="clear" w:color="auto" w:fill="D3D3D3"/>
          </w:tcPr>
          <w:p>
            <w:pPr/>
          </w:p>
        </w:tc>
        <w:tc>
          <w:tcPr>
            <w:tcW w:w="1328" w:type="dxa"/>
            <w:vMerge/>
            <w:tcBorders>
              <w:left w:val="single" w:sz="4" w:space="0" w:color="000000"/>
              <w:bottom w:val="nil" w:sz="6" w:space="0" w:color="auto"/>
              <w:right w:val="single" w:sz="4" w:space="0" w:color="000000"/>
            </w:tcBorders>
            <w:shd w:val="clear" w:color="auto" w:fill="D3D3D3"/>
          </w:tcPr>
          <w:p>
            <w:pPr/>
          </w:p>
        </w:tc>
        <w:tc>
          <w:tcPr>
            <w:tcW w:w="424" w:type="dxa"/>
            <w:vMerge/>
            <w:tcBorders>
              <w:left w:val="single" w:sz="4" w:space="0" w:color="000000"/>
              <w:right w:val="single" w:sz="4" w:space="0" w:color="000000"/>
            </w:tcBorders>
            <w:shd w:val="clear" w:color="auto" w:fill="D3D3D3"/>
          </w:tcPr>
          <w:p>
            <w:pPr/>
          </w:p>
        </w:tc>
        <w:tc>
          <w:tcPr>
            <w:tcW w:w="424" w:type="dxa"/>
            <w:vMerge/>
            <w:tcBorders>
              <w:left w:val="single" w:sz="4" w:space="0" w:color="000000"/>
              <w:right w:val="single" w:sz="4" w:space="0" w:color="000000"/>
            </w:tcBorders>
            <w:shd w:val="clear" w:color="auto" w:fill="D3D3D3"/>
          </w:tcPr>
          <w:p>
            <w:pPr/>
          </w:p>
        </w:tc>
        <w:tc>
          <w:tcPr>
            <w:tcW w:w="320" w:type="dxa"/>
            <w:vMerge/>
            <w:tcBorders>
              <w:left w:val="single" w:sz="4" w:space="0" w:color="000000"/>
              <w:right w:val="single" w:sz="4" w:space="0" w:color="000000"/>
            </w:tcBorders>
            <w:shd w:val="clear" w:color="auto" w:fill="D3D3D3"/>
          </w:tcPr>
          <w:p>
            <w:pPr/>
          </w:p>
        </w:tc>
        <w:tc>
          <w:tcPr>
            <w:tcW w:w="1241" w:type="dxa"/>
            <w:vMerge/>
            <w:tcBorders>
              <w:left w:val="single" w:sz="4" w:space="0" w:color="000000"/>
              <w:bottom w:val="nil" w:sz="6" w:space="0" w:color="auto"/>
              <w:right w:val="single" w:sz="4" w:space="0" w:color="000000"/>
            </w:tcBorders>
            <w:shd w:val="clear" w:color="auto" w:fill="D3D3D3"/>
          </w:tcPr>
          <w:p>
            <w:pPr/>
          </w:p>
        </w:tc>
        <w:tc>
          <w:tcPr>
            <w:tcW w:w="710" w:type="dxa"/>
            <w:vMerge/>
            <w:tcBorders>
              <w:left w:val="single" w:sz="4" w:space="0" w:color="000000"/>
              <w:right w:val="single" w:sz="4" w:space="0" w:color="000000"/>
            </w:tcBorders>
            <w:shd w:val="clear" w:color="auto" w:fill="D3D3D3"/>
          </w:tcPr>
          <w:p>
            <w:pPr/>
          </w:p>
        </w:tc>
        <w:tc>
          <w:tcPr>
            <w:tcW w:w="1045" w:type="dxa"/>
            <w:vMerge/>
            <w:tcBorders>
              <w:left w:val="single" w:sz="4" w:space="0" w:color="000000"/>
              <w:right w:val="single" w:sz="4" w:space="0" w:color="000000"/>
            </w:tcBorders>
            <w:shd w:val="clear" w:color="auto" w:fill="D3D3D3"/>
          </w:tcPr>
          <w:p>
            <w:pPr/>
          </w:p>
        </w:tc>
        <w:tc>
          <w:tcPr>
            <w:tcW w:w="533" w:type="dxa"/>
            <w:vMerge/>
            <w:tcBorders>
              <w:left w:val="single" w:sz="4" w:space="0" w:color="000000"/>
              <w:right w:val="single" w:sz="4" w:space="0" w:color="000000"/>
            </w:tcBorders>
            <w:shd w:val="clear" w:color="auto" w:fill="D3D3D3"/>
          </w:tcPr>
          <w:p>
            <w:pPr/>
          </w:p>
        </w:tc>
        <w:tc>
          <w:tcPr>
            <w:tcW w:w="1091" w:type="dxa"/>
            <w:vMerge/>
            <w:tcBorders>
              <w:left w:val="single" w:sz="4" w:space="0" w:color="000000"/>
              <w:bottom w:val="nil" w:sz="6" w:space="0" w:color="auto"/>
              <w:right w:val="single" w:sz="4" w:space="0" w:color="000000"/>
            </w:tcBorders>
            <w:shd w:val="clear" w:color="auto" w:fill="D3D3D3"/>
          </w:tcPr>
          <w:p>
            <w:pPr/>
          </w:p>
        </w:tc>
        <w:tc>
          <w:tcPr>
            <w:tcW w:w="745" w:type="dxa"/>
            <w:vMerge/>
            <w:tcBorders>
              <w:left w:val="single" w:sz="4" w:space="0" w:color="000000"/>
              <w:right w:val="single" w:sz="4" w:space="0" w:color="000000"/>
            </w:tcBorders>
            <w:shd w:val="clear" w:color="auto" w:fill="D3D3D3"/>
          </w:tcPr>
          <w:p>
            <w:pPr/>
          </w:p>
        </w:tc>
        <w:tc>
          <w:tcPr>
            <w:tcW w:w="1316" w:type="dxa"/>
            <w:vMerge/>
            <w:tcBorders>
              <w:left w:val="single" w:sz="4" w:space="0" w:color="000000"/>
              <w:bottom w:val="nil" w:sz="6" w:space="0" w:color="auto"/>
              <w:right w:val="single" w:sz="4" w:space="0" w:color="000000"/>
            </w:tcBorders>
            <w:shd w:val="clear" w:color="auto" w:fill="D3D3D3"/>
          </w:tcPr>
          <w:p>
            <w:pPr/>
          </w:p>
        </w:tc>
        <w:tc>
          <w:tcPr>
            <w:tcW w:w="1182" w:type="dxa"/>
            <w:vMerge w:val="restart"/>
            <w:tcBorders>
              <w:top w:val="nil" w:sz="6" w:space="0" w:color="auto"/>
              <w:left w:val="single" w:sz="4" w:space="0" w:color="000000"/>
              <w:right w:val="single" w:sz="4" w:space="0" w:color="000000"/>
            </w:tcBorders>
            <w:shd w:val="clear" w:color="auto" w:fill="D3D3D3"/>
          </w:tcPr>
          <w:p>
            <w:pPr/>
          </w:p>
        </w:tc>
        <w:tc>
          <w:tcPr>
            <w:tcW w:w="1315" w:type="dxa"/>
            <w:vMerge w:val="restart"/>
            <w:tcBorders>
              <w:top w:val="nil" w:sz="6" w:space="0" w:color="auto"/>
              <w:left w:val="single" w:sz="4" w:space="0" w:color="000000"/>
              <w:right w:val="single" w:sz="4" w:space="0" w:color="000000"/>
            </w:tcBorders>
            <w:shd w:val="clear" w:color="auto" w:fill="D3D3D3"/>
          </w:tcPr>
          <w:p>
            <w:pPr/>
          </w:p>
        </w:tc>
      </w:tr>
      <w:tr>
        <w:trPr>
          <w:trHeight w:val="244" w:hRule="exact"/>
        </w:trPr>
        <w:tc>
          <w:tcPr>
            <w:tcW w:w="2866" w:type="dxa"/>
            <w:vMerge/>
            <w:tcBorders>
              <w:left w:val="single" w:sz="4" w:space="0" w:color="000000"/>
              <w:bottom w:val="single" w:sz="4" w:space="0" w:color="000000"/>
              <w:right w:val="single" w:sz="4" w:space="0" w:color="000000"/>
            </w:tcBorders>
            <w:shd w:val="clear" w:color="auto" w:fill="D3D3D3"/>
          </w:tcPr>
          <w:p>
            <w:pPr/>
          </w:p>
        </w:tc>
        <w:tc>
          <w:tcPr>
            <w:tcW w:w="1328" w:type="dxa"/>
            <w:tcBorders>
              <w:top w:val="nil" w:sz="6" w:space="0" w:color="auto"/>
              <w:left w:val="single" w:sz="4" w:space="0" w:color="000000"/>
              <w:bottom w:val="single" w:sz="4" w:space="0" w:color="000000"/>
              <w:right w:val="single" w:sz="4" w:space="0" w:color="000000"/>
            </w:tcBorders>
            <w:shd w:val="clear" w:color="auto" w:fill="D3D3D3"/>
          </w:tcPr>
          <w:p>
            <w:pPr/>
          </w:p>
        </w:tc>
        <w:tc>
          <w:tcPr>
            <w:tcW w:w="424" w:type="dxa"/>
            <w:vMerge/>
            <w:tcBorders>
              <w:left w:val="single" w:sz="4" w:space="0" w:color="000000"/>
              <w:bottom w:val="single" w:sz="4" w:space="0" w:color="000000"/>
              <w:right w:val="single" w:sz="4" w:space="0" w:color="000000"/>
            </w:tcBorders>
            <w:shd w:val="clear" w:color="auto" w:fill="D3D3D3"/>
          </w:tcPr>
          <w:p>
            <w:pPr/>
          </w:p>
        </w:tc>
        <w:tc>
          <w:tcPr>
            <w:tcW w:w="424" w:type="dxa"/>
            <w:vMerge/>
            <w:tcBorders>
              <w:left w:val="single" w:sz="4" w:space="0" w:color="000000"/>
              <w:bottom w:val="single" w:sz="4" w:space="0" w:color="000000"/>
              <w:right w:val="single" w:sz="4" w:space="0" w:color="000000"/>
            </w:tcBorders>
            <w:shd w:val="clear" w:color="auto" w:fill="D3D3D3"/>
          </w:tcPr>
          <w:p>
            <w:pPr/>
          </w:p>
        </w:tc>
        <w:tc>
          <w:tcPr>
            <w:tcW w:w="320" w:type="dxa"/>
            <w:vMerge/>
            <w:tcBorders>
              <w:left w:val="single" w:sz="4" w:space="0" w:color="000000"/>
              <w:bottom w:val="single" w:sz="4" w:space="0" w:color="000000"/>
              <w:right w:val="single" w:sz="4" w:space="0" w:color="000000"/>
            </w:tcBorders>
            <w:shd w:val="clear" w:color="auto" w:fill="D3D3D3"/>
          </w:tcPr>
          <w:p>
            <w:pPr/>
          </w:p>
        </w:tc>
        <w:tc>
          <w:tcPr>
            <w:tcW w:w="1241" w:type="dxa"/>
            <w:tcBorders>
              <w:top w:val="nil" w:sz="6" w:space="0" w:color="auto"/>
              <w:left w:val="single" w:sz="4" w:space="0" w:color="000000"/>
              <w:bottom w:val="single" w:sz="4" w:space="0" w:color="000000"/>
              <w:right w:val="single" w:sz="4" w:space="0" w:color="000000"/>
            </w:tcBorders>
            <w:shd w:val="clear" w:color="auto" w:fill="D3D3D3"/>
          </w:tcPr>
          <w:p>
            <w:pPr/>
          </w:p>
        </w:tc>
        <w:tc>
          <w:tcPr>
            <w:tcW w:w="710" w:type="dxa"/>
            <w:vMerge/>
            <w:tcBorders>
              <w:left w:val="single" w:sz="4" w:space="0" w:color="000000"/>
              <w:bottom w:val="single" w:sz="4" w:space="0" w:color="000000"/>
              <w:right w:val="single" w:sz="4" w:space="0" w:color="000000"/>
            </w:tcBorders>
            <w:shd w:val="clear" w:color="auto" w:fill="D3D3D3"/>
          </w:tcPr>
          <w:p>
            <w:pPr/>
          </w:p>
        </w:tc>
        <w:tc>
          <w:tcPr>
            <w:tcW w:w="1045" w:type="dxa"/>
            <w:vMerge/>
            <w:tcBorders>
              <w:left w:val="single" w:sz="4" w:space="0" w:color="000000"/>
              <w:bottom w:val="single" w:sz="4" w:space="0" w:color="000000"/>
              <w:right w:val="single" w:sz="4" w:space="0" w:color="000000"/>
            </w:tcBorders>
            <w:shd w:val="clear" w:color="auto" w:fill="D3D3D3"/>
          </w:tcPr>
          <w:p>
            <w:pPr/>
          </w:p>
        </w:tc>
        <w:tc>
          <w:tcPr>
            <w:tcW w:w="533" w:type="dxa"/>
            <w:vMerge/>
            <w:tcBorders>
              <w:left w:val="single" w:sz="4" w:space="0" w:color="000000"/>
              <w:bottom w:val="single" w:sz="4" w:space="0" w:color="000000"/>
              <w:right w:val="single" w:sz="4" w:space="0" w:color="000000"/>
            </w:tcBorders>
            <w:shd w:val="clear" w:color="auto" w:fill="D3D3D3"/>
          </w:tcPr>
          <w:p>
            <w:pPr/>
          </w:p>
        </w:tc>
        <w:tc>
          <w:tcPr>
            <w:tcW w:w="1091" w:type="dxa"/>
            <w:tcBorders>
              <w:top w:val="nil" w:sz="6" w:space="0" w:color="auto"/>
              <w:left w:val="single" w:sz="4" w:space="0" w:color="000000"/>
              <w:bottom w:val="single" w:sz="4" w:space="0" w:color="000000"/>
              <w:right w:val="single" w:sz="4" w:space="0" w:color="000000"/>
            </w:tcBorders>
            <w:shd w:val="clear" w:color="auto" w:fill="D3D3D3"/>
          </w:tcPr>
          <w:p>
            <w:pPr/>
          </w:p>
        </w:tc>
        <w:tc>
          <w:tcPr>
            <w:tcW w:w="745" w:type="dxa"/>
            <w:vMerge/>
            <w:tcBorders>
              <w:left w:val="single" w:sz="4" w:space="0" w:color="000000"/>
              <w:bottom w:val="single" w:sz="4" w:space="0" w:color="000000"/>
              <w:right w:val="single" w:sz="4" w:space="0" w:color="000000"/>
            </w:tcBorders>
            <w:shd w:val="clear" w:color="auto" w:fill="D3D3D3"/>
          </w:tcPr>
          <w:p>
            <w:pPr/>
          </w:p>
        </w:tc>
        <w:tc>
          <w:tcPr>
            <w:tcW w:w="1316" w:type="dxa"/>
            <w:tcBorders>
              <w:top w:val="nil" w:sz="6" w:space="0" w:color="auto"/>
              <w:left w:val="single" w:sz="4" w:space="0" w:color="000000"/>
              <w:bottom w:val="single" w:sz="4" w:space="0" w:color="000000"/>
              <w:right w:val="single" w:sz="4" w:space="0" w:color="000000"/>
            </w:tcBorders>
            <w:shd w:val="clear" w:color="auto" w:fill="D3D3D3"/>
          </w:tcPr>
          <w:p>
            <w:pPr/>
          </w:p>
        </w:tc>
        <w:tc>
          <w:tcPr>
            <w:tcW w:w="1182" w:type="dxa"/>
            <w:vMerge/>
            <w:tcBorders>
              <w:left w:val="single" w:sz="4" w:space="0" w:color="000000"/>
              <w:bottom w:val="single" w:sz="4" w:space="0" w:color="000000"/>
              <w:right w:val="single" w:sz="4" w:space="0" w:color="000000"/>
            </w:tcBorders>
            <w:shd w:val="clear" w:color="auto" w:fill="D3D3D3"/>
          </w:tcPr>
          <w:p>
            <w:pPr/>
          </w:p>
        </w:tc>
        <w:tc>
          <w:tcPr>
            <w:tcW w:w="1315" w:type="dxa"/>
            <w:vMerge/>
            <w:tcBorders>
              <w:left w:val="single" w:sz="4" w:space="0" w:color="000000"/>
              <w:bottom w:val="single" w:sz="4" w:space="0" w:color="000000"/>
              <w:right w:val="single" w:sz="4" w:space="0" w:color="000000"/>
            </w:tcBorders>
            <w:shd w:val="clear" w:color="auto" w:fill="D3D3D3"/>
          </w:tcPr>
          <w:p>
            <w:pPr/>
          </w:p>
        </w:tc>
      </w:tr>
      <w:tr>
        <w:trPr>
          <w:trHeight w:val="244" w:hRule="exact"/>
        </w:trPr>
        <w:tc>
          <w:tcPr>
            <w:tcW w:w="2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1,017,698,410.00</w:t>
            </w:r>
          </w:p>
        </w:tc>
        <w:tc>
          <w:tcPr>
            <w:tcW w:w="424"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-234,802,992.81</w:t>
            </w:r>
          </w:p>
        </w:tc>
        <w:tc>
          <w:tcPr>
            <w:tcW w:w="710" w:type="dxa"/>
            <w:tcBorders>
              <w:top w:val="single" w:sz="52" w:space="0" w:color="D3D3D3"/>
              <w:left w:val="single" w:sz="4" w:space="0" w:color="000000"/>
              <w:bottom w:val="single" w:sz="4" w:space="0" w:color="000000"/>
              <w:right w:val="single" w:sz="4" w:space="0" w:color="000000"/>
            </w:tcBorders>
          </w:tcPr>
          <w:p>
            <w:pPr/>
          </w:p>
        </w:tc>
        <w:tc>
          <w:tcPr>
            <w:tcW w:w="1045" w:type="dxa"/>
            <w:tcBorders>
              <w:top w:val="single" w:sz="52" w:space="0" w:color="D3D3D3"/>
              <w:left w:val="single" w:sz="4" w:space="0" w:color="000000"/>
              <w:bottom w:val="single" w:sz="4" w:space="0" w:color="000000"/>
              <w:right w:val="single" w:sz="4" w:space="0" w:color="000000"/>
            </w:tcBorders>
          </w:tcPr>
          <w:p>
            <w:pPr>
              <w:pStyle w:val="TableParagraph"/>
              <w:spacing w:line="155" w:lineRule="exact"/>
              <w:ind w:right="20"/>
              <w:jc w:val="right"/>
              <w:rPr>
                <w:rFonts w:ascii="Times New Roman" w:hAnsi="Times New Roman" w:cs="Times New Roman" w:eastAsia="Times New Roman" w:hint="default"/>
                <w:sz w:val="18"/>
                <w:szCs w:val="18"/>
              </w:rPr>
            </w:pPr>
            <w:r>
              <w:rPr>
                <w:rFonts w:ascii="Times New Roman"/>
                <w:spacing w:val="-1"/>
                <w:sz w:val="18"/>
              </w:rPr>
              <w:t>2,190,121.44</w:t>
            </w:r>
          </w:p>
        </w:tc>
        <w:tc>
          <w:tcPr>
            <w:tcW w:w="5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71,424,943.39</w:t>
            </w:r>
          </w:p>
        </w:tc>
        <w:tc>
          <w:tcPr>
            <w:tcW w:w="745" w:type="dxa"/>
            <w:tcBorders>
              <w:top w:val="single" w:sz="52" w:space="0" w:color="D3D3D3"/>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943,649,656.35</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204,397,316.39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2,004,557,454.76</w:t>
            </w:r>
          </w:p>
        </w:tc>
      </w:tr>
      <w:tr>
        <w:trPr>
          <w:trHeight w:val="244" w:hRule="exact"/>
        </w:trPr>
        <w:tc>
          <w:tcPr>
            <w:tcW w:w="2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28" w:type="dxa"/>
            <w:tcBorders>
              <w:top w:val="single" w:sz="4" w:space="0" w:color="000000"/>
              <w:left w:val="single" w:sz="13" w:space="0" w:color="D3D3D3"/>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28" w:type="dxa"/>
            <w:tcBorders>
              <w:top w:val="single" w:sz="4" w:space="0" w:color="000000"/>
              <w:left w:val="single" w:sz="13" w:space="0" w:color="D3D3D3"/>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731"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328" w:type="dxa"/>
            <w:tcBorders>
              <w:top w:val="single" w:sz="4" w:space="0" w:color="000000"/>
              <w:left w:val="single" w:sz="13" w:space="0" w:color="D3D3D3"/>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8" w:type="dxa"/>
            <w:tcBorders>
              <w:top w:val="single" w:sz="4" w:space="0" w:color="000000"/>
              <w:left w:val="single" w:sz="13" w:space="0" w:color="D3D3D3"/>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1,017,698,410.00</w:t>
            </w:r>
          </w:p>
        </w:tc>
        <w:tc>
          <w:tcPr>
            <w:tcW w:w="424"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-234,802,992.81</w:t>
            </w:r>
          </w:p>
        </w:tc>
        <w:tc>
          <w:tcPr>
            <w:tcW w:w="710"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pacing w:val="-1"/>
                <w:sz w:val="18"/>
              </w:rPr>
              <w:t>2,190,121.44</w:t>
            </w:r>
          </w:p>
        </w:tc>
        <w:tc>
          <w:tcPr>
            <w:tcW w:w="5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71,424,943.39</w:t>
            </w:r>
          </w:p>
        </w:tc>
        <w:tc>
          <w:tcPr>
            <w:tcW w:w="74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pacing w:val="-1"/>
                <w:sz w:val="18"/>
              </w:rPr>
              <w:t>943,649,656.35</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pacing w:val="-1"/>
                <w:sz w:val="18"/>
              </w:rPr>
              <w:t>204,397,316.39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2,004,557,454.76</w:t>
            </w:r>
          </w:p>
        </w:tc>
      </w:tr>
      <w:tr>
        <w:trPr>
          <w:trHeight w:val="478" w:hRule="exact"/>
        </w:trPr>
        <w:tc>
          <w:tcPr>
            <w:tcW w:w="2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2" w:lineRule="exact"/>
              <w:ind w:left="11"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三、本期增减变动金额（减少以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p>
          <w:p>
            <w:pPr>
              <w:pStyle w:val="TableParagraph"/>
              <w:spacing w:line="227" w:lineRule="exact"/>
              <w:ind w:left="1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328" w:type="dxa"/>
            <w:tcBorders>
              <w:top w:val="single" w:sz="4" w:space="0" w:color="000000"/>
              <w:left w:val="single" w:sz="9" w:space="0" w:color="D3D3D3"/>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9"/>
              <w:jc w:val="right"/>
              <w:rPr>
                <w:rFonts w:ascii="Times New Roman" w:hAnsi="Times New Roman" w:cs="Times New Roman" w:eastAsia="Times New Roman" w:hint="default"/>
                <w:sz w:val="18"/>
                <w:szCs w:val="18"/>
              </w:rPr>
            </w:pPr>
            <w:r>
              <w:rPr>
                <w:rFonts w:ascii="Times New Roman"/>
                <w:sz w:val="18"/>
              </w:rPr>
              <w:t>479,878.50</w:t>
            </w:r>
          </w:p>
        </w:tc>
        <w:tc>
          <w:tcPr>
            <w:tcW w:w="710"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132,213.68</w:t>
            </w:r>
          </w:p>
        </w:tc>
        <w:tc>
          <w:tcPr>
            <w:tcW w:w="5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9"/>
              <w:jc w:val="right"/>
              <w:rPr>
                <w:rFonts w:ascii="Times New Roman" w:hAnsi="Times New Roman" w:cs="Times New Roman" w:eastAsia="Times New Roman" w:hint="default"/>
                <w:sz w:val="18"/>
                <w:szCs w:val="18"/>
              </w:rPr>
            </w:pPr>
            <w:r>
              <w:rPr>
                <w:rFonts w:ascii="Times New Roman"/>
                <w:sz w:val="18"/>
              </w:rPr>
              <w:t>-138,535.00</w:t>
            </w:r>
          </w:p>
        </w:tc>
        <w:tc>
          <w:tcPr>
            <w:tcW w:w="74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89,914,794.04</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27,051,199.78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9"/>
              <w:jc w:val="right"/>
              <w:rPr>
                <w:rFonts w:ascii="Times New Roman" w:hAnsi="Times New Roman" w:cs="Times New Roman" w:eastAsia="Times New Roman" w:hint="default"/>
                <w:sz w:val="18"/>
                <w:szCs w:val="18"/>
              </w:rPr>
            </w:pPr>
            <w:r>
              <w:rPr>
                <w:rFonts w:ascii="Times New Roman"/>
                <w:spacing w:val="-1"/>
                <w:sz w:val="18"/>
              </w:rPr>
              <w:t>117,439,551.00</w:t>
            </w:r>
          </w:p>
        </w:tc>
      </w:tr>
      <w:tr>
        <w:trPr>
          <w:trHeight w:val="242" w:hRule="exact"/>
        </w:trPr>
        <w:tc>
          <w:tcPr>
            <w:tcW w:w="2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28" w:type="dxa"/>
            <w:tcBorders>
              <w:top w:val="single" w:sz="4" w:space="0" w:color="000000"/>
              <w:left w:val="single" w:sz="9" w:space="0" w:color="D3D3D3"/>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132,213.68</w:t>
            </w:r>
          </w:p>
        </w:tc>
        <w:tc>
          <w:tcPr>
            <w:tcW w:w="5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105,180,270.19</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51,572,841.31</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156,885,325.18</w:t>
            </w:r>
          </w:p>
        </w:tc>
      </w:tr>
      <w:tr>
        <w:trPr>
          <w:trHeight w:val="244" w:hRule="exact"/>
        </w:trPr>
        <w:tc>
          <w:tcPr>
            <w:tcW w:w="2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328" w:type="dxa"/>
            <w:tcBorders>
              <w:top w:val="single" w:sz="4" w:space="0" w:color="000000"/>
              <w:left w:val="single" w:sz="9" w:space="0" w:color="D3D3D3"/>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479,878.50</w:t>
            </w:r>
          </w:p>
        </w:tc>
        <w:tc>
          <w:tcPr>
            <w:tcW w:w="710"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-138,535.00</w:t>
            </w:r>
          </w:p>
        </w:tc>
        <w:tc>
          <w:tcPr>
            <w:tcW w:w="74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pacing w:val="-1"/>
                <w:sz w:val="18"/>
              </w:rPr>
              <w:t>4,500,000.00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4,841,343.50</w:t>
            </w:r>
          </w:p>
        </w:tc>
      </w:tr>
      <w:tr>
        <w:trPr>
          <w:trHeight w:val="244" w:hRule="exact"/>
        </w:trPr>
        <w:tc>
          <w:tcPr>
            <w:tcW w:w="2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0"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328" w:type="dxa"/>
            <w:tcBorders>
              <w:top w:val="single" w:sz="4" w:space="0" w:color="000000"/>
              <w:left w:val="single" w:sz="9" w:space="0" w:color="D3D3D3"/>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pacing w:val="-1"/>
                <w:sz w:val="18"/>
              </w:rPr>
              <w:t>4,500,000.00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4,500,000.00</w:t>
            </w:r>
          </w:p>
        </w:tc>
      </w:tr>
      <w:tr>
        <w:trPr>
          <w:trHeight w:val="244" w:hRule="exact"/>
        </w:trPr>
        <w:tc>
          <w:tcPr>
            <w:tcW w:w="2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0"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328" w:type="dxa"/>
            <w:tcBorders>
              <w:top w:val="single" w:sz="4" w:space="0" w:color="000000"/>
              <w:left w:val="single" w:sz="9" w:space="0" w:color="D3D3D3"/>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328" w:type="dxa"/>
            <w:tcBorders>
              <w:top w:val="single" w:sz="4" w:space="0" w:color="000000"/>
              <w:left w:val="single" w:sz="9" w:space="0" w:color="D3D3D3"/>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28" w:type="dxa"/>
            <w:tcBorders>
              <w:top w:val="single" w:sz="4" w:space="0" w:color="000000"/>
              <w:left w:val="single" w:sz="9" w:space="0" w:color="D3D3D3"/>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479,878.50</w:t>
            </w:r>
          </w:p>
        </w:tc>
        <w:tc>
          <w:tcPr>
            <w:tcW w:w="710"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-138,535.00</w:t>
            </w:r>
          </w:p>
        </w:tc>
        <w:tc>
          <w:tcPr>
            <w:tcW w:w="74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341,343.50</w:t>
            </w:r>
          </w:p>
        </w:tc>
      </w:tr>
      <w:tr>
        <w:trPr>
          <w:trHeight w:val="244" w:hRule="exact"/>
        </w:trPr>
        <w:tc>
          <w:tcPr>
            <w:tcW w:w="2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28" w:type="dxa"/>
            <w:tcBorders>
              <w:top w:val="single" w:sz="4" w:space="0" w:color="000000"/>
              <w:left w:val="single" w:sz="9" w:space="0" w:color="D3D3D3"/>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-15,265,476.15</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-29,021,641.53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-44,287,117.68</w:t>
            </w:r>
          </w:p>
        </w:tc>
      </w:tr>
      <w:tr>
        <w:trPr>
          <w:trHeight w:val="244" w:hRule="exact"/>
        </w:trPr>
        <w:tc>
          <w:tcPr>
            <w:tcW w:w="2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28" w:type="dxa"/>
            <w:tcBorders>
              <w:top w:val="single" w:sz="4" w:space="0" w:color="000000"/>
              <w:left w:val="single" w:sz="9" w:space="0" w:color="D3D3D3"/>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328" w:type="dxa"/>
            <w:tcBorders>
              <w:top w:val="single" w:sz="4" w:space="0" w:color="000000"/>
              <w:left w:val="single" w:sz="9" w:space="0" w:color="D3D3D3"/>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0"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328" w:type="dxa"/>
            <w:tcBorders>
              <w:top w:val="single" w:sz="4" w:space="0" w:color="000000"/>
              <w:left w:val="single" w:sz="9" w:space="0" w:color="D3D3D3"/>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pacing w:val="-1"/>
                <w:sz w:val="18"/>
              </w:rPr>
              <w:t>-15,265,476.15</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pacing w:val="-1"/>
                <w:sz w:val="18"/>
              </w:rPr>
              <w:t>-4,026,303.48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-19,291,779.63</w:t>
            </w:r>
          </w:p>
        </w:tc>
      </w:tr>
      <w:tr>
        <w:trPr>
          <w:trHeight w:val="244" w:hRule="exact"/>
        </w:trPr>
        <w:tc>
          <w:tcPr>
            <w:tcW w:w="2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0"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28" w:type="dxa"/>
            <w:tcBorders>
              <w:top w:val="single" w:sz="4" w:space="0" w:color="000000"/>
              <w:left w:val="single" w:sz="9" w:space="0" w:color="D3D3D3"/>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pacing w:val="-1"/>
                <w:sz w:val="18"/>
              </w:rPr>
              <w:t>-24,995,338.05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-24,995,338.05</w:t>
            </w:r>
          </w:p>
        </w:tc>
      </w:tr>
      <w:tr>
        <w:trPr>
          <w:trHeight w:val="244" w:hRule="exact"/>
        </w:trPr>
        <w:tc>
          <w:tcPr>
            <w:tcW w:w="2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328" w:type="dxa"/>
            <w:tcBorders>
              <w:top w:val="single" w:sz="4" w:space="0" w:color="000000"/>
              <w:left w:val="single" w:sz="9" w:space="0" w:color="D3D3D3"/>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328" w:type="dxa"/>
            <w:tcBorders>
              <w:top w:val="single" w:sz="4" w:space="0" w:color="000000"/>
              <w:left w:val="single" w:sz="9" w:space="0" w:color="D3D3D3"/>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328" w:type="dxa"/>
            <w:tcBorders>
              <w:top w:val="single" w:sz="4" w:space="0" w:color="000000"/>
              <w:left w:val="single" w:sz="9" w:space="0" w:color="D3D3D3"/>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28" w:type="dxa"/>
            <w:tcBorders>
              <w:top w:val="single" w:sz="4" w:space="0" w:color="000000"/>
              <w:left w:val="single" w:sz="9" w:space="0" w:color="D3D3D3"/>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．设定受益计划变动额结转留存收</w:t>
            </w:r>
          </w:p>
          <w:p>
            <w:pPr>
              <w:pStyle w:val="TableParagraph"/>
              <w:spacing w:line="227" w:lineRule="exact"/>
              <w:ind w:left="11"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328" w:type="dxa"/>
            <w:tcBorders>
              <w:top w:val="single" w:sz="4" w:space="0" w:color="000000"/>
              <w:left w:val="single" w:sz="9" w:space="0" w:color="D3D3D3"/>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328" w:type="dxa"/>
            <w:tcBorders>
              <w:top w:val="single" w:sz="4" w:space="0" w:color="000000"/>
              <w:left w:val="single" w:sz="9" w:space="0" w:color="D3D3D3"/>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28" w:type="dxa"/>
            <w:tcBorders>
              <w:top w:val="single" w:sz="4" w:space="0" w:color="000000"/>
              <w:left w:val="single" w:sz="9" w:space="0" w:color="D3D3D3"/>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28" w:type="dxa"/>
            <w:tcBorders>
              <w:top w:val="single" w:sz="4" w:space="0" w:color="000000"/>
              <w:left w:val="single" w:sz="9" w:space="0" w:color="D3D3D3"/>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28" w:type="dxa"/>
            <w:tcBorders>
              <w:top w:val="single" w:sz="4" w:space="0" w:color="000000"/>
              <w:left w:val="single" w:sz="9" w:space="0" w:color="D3D3D3"/>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28" w:type="dxa"/>
            <w:tcBorders>
              <w:top w:val="single" w:sz="4" w:space="0" w:color="000000"/>
              <w:left w:val="single" w:sz="9" w:space="0" w:color="D3D3D3"/>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
              <w:ind w:left="3" w:right="0"/>
              <w:jc w:val="center"/>
              <w:rPr>
                <w:rFonts w:ascii="Times New Roman" w:hAnsi="Times New Roman" w:cs="Times New Roman" w:eastAsia="Times New Roman" w:hint="default"/>
                <w:sz w:val="18"/>
                <w:szCs w:val="18"/>
              </w:rPr>
            </w:pPr>
            <w:r>
              <w:rPr>
                <w:rFonts w:ascii="Times New Roman"/>
                <w:sz w:val="18"/>
              </w:rPr>
              <w:t>1,017,698,410.00</w:t>
            </w:r>
          </w:p>
        </w:tc>
        <w:tc>
          <w:tcPr>
            <w:tcW w:w="424"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-234,323,114.31</w:t>
            </w:r>
          </w:p>
        </w:tc>
        <w:tc>
          <w:tcPr>
            <w:tcW w:w="710"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pacing w:val="-1"/>
                <w:sz w:val="18"/>
              </w:rPr>
              <w:t>2,322,335.12</w:t>
            </w:r>
          </w:p>
        </w:tc>
        <w:tc>
          <w:tcPr>
            <w:tcW w:w="5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71,286,408.39</w:t>
            </w:r>
          </w:p>
        </w:tc>
        <w:tc>
          <w:tcPr>
            <w:tcW w:w="74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1,033,564,450.39</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pacing w:val="-1"/>
                <w:sz w:val="18"/>
              </w:rPr>
              <w:t>231,448,516.17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2,121,997,005.76</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060" w:bottom="1180" w:left="760" w:right="1280"/>
        </w:sectPr>
      </w:pPr>
    </w:p>
    <w:p>
      <w:pPr>
        <w:spacing w:line="240" w:lineRule="auto" w:before="12"/>
        <w:rPr>
          <w:rFonts w:ascii="宋体" w:hAnsi="宋体" w:cs="宋体" w:eastAsia="宋体" w:hint="default"/>
          <w:sz w:val="2"/>
          <w:szCs w:val="2"/>
        </w:rPr>
      </w:pPr>
    </w:p>
    <w:p>
      <w:pPr>
        <w:spacing w:line="20" w:lineRule="exact"/>
        <w:ind w:left="48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20"/>
        <w:ind w:left="519" w:right="0"/>
        <w:jc w:val="left"/>
      </w:pPr>
      <w:r>
        <w:rPr/>
        <w:t>上期金额</w:t>
      </w:r>
    </w:p>
    <w:p>
      <w:pPr>
        <w:pStyle w:val="BodyText"/>
        <w:spacing w:line="240" w:lineRule="auto" w:before="116"/>
        <w:ind w:left="0" w:right="159"/>
        <w:jc w:val="right"/>
      </w:pPr>
      <w:r>
        <w:rPr/>
        <w:pict>
          <v:group style="position:absolute;margin-left:414.411011pt;margin-top:47.69202pt;width:80.650pt;height:29.4pt;mso-position-horizontal-relative:page;mso-position-vertical-relative:paragraph;z-index:-1148896" coordorigin="8288,954" coordsize="1613,588">
            <v:group style="position:absolute;left:8288;top:954;width:1068;height:588" coordorigin="8288,954" coordsize="1068,588">
              <v:shape style="position:absolute;left:8288;top:954;width:1068;height:588" coordorigin="8288,954" coordsize="1068,588" path="m9356,1075l9356,954,8288,954,8508,1075,9356,1075xe" filled="true" fillcolor="#d3d3d3" stroked="false">
                <v:path arrowok="t"/>
                <v:fill type="solid"/>
              </v:shape>
              <v:shape style="position:absolute;left:8288;top:954;width:1068;height:588" coordorigin="8288,954" coordsize="1068,588" path="m9332,1542l9332,1529,8508,1075,8311,1075,8311,1542,9332,1542xe" filled="true" fillcolor="#d3d3d3" stroked="false">
                <v:path arrowok="t"/>
                <v:fill type="solid"/>
              </v:shape>
              <v:shape style="position:absolute;left:8288;top:954;width:1068;height:588" coordorigin="8288,954" coordsize="1068,588" path="m9356,1542l9356,1075,9332,1075,9332,1529,9356,1542xe" filled="true" fillcolor="#d3d3d3" stroked="false">
                <v:path arrowok="t"/>
                <v:fill type="solid"/>
              </v:shape>
            </v:group>
            <v:group style="position:absolute;left:8311;top:1075;width:1022;height:234" coordorigin="8311,1075" coordsize="1022,234">
              <v:shape style="position:absolute;left:8311;top:1075;width:1022;height:234" coordorigin="8311,1075" coordsize="1022,234" path="m8311,1075l8311,1309,9332,1309,9332,1075,8311,1075xe" filled="true" fillcolor="#d3d3d3" stroked="false">
                <v:path arrowok="t"/>
                <v:fill type="solid"/>
              </v:shape>
            </v:group>
            <v:group style="position:absolute;left:8311;top:1309;width:1022;height:233" coordorigin="8311,1309" coordsize="1022,233">
              <v:shape style="position:absolute;left:8311;top:1309;width:1022;height:233" coordorigin="8311,1309" coordsize="1022,233" path="m8311,1309l8311,1542,9332,1542,9332,1309,8311,1309xe" filled="true" fillcolor="#d3d3d3" stroked="false">
                <v:path arrowok="t"/>
                <v:fill type="solid"/>
              </v:shape>
            </v:group>
            <v:group style="position:absolute;left:9366;top:954;width:536;height:588" coordorigin="9366,954" coordsize="536,588">
              <v:shape style="position:absolute;left:9366;top:954;width:536;height:588" coordorigin="9366,954" coordsize="536,588" path="m9901,1075l9901,954,9366,954,9476,1075,9901,1075xe" filled="true" fillcolor="#d3d3d3" stroked="false">
                <v:path arrowok="t"/>
                <v:fill type="solid"/>
              </v:shape>
              <v:shape style="position:absolute;left:9366;top:954;width:536;height:588" coordorigin="9366,954" coordsize="536,588" path="m9878,1542l9878,1517,9476,1075,9389,1075,9389,1542,9878,1542xe" filled="true" fillcolor="#d3d3d3" stroked="false">
                <v:path arrowok="t"/>
                <v:fill type="solid"/>
              </v:shape>
              <v:shape style="position:absolute;left:9366;top:954;width:536;height:588" coordorigin="9366,954" coordsize="536,588" path="m9901,1542l9901,1075,9878,1075,9878,1517,9901,1542xe" filled="true" fillcolor="#d3d3d3" stroked="false">
                <v:path arrowok="t"/>
                <v:fill type="solid"/>
              </v:shape>
            </v:group>
            <v:group style="position:absolute;left:9389;top:1075;width:490;height:234" coordorigin="9389,1075" coordsize="490,234">
              <v:shape style="position:absolute;left:9389;top:1075;width:490;height:234" coordorigin="9389,1075" coordsize="490,234" path="m9389,1075l9389,1309,9878,1309,9878,1075,9389,1075xe" filled="true" fillcolor="#d3d3d3" stroked="false">
                <v:path arrowok="t"/>
                <v:fill type="solid"/>
              </v:shape>
            </v:group>
            <v:group style="position:absolute;left:9389;top:1309;width:490;height:233" coordorigin="9389,1309" coordsize="490,233">
              <v:shape style="position:absolute;left:9389;top:1309;width:490;height:233" coordorigin="9389,1309" coordsize="490,233" path="m9389,1309l9389,1542,9878,1542,9878,1309,9389,1309xe" filled="true" fillcolor="#d3d3d3" stroked="false">
                <v:path arrowok="t"/>
                <v:fill type="solid"/>
              </v:shape>
            </v:group>
            <w10:wrap type="none"/>
          </v:group>
        </w:pict>
      </w:r>
      <w:r>
        <w:rPr/>
        <w:t>单位：元</w:t>
      </w:r>
    </w:p>
    <w:p>
      <w:pPr>
        <w:spacing w:line="240" w:lineRule="auto" w:before="1"/>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2741"/>
        <w:gridCol w:w="1328"/>
        <w:gridCol w:w="442"/>
        <w:gridCol w:w="443"/>
        <w:gridCol w:w="338"/>
        <w:gridCol w:w="1241"/>
        <w:gridCol w:w="726"/>
        <w:gridCol w:w="1078"/>
        <w:gridCol w:w="545"/>
        <w:gridCol w:w="1091"/>
        <w:gridCol w:w="751"/>
        <w:gridCol w:w="1181"/>
        <w:gridCol w:w="1181"/>
        <w:gridCol w:w="1316"/>
      </w:tblGrid>
      <w:tr>
        <w:trPr>
          <w:trHeight w:val="244" w:hRule="exact"/>
        </w:trPr>
        <w:tc>
          <w:tcPr>
            <w:tcW w:w="2741" w:type="dxa"/>
            <w:vMerge w:val="restart"/>
            <w:tcBorders>
              <w:top w:val="single" w:sz="4" w:space="0" w:color="000000"/>
              <w:left w:val="single" w:sz="4" w:space="0" w:color="000000"/>
              <w:right w:val="single" w:sz="4" w:space="0" w:color="000000"/>
            </w:tcBorders>
            <w:shd w:val="clear" w:color="auto" w:fill="D3D3D3"/>
          </w:tcPr>
          <w:p>
            <w:pPr/>
          </w:p>
        </w:tc>
        <w:tc>
          <w:tcPr>
            <w:tcW w:w="11660"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42" w:hRule="exact"/>
        </w:trPr>
        <w:tc>
          <w:tcPr>
            <w:tcW w:w="2741" w:type="dxa"/>
            <w:vMerge/>
            <w:tcBorders>
              <w:left w:val="single" w:sz="4" w:space="0" w:color="000000"/>
              <w:bottom w:val="nil" w:sz="6" w:space="0" w:color="auto"/>
              <w:right w:val="single" w:sz="4" w:space="0" w:color="000000"/>
            </w:tcBorders>
            <w:shd w:val="clear" w:color="auto" w:fill="D3D3D3"/>
          </w:tcPr>
          <w:p>
            <w:pPr/>
          </w:p>
        </w:tc>
        <w:tc>
          <w:tcPr>
            <w:tcW w:w="9163"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81" w:type="dxa"/>
            <w:vMerge w:val="restart"/>
            <w:tcBorders>
              <w:top w:val="single" w:sz="4" w:space="0" w:color="000000"/>
              <w:left w:val="single" w:sz="4" w:space="0" w:color="000000"/>
              <w:right w:val="single" w:sz="4" w:space="0" w:color="000000"/>
            </w:tcBorders>
            <w:shd w:val="clear" w:color="auto" w:fill="D3D3D3"/>
          </w:tcPr>
          <w:p>
            <w:pPr/>
          </w:p>
        </w:tc>
        <w:tc>
          <w:tcPr>
            <w:tcW w:w="1316" w:type="dxa"/>
            <w:vMerge w:val="restart"/>
            <w:tcBorders>
              <w:top w:val="single" w:sz="4" w:space="0" w:color="000000"/>
              <w:left w:val="single" w:sz="4" w:space="0" w:color="000000"/>
              <w:right w:val="single" w:sz="4" w:space="0" w:color="000000"/>
            </w:tcBorders>
            <w:shd w:val="clear" w:color="auto" w:fill="D3D3D3"/>
          </w:tcPr>
          <w:p>
            <w:pPr/>
          </w:p>
        </w:tc>
      </w:tr>
      <w:tr>
        <w:trPr>
          <w:trHeight w:val="127" w:hRule="exact"/>
        </w:trPr>
        <w:tc>
          <w:tcPr>
            <w:tcW w:w="2741" w:type="dxa"/>
            <w:vMerge w:val="restart"/>
            <w:tcBorders>
              <w:top w:val="nil" w:sz="6" w:space="0" w:color="auto"/>
              <w:left w:val="single" w:sz="4" w:space="0" w:color="000000"/>
              <w:right w:val="single" w:sz="4" w:space="0" w:color="000000"/>
            </w:tcBorders>
            <w:shd w:val="clear" w:color="auto" w:fill="D3D3D3"/>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28" w:type="dxa"/>
            <w:vMerge w:val="restart"/>
            <w:tcBorders>
              <w:top w:val="single" w:sz="4" w:space="0" w:color="000000"/>
              <w:left w:val="single" w:sz="4" w:space="0" w:color="000000"/>
              <w:right w:val="single" w:sz="4" w:space="0" w:color="000000"/>
            </w:tcBorders>
            <w:shd w:val="clear" w:color="auto" w:fill="D3D3D3"/>
          </w:tcPr>
          <w:p>
            <w:pPr/>
          </w:p>
        </w:tc>
        <w:tc>
          <w:tcPr>
            <w:tcW w:w="1223"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07" w:lineRule="exact"/>
              <w:ind w:left="6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41" w:type="dxa"/>
            <w:vMerge w:val="restart"/>
            <w:tcBorders>
              <w:top w:val="single" w:sz="4" w:space="0" w:color="000000"/>
              <w:left w:val="single" w:sz="4" w:space="0" w:color="000000"/>
              <w:right w:val="single" w:sz="4" w:space="0" w:color="000000"/>
            </w:tcBorders>
            <w:shd w:val="clear" w:color="auto" w:fill="D3D3D3"/>
          </w:tcPr>
          <w:p>
            <w:pPr/>
          </w:p>
        </w:tc>
        <w:tc>
          <w:tcPr>
            <w:tcW w:w="726" w:type="dxa"/>
            <w:tcBorders>
              <w:top w:val="single" w:sz="4" w:space="0" w:color="000000"/>
              <w:left w:val="single" w:sz="4" w:space="0" w:color="000000"/>
              <w:bottom w:val="nil" w:sz="6" w:space="0" w:color="auto"/>
              <w:right w:val="single" w:sz="4" w:space="0" w:color="000000"/>
            </w:tcBorders>
            <w:shd w:val="clear" w:color="auto" w:fill="D3D3D3"/>
          </w:tcPr>
          <w:p>
            <w:pPr/>
          </w:p>
        </w:tc>
        <w:tc>
          <w:tcPr>
            <w:tcW w:w="10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2"/>
              <w:ind w:left="443" w:right="82"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54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2"/>
              <w:ind w:left="86" w:right="8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091" w:type="dxa"/>
            <w:vMerge w:val="restart"/>
            <w:tcBorders>
              <w:top w:val="single" w:sz="4" w:space="0" w:color="000000"/>
              <w:left w:val="single" w:sz="4" w:space="0" w:color="000000"/>
              <w:right w:val="single" w:sz="4" w:space="0" w:color="000000"/>
            </w:tcBorders>
            <w:shd w:val="clear" w:color="auto" w:fill="D3D3D3"/>
          </w:tcPr>
          <w:p>
            <w:pPr/>
          </w:p>
        </w:tc>
        <w:tc>
          <w:tcPr>
            <w:tcW w:w="751" w:type="dxa"/>
            <w:tcBorders>
              <w:top w:val="single" w:sz="4" w:space="0" w:color="000000"/>
              <w:left w:val="single" w:sz="4" w:space="0" w:color="000000"/>
              <w:bottom w:val="nil" w:sz="6" w:space="0" w:color="auto"/>
              <w:right w:val="single" w:sz="4" w:space="0" w:color="000000"/>
            </w:tcBorders>
            <w:shd w:val="clear" w:color="auto" w:fill="D3D3D3"/>
          </w:tcPr>
          <w:p>
            <w:pPr/>
          </w:p>
        </w:tc>
        <w:tc>
          <w:tcPr>
            <w:tcW w:w="1181" w:type="dxa"/>
            <w:vMerge w:val="restart"/>
            <w:tcBorders>
              <w:top w:val="single" w:sz="4" w:space="0" w:color="000000"/>
              <w:left w:val="single" w:sz="4" w:space="0" w:color="000000"/>
              <w:right w:val="single" w:sz="4" w:space="0" w:color="000000"/>
            </w:tcBorders>
            <w:shd w:val="clear" w:color="auto" w:fill="D3D3D3"/>
          </w:tcPr>
          <w:p>
            <w:pPr/>
          </w:p>
        </w:tc>
        <w:tc>
          <w:tcPr>
            <w:tcW w:w="1181" w:type="dxa"/>
            <w:vMerge/>
            <w:tcBorders>
              <w:left w:val="single" w:sz="4" w:space="0" w:color="000000"/>
              <w:bottom w:val="nil" w:sz="6" w:space="0" w:color="auto"/>
              <w:right w:val="single" w:sz="4" w:space="0" w:color="000000"/>
            </w:tcBorders>
            <w:shd w:val="clear" w:color="auto" w:fill="D3D3D3"/>
          </w:tcPr>
          <w:p>
            <w:pPr/>
          </w:p>
        </w:tc>
        <w:tc>
          <w:tcPr>
            <w:tcW w:w="1316" w:type="dxa"/>
            <w:vMerge/>
            <w:tcBorders>
              <w:left w:val="single" w:sz="4" w:space="0" w:color="000000"/>
              <w:bottom w:val="nil" w:sz="6" w:space="0" w:color="auto"/>
              <w:right w:val="single" w:sz="4" w:space="0" w:color="000000"/>
            </w:tcBorders>
            <w:shd w:val="clear" w:color="auto" w:fill="D3D3D3"/>
          </w:tcPr>
          <w:p>
            <w:pPr/>
          </w:p>
        </w:tc>
      </w:tr>
      <w:tr>
        <w:trPr>
          <w:trHeight w:val="118" w:hRule="exact"/>
        </w:trPr>
        <w:tc>
          <w:tcPr>
            <w:tcW w:w="2741" w:type="dxa"/>
            <w:vMerge/>
            <w:tcBorders>
              <w:left w:val="single" w:sz="4" w:space="0" w:color="000000"/>
              <w:bottom w:val="nil" w:sz="6" w:space="0" w:color="auto"/>
              <w:right w:val="single" w:sz="4" w:space="0" w:color="000000"/>
            </w:tcBorders>
            <w:shd w:val="clear" w:color="auto" w:fill="D3D3D3"/>
          </w:tcPr>
          <w:p>
            <w:pPr/>
          </w:p>
        </w:tc>
        <w:tc>
          <w:tcPr>
            <w:tcW w:w="1328" w:type="dxa"/>
            <w:vMerge/>
            <w:tcBorders>
              <w:left w:val="single" w:sz="4" w:space="0" w:color="000000"/>
              <w:bottom w:val="nil" w:sz="6" w:space="0" w:color="auto"/>
              <w:right w:val="single" w:sz="4" w:space="0" w:color="000000"/>
            </w:tcBorders>
            <w:shd w:val="clear" w:color="auto" w:fill="D3D3D3"/>
          </w:tcPr>
          <w:p>
            <w:pPr/>
          </w:p>
        </w:tc>
        <w:tc>
          <w:tcPr>
            <w:tcW w:w="1223" w:type="dxa"/>
            <w:gridSpan w:val="3"/>
            <w:vMerge/>
            <w:tcBorders>
              <w:left w:val="single" w:sz="4" w:space="0" w:color="000000"/>
              <w:bottom w:val="single" w:sz="4" w:space="0" w:color="000000"/>
              <w:right w:val="single" w:sz="4" w:space="0" w:color="000000"/>
            </w:tcBorders>
            <w:shd w:val="clear" w:color="auto" w:fill="D3D3D3"/>
          </w:tcPr>
          <w:p>
            <w:pPr/>
          </w:p>
        </w:tc>
        <w:tc>
          <w:tcPr>
            <w:tcW w:w="1241" w:type="dxa"/>
            <w:vMerge/>
            <w:tcBorders>
              <w:left w:val="single" w:sz="4" w:space="0" w:color="000000"/>
              <w:bottom w:val="nil" w:sz="6" w:space="0" w:color="auto"/>
              <w:right w:val="single" w:sz="4" w:space="0" w:color="000000"/>
            </w:tcBorders>
            <w:shd w:val="clear" w:color="auto" w:fill="D3D3D3"/>
          </w:tcPr>
          <w:p>
            <w:pPr/>
          </w:p>
        </w:tc>
        <w:tc>
          <w:tcPr>
            <w:tcW w:w="726" w:type="dxa"/>
            <w:vMerge w:val="restart"/>
            <w:tcBorders>
              <w:top w:val="nil" w:sz="6" w:space="0" w:color="auto"/>
              <w:left w:val="single" w:sz="4" w:space="0" w:color="000000"/>
              <w:right w:val="single" w:sz="4" w:space="0" w:color="000000"/>
            </w:tcBorders>
            <w:shd w:val="clear" w:color="auto" w:fill="D3D3D3"/>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pacing w:val="-13"/>
                <w:sz w:val="18"/>
                <w:szCs w:val="18"/>
              </w:rPr>
              <w:t>减：库存</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1078" w:type="dxa"/>
            <w:vMerge/>
            <w:tcBorders>
              <w:left w:val="single" w:sz="4" w:space="0" w:color="000000"/>
              <w:right w:val="single" w:sz="4" w:space="0" w:color="000000"/>
            </w:tcBorders>
            <w:shd w:val="clear" w:color="auto" w:fill="D3D3D3"/>
          </w:tcPr>
          <w:p>
            <w:pPr/>
          </w:p>
        </w:tc>
        <w:tc>
          <w:tcPr>
            <w:tcW w:w="545" w:type="dxa"/>
            <w:vMerge/>
            <w:tcBorders>
              <w:left w:val="single" w:sz="4" w:space="0" w:color="000000"/>
              <w:right w:val="single" w:sz="4" w:space="0" w:color="000000"/>
            </w:tcBorders>
            <w:shd w:val="clear" w:color="auto" w:fill="D3D3D3"/>
          </w:tcPr>
          <w:p>
            <w:pPr/>
          </w:p>
        </w:tc>
        <w:tc>
          <w:tcPr>
            <w:tcW w:w="1091" w:type="dxa"/>
            <w:vMerge/>
            <w:tcBorders>
              <w:left w:val="single" w:sz="4" w:space="0" w:color="000000"/>
              <w:bottom w:val="nil" w:sz="6" w:space="0" w:color="auto"/>
              <w:right w:val="single" w:sz="4" w:space="0" w:color="000000"/>
            </w:tcBorders>
            <w:shd w:val="clear" w:color="auto" w:fill="D3D3D3"/>
          </w:tcPr>
          <w:p>
            <w:pPr/>
          </w:p>
        </w:tc>
        <w:tc>
          <w:tcPr>
            <w:tcW w:w="751" w:type="dxa"/>
            <w:vMerge w:val="restart"/>
            <w:tcBorders>
              <w:top w:val="nil" w:sz="6" w:space="0" w:color="auto"/>
              <w:left w:val="single" w:sz="4" w:space="0" w:color="000000"/>
              <w:right w:val="single" w:sz="4" w:space="0" w:color="000000"/>
            </w:tcBorders>
            <w:shd w:val="clear" w:color="auto" w:fill="D3D3D3"/>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一般风</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1181" w:type="dxa"/>
            <w:vMerge/>
            <w:tcBorders>
              <w:left w:val="single" w:sz="4" w:space="0" w:color="000000"/>
              <w:bottom w:val="nil" w:sz="6" w:space="0" w:color="auto"/>
              <w:right w:val="single" w:sz="4" w:space="0" w:color="000000"/>
            </w:tcBorders>
            <w:shd w:val="clear" w:color="auto" w:fill="D3D3D3"/>
          </w:tcPr>
          <w:p>
            <w:pPr/>
          </w:p>
        </w:tc>
        <w:tc>
          <w:tcPr>
            <w:tcW w:w="1181" w:type="dxa"/>
            <w:vMerge w:val="restart"/>
            <w:tcBorders>
              <w:top w:val="nil" w:sz="6" w:space="0" w:color="auto"/>
              <w:left w:val="single" w:sz="9" w:space="0" w:color="D3D3D3"/>
              <w:right w:val="single" w:sz="22" w:space="0" w:color="D3D3D3"/>
            </w:tcBorders>
          </w:tcPr>
          <w:p>
            <w:pPr>
              <w:pStyle w:val="TableParagraph"/>
              <w:spacing w:line="203" w:lineRule="exact"/>
              <w:ind w:left="3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少数股东权益</w:t>
            </w:r>
            <w:r>
              <w:rPr>
                <w:rFonts w:ascii="宋体" w:hAnsi="宋体" w:cs="宋体" w:eastAsia="宋体" w:hint="default"/>
                <w:sz w:val="18"/>
                <w:szCs w:val="18"/>
              </w:rPr>
            </w:r>
          </w:p>
        </w:tc>
        <w:tc>
          <w:tcPr>
            <w:tcW w:w="1316" w:type="dxa"/>
            <w:vMerge w:val="restart"/>
            <w:tcBorders>
              <w:top w:val="nil" w:sz="6" w:space="0" w:color="auto"/>
              <w:left w:val="single" w:sz="22" w:space="0" w:color="D3D3D3"/>
              <w:right w:val="single" w:sz="13" w:space="0" w:color="D3D3D3"/>
            </w:tcBorders>
          </w:tcPr>
          <w:p>
            <w:pPr>
              <w:pStyle w:val="TableParagraph"/>
              <w:spacing w:line="203" w:lineRule="exact"/>
              <w:ind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所有者权益合计</w:t>
            </w:r>
            <w:r>
              <w:rPr>
                <w:rFonts w:ascii="宋体" w:hAnsi="宋体" w:cs="宋体" w:eastAsia="宋体" w:hint="default"/>
                <w:sz w:val="18"/>
                <w:szCs w:val="18"/>
              </w:rPr>
            </w:r>
          </w:p>
        </w:tc>
      </w:tr>
      <w:tr>
        <w:trPr>
          <w:trHeight w:val="113" w:hRule="exact"/>
        </w:trPr>
        <w:tc>
          <w:tcPr>
            <w:tcW w:w="2741" w:type="dxa"/>
            <w:vMerge w:val="restart"/>
            <w:tcBorders>
              <w:top w:val="nil" w:sz="6" w:space="0" w:color="auto"/>
              <w:left w:val="single" w:sz="4" w:space="0" w:color="000000"/>
              <w:right w:val="single" w:sz="4" w:space="0" w:color="000000"/>
            </w:tcBorders>
            <w:shd w:val="clear" w:color="auto" w:fill="D3D3D3"/>
          </w:tcPr>
          <w:p>
            <w:pPr/>
          </w:p>
        </w:tc>
        <w:tc>
          <w:tcPr>
            <w:tcW w:w="1328" w:type="dxa"/>
            <w:vMerge w:val="restart"/>
            <w:tcBorders>
              <w:top w:val="nil" w:sz="6" w:space="0" w:color="auto"/>
              <w:left w:val="single" w:sz="4" w:space="0" w:color="000000"/>
              <w:right w:val="single" w:sz="4" w:space="0" w:color="000000"/>
            </w:tcBorders>
            <w:shd w:val="clear" w:color="auto" w:fill="D3D3D3"/>
          </w:tcPr>
          <w:p>
            <w:pPr>
              <w:pStyle w:val="TableParagraph"/>
              <w:spacing w:line="207" w:lineRule="exact"/>
              <w:ind w:left="1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442" w:type="dxa"/>
            <w:vMerge w:val="restart"/>
            <w:tcBorders>
              <w:top w:val="single" w:sz="4" w:space="0" w:color="000000"/>
              <w:left w:val="single" w:sz="4" w:space="0" w:color="000000"/>
              <w:right w:val="single" w:sz="4" w:space="0" w:color="000000"/>
            </w:tcBorders>
            <w:shd w:val="clear" w:color="auto" w:fill="D3D3D3"/>
          </w:tcPr>
          <w:p>
            <w:pPr>
              <w:pStyle w:val="TableParagraph"/>
              <w:spacing w:line="206" w:lineRule="exact"/>
              <w:ind w:left="125" w:right="0" w:hanging="90"/>
              <w:jc w:val="left"/>
              <w:rPr>
                <w:rFonts w:ascii="宋体" w:hAnsi="宋体" w:cs="宋体" w:eastAsia="宋体" w:hint="default"/>
                <w:sz w:val="18"/>
                <w:szCs w:val="18"/>
              </w:rPr>
            </w:pPr>
            <w:r>
              <w:rPr>
                <w:rFonts w:ascii="宋体" w:hAnsi="宋体" w:cs="宋体" w:eastAsia="宋体" w:hint="default"/>
                <w:sz w:val="18"/>
                <w:szCs w:val="18"/>
              </w:rPr>
              <w:t>优先</w:t>
            </w:r>
          </w:p>
          <w:p>
            <w:pPr>
              <w:pStyle w:val="TableParagraph"/>
              <w:spacing w:line="234" w:lineRule="exact"/>
              <w:ind w:left="12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443" w:type="dxa"/>
            <w:vMerge w:val="restart"/>
            <w:tcBorders>
              <w:top w:val="single" w:sz="4" w:space="0" w:color="000000"/>
              <w:left w:val="single" w:sz="4" w:space="0" w:color="000000"/>
              <w:right w:val="single" w:sz="4" w:space="0" w:color="000000"/>
            </w:tcBorders>
            <w:shd w:val="clear" w:color="auto" w:fill="D3D3D3"/>
          </w:tcPr>
          <w:p>
            <w:pPr>
              <w:pStyle w:val="TableParagraph"/>
              <w:spacing w:line="206" w:lineRule="exact"/>
              <w:ind w:left="127" w:right="0" w:hanging="90"/>
              <w:jc w:val="left"/>
              <w:rPr>
                <w:rFonts w:ascii="宋体" w:hAnsi="宋体" w:cs="宋体" w:eastAsia="宋体" w:hint="default"/>
                <w:sz w:val="18"/>
                <w:szCs w:val="18"/>
              </w:rPr>
            </w:pPr>
            <w:r>
              <w:rPr>
                <w:rFonts w:ascii="宋体" w:hAnsi="宋体" w:cs="宋体" w:eastAsia="宋体" w:hint="default"/>
                <w:sz w:val="18"/>
                <w:szCs w:val="18"/>
              </w:rPr>
              <w:t>永续</w:t>
            </w:r>
          </w:p>
          <w:p>
            <w:pPr>
              <w:pStyle w:val="TableParagraph"/>
              <w:spacing w:line="234" w:lineRule="exact"/>
              <w:ind w:left="127" w:right="0"/>
              <w:jc w:val="left"/>
              <w:rPr>
                <w:rFonts w:ascii="宋体" w:hAnsi="宋体" w:cs="宋体" w:eastAsia="宋体" w:hint="default"/>
                <w:sz w:val="18"/>
                <w:szCs w:val="18"/>
              </w:rPr>
            </w:pPr>
            <w:r>
              <w:rPr>
                <w:rFonts w:ascii="宋体" w:hAnsi="宋体" w:cs="宋体" w:eastAsia="宋体" w:hint="default"/>
                <w:sz w:val="18"/>
                <w:szCs w:val="18"/>
              </w:rPr>
              <w:t>债</w:t>
            </w:r>
          </w:p>
        </w:tc>
        <w:tc>
          <w:tcPr>
            <w:tcW w:w="338" w:type="dxa"/>
            <w:vMerge w:val="restart"/>
            <w:tcBorders>
              <w:top w:val="single" w:sz="4" w:space="0" w:color="000000"/>
              <w:left w:val="single" w:sz="4" w:space="0" w:color="000000"/>
              <w:right w:val="single" w:sz="4" w:space="0" w:color="000000"/>
            </w:tcBorders>
            <w:shd w:val="clear" w:color="auto" w:fill="D3D3D3"/>
          </w:tcPr>
          <w:p>
            <w:pPr>
              <w:pStyle w:val="TableParagraph"/>
              <w:spacing w:line="206" w:lineRule="exact"/>
              <w:ind w:left="74"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4" w:lineRule="exact"/>
              <w:ind w:left="74"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241" w:type="dxa"/>
            <w:vMerge w:val="restart"/>
            <w:tcBorders>
              <w:top w:val="nil" w:sz="6" w:space="0" w:color="auto"/>
              <w:left w:val="single" w:sz="4" w:space="0" w:color="000000"/>
              <w:right w:val="single" w:sz="4" w:space="0" w:color="000000"/>
            </w:tcBorders>
            <w:shd w:val="clear" w:color="auto" w:fill="D3D3D3"/>
          </w:tcPr>
          <w:p>
            <w:pPr>
              <w:pStyle w:val="TableParagraph"/>
              <w:spacing w:line="207" w:lineRule="exact"/>
              <w:ind w:left="25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26" w:type="dxa"/>
            <w:vMerge/>
            <w:tcBorders>
              <w:left w:val="single" w:sz="4" w:space="0" w:color="000000"/>
              <w:right w:val="single" w:sz="4" w:space="0" w:color="000000"/>
            </w:tcBorders>
            <w:shd w:val="clear" w:color="auto" w:fill="D3D3D3"/>
          </w:tcPr>
          <w:p>
            <w:pPr/>
          </w:p>
        </w:tc>
        <w:tc>
          <w:tcPr>
            <w:tcW w:w="1078" w:type="dxa"/>
            <w:vMerge/>
            <w:tcBorders>
              <w:left w:val="single" w:sz="4" w:space="0" w:color="000000"/>
              <w:right w:val="single" w:sz="4" w:space="0" w:color="000000"/>
            </w:tcBorders>
            <w:shd w:val="clear" w:color="auto" w:fill="D3D3D3"/>
          </w:tcPr>
          <w:p>
            <w:pPr/>
          </w:p>
        </w:tc>
        <w:tc>
          <w:tcPr>
            <w:tcW w:w="545" w:type="dxa"/>
            <w:vMerge/>
            <w:tcBorders>
              <w:left w:val="single" w:sz="4" w:space="0" w:color="000000"/>
              <w:right w:val="single" w:sz="4" w:space="0" w:color="000000"/>
            </w:tcBorders>
            <w:shd w:val="clear" w:color="auto" w:fill="D3D3D3"/>
          </w:tcPr>
          <w:p>
            <w:pPr/>
          </w:p>
        </w:tc>
        <w:tc>
          <w:tcPr>
            <w:tcW w:w="1091" w:type="dxa"/>
            <w:vMerge w:val="restart"/>
            <w:tcBorders>
              <w:top w:val="nil" w:sz="6" w:space="0" w:color="auto"/>
              <w:left w:val="single" w:sz="4" w:space="0" w:color="000000"/>
              <w:right w:val="single" w:sz="4" w:space="0" w:color="000000"/>
            </w:tcBorders>
            <w:shd w:val="clear" w:color="auto" w:fill="D3D3D3"/>
          </w:tcPr>
          <w:p>
            <w:pPr>
              <w:pStyle w:val="TableParagraph"/>
              <w:spacing w:line="206" w:lineRule="exact"/>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51" w:type="dxa"/>
            <w:vMerge/>
            <w:tcBorders>
              <w:left w:val="single" w:sz="4" w:space="0" w:color="000000"/>
              <w:right w:val="single" w:sz="4" w:space="0" w:color="000000"/>
            </w:tcBorders>
            <w:shd w:val="clear" w:color="auto" w:fill="D3D3D3"/>
          </w:tcPr>
          <w:p>
            <w:pPr/>
          </w:p>
        </w:tc>
        <w:tc>
          <w:tcPr>
            <w:tcW w:w="1181" w:type="dxa"/>
            <w:vMerge w:val="restart"/>
            <w:tcBorders>
              <w:top w:val="nil" w:sz="6" w:space="0" w:color="auto"/>
              <w:left w:val="single" w:sz="4" w:space="0" w:color="000000"/>
              <w:right w:val="single" w:sz="4" w:space="0" w:color="000000"/>
            </w:tcBorders>
            <w:shd w:val="clear" w:color="auto" w:fill="D3D3D3"/>
          </w:tcPr>
          <w:p>
            <w:pPr>
              <w:pStyle w:val="TableParagraph"/>
              <w:spacing w:line="206" w:lineRule="exact"/>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81" w:type="dxa"/>
            <w:vMerge/>
            <w:tcBorders>
              <w:left w:val="single" w:sz="9" w:space="0" w:color="D3D3D3"/>
              <w:bottom w:val="nil" w:sz="6" w:space="0" w:color="auto"/>
              <w:right w:val="single" w:sz="22" w:space="0" w:color="D3D3D3"/>
            </w:tcBorders>
          </w:tcPr>
          <w:p>
            <w:pPr/>
          </w:p>
        </w:tc>
        <w:tc>
          <w:tcPr>
            <w:tcW w:w="1316" w:type="dxa"/>
            <w:vMerge/>
            <w:tcBorders>
              <w:left w:val="single" w:sz="22" w:space="0" w:color="D3D3D3"/>
              <w:bottom w:val="nil" w:sz="6" w:space="0" w:color="auto"/>
              <w:right w:val="single" w:sz="13" w:space="0" w:color="D3D3D3"/>
            </w:tcBorders>
          </w:tcPr>
          <w:p>
            <w:pPr/>
          </w:p>
        </w:tc>
      </w:tr>
      <w:tr>
        <w:trPr>
          <w:trHeight w:val="121" w:hRule="exact"/>
        </w:trPr>
        <w:tc>
          <w:tcPr>
            <w:tcW w:w="2741" w:type="dxa"/>
            <w:vMerge/>
            <w:tcBorders>
              <w:left w:val="single" w:sz="4" w:space="0" w:color="000000"/>
              <w:right w:val="single" w:sz="4" w:space="0" w:color="000000"/>
            </w:tcBorders>
            <w:shd w:val="clear" w:color="auto" w:fill="D3D3D3"/>
          </w:tcPr>
          <w:p>
            <w:pPr/>
          </w:p>
        </w:tc>
        <w:tc>
          <w:tcPr>
            <w:tcW w:w="1328" w:type="dxa"/>
            <w:vMerge/>
            <w:tcBorders>
              <w:left w:val="single" w:sz="4" w:space="0" w:color="000000"/>
              <w:bottom w:val="nil" w:sz="6" w:space="0" w:color="auto"/>
              <w:right w:val="single" w:sz="4" w:space="0" w:color="000000"/>
            </w:tcBorders>
            <w:shd w:val="clear" w:color="auto" w:fill="D3D3D3"/>
          </w:tcPr>
          <w:p>
            <w:pPr/>
          </w:p>
        </w:tc>
        <w:tc>
          <w:tcPr>
            <w:tcW w:w="442" w:type="dxa"/>
            <w:vMerge/>
            <w:tcBorders>
              <w:left w:val="single" w:sz="4" w:space="0" w:color="000000"/>
              <w:right w:val="single" w:sz="4" w:space="0" w:color="000000"/>
            </w:tcBorders>
            <w:shd w:val="clear" w:color="auto" w:fill="D3D3D3"/>
          </w:tcPr>
          <w:p>
            <w:pPr/>
          </w:p>
        </w:tc>
        <w:tc>
          <w:tcPr>
            <w:tcW w:w="443" w:type="dxa"/>
            <w:vMerge/>
            <w:tcBorders>
              <w:left w:val="single" w:sz="4" w:space="0" w:color="000000"/>
              <w:right w:val="single" w:sz="4" w:space="0" w:color="000000"/>
            </w:tcBorders>
            <w:shd w:val="clear" w:color="auto" w:fill="D3D3D3"/>
          </w:tcPr>
          <w:p>
            <w:pPr/>
          </w:p>
        </w:tc>
        <w:tc>
          <w:tcPr>
            <w:tcW w:w="338" w:type="dxa"/>
            <w:vMerge/>
            <w:tcBorders>
              <w:left w:val="single" w:sz="4" w:space="0" w:color="000000"/>
              <w:right w:val="single" w:sz="4" w:space="0" w:color="000000"/>
            </w:tcBorders>
            <w:shd w:val="clear" w:color="auto" w:fill="D3D3D3"/>
          </w:tcPr>
          <w:p>
            <w:pPr/>
          </w:p>
        </w:tc>
        <w:tc>
          <w:tcPr>
            <w:tcW w:w="1241" w:type="dxa"/>
            <w:vMerge/>
            <w:tcBorders>
              <w:left w:val="single" w:sz="4" w:space="0" w:color="000000"/>
              <w:bottom w:val="nil" w:sz="6" w:space="0" w:color="auto"/>
              <w:right w:val="single" w:sz="4" w:space="0" w:color="000000"/>
            </w:tcBorders>
            <w:shd w:val="clear" w:color="auto" w:fill="D3D3D3"/>
          </w:tcPr>
          <w:p>
            <w:pPr/>
          </w:p>
        </w:tc>
        <w:tc>
          <w:tcPr>
            <w:tcW w:w="726" w:type="dxa"/>
            <w:vMerge/>
            <w:tcBorders>
              <w:left w:val="single" w:sz="4" w:space="0" w:color="000000"/>
              <w:right w:val="single" w:sz="4" w:space="0" w:color="000000"/>
            </w:tcBorders>
            <w:shd w:val="clear" w:color="auto" w:fill="D3D3D3"/>
          </w:tcPr>
          <w:p>
            <w:pPr/>
          </w:p>
        </w:tc>
        <w:tc>
          <w:tcPr>
            <w:tcW w:w="1078" w:type="dxa"/>
            <w:vMerge/>
            <w:tcBorders>
              <w:left w:val="single" w:sz="4" w:space="0" w:color="000000"/>
              <w:right w:val="single" w:sz="4" w:space="0" w:color="000000"/>
            </w:tcBorders>
            <w:shd w:val="clear" w:color="auto" w:fill="D3D3D3"/>
          </w:tcPr>
          <w:p>
            <w:pPr/>
          </w:p>
        </w:tc>
        <w:tc>
          <w:tcPr>
            <w:tcW w:w="545" w:type="dxa"/>
            <w:vMerge/>
            <w:tcBorders>
              <w:left w:val="single" w:sz="4" w:space="0" w:color="000000"/>
              <w:right w:val="single" w:sz="4" w:space="0" w:color="000000"/>
            </w:tcBorders>
            <w:shd w:val="clear" w:color="auto" w:fill="D3D3D3"/>
          </w:tcPr>
          <w:p>
            <w:pPr/>
          </w:p>
        </w:tc>
        <w:tc>
          <w:tcPr>
            <w:tcW w:w="1091" w:type="dxa"/>
            <w:vMerge/>
            <w:tcBorders>
              <w:left w:val="single" w:sz="4" w:space="0" w:color="000000"/>
              <w:bottom w:val="nil" w:sz="6" w:space="0" w:color="auto"/>
              <w:right w:val="single" w:sz="4" w:space="0" w:color="000000"/>
            </w:tcBorders>
            <w:shd w:val="clear" w:color="auto" w:fill="D3D3D3"/>
          </w:tcPr>
          <w:p>
            <w:pPr/>
          </w:p>
        </w:tc>
        <w:tc>
          <w:tcPr>
            <w:tcW w:w="751" w:type="dxa"/>
            <w:vMerge/>
            <w:tcBorders>
              <w:left w:val="single" w:sz="4" w:space="0" w:color="000000"/>
              <w:right w:val="single" w:sz="4" w:space="0" w:color="000000"/>
            </w:tcBorders>
            <w:shd w:val="clear" w:color="auto" w:fill="D3D3D3"/>
          </w:tcPr>
          <w:p>
            <w:pPr/>
          </w:p>
        </w:tc>
        <w:tc>
          <w:tcPr>
            <w:tcW w:w="1181" w:type="dxa"/>
            <w:vMerge/>
            <w:tcBorders>
              <w:left w:val="single" w:sz="4" w:space="0" w:color="000000"/>
              <w:bottom w:val="nil" w:sz="6" w:space="0" w:color="auto"/>
              <w:right w:val="single" w:sz="4" w:space="0" w:color="000000"/>
            </w:tcBorders>
            <w:shd w:val="clear" w:color="auto" w:fill="D3D3D3"/>
          </w:tcPr>
          <w:p>
            <w:pPr/>
          </w:p>
        </w:tc>
        <w:tc>
          <w:tcPr>
            <w:tcW w:w="1181" w:type="dxa"/>
            <w:vMerge w:val="restart"/>
            <w:tcBorders>
              <w:top w:val="nil" w:sz="6" w:space="0" w:color="auto"/>
              <w:left w:val="single" w:sz="4" w:space="0" w:color="000000"/>
              <w:right w:val="single" w:sz="4" w:space="0" w:color="000000"/>
            </w:tcBorders>
            <w:shd w:val="clear" w:color="auto" w:fill="D3D3D3"/>
          </w:tcPr>
          <w:p>
            <w:pPr/>
          </w:p>
        </w:tc>
        <w:tc>
          <w:tcPr>
            <w:tcW w:w="1316" w:type="dxa"/>
            <w:vMerge w:val="restart"/>
            <w:tcBorders>
              <w:top w:val="nil" w:sz="6" w:space="0" w:color="auto"/>
              <w:left w:val="single" w:sz="4" w:space="0" w:color="000000"/>
              <w:right w:val="single" w:sz="4" w:space="0" w:color="000000"/>
            </w:tcBorders>
            <w:shd w:val="clear" w:color="auto" w:fill="D3D3D3"/>
          </w:tcPr>
          <w:p>
            <w:pPr/>
          </w:p>
        </w:tc>
      </w:tr>
      <w:tr>
        <w:trPr>
          <w:trHeight w:val="244" w:hRule="exact"/>
        </w:trPr>
        <w:tc>
          <w:tcPr>
            <w:tcW w:w="2741" w:type="dxa"/>
            <w:vMerge/>
            <w:tcBorders>
              <w:left w:val="single" w:sz="4" w:space="0" w:color="000000"/>
              <w:bottom w:val="single" w:sz="4" w:space="0" w:color="000000"/>
              <w:right w:val="single" w:sz="4" w:space="0" w:color="000000"/>
            </w:tcBorders>
            <w:shd w:val="clear" w:color="auto" w:fill="D3D3D3"/>
          </w:tcPr>
          <w:p>
            <w:pPr/>
          </w:p>
        </w:tc>
        <w:tc>
          <w:tcPr>
            <w:tcW w:w="1328" w:type="dxa"/>
            <w:tcBorders>
              <w:top w:val="nil" w:sz="6" w:space="0" w:color="auto"/>
              <w:left w:val="single" w:sz="4" w:space="0" w:color="000000"/>
              <w:bottom w:val="single" w:sz="4" w:space="0" w:color="000000"/>
              <w:right w:val="single" w:sz="4" w:space="0" w:color="000000"/>
            </w:tcBorders>
            <w:shd w:val="clear" w:color="auto" w:fill="D3D3D3"/>
          </w:tcPr>
          <w:p>
            <w:pPr/>
          </w:p>
        </w:tc>
        <w:tc>
          <w:tcPr>
            <w:tcW w:w="442" w:type="dxa"/>
            <w:vMerge/>
            <w:tcBorders>
              <w:left w:val="single" w:sz="4" w:space="0" w:color="000000"/>
              <w:bottom w:val="single" w:sz="4" w:space="0" w:color="000000"/>
              <w:right w:val="single" w:sz="4" w:space="0" w:color="000000"/>
            </w:tcBorders>
            <w:shd w:val="clear" w:color="auto" w:fill="D3D3D3"/>
          </w:tcPr>
          <w:p>
            <w:pPr/>
          </w:p>
        </w:tc>
        <w:tc>
          <w:tcPr>
            <w:tcW w:w="443" w:type="dxa"/>
            <w:vMerge/>
            <w:tcBorders>
              <w:left w:val="single" w:sz="4" w:space="0" w:color="000000"/>
              <w:bottom w:val="single" w:sz="4" w:space="0" w:color="000000"/>
              <w:right w:val="single" w:sz="4" w:space="0" w:color="000000"/>
            </w:tcBorders>
            <w:shd w:val="clear" w:color="auto" w:fill="D3D3D3"/>
          </w:tcPr>
          <w:p>
            <w:pPr/>
          </w:p>
        </w:tc>
        <w:tc>
          <w:tcPr>
            <w:tcW w:w="338" w:type="dxa"/>
            <w:vMerge/>
            <w:tcBorders>
              <w:left w:val="single" w:sz="4" w:space="0" w:color="000000"/>
              <w:bottom w:val="single" w:sz="4" w:space="0" w:color="000000"/>
              <w:right w:val="single" w:sz="4" w:space="0" w:color="000000"/>
            </w:tcBorders>
            <w:shd w:val="clear" w:color="auto" w:fill="D3D3D3"/>
          </w:tcPr>
          <w:p>
            <w:pPr/>
          </w:p>
        </w:tc>
        <w:tc>
          <w:tcPr>
            <w:tcW w:w="1241" w:type="dxa"/>
            <w:tcBorders>
              <w:top w:val="nil" w:sz="6" w:space="0" w:color="auto"/>
              <w:left w:val="single" w:sz="4" w:space="0" w:color="000000"/>
              <w:bottom w:val="single" w:sz="4" w:space="0" w:color="000000"/>
              <w:right w:val="single" w:sz="4" w:space="0" w:color="000000"/>
            </w:tcBorders>
            <w:shd w:val="clear" w:color="auto" w:fill="D3D3D3"/>
          </w:tcPr>
          <w:p>
            <w:pPr/>
          </w:p>
        </w:tc>
        <w:tc>
          <w:tcPr>
            <w:tcW w:w="726" w:type="dxa"/>
            <w:vMerge/>
            <w:tcBorders>
              <w:left w:val="single" w:sz="4" w:space="0" w:color="000000"/>
              <w:bottom w:val="single" w:sz="4" w:space="0" w:color="000000"/>
              <w:right w:val="single" w:sz="4" w:space="0" w:color="000000"/>
            </w:tcBorders>
            <w:shd w:val="clear" w:color="auto" w:fill="D3D3D3"/>
          </w:tcPr>
          <w:p>
            <w:pPr/>
          </w:p>
        </w:tc>
        <w:tc>
          <w:tcPr>
            <w:tcW w:w="1078" w:type="dxa"/>
            <w:vMerge/>
            <w:tcBorders>
              <w:left w:val="single" w:sz="4" w:space="0" w:color="000000"/>
              <w:bottom w:val="single" w:sz="4" w:space="0" w:color="000000"/>
              <w:right w:val="single" w:sz="4" w:space="0" w:color="000000"/>
            </w:tcBorders>
            <w:shd w:val="clear" w:color="auto" w:fill="D3D3D3"/>
          </w:tcPr>
          <w:p>
            <w:pPr/>
          </w:p>
        </w:tc>
        <w:tc>
          <w:tcPr>
            <w:tcW w:w="545" w:type="dxa"/>
            <w:vMerge/>
            <w:tcBorders>
              <w:left w:val="single" w:sz="4" w:space="0" w:color="000000"/>
              <w:bottom w:val="single" w:sz="4" w:space="0" w:color="000000"/>
              <w:right w:val="single" w:sz="4" w:space="0" w:color="000000"/>
            </w:tcBorders>
            <w:shd w:val="clear" w:color="auto" w:fill="D3D3D3"/>
          </w:tcPr>
          <w:p>
            <w:pPr/>
          </w:p>
        </w:tc>
        <w:tc>
          <w:tcPr>
            <w:tcW w:w="1091" w:type="dxa"/>
            <w:tcBorders>
              <w:top w:val="nil" w:sz="6" w:space="0" w:color="auto"/>
              <w:left w:val="single" w:sz="4" w:space="0" w:color="000000"/>
              <w:bottom w:val="single" w:sz="4" w:space="0" w:color="000000"/>
              <w:right w:val="single" w:sz="4" w:space="0" w:color="000000"/>
            </w:tcBorders>
            <w:shd w:val="clear" w:color="auto" w:fill="D3D3D3"/>
          </w:tcPr>
          <w:p>
            <w:pPr/>
          </w:p>
        </w:tc>
        <w:tc>
          <w:tcPr>
            <w:tcW w:w="751" w:type="dxa"/>
            <w:vMerge/>
            <w:tcBorders>
              <w:left w:val="single" w:sz="4" w:space="0" w:color="000000"/>
              <w:bottom w:val="single" w:sz="4" w:space="0" w:color="000000"/>
              <w:right w:val="single" w:sz="4" w:space="0" w:color="000000"/>
            </w:tcBorders>
            <w:shd w:val="clear" w:color="auto" w:fill="D3D3D3"/>
          </w:tcPr>
          <w:p>
            <w:pPr/>
          </w:p>
        </w:tc>
        <w:tc>
          <w:tcPr>
            <w:tcW w:w="1181" w:type="dxa"/>
            <w:tcBorders>
              <w:top w:val="nil" w:sz="6" w:space="0" w:color="auto"/>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single" w:sz="4" w:space="0" w:color="000000"/>
              <w:right w:val="single" w:sz="4" w:space="0" w:color="000000"/>
            </w:tcBorders>
            <w:shd w:val="clear" w:color="auto" w:fill="D3D3D3"/>
          </w:tcPr>
          <w:p>
            <w:pPr/>
          </w:p>
        </w:tc>
        <w:tc>
          <w:tcPr>
            <w:tcW w:w="1316" w:type="dxa"/>
            <w:vMerge/>
            <w:tcBorders>
              <w:left w:val="single" w:sz="4" w:space="0" w:color="000000"/>
              <w:bottom w:val="single" w:sz="4" w:space="0" w:color="000000"/>
              <w:right w:val="single" w:sz="4" w:space="0" w:color="000000"/>
            </w:tcBorders>
            <w:shd w:val="clear" w:color="auto" w:fill="D3D3D3"/>
          </w:tcPr>
          <w:p>
            <w:pPr/>
          </w:p>
        </w:tc>
      </w:tr>
      <w:tr>
        <w:trPr>
          <w:trHeight w:val="244" w:hRule="exact"/>
        </w:trPr>
        <w:tc>
          <w:tcPr>
            <w:tcW w:w="27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8"/>
              <w:ind w:left="5" w:right="0"/>
              <w:jc w:val="center"/>
              <w:rPr>
                <w:rFonts w:ascii="Times New Roman" w:hAnsi="Times New Roman" w:cs="Times New Roman" w:eastAsia="Times New Roman" w:hint="default"/>
                <w:sz w:val="18"/>
                <w:szCs w:val="18"/>
              </w:rPr>
            </w:pPr>
            <w:r>
              <w:rPr>
                <w:rFonts w:ascii="Times New Roman"/>
                <w:sz w:val="18"/>
              </w:rPr>
              <w:t>1,017,698,410.00</w:t>
            </w:r>
          </w:p>
        </w:tc>
        <w:tc>
          <w:tcPr>
            <w:tcW w:w="442" w:type="dxa"/>
            <w:tcBorders>
              <w:top w:val="single" w:sz="4" w:space="0" w:color="000000"/>
              <w:left w:val="single" w:sz="4" w:space="0" w:color="000000"/>
              <w:bottom w:val="single" w:sz="4" w:space="0" w:color="000000"/>
              <w:right w:val="single" w:sz="4" w:space="0" w:color="000000"/>
            </w:tcBorders>
          </w:tcPr>
          <w:p>
            <w:pPr/>
          </w:p>
        </w:tc>
        <w:tc>
          <w:tcPr>
            <w:tcW w:w="443"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18"/>
                <w:szCs w:val="18"/>
              </w:rPr>
            </w:pPr>
            <w:r>
              <w:rPr>
                <w:rFonts w:ascii="Times New Roman"/>
                <w:spacing w:val="-1"/>
                <w:sz w:val="18"/>
              </w:rPr>
              <w:t>-230,786,857.59</w:t>
            </w:r>
          </w:p>
        </w:tc>
        <w:tc>
          <w:tcPr>
            <w:tcW w:w="726" w:type="dxa"/>
            <w:tcBorders>
              <w:top w:val="single" w:sz="53" w:space="0" w:color="D3D3D3"/>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Times New Roman" w:hAnsi="Times New Roman" w:cs="Times New Roman" w:eastAsia="Times New Roman" w:hint="default"/>
                <w:sz w:val="18"/>
                <w:szCs w:val="18"/>
              </w:rPr>
            </w:pPr>
            <w:r>
              <w:rPr>
                <w:rFonts w:ascii="Times New Roman"/>
                <w:sz w:val="18"/>
              </w:rPr>
              <w:t>69,102,092.76</w:t>
            </w:r>
          </w:p>
        </w:tc>
        <w:tc>
          <w:tcPr>
            <w:tcW w:w="751" w:type="dxa"/>
            <w:tcBorders>
              <w:top w:val="single" w:sz="53" w:space="0" w:color="D3D3D3"/>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910,699,612.47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2"/>
                <w:sz w:val="18"/>
              </w:rPr>
              <w:t>229,111,674.75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1,995,824,932.39</w:t>
            </w:r>
          </w:p>
        </w:tc>
      </w:tr>
      <w:tr>
        <w:trPr>
          <w:trHeight w:val="242" w:hRule="exact"/>
        </w:trPr>
        <w:tc>
          <w:tcPr>
            <w:tcW w:w="27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28" w:type="dxa"/>
            <w:tcBorders>
              <w:top w:val="single" w:sz="4" w:space="0" w:color="000000"/>
              <w:left w:val="single" w:sz="9" w:space="0" w:color="D3D3D3"/>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443"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7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28" w:type="dxa"/>
            <w:tcBorders>
              <w:top w:val="single" w:sz="4" w:space="0" w:color="000000"/>
              <w:left w:val="single" w:sz="9" w:space="0" w:color="D3D3D3"/>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443"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7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731"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328" w:type="dxa"/>
            <w:tcBorders>
              <w:top w:val="single" w:sz="4" w:space="0" w:color="000000"/>
              <w:left w:val="single" w:sz="9" w:space="0" w:color="D3D3D3"/>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443"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8"/>
              <w:jc w:val="right"/>
              <w:rPr>
                <w:rFonts w:ascii="Times New Roman" w:hAnsi="Times New Roman" w:cs="Times New Roman" w:eastAsia="Times New Roman" w:hint="default"/>
                <w:sz w:val="18"/>
                <w:szCs w:val="18"/>
              </w:rPr>
            </w:pPr>
            <w:r>
              <w:rPr>
                <w:rFonts w:ascii="Times New Roman"/>
                <w:sz w:val="18"/>
              </w:rPr>
              <w:t>500,000.00</w:t>
            </w:r>
          </w:p>
        </w:tc>
        <w:tc>
          <w:tcPr>
            <w:tcW w:w="72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3,565,231.17</w:t>
            </w: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4,065,231.17</w:t>
            </w:r>
          </w:p>
        </w:tc>
      </w:tr>
      <w:tr>
        <w:trPr>
          <w:trHeight w:val="244" w:hRule="exact"/>
        </w:trPr>
        <w:tc>
          <w:tcPr>
            <w:tcW w:w="27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8" w:type="dxa"/>
            <w:tcBorders>
              <w:top w:val="single" w:sz="4" w:space="0" w:color="000000"/>
              <w:left w:val="single" w:sz="9" w:space="0" w:color="D3D3D3"/>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443"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7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8"/>
              <w:ind w:left="5" w:right="0"/>
              <w:jc w:val="center"/>
              <w:rPr>
                <w:rFonts w:ascii="Times New Roman" w:hAnsi="Times New Roman" w:cs="Times New Roman" w:eastAsia="Times New Roman" w:hint="default"/>
                <w:sz w:val="18"/>
                <w:szCs w:val="18"/>
              </w:rPr>
            </w:pPr>
            <w:r>
              <w:rPr>
                <w:rFonts w:ascii="Times New Roman"/>
                <w:sz w:val="18"/>
              </w:rPr>
              <w:t>1,017,698,410.00</w:t>
            </w:r>
          </w:p>
        </w:tc>
        <w:tc>
          <w:tcPr>
            <w:tcW w:w="442" w:type="dxa"/>
            <w:tcBorders>
              <w:top w:val="single" w:sz="4" w:space="0" w:color="000000"/>
              <w:left w:val="single" w:sz="4" w:space="0" w:color="000000"/>
              <w:bottom w:val="single" w:sz="4" w:space="0" w:color="000000"/>
              <w:right w:val="single" w:sz="4" w:space="0" w:color="000000"/>
            </w:tcBorders>
          </w:tcPr>
          <w:p>
            <w:pPr/>
          </w:p>
        </w:tc>
        <w:tc>
          <w:tcPr>
            <w:tcW w:w="443"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18"/>
                <w:szCs w:val="18"/>
              </w:rPr>
            </w:pPr>
            <w:r>
              <w:rPr>
                <w:rFonts w:ascii="Times New Roman"/>
                <w:spacing w:val="-1"/>
                <w:sz w:val="18"/>
              </w:rPr>
              <w:t>-230,286,857.59</w:t>
            </w:r>
          </w:p>
        </w:tc>
        <w:tc>
          <w:tcPr>
            <w:tcW w:w="72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Times New Roman" w:hAnsi="Times New Roman" w:cs="Times New Roman" w:eastAsia="Times New Roman" w:hint="default"/>
                <w:sz w:val="18"/>
                <w:szCs w:val="18"/>
              </w:rPr>
            </w:pPr>
            <w:r>
              <w:rPr>
                <w:rFonts w:ascii="Times New Roman"/>
                <w:sz w:val="18"/>
              </w:rPr>
              <w:t>69,102,092.76</w:t>
            </w:r>
          </w:p>
        </w:tc>
        <w:tc>
          <w:tcPr>
            <w:tcW w:w="7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914,264,843.64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2"/>
                <w:sz w:val="18"/>
              </w:rPr>
              <w:t>229,111,674.75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1,999,890,163.56</w:t>
            </w:r>
          </w:p>
        </w:tc>
      </w:tr>
      <w:tr>
        <w:trPr>
          <w:trHeight w:val="476" w:hRule="exact"/>
        </w:trPr>
        <w:tc>
          <w:tcPr>
            <w:tcW w:w="27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1" w:lineRule="exact"/>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三</w:t>
            </w:r>
            <w:r>
              <w:rPr>
                <w:rFonts w:ascii="宋体" w:hAnsi="宋体" w:cs="宋体" w:eastAsia="宋体" w:hint="default"/>
                <w:spacing w:val="-76"/>
                <w:sz w:val="18"/>
                <w:szCs w:val="18"/>
              </w:rPr>
              <w:t>、</w:t>
            </w:r>
            <w:r>
              <w:rPr>
                <w:rFonts w:ascii="宋体" w:hAnsi="宋体" w:cs="宋体" w:eastAsia="宋体" w:hint="default"/>
                <w:sz w:val="18"/>
                <w:szCs w:val="18"/>
              </w:rPr>
              <w:t>本期增减变动金</w:t>
            </w:r>
            <w:r>
              <w:rPr>
                <w:rFonts w:ascii="宋体" w:hAnsi="宋体" w:cs="宋体" w:eastAsia="宋体" w:hint="default"/>
                <w:spacing w:val="-76"/>
                <w:sz w:val="18"/>
                <w:szCs w:val="18"/>
              </w:rPr>
              <w:t>额</w:t>
            </w:r>
            <w:r>
              <w:rPr>
                <w:rFonts w:ascii="宋体" w:hAnsi="宋体" w:cs="宋体" w:eastAsia="宋体" w:hint="default"/>
                <w:sz w:val="18"/>
                <w:szCs w:val="18"/>
              </w:rPr>
              <w:t>（减少以</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28" w:lineRule="exact"/>
              <w:ind w:left="1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328" w:type="dxa"/>
            <w:tcBorders>
              <w:top w:val="single" w:sz="4" w:space="0" w:color="000000"/>
              <w:left w:val="single" w:sz="9" w:space="0" w:color="D3D3D3"/>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443"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-4,516,135.22</w:t>
            </w:r>
          </w:p>
        </w:tc>
        <w:tc>
          <w:tcPr>
            <w:tcW w:w="72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2,190,121.44</w:t>
            </w:r>
          </w:p>
        </w:tc>
        <w:tc>
          <w:tcPr>
            <w:tcW w:w="54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92" w:right="0"/>
              <w:jc w:val="center"/>
              <w:rPr>
                <w:rFonts w:ascii="Times New Roman" w:hAnsi="Times New Roman" w:cs="Times New Roman" w:eastAsia="Times New Roman" w:hint="default"/>
                <w:sz w:val="18"/>
                <w:szCs w:val="18"/>
              </w:rPr>
            </w:pPr>
            <w:r>
              <w:rPr>
                <w:rFonts w:ascii="Times New Roman"/>
                <w:sz w:val="18"/>
              </w:rPr>
              <w:t>2,322,850.63</w:t>
            </w:r>
          </w:p>
        </w:tc>
        <w:tc>
          <w:tcPr>
            <w:tcW w:w="7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29,384,812.71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-24,714,358.36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4,667,291.20</w:t>
            </w:r>
          </w:p>
        </w:tc>
      </w:tr>
      <w:tr>
        <w:trPr>
          <w:trHeight w:val="244" w:hRule="exact"/>
        </w:trPr>
        <w:tc>
          <w:tcPr>
            <w:tcW w:w="27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28" w:type="dxa"/>
            <w:tcBorders>
              <w:top w:val="single" w:sz="4" w:space="0" w:color="000000"/>
              <w:left w:val="single" w:sz="9" w:space="0" w:color="D3D3D3"/>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443"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2,190,121.44</w:t>
            </w:r>
          </w:p>
        </w:tc>
        <w:tc>
          <w:tcPr>
            <w:tcW w:w="54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146,809,823.33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63,328,278.60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212,328,223.37</w:t>
            </w:r>
          </w:p>
        </w:tc>
      </w:tr>
      <w:tr>
        <w:trPr>
          <w:trHeight w:val="244" w:hRule="exact"/>
        </w:trPr>
        <w:tc>
          <w:tcPr>
            <w:tcW w:w="27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328" w:type="dxa"/>
            <w:tcBorders>
              <w:top w:val="single" w:sz="4" w:space="0" w:color="000000"/>
              <w:left w:val="single" w:sz="9" w:space="0" w:color="D3D3D3"/>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443"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18"/>
                <w:szCs w:val="18"/>
              </w:rPr>
            </w:pPr>
            <w:r>
              <w:rPr>
                <w:rFonts w:ascii="Times New Roman"/>
                <w:spacing w:val="-1"/>
                <w:sz w:val="18"/>
              </w:rPr>
              <w:t>-4,516,135.22</w:t>
            </w:r>
          </w:p>
        </w:tc>
        <w:tc>
          <w:tcPr>
            <w:tcW w:w="72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2" w:right="0"/>
              <w:jc w:val="center"/>
              <w:rPr>
                <w:rFonts w:ascii="Times New Roman" w:hAnsi="Times New Roman" w:cs="Times New Roman" w:eastAsia="Times New Roman" w:hint="default"/>
                <w:sz w:val="18"/>
                <w:szCs w:val="18"/>
              </w:rPr>
            </w:pPr>
            <w:r>
              <w:rPr>
                <w:rFonts w:ascii="Times New Roman"/>
                <w:sz w:val="18"/>
              </w:rPr>
              <w:t>2,322,850.63</w:t>
            </w:r>
          </w:p>
        </w:tc>
        <w:tc>
          <w:tcPr>
            <w:tcW w:w="7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-95,035,645.61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-81,685,196.96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-178,914,127.16</w:t>
            </w:r>
          </w:p>
        </w:tc>
      </w:tr>
      <w:tr>
        <w:trPr>
          <w:trHeight w:val="244" w:hRule="exact"/>
        </w:trPr>
        <w:tc>
          <w:tcPr>
            <w:tcW w:w="27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328" w:type="dxa"/>
            <w:tcBorders>
              <w:top w:val="single" w:sz="4" w:space="0" w:color="000000"/>
              <w:left w:val="single" w:sz="9" w:space="0" w:color="D3D3D3"/>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443"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8,198,320.00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8,198,320.00</w:t>
            </w:r>
          </w:p>
        </w:tc>
      </w:tr>
      <w:tr>
        <w:trPr>
          <w:trHeight w:val="244" w:hRule="exact"/>
        </w:trPr>
        <w:tc>
          <w:tcPr>
            <w:tcW w:w="27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328" w:type="dxa"/>
            <w:tcBorders>
              <w:top w:val="single" w:sz="4" w:space="0" w:color="000000"/>
              <w:left w:val="single" w:sz="9" w:space="0" w:color="D3D3D3"/>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443"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7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pacing w:val="-82"/>
                <w:sz w:val="18"/>
                <w:szCs w:val="18"/>
              </w:rPr>
              <w:t>．</w:t>
            </w:r>
            <w:r>
              <w:rPr>
                <w:rFonts w:ascii="宋体" w:hAnsi="宋体" w:cs="宋体" w:eastAsia="宋体" w:hint="default"/>
                <w:sz w:val="18"/>
                <w:szCs w:val="18"/>
              </w:rPr>
              <w:t>股份支付计入所有者权益的金额</w:t>
            </w:r>
          </w:p>
        </w:tc>
        <w:tc>
          <w:tcPr>
            <w:tcW w:w="1328" w:type="dxa"/>
            <w:tcBorders>
              <w:top w:val="single" w:sz="4" w:space="0" w:color="000000"/>
              <w:left w:val="single" w:sz="9" w:space="0" w:color="D3D3D3"/>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443"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7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28" w:type="dxa"/>
            <w:tcBorders>
              <w:top w:val="single" w:sz="4" w:space="0" w:color="000000"/>
              <w:left w:val="single" w:sz="9" w:space="0" w:color="D3D3D3"/>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443"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18"/>
                <w:szCs w:val="18"/>
              </w:rPr>
            </w:pPr>
            <w:r>
              <w:rPr>
                <w:rFonts w:ascii="Times New Roman"/>
                <w:spacing w:val="-1"/>
                <w:sz w:val="18"/>
              </w:rPr>
              <w:t>-4,516,135.22</w:t>
            </w:r>
          </w:p>
        </w:tc>
        <w:tc>
          <w:tcPr>
            <w:tcW w:w="72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2" w:right="0"/>
              <w:jc w:val="center"/>
              <w:rPr>
                <w:rFonts w:ascii="Times New Roman" w:hAnsi="Times New Roman" w:cs="Times New Roman" w:eastAsia="Times New Roman" w:hint="default"/>
                <w:sz w:val="18"/>
                <w:szCs w:val="18"/>
              </w:rPr>
            </w:pPr>
            <w:r>
              <w:rPr>
                <w:rFonts w:ascii="Times New Roman"/>
                <w:sz w:val="18"/>
              </w:rPr>
              <w:t>2,322,850.63</w:t>
            </w:r>
          </w:p>
        </w:tc>
        <w:tc>
          <w:tcPr>
            <w:tcW w:w="7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-95,035,645.61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-89,883,516.96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-187,112,447.16</w:t>
            </w:r>
          </w:p>
        </w:tc>
      </w:tr>
      <w:tr>
        <w:trPr>
          <w:trHeight w:val="244" w:hRule="exact"/>
        </w:trPr>
        <w:tc>
          <w:tcPr>
            <w:tcW w:w="27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28" w:type="dxa"/>
            <w:tcBorders>
              <w:top w:val="single" w:sz="4" w:space="0" w:color="000000"/>
              <w:left w:val="single" w:sz="9" w:space="0" w:color="D3D3D3"/>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443"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-22,389,365.01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-6,357,440.00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-28,746,805.01</w:t>
            </w:r>
          </w:p>
        </w:tc>
      </w:tr>
      <w:tr>
        <w:trPr>
          <w:trHeight w:val="244" w:hRule="exact"/>
        </w:trPr>
        <w:tc>
          <w:tcPr>
            <w:tcW w:w="27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0"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28" w:type="dxa"/>
            <w:tcBorders>
              <w:top w:val="single" w:sz="4" w:space="0" w:color="000000"/>
              <w:left w:val="single" w:sz="9" w:space="0" w:color="D3D3D3"/>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443"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7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328" w:type="dxa"/>
            <w:tcBorders>
              <w:top w:val="single" w:sz="4" w:space="0" w:color="000000"/>
              <w:left w:val="single" w:sz="9" w:space="0" w:color="D3D3D3"/>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443"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7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328" w:type="dxa"/>
            <w:tcBorders>
              <w:top w:val="single" w:sz="4" w:space="0" w:color="000000"/>
              <w:left w:val="single" w:sz="13" w:space="0" w:color="D3D3D3"/>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443"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-22,389,365.01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-6,357,440.00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-28,746,805.01</w:t>
            </w:r>
          </w:p>
        </w:tc>
      </w:tr>
      <w:tr>
        <w:trPr>
          <w:trHeight w:val="244" w:hRule="exact"/>
        </w:trPr>
        <w:tc>
          <w:tcPr>
            <w:tcW w:w="27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28" w:type="dxa"/>
            <w:tcBorders>
              <w:top w:val="single" w:sz="4" w:space="0" w:color="000000"/>
              <w:left w:val="single" w:sz="13" w:space="0" w:color="D3D3D3"/>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443"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7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328" w:type="dxa"/>
            <w:tcBorders>
              <w:top w:val="single" w:sz="4" w:space="0" w:color="000000"/>
              <w:left w:val="single" w:sz="13" w:space="0" w:color="D3D3D3"/>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443"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7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328" w:type="dxa"/>
            <w:tcBorders>
              <w:top w:val="single" w:sz="4" w:space="0" w:color="000000"/>
              <w:left w:val="single" w:sz="13" w:space="0" w:color="D3D3D3"/>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443"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7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0"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328" w:type="dxa"/>
            <w:tcBorders>
              <w:top w:val="single" w:sz="4" w:space="0" w:color="000000"/>
              <w:left w:val="single" w:sz="13" w:space="0" w:color="D3D3D3"/>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443"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7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0"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28" w:type="dxa"/>
            <w:tcBorders>
              <w:top w:val="single" w:sz="4" w:space="0" w:color="000000"/>
              <w:left w:val="single" w:sz="13" w:space="0" w:color="D3D3D3"/>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443"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7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pacing w:val="-82"/>
                <w:sz w:val="18"/>
                <w:szCs w:val="18"/>
              </w:rPr>
              <w:t>．</w:t>
            </w:r>
            <w:r>
              <w:rPr>
                <w:rFonts w:ascii="宋体" w:hAnsi="宋体" w:cs="宋体" w:eastAsia="宋体" w:hint="default"/>
                <w:sz w:val="18"/>
                <w:szCs w:val="18"/>
              </w:rPr>
              <w:t>设定受益计划变动额结转留存收</w:t>
            </w:r>
          </w:p>
          <w:p>
            <w:pPr>
              <w:pStyle w:val="TableParagraph"/>
              <w:spacing w:line="227" w:lineRule="exact"/>
              <w:ind w:left="11"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328" w:type="dxa"/>
            <w:tcBorders>
              <w:top w:val="single" w:sz="4" w:space="0" w:color="000000"/>
              <w:left w:val="single" w:sz="13" w:space="0" w:color="D3D3D3"/>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443"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7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328" w:type="dxa"/>
            <w:tcBorders>
              <w:top w:val="single" w:sz="4" w:space="0" w:color="000000"/>
              <w:left w:val="single" w:sz="13" w:space="0" w:color="D3D3D3"/>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443"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7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28" w:type="dxa"/>
            <w:tcBorders>
              <w:top w:val="single" w:sz="4" w:space="0" w:color="000000"/>
              <w:left w:val="single" w:sz="13" w:space="0" w:color="D3D3D3"/>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443"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7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0"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28" w:type="dxa"/>
            <w:tcBorders>
              <w:top w:val="single" w:sz="4" w:space="0" w:color="000000"/>
              <w:left w:val="single" w:sz="13" w:space="0" w:color="D3D3D3"/>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443"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7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0"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28" w:type="dxa"/>
            <w:tcBorders>
              <w:top w:val="single" w:sz="4" w:space="0" w:color="000000"/>
              <w:left w:val="single" w:sz="13" w:space="0" w:color="D3D3D3"/>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443"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7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28" w:type="dxa"/>
            <w:tcBorders>
              <w:top w:val="single" w:sz="4" w:space="0" w:color="000000"/>
              <w:left w:val="single" w:sz="13" w:space="0" w:color="D3D3D3"/>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443"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7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1,017,698,410.00</w:t>
            </w:r>
          </w:p>
        </w:tc>
        <w:tc>
          <w:tcPr>
            <w:tcW w:w="442" w:type="dxa"/>
            <w:tcBorders>
              <w:top w:val="single" w:sz="4" w:space="0" w:color="000000"/>
              <w:left w:val="single" w:sz="4" w:space="0" w:color="000000"/>
              <w:bottom w:val="single" w:sz="4" w:space="0" w:color="000000"/>
              <w:right w:val="single" w:sz="4" w:space="0" w:color="000000"/>
            </w:tcBorders>
          </w:tcPr>
          <w:p>
            <w:pPr/>
          </w:p>
        </w:tc>
        <w:tc>
          <w:tcPr>
            <w:tcW w:w="443"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18"/>
                <w:szCs w:val="18"/>
              </w:rPr>
            </w:pPr>
            <w:r>
              <w:rPr>
                <w:rFonts w:ascii="Times New Roman"/>
                <w:spacing w:val="-1"/>
                <w:sz w:val="18"/>
              </w:rPr>
              <w:t>-234,802,992.81</w:t>
            </w:r>
          </w:p>
        </w:tc>
        <w:tc>
          <w:tcPr>
            <w:tcW w:w="72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2,190,121.44</w:t>
            </w:r>
          </w:p>
        </w:tc>
        <w:tc>
          <w:tcPr>
            <w:tcW w:w="54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Times New Roman" w:hAnsi="Times New Roman" w:cs="Times New Roman" w:eastAsia="Times New Roman" w:hint="default"/>
                <w:sz w:val="18"/>
                <w:szCs w:val="18"/>
              </w:rPr>
            </w:pPr>
            <w:r>
              <w:rPr>
                <w:rFonts w:ascii="Times New Roman"/>
                <w:sz w:val="18"/>
              </w:rPr>
              <w:t>71,424,943.39</w:t>
            </w:r>
          </w:p>
        </w:tc>
        <w:tc>
          <w:tcPr>
            <w:tcW w:w="7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943,649,656.35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204,397,316.39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2,004,557,454.76</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8" w:top="1060" w:bottom="1160" w:left="920" w:right="1280"/>
        </w:sectPr>
      </w:pPr>
    </w:p>
    <w:p>
      <w:pPr>
        <w:spacing w:line="240" w:lineRule="auto" w:before="12"/>
        <w:rPr>
          <w:rFonts w:ascii="宋体" w:hAnsi="宋体" w:cs="宋体" w:eastAsia="宋体" w:hint="default"/>
          <w:sz w:val="2"/>
          <w:szCs w:val="2"/>
        </w:rPr>
      </w:pPr>
      <w:r>
        <w:rPr/>
        <w:pict>
          <v:group style="position:absolute;margin-left:244.910995pt;margin-top:232.800003pt;width:63pt;height:10.35pt;mso-position-horizontal-relative:page;mso-position-vertical-relative:page;z-index:-1148824" coordorigin="4898,4656" coordsize="1260,207">
            <v:shape style="position:absolute;left:4898;top:4656;width:1260;height:207" coordorigin="4898,4656" coordsize="1260,207" path="m4898,4656l4898,4862,6158,4862,6158,4656,4898,4656xe" filled="true" fillcolor="#ffffff" stroked="false">
              <v:path arrowok="t"/>
              <v:fill type="solid"/>
            </v:shape>
            <w10:wrap type="none"/>
          </v:group>
        </w:pict>
      </w: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39"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39" w:right="0"/>
        <w:jc w:val="left"/>
      </w:pPr>
      <w:r>
        <w:rPr/>
        <w:t>本期金额</w:t>
      </w:r>
    </w:p>
    <w:p>
      <w:pPr>
        <w:pStyle w:val="BodyText"/>
        <w:spacing w:line="240" w:lineRule="auto" w:before="116"/>
        <w:ind w:left="0" w:right="139"/>
        <w:jc w:val="right"/>
      </w:pPr>
      <w:r>
        <w:rPr/>
        <w:pict>
          <v:group style="position:absolute;margin-left:452.811005pt;margin-top:35.512024pt;width:45.5pt;height:35.550pt;mso-position-horizontal-relative:page;mso-position-vertical-relative:paragraph;z-index:-1148848" coordorigin="9056,710" coordsize="910,711">
            <v:group style="position:absolute;left:9056;top:710;width:910;height:711" coordorigin="9056,710" coordsize="910,711">
              <v:shape style="position:absolute;left:9056;top:710;width:910;height:711" coordorigin="9056,710" coordsize="910,711" path="m9966,949l9966,710,9056,710,9362,949,9966,949xe" filled="true" fillcolor="#d3d3d3" stroked="false">
                <v:path arrowok="t"/>
                <v:fill type="solid"/>
              </v:shape>
              <v:shape style="position:absolute;left:9056;top:710;width:910;height:711" coordorigin="9056,710" coordsize="910,711" path="m9660,1182l9362,949,9079,949,9079,1182,9660,1182xe" filled="true" fillcolor="#d3d3d3" stroked="false">
                <v:path arrowok="t"/>
                <v:fill type="solid"/>
              </v:shape>
              <v:shape style="position:absolute;left:9056;top:710;width:910;height:711" coordorigin="9056,710" coordsize="910,711" path="m9966,1421l9966,1182,9660,1182,9966,1421xe" filled="true" fillcolor="#d3d3d3" stroked="false">
                <v:path arrowok="t"/>
                <v:fill type="solid"/>
              </v:shape>
              <v:shape style="position:absolute;left:9056;top:710;width:910;height:711" coordorigin="9056,710" coordsize="910,711" path="m9966,1182l9966,949,9943,949,9943,1182,9966,1182xe" filled="true" fillcolor="#d3d3d3" stroked="false">
                <v:path arrowok="t"/>
                <v:fill type="solid"/>
              </v:shape>
            </v:group>
            <v:group style="position:absolute;left:9079;top:949;width:864;height:233" coordorigin="9079,949" coordsize="864,233">
              <v:shape style="position:absolute;left:9079;top:949;width:864;height:233" coordorigin="9079,949" coordsize="864,233" path="m9079,949l9079,1182,9943,1182,9943,949,9079,949xe" filled="true" fillcolor="#d3d3d3" stroked="false">
                <v:path arrowok="t"/>
                <v:fill type="solid"/>
              </v:shape>
            </v:group>
            <w10:wrap type="none"/>
          </v:group>
        </w:pict>
      </w:r>
      <w:r>
        <w:rPr/>
        <w:t>单位：元</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3408"/>
        <w:gridCol w:w="1328"/>
        <w:gridCol w:w="572"/>
        <w:gridCol w:w="571"/>
        <w:gridCol w:w="404"/>
        <w:gridCol w:w="1316"/>
        <w:gridCol w:w="919"/>
        <w:gridCol w:w="1127"/>
        <w:gridCol w:w="740"/>
        <w:gridCol w:w="1091"/>
        <w:gridCol w:w="1181"/>
        <w:gridCol w:w="1316"/>
      </w:tblGrid>
      <w:tr>
        <w:trPr>
          <w:trHeight w:val="244" w:hRule="exact"/>
        </w:trPr>
        <w:tc>
          <w:tcPr>
            <w:tcW w:w="3408" w:type="dxa"/>
            <w:vMerge w:val="restart"/>
            <w:tcBorders>
              <w:top w:val="single" w:sz="4" w:space="0" w:color="000000"/>
              <w:left w:val="single" w:sz="4" w:space="0" w:color="000000"/>
              <w:right w:val="single" w:sz="4" w:space="0" w:color="000000"/>
            </w:tcBorders>
            <w:shd w:val="clear" w:color="auto" w:fill="D3D3D3"/>
          </w:tcPr>
          <w:p>
            <w:pPr/>
          </w:p>
        </w:tc>
        <w:tc>
          <w:tcPr>
            <w:tcW w:w="10567"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8"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124" w:hRule="exact"/>
        </w:trPr>
        <w:tc>
          <w:tcPr>
            <w:tcW w:w="3408" w:type="dxa"/>
            <w:vMerge/>
            <w:tcBorders>
              <w:left w:val="single" w:sz="4" w:space="0" w:color="000000"/>
              <w:bottom w:val="nil" w:sz="6" w:space="0" w:color="auto"/>
              <w:right w:val="single" w:sz="4" w:space="0" w:color="000000"/>
            </w:tcBorders>
            <w:shd w:val="clear" w:color="auto" w:fill="D3D3D3"/>
          </w:tcPr>
          <w:p>
            <w:pPr/>
          </w:p>
        </w:tc>
        <w:tc>
          <w:tcPr>
            <w:tcW w:w="1328" w:type="dxa"/>
            <w:vMerge w:val="restart"/>
            <w:tcBorders>
              <w:top w:val="single" w:sz="4" w:space="0" w:color="000000"/>
              <w:left w:val="single" w:sz="4" w:space="0" w:color="000000"/>
              <w:right w:val="single" w:sz="4" w:space="0" w:color="000000"/>
            </w:tcBorders>
            <w:shd w:val="clear" w:color="auto" w:fill="D3D3D3"/>
          </w:tcPr>
          <w:p>
            <w:pPr/>
          </w:p>
        </w:tc>
        <w:tc>
          <w:tcPr>
            <w:tcW w:w="1548"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05" w:lineRule="exact"/>
              <w:ind w:left="22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6" w:type="dxa"/>
            <w:vMerge w:val="restart"/>
            <w:tcBorders>
              <w:top w:val="single" w:sz="4" w:space="0" w:color="000000"/>
              <w:left w:val="single" w:sz="4" w:space="0" w:color="000000"/>
              <w:right w:val="single" w:sz="4" w:space="0" w:color="000000"/>
            </w:tcBorders>
            <w:shd w:val="clear" w:color="auto" w:fill="D3D3D3"/>
          </w:tcPr>
          <w:p>
            <w:pPr/>
          </w:p>
        </w:tc>
        <w:tc>
          <w:tcPr>
            <w:tcW w:w="919" w:type="dxa"/>
            <w:vMerge w:val="restart"/>
            <w:tcBorders>
              <w:top w:val="single" w:sz="4" w:space="0" w:color="000000"/>
              <w:left w:val="single" w:sz="9" w:space="0" w:color="D3D3D3"/>
              <w:right w:val="single" w:sz="13" w:space="0" w:color="D3D3D3"/>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pacing w:val="-8"/>
                <w:sz w:val="18"/>
                <w:szCs w:val="18"/>
              </w:rPr>
              <w:t>减：库存股</w:t>
            </w:r>
          </w:p>
        </w:tc>
        <w:tc>
          <w:tcPr>
            <w:tcW w:w="1127" w:type="dxa"/>
            <w:tcBorders>
              <w:top w:val="single" w:sz="4" w:space="0" w:color="000000"/>
              <w:left w:val="single" w:sz="4" w:space="0" w:color="000000"/>
              <w:bottom w:val="nil" w:sz="6" w:space="0" w:color="auto"/>
              <w:right w:val="single" w:sz="4" w:space="0" w:color="000000"/>
            </w:tcBorders>
            <w:shd w:val="clear" w:color="auto" w:fill="D3D3D3"/>
          </w:tcPr>
          <w:p>
            <w:pPr/>
          </w:p>
        </w:tc>
        <w:tc>
          <w:tcPr>
            <w:tcW w:w="74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91" w:type="dxa"/>
            <w:vMerge w:val="restart"/>
            <w:tcBorders>
              <w:top w:val="single" w:sz="4" w:space="0" w:color="000000"/>
              <w:left w:val="single" w:sz="4" w:space="0" w:color="000000"/>
              <w:right w:val="single" w:sz="4" w:space="0" w:color="000000"/>
            </w:tcBorders>
            <w:shd w:val="clear" w:color="auto" w:fill="D3D3D3"/>
          </w:tcPr>
          <w:p>
            <w:pPr/>
          </w:p>
        </w:tc>
        <w:tc>
          <w:tcPr>
            <w:tcW w:w="1181" w:type="dxa"/>
            <w:vMerge w:val="restart"/>
            <w:tcBorders>
              <w:top w:val="single" w:sz="4" w:space="0" w:color="000000"/>
              <w:left w:val="single" w:sz="4" w:space="0" w:color="000000"/>
              <w:right w:val="single" w:sz="4" w:space="0" w:color="000000"/>
            </w:tcBorders>
            <w:shd w:val="clear" w:color="auto" w:fill="D3D3D3"/>
          </w:tcPr>
          <w:p>
            <w:pPr/>
          </w:p>
        </w:tc>
        <w:tc>
          <w:tcPr>
            <w:tcW w:w="1316" w:type="dxa"/>
            <w:vMerge w:val="restart"/>
            <w:tcBorders>
              <w:top w:val="single" w:sz="4" w:space="0" w:color="000000"/>
              <w:left w:val="single" w:sz="4" w:space="0" w:color="000000"/>
              <w:right w:val="single" w:sz="4" w:space="0" w:color="000000"/>
            </w:tcBorders>
            <w:shd w:val="clear" w:color="auto" w:fill="D3D3D3"/>
          </w:tcPr>
          <w:p>
            <w:pPr/>
          </w:p>
        </w:tc>
      </w:tr>
      <w:tr>
        <w:trPr>
          <w:trHeight w:val="119" w:hRule="exact"/>
        </w:trPr>
        <w:tc>
          <w:tcPr>
            <w:tcW w:w="3408" w:type="dxa"/>
            <w:vMerge w:val="restart"/>
            <w:tcBorders>
              <w:top w:val="nil" w:sz="6" w:space="0" w:color="auto"/>
              <w:left w:val="single" w:sz="4" w:space="0" w:color="000000"/>
              <w:right w:val="single" w:sz="4" w:space="0" w:color="000000"/>
            </w:tcBorders>
            <w:shd w:val="clear" w:color="auto" w:fill="D3D3D3"/>
          </w:tcPr>
          <w:p>
            <w:pPr>
              <w:pStyle w:val="TableParagraph"/>
              <w:spacing w:line="203"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28" w:type="dxa"/>
            <w:vMerge/>
            <w:tcBorders>
              <w:left w:val="single" w:sz="4" w:space="0" w:color="000000"/>
              <w:bottom w:val="nil" w:sz="6" w:space="0" w:color="auto"/>
              <w:right w:val="single" w:sz="4" w:space="0" w:color="000000"/>
            </w:tcBorders>
            <w:shd w:val="clear" w:color="auto" w:fill="D3D3D3"/>
          </w:tcPr>
          <w:p>
            <w:pPr/>
          </w:p>
        </w:tc>
        <w:tc>
          <w:tcPr>
            <w:tcW w:w="1548" w:type="dxa"/>
            <w:gridSpan w:val="3"/>
            <w:vMerge/>
            <w:tcBorders>
              <w:left w:val="single" w:sz="4" w:space="0" w:color="000000"/>
              <w:bottom w:val="single" w:sz="4" w:space="0" w:color="000000"/>
              <w:right w:val="single" w:sz="4" w:space="0" w:color="000000"/>
            </w:tcBorders>
            <w:shd w:val="clear" w:color="auto" w:fill="D3D3D3"/>
          </w:tcPr>
          <w:p>
            <w:pPr/>
          </w:p>
        </w:tc>
        <w:tc>
          <w:tcPr>
            <w:tcW w:w="1316" w:type="dxa"/>
            <w:vMerge/>
            <w:tcBorders>
              <w:left w:val="single" w:sz="4" w:space="0" w:color="000000"/>
              <w:bottom w:val="nil" w:sz="6" w:space="0" w:color="auto"/>
              <w:right w:val="single" w:sz="4" w:space="0" w:color="000000"/>
            </w:tcBorders>
            <w:shd w:val="clear" w:color="auto" w:fill="D3D3D3"/>
          </w:tcPr>
          <w:p>
            <w:pPr/>
          </w:p>
        </w:tc>
        <w:tc>
          <w:tcPr>
            <w:tcW w:w="919" w:type="dxa"/>
            <w:vMerge/>
            <w:tcBorders>
              <w:left w:val="single" w:sz="9" w:space="0" w:color="D3D3D3"/>
              <w:right w:val="single" w:sz="13" w:space="0" w:color="D3D3D3"/>
            </w:tcBorders>
          </w:tcPr>
          <w:p>
            <w:pPr/>
          </w:p>
        </w:tc>
        <w:tc>
          <w:tcPr>
            <w:tcW w:w="1127" w:type="dxa"/>
            <w:vMerge w:val="restart"/>
            <w:tcBorders>
              <w:top w:val="nil" w:sz="6" w:space="0" w:color="auto"/>
              <w:left w:val="single" w:sz="4" w:space="0" w:color="000000"/>
              <w:right w:val="single" w:sz="4" w:space="0" w:color="000000"/>
            </w:tcBorders>
            <w:shd w:val="clear" w:color="auto" w:fill="D3D3D3"/>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其他综合收</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益</w:t>
            </w:r>
          </w:p>
        </w:tc>
        <w:tc>
          <w:tcPr>
            <w:tcW w:w="740" w:type="dxa"/>
            <w:vMerge w:val="restart"/>
            <w:tcBorders>
              <w:top w:val="nil" w:sz="6" w:space="0" w:color="auto"/>
              <w:left w:val="single" w:sz="4" w:space="0" w:color="000000"/>
              <w:right w:val="single" w:sz="4" w:space="0" w:color="000000"/>
            </w:tcBorders>
            <w:shd w:val="clear" w:color="auto" w:fill="D3D3D3"/>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专项储</w:t>
            </w:r>
          </w:p>
          <w:p>
            <w:pPr>
              <w:pStyle w:val="TableParagraph"/>
              <w:spacing w:line="235" w:lineRule="exact"/>
              <w:ind w:left="1"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1091" w:type="dxa"/>
            <w:vMerge/>
            <w:tcBorders>
              <w:left w:val="single" w:sz="4" w:space="0" w:color="000000"/>
              <w:bottom w:val="nil" w:sz="6" w:space="0" w:color="auto"/>
              <w:right w:val="single" w:sz="4" w:space="0" w:color="000000"/>
            </w:tcBorders>
            <w:shd w:val="clear" w:color="auto" w:fill="D3D3D3"/>
          </w:tcPr>
          <w:p>
            <w:pPr/>
          </w:p>
        </w:tc>
        <w:tc>
          <w:tcPr>
            <w:tcW w:w="1181" w:type="dxa"/>
            <w:vMerge/>
            <w:tcBorders>
              <w:left w:val="single" w:sz="4" w:space="0" w:color="000000"/>
              <w:bottom w:val="nil" w:sz="6" w:space="0" w:color="auto"/>
              <w:right w:val="single" w:sz="4" w:space="0" w:color="000000"/>
            </w:tcBorders>
            <w:shd w:val="clear" w:color="auto" w:fill="D3D3D3"/>
          </w:tcPr>
          <w:p>
            <w:pPr/>
          </w:p>
        </w:tc>
        <w:tc>
          <w:tcPr>
            <w:tcW w:w="1316" w:type="dxa"/>
            <w:vMerge/>
            <w:tcBorders>
              <w:left w:val="single" w:sz="4" w:space="0" w:color="000000"/>
              <w:bottom w:val="nil" w:sz="6" w:space="0" w:color="auto"/>
              <w:right w:val="single" w:sz="4" w:space="0" w:color="000000"/>
            </w:tcBorders>
            <w:shd w:val="clear" w:color="auto" w:fill="D3D3D3"/>
          </w:tcPr>
          <w:p>
            <w:pPr/>
          </w:p>
        </w:tc>
      </w:tr>
      <w:tr>
        <w:trPr>
          <w:trHeight w:val="112" w:hRule="exact"/>
        </w:trPr>
        <w:tc>
          <w:tcPr>
            <w:tcW w:w="3408" w:type="dxa"/>
            <w:vMerge/>
            <w:tcBorders>
              <w:left w:val="single" w:sz="4" w:space="0" w:color="000000"/>
              <w:bottom w:val="nil" w:sz="6" w:space="0" w:color="auto"/>
              <w:right w:val="single" w:sz="4" w:space="0" w:color="000000"/>
            </w:tcBorders>
            <w:shd w:val="clear" w:color="auto" w:fill="D3D3D3"/>
          </w:tcPr>
          <w:p>
            <w:pPr/>
          </w:p>
        </w:tc>
        <w:tc>
          <w:tcPr>
            <w:tcW w:w="1328" w:type="dxa"/>
            <w:vMerge w:val="restart"/>
            <w:tcBorders>
              <w:top w:val="nil" w:sz="6" w:space="0" w:color="auto"/>
              <w:left w:val="single" w:sz="4" w:space="0" w:color="000000"/>
              <w:right w:val="single" w:sz="4" w:space="0" w:color="000000"/>
            </w:tcBorders>
            <w:shd w:val="clear" w:color="auto" w:fill="D3D3D3"/>
          </w:tcPr>
          <w:p>
            <w:pPr>
              <w:pStyle w:val="TableParagraph"/>
              <w:spacing w:line="206" w:lineRule="exact"/>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72" w:type="dxa"/>
            <w:vMerge w:val="restart"/>
            <w:tcBorders>
              <w:top w:val="single" w:sz="4" w:space="0" w:color="000000"/>
              <w:left w:val="single" w:sz="4" w:space="0" w:color="000000"/>
              <w:right w:val="single" w:sz="4" w:space="0" w:color="000000"/>
            </w:tcBorders>
            <w:shd w:val="clear" w:color="auto" w:fill="D3D3D3"/>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优先</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571" w:type="dxa"/>
            <w:vMerge w:val="restart"/>
            <w:tcBorders>
              <w:top w:val="single" w:sz="4" w:space="0" w:color="000000"/>
              <w:left w:val="single" w:sz="4" w:space="0" w:color="000000"/>
              <w:right w:val="single" w:sz="4" w:space="0" w:color="000000"/>
            </w:tcBorders>
            <w:shd w:val="clear" w:color="auto" w:fill="D3D3D3"/>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永续</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债</w:t>
            </w:r>
          </w:p>
        </w:tc>
        <w:tc>
          <w:tcPr>
            <w:tcW w:w="404" w:type="dxa"/>
            <w:vMerge w:val="restart"/>
            <w:tcBorders>
              <w:top w:val="single" w:sz="4" w:space="0" w:color="000000"/>
              <w:left w:val="single" w:sz="4" w:space="0" w:color="000000"/>
              <w:right w:val="single" w:sz="4" w:space="0" w:color="000000"/>
            </w:tcBorders>
            <w:shd w:val="clear" w:color="auto" w:fill="D3D3D3"/>
          </w:tcPr>
          <w:p>
            <w:pPr>
              <w:pStyle w:val="TableParagraph"/>
              <w:spacing w:line="205" w:lineRule="exact"/>
              <w:ind w:left="106"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4" w:lineRule="exact"/>
              <w:ind w:left="106"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316" w:type="dxa"/>
            <w:vMerge w:val="restart"/>
            <w:tcBorders>
              <w:top w:val="nil" w:sz="6" w:space="0" w:color="auto"/>
              <w:left w:val="single" w:sz="4" w:space="0" w:color="000000"/>
              <w:right w:val="single" w:sz="4" w:space="0" w:color="000000"/>
            </w:tcBorders>
            <w:shd w:val="clear" w:color="auto" w:fill="D3D3D3"/>
          </w:tcPr>
          <w:p>
            <w:pPr>
              <w:pStyle w:val="TableParagraph"/>
              <w:spacing w:line="206" w:lineRule="exact"/>
              <w:ind w:left="29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19" w:type="dxa"/>
            <w:vMerge/>
            <w:tcBorders>
              <w:left w:val="single" w:sz="9" w:space="0" w:color="D3D3D3"/>
              <w:right w:val="single" w:sz="13" w:space="0" w:color="D3D3D3"/>
            </w:tcBorders>
          </w:tcPr>
          <w:p>
            <w:pPr/>
          </w:p>
        </w:tc>
        <w:tc>
          <w:tcPr>
            <w:tcW w:w="1127" w:type="dxa"/>
            <w:vMerge/>
            <w:tcBorders>
              <w:left w:val="single" w:sz="4" w:space="0" w:color="000000"/>
              <w:right w:val="single" w:sz="4" w:space="0" w:color="000000"/>
            </w:tcBorders>
            <w:shd w:val="clear" w:color="auto" w:fill="D3D3D3"/>
          </w:tcPr>
          <w:p>
            <w:pPr/>
          </w:p>
        </w:tc>
        <w:tc>
          <w:tcPr>
            <w:tcW w:w="740" w:type="dxa"/>
            <w:vMerge/>
            <w:tcBorders>
              <w:left w:val="single" w:sz="4" w:space="0" w:color="000000"/>
              <w:right w:val="single" w:sz="4" w:space="0" w:color="000000"/>
            </w:tcBorders>
            <w:shd w:val="clear" w:color="auto" w:fill="D3D3D3"/>
          </w:tcPr>
          <w:p>
            <w:pPr/>
          </w:p>
        </w:tc>
        <w:tc>
          <w:tcPr>
            <w:tcW w:w="1091" w:type="dxa"/>
            <w:vMerge w:val="restart"/>
            <w:tcBorders>
              <w:top w:val="nil" w:sz="6" w:space="0" w:color="auto"/>
              <w:left w:val="single" w:sz="4" w:space="0" w:color="000000"/>
              <w:right w:val="single" w:sz="4" w:space="0" w:color="000000"/>
            </w:tcBorders>
            <w:shd w:val="clear" w:color="auto" w:fill="D3D3D3"/>
          </w:tcPr>
          <w:p>
            <w:pPr>
              <w:pStyle w:val="TableParagraph"/>
              <w:spacing w:line="206" w:lineRule="exact"/>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nil" w:sz="6" w:space="0" w:color="auto"/>
              <w:left w:val="single" w:sz="4" w:space="0" w:color="000000"/>
              <w:right w:val="single" w:sz="4" w:space="0" w:color="000000"/>
            </w:tcBorders>
            <w:shd w:val="clear" w:color="auto" w:fill="D3D3D3"/>
          </w:tcPr>
          <w:p>
            <w:pPr>
              <w:pStyle w:val="TableParagraph"/>
              <w:spacing w:line="206" w:lineRule="exact"/>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6" w:type="dxa"/>
            <w:vMerge w:val="restart"/>
            <w:tcBorders>
              <w:top w:val="nil" w:sz="6" w:space="0" w:color="auto"/>
              <w:left w:val="single" w:sz="4" w:space="0" w:color="000000"/>
              <w:right w:val="single" w:sz="4" w:space="0" w:color="000000"/>
            </w:tcBorders>
            <w:shd w:val="clear" w:color="auto" w:fill="D3D3D3"/>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21" w:hRule="exact"/>
        </w:trPr>
        <w:tc>
          <w:tcPr>
            <w:tcW w:w="3408" w:type="dxa"/>
            <w:vMerge w:val="restart"/>
            <w:tcBorders>
              <w:top w:val="nil" w:sz="6" w:space="0" w:color="auto"/>
              <w:left w:val="single" w:sz="4" w:space="0" w:color="000000"/>
              <w:right w:val="single" w:sz="4" w:space="0" w:color="000000"/>
            </w:tcBorders>
            <w:shd w:val="clear" w:color="auto" w:fill="D3D3D3"/>
          </w:tcPr>
          <w:p>
            <w:pPr/>
          </w:p>
        </w:tc>
        <w:tc>
          <w:tcPr>
            <w:tcW w:w="1328" w:type="dxa"/>
            <w:vMerge/>
            <w:tcBorders>
              <w:left w:val="single" w:sz="4" w:space="0" w:color="000000"/>
              <w:bottom w:val="nil" w:sz="6" w:space="0" w:color="auto"/>
              <w:right w:val="single" w:sz="4" w:space="0" w:color="000000"/>
            </w:tcBorders>
            <w:shd w:val="clear" w:color="auto" w:fill="D3D3D3"/>
          </w:tcPr>
          <w:p>
            <w:pPr/>
          </w:p>
        </w:tc>
        <w:tc>
          <w:tcPr>
            <w:tcW w:w="572" w:type="dxa"/>
            <w:vMerge/>
            <w:tcBorders>
              <w:left w:val="single" w:sz="4" w:space="0" w:color="000000"/>
              <w:right w:val="single" w:sz="4" w:space="0" w:color="000000"/>
            </w:tcBorders>
            <w:shd w:val="clear" w:color="auto" w:fill="D3D3D3"/>
          </w:tcPr>
          <w:p>
            <w:pPr/>
          </w:p>
        </w:tc>
        <w:tc>
          <w:tcPr>
            <w:tcW w:w="571" w:type="dxa"/>
            <w:vMerge/>
            <w:tcBorders>
              <w:left w:val="single" w:sz="4" w:space="0" w:color="000000"/>
              <w:right w:val="single" w:sz="4" w:space="0" w:color="000000"/>
            </w:tcBorders>
            <w:shd w:val="clear" w:color="auto" w:fill="D3D3D3"/>
          </w:tcPr>
          <w:p>
            <w:pPr/>
          </w:p>
        </w:tc>
        <w:tc>
          <w:tcPr>
            <w:tcW w:w="404" w:type="dxa"/>
            <w:vMerge/>
            <w:tcBorders>
              <w:left w:val="single" w:sz="4" w:space="0" w:color="000000"/>
              <w:right w:val="single" w:sz="4" w:space="0" w:color="000000"/>
            </w:tcBorders>
            <w:shd w:val="clear" w:color="auto" w:fill="D3D3D3"/>
          </w:tcPr>
          <w:p>
            <w:pPr/>
          </w:p>
        </w:tc>
        <w:tc>
          <w:tcPr>
            <w:tcW w:w="1316" w:type="dxa"/>
            <w:vMerge/>
            <w:tcBorders>
              <w:left w:val="single" w:sz="4" w:space="0" w:color="000000"/>
              <w:bottom w:val="nil" w:sz="6" w:space="0" w:color="auto"/>
              <w:right w:val="single" w:sz="4" w:space="0" w:color="000000"/>
            </w:tcBorders>
            <w:shd w:val="clear" w:color="auto" w:fill="D3D3D3"/>
          </w:tcPr>
          <w:p>
            <w:pPr/>
          </w:p>
        </w:tc>
        <w:tc>
          <w:tcPr>
            <w:tcW w:w="919" w:type="dxa"/>
            <w:vMerge/>
            <w:tcBorders>
              <w:left w:val="single" w:sz="9" w:space="0" w:color="D3D3D3"/>
              <w:right w:val="single" w:sz="13" w:space="0" w:color="D3D3D3"/>
            </w:tcBorders>
          </w:tcPr>
          <w:p>
            <w:pPr/>
          </w:p>
        </w:tc>
        <w:tc>
          <w:tcPr>
            <w:tcW w:w="1127" w:type="dxa"/>
            <w:vMerge/>
            <w:tcBorders>
              <w:left w:val="single" w:sz="4" w:space="0" w:color="000000"/>
              <w:right w:val="single" w:sz="4" w:space="0" w:color="000000"/>
            </w:tcBorders>
            <w:shd w:val="clear" w:color="auto" w:fill="D3D3D3"/>
          </w:tcPr>
          <w:p>
            <w:pPr/>
          </w:p>
        </w:tc>
        <w:tc>
          <w:tcPr>
            <w:tcW w:w="740" w:type="dxa"/>
            <w:vMerge/>
            <w:tcBorders>
              <w:left w:val="single" w:sz="4" w:space="0" w:color="000000"/>
              <w:right w:val="single" w:sz="4" w:space="0" w:color="000000"/>
            </w:tcBorders>
            <w:shd w:val="clear" w:color="auto" w:fill="D3D3D3"/>
          </w:tcPr>
          <w:p>
            <w:pPr/>
          </w:p>
        </w:tc>
        <w:tc>
          <w:tcPr>
            <w:tcW w:w="1091" w:type="dxa"/>
            <w:vMerge/>
            <w:tcBorders>
              <w:left w:val="single" w:sz="4" w:space="0" w:color="000000"/>
              <w:bottom w:val="nil" w:sz="6" w:space="0" w:color="auto"/>
              <w:right w:val="single" w:sz="4" w:space="0" w:color="000000"/>
            </w:tcBorders>
            <w:shd w:val="clear" w:color="auto" w:fill="D3D3D3"/>
          </w:tcPr>
          <w:p>
            <w:pPr/>
          </w:p>
        </w:tc>
        <w:tc>
          <w:tcPr>
            <w:tcW w:w="1181" w:type="dxa"/>
            <w:vMerge/>
            <w:tcBorders>
              <w:left w:val="single" w:sz="4" w:space="0" w:color="000000"/>
              <w:bottom w:val="nil" w:sz="6" w:space="0" w:color="auto"/>
              <w:right w:val="single" w:sz="4" w:space="0" w:color="000000"/>
            </w:tcBorders>
            <w:shd w:val="clear" w:color="auto" w:fill="D3D3D3"/>
          </w:tcPr>
          <w:p>
            <w:pPr/>
          </w:p>
        </w:tc>
        <w:tc>
          <w:tcPr>
            <w:tcW w:w="1316" w:type="dxa"/>
            <w:vMerge/>
            <w:tcBorders>
              <w:left w:val="single" w:sz="4" w:space="0" w:color="000000"/>
              <w:bottom w:val="nil" w:sz="6" w:space="0" w:color="auto"/>
              <w:right w:val="single" w:sz="4" w:space="0" w:color="000000"/>
            </w:tcBorders>
            <w:shd w:val="clear" w:color="auto" w:fill="D3D3D3"/>
          </w:tcPr>
          <w:p>
            <w:pPr/>
          </w:p>
        </w:tc>
      </w:tr>
      <w:tr>
        <w:trPr>
          <w:trHeight w:val="244" w:hRule="exact"/>
        </w:trPr>
        <w:tc>
          <w:tcPr>
            <w:tcW w:w="3408" w:type="dxa"/>
            <w:vMerge/>
            <w:tcBorders>
              <w:left w:val="single" w:sz="4" w:space="0" w:color="000000"/>
              <w:bottom w:val="single" w:sz="4" w:space="0" w:color="000000"/>
              <w:right w:val="single" w:sz="4" w:space="0" w:color="000000"/>
            </w:tcBorders>
            <w:shd w:val="clear" w:color="auto" w:fill="D3D3D3"/>
          </w:tcPr>
          <w:p>
            <w:pPr/>
          </w:p>
        </w:tc>
        <w:tc>
          <w:tcPr>
            <w:tcW w:w="1328" w:type="dxa"/>
            <w:tcBorders>
              <w:top w:val="nil" w:sz="6" w:space="0" w:color="auto"/>
              <w:left w:val="single" w:sz="4" w:space="0" w:color="000000"/>
              <w:bottom w:val="single" w:sz="4" w:space="0" w:color="000000"/>
              <w:right w:val="single" w:sz="4" w:space="0" w:color="000000"/>
            </w:tcBorders>
            <w:shd w:val="clear" w:color="auto" w:fill="D3D3D3"/>
          </w:tcPr>
          <w:p>
            <w:pPr/>
          </w:p>
        </w:tc>
        <w:tc>
          <w:tcPr>
            <w:tcW w:w="572" w:type="dxa"/>
            <w:vMerge/>
            <w:tcBorders>
              <w:left w:val="single" w:sz="4" w:space="0" w:color="000000"/>
              <w:bottom w:val="single" w:sz="4" w:space="0" w:color="000000"/>
              <w:right w:val="single" w:sz="4" w:space="0" w:color="000000"/>
            </w:tcBorders>
            <w:shd w:val="clear" w:color="auto" w:fill="D3D3D3"/>
          </w:tcPr>
          <w:p>
            <w:pPr/>
          </w:p>
        </w:tc>
        <w:tc>
          <w:tcPr>
            <w:tcW w:w="571" w:type="dxa"/>
            <w:vMerge/>
            <w:tcBorders>
              <w:left w:val="single" w:sz="4" w:space="0" w:color="000000"/>
              <w:bottom w:val="single" w:sz="4" w:space="0" w:color="000000"/>
              <w:right w:val="single" w:sz="4" w:space="0" w:color="000000"/>
            </w:tcBorders>
            <w:shd w:val="clear" w:color="auto" w:fill="D3D3D3"/>
          </w:tcPr>
          <w:p>
            <w:pPr/>
          </w:p>
        </w:tc>
        <w:tc>
          <w:tcPr>
            <w:tcW w:w="404" w:type="dxa"/>
            <w:vMerge/>
            <w:tcBorders>
              <w:left w:val="single" w:sz="4" w:space="0" w:color="000000"/>
              <w:bottom w:val="single" w:sz="4" w:space="0" w:color="000000"/>
              <w:right w:val="single" w:sz="4" w:space="0" w:color="000000"/>
            </w:tcBorders>
            <w:shd w:val="clear" w:color="auto" w:fill="D3D3D3"/>
          </w:tcPr>
          <w:p>
            <w:pPr/>
          </w:p>
        </w:tc>
        <w:tc>
          <w:tcPr>
            <w:tcW w:w="1316" w:type="dxa"/>
            <w:tcBorders>
              <w:top w:val="nil" w:sz="6" w:space="0" w:color="auto"/>
              <w:left w:val="single" w:sz="4" w:space="0" w:color="000000"/>
              <w:bottom w:val="single" w:sz="4" w:space="0" w:color="000000"/>
              <w:right w:val="single" w:sz="4" w:space="0" w:color="000000"/>
            </w:tcBorders>
            <w:shd w:val="clear" w:color="auto" w:fill="D3D3D3"/>
          </w:tcPr>
          <w:p>
            <w:pPr/>
          </w:p>
        </w:tc>
        <w:tc>
          <w:tcPr>
            <w:tcW w:w="919" w:type="dxa"/>
            <w:vMerge/>
            <w:tcBorders>
              <w:left w:val="single" w:sz="9" w:space="0" w:color="D3D3D3"/>
              <w:bottom w:val="single" w:sz="4" w:space="0" w:color="000000"/>
              <w:right w:val="single" w:sz="13" w:space="0" w:color="D3D3D3"/>
            </w:tcBorders>
          </w:tcPr>
          <w:p>
            <w:pPr/>
          </w:p>
        </w:tc>
        <w:tc>
          <w:tcPr>
            <w:tcW w:w="1127" w:type="dxa"/>
            <w:vMerge/>
            <w:tcBorders>
              <w:left w:val="single" w:sz="4" w:space="0" w:color="000000"/>
              <w:bottom w:val="single" w:sz="4" w:space="0" w:color="000000"/>
              <w:right w:val="single" w:sz="4" w:space="0" w:color="000000"/>
            </w:tcBorders>
            <w:shd w:val="clear" w:color="auto" w:fill="D3D3D3"/>
          </w:tcPr>
          <w:p>
            <w:pPr/>
          </w:p>
        </w:tc>
        <w:tc>
          <w:tcPr>
            <w:tcW w:w="740" w:type="dxa"/>
            <w:vMerge/>
            <w:tcBorders>
              <w:left w:val="single" w:sz="4" w:space="0" w:color="000000"/>
              <w:bottom w:val="single" w:sz="4" w:space="0" w:color="000000"/>
              <w:right w:val="single" w:sz="4" w:space="0" w:color="000000"/>
            </w:tcBorders>
            <w:shd w:val="clear" w:color="auto" w:fill="D3D3D3"/>
          </w:tcPr>
          <w:p>
            <w:pPr/>
          </w:p>
        </w:tc>
        <w:tc>
          <w:tcPr>
            <w:tcW w:w="1091" w:type="dxa"/>
            <w:tcBorders>
              <w:top w:val="nil" w:sz="6" w:space="0" w:color="auto"/>
              <w:left w:val="single" w:sz="4" w:space="0" w:color="000000"/>
              <w:bottom w:val="single" w:sz="4" w:space="0" w:color="000000"/>
              <w:right w:val="single" w:sz="4" w:space="0" w:color="000000"/>
            </w:tcBorders>
            <w:shd w:val="clear" w:color="auto" w:fill="D3D3D3"/>
          </w:tcPr>
          <w:p>
            <w:pPr/>
          </w:p>
        </w:tc>
        <w:tc>
          <w:tcPr>
            <w:tcW w:w="1181" w:type="dxa"/>
            <w:tcBorders>
              <w:top w:val="nil" w:sz="6" w:space="0" w:color="auto"/>
              <w:left w:val="single" w:sz="4" w:space="0" w:color="000000"/>
              <w:bottom w:val="single" w:sz="4" w:space="0" w:color="000000"/>
              <w:right w:val="single" w:sz="4" w:space="0" w:color="000000"/>
            </w:tcBorders>
            <w:shd w:val="clear" w:color="auto" w:fill="D3D3D3"/>
          </w:tcPr>
          <w:p>
            <w:pPr/>
          </w:p>
        </w:tc>
        <w:tc>
          <w:tcPr>
            <w:tcW w:w="131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244" w:hRule="exact"/>
        </w:trPr>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1,017,698,410.00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1,809,704,919.76</w:t>
            </w:r>
          </w:p>
        </w:tc>
        <w:tc>
          <w:tcPr>
            <w:tcW w:w="91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53" w:space="0" w:color="D3D3D3"/>
              <w:left w:val="single" w:sz="4" w:space="0" w:color="000000"/>
              <w:bottom w:val="single" w:sz="4" w:space="0" w:color="000000"/>
              <w:right w:val="single" w:sz="4" w:space="0" w:color="000000"/>
            </w:tcBorders>
          </w:tcPr>
          <w:p>
            <w:pPr>
              <w:pStyle w:val="TableParagraph"/>
              <w:spacing w:line="154" w:lineRule="exact"/>
              <w:ind w:right="19"/>
              <w:jc w:val="right"/>
              <w:rPr>
                <w:rFonts w:ascii="Times New Roman" w:hAnsi="Times New Roman" w:cs="Times New Roman" w:eastAsia="Times New Roman" w:hint="default"/>
                <w:sz w:val="18"/>
                <w:szCs w:val="18"/>
              </w:rPr>
            </w:pPr>
            <w:r>
              <w:rPr>
                <w:rFonts w:ascii="Times New Roman"/>
                <w:spacing w:val="-1"/>
                <w:sz w:val="18"/>
              </w:rPr>
              <w:t>2,190,121.44</w:t>
            </w:r>
          </w:p>
        </w:tc>
        <w:tc>
          <w:tcPr>
            <w:tcW w:w="740" w:type="dxa"/>
            <w:tcBorders>
              <w:top w:val="single" w:sz="53" w:space="0" w:color="D3D3D3"/>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sz w:val="18"/>
              </w:rPr>
              <w:t>53,068,207.84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Times New Roman" w:hAnsi="Times New Roman" w:cs="Times New Roman" w:eastAsia="Times New Roman" w:hint="default"/>
                <w:sz w:val="18"/>
                <w:szCs w:val="18"/>
              </w:rPr>
            </w:pPr>
            <w:r>
              <w:rPr>
                <w:rFonts w:ascii="Times New Roman"/>
                <w:sz w:val="18"/>
              </w:rPr>
              <w:t>173,562,266.45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3,056,223,925.49</w:t>
            </w:r>
          </w:p>
        </w:tc>
      </w:tr>
      <w:tr>
        <w:trPr>
          <w:trHeight w:val="244" w:hRule="exact"/>
        </w:trPr>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1,017,698,410.00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1,809,704,919.76</w:t>
            </w:r>
          </w:p>
        </w:tc>
        <w:tc>
          <w:tcPr>
            <w:tcW w:w="91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2,190,121.44</w:t>
            </w:r>
          </w:p>
        </w:tc>
        <w:tc>
          <w:tcPr>
            <w:tcW w:w="74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left"/>
              <w:rPr>
                <w:rFonts w:ascii="Times New Roman" w:hAnsi="Times New Roman" w:cs="Times New Roman" w:eastAsia="Times New Roman" w:hint="default"/>
                <w:sz w:val="18"/>
                <w:szCs w:val="18"/>
              </w:rPr>
            </w:pPr>
            <w:r>
              <w:rPr>
                <w:rFonts w:ascii="Times New Roman"/>
                <w:sz w:val="18"/>
              </w:rPr>
              <w:t>53,068,207.84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Times New Roman" w:hAnsi="Times New Roman" w:cs="Times New Roman" w:eastAsia="Times New Roman" w:hint="default"/>
                <w:sz w:val="18"/>
                <w:szCs w:val="18"/>
              </w:rPr>
            </w:pPr>
            <w:r>
              <w:rPr>
                <w:rFonts w:ascii="Times New Roman"/>
                <w:sz w:val="18"/>
              </w:rPr>
              <w:t>173,562,266.45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3,056,223,925.49</w:t>
            </w:r>
          </w:p>
        </w:tc>
      </w:tr>
      <w:tr>
        <w:trPr>
          <w:trHeight w:val="244" w:hRule="exact"/>
        </w:trPr>
        <w:tc>
          <w:tcPr>
            <w:tcW w:w="3408"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20" w:lineRule="exact"/>
              <w:ind w:left="11"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328" w:type="dxa"/>
            <w:tcBorders>
              <w:top w:val="single" w:sz="4" w:space="0" w:color="000000"/>
              <w:left w:val="single" w:sz="22" w:space="0" w:color="FFFFFF"/>
              <w:bottom w:val="single" w:sz="4" w:space="0" w:color="000000"/>
              <w:right w:val="single" w:sz="4" w:space="0" w:color="000000"/>
            </w:tcBorders>
          </w:tcPr>
          <w:p>
            <w:pPr>
              <w:pStyle w:val="TableParagraph"/>
              <w:spacing w:line="207"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132,213.68</w:t>
            </w:r>
          </w:p>
        </w:tc>
        <w:tc>
          <w:tcPr>
            <w:tcW w:w="74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2" w:right="0"/>
              <w:jc w:val="center"/>
              <w:rPr>
                <w:rFonts w:ascii="Times New Roman" w:hAnsi="Times New Roman" w:cs="Times New Roman" w:eastAsia="Times New Roman" w:hint="default"/>
                <w:sz w:val="18"/>
                <w:szCs w:val="18"/>
              </w:rPr>
            </w:pPr>
            <w:r>
              <w:rPr>
                <w:rFonts w:ascii="Times New Roman"/>
                <w:sz w:val="18"/>
              </w:rPr>
              <w:t>-39,834,519.09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-39,702,305.41</w:t>
            </w:r>
          </w:p>
        </w:tc>
      </w:tr>
      <w:tr>
        <w:trPr>
          <w:trHeight w:val="244" w:hRule="exact"/>
        </w:trPr>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28" w:type="dxa"/>
            <w:tcBorders>
              <w:top w:val="single" w:sz="4" w:space="0" w:color="000000"/>
              <w:left w:val="single" w:sz="9"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132,213.68</w:t>
            </w:r>
          </w:p>
        </w:tc>
        <w:tc>
          <w:tcPr>
            <w:tcW w:w="74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2" w:right="0"/>
              <w:jc w:val="center"/>
              <w:rPr>
                <w:rFonts w:ascii="Times New Roman" w:hAnsi="Times New Roman" w:cs="Times New Roman" w:eastAsia="Times New Roman" w:hint="default"/>
                <w:sz w:val="18"/>
                <w:szCs w:val="18"/>
              </w:rPr>
            </w:pPr>
            <w:r>
              <w:rPr>
                <w:rFonts w:ascii="Times New Roman"/>
                <w:sz w:val="18"/>
              </w:rPr>
              <w:t>-24,569,042.94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-24,436,829.26</w:t>
            </w:r>
          </w:p>
        </w:tc>
      </w:tr>
      <w:tr>
        <w:trPr>
          <w:trHeight w:val="244" w:hRule="exact"/>
        </w:trPr>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328" w:type="dxa"/>
            <w:tcBorders>
              <w:top w:val="single" w:sz="4" w:space="0" w:color="000000"/>
              <w:left w:val="single" w:sz="9"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328" w:type="dxa"/>
            <w:tcBorders>
              <w:top w:val="single" w:sz="4" w:space="0" w:color="000000"/>
              <w:left w:val="single" w:sz="9"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328" w:type="dxa"/>
            <w:tcBorders>
              <w:top w:val="single" w:sz="4" w:space="0" w:color="000000"/>
              <w:left w:val="single" w:sz="9"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328" w:type="dxa"/>
            <w:tcBorders>
              <w:top w:val="single" w:sz="4" w:space="0" w:color="000000"/>
              <w:left w:val="single" w:sz="9"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0"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28" w:type="dxa"/>
            <w:tcBorders>
              <w:top w:val="single" w:sz="4" w:space="0" w:color="000000"/>
              <w:left w:val="single" w:sz="9"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28" w:type="dxa"/>
            <w:tcBorders>
              <w:top w:val="single" w:sz="4" w:space="0" w:color="000000"/>
              <w:left w:val="single" w:sz="9"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2" w:right="0"/>
              <w:jc w:val="center"/>
              <w:rPr>
                <w:rFonts w:ascii="Times New Roman" w:hAnsi="Times New Roman" w:cs="Times New Roman" w:eastAsia="Times New Roman" w:hint="default"/>
                <w:sz w:val="18"/>
                <w:szCs w:val="18"/>
              </w:rPr>
            </w:pPr>
            <w:r>
              <w:rPr>
                <w:rFonts w:ascii="Times New Roman"/>
                <w:sz w:val="18"/>
              </w:rPr>
              <w:t>-15,265,476.15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-15,265,476.15</w:t>
            </w:r>
          </w:p>
        </w:tc>
      </w:tr>
      <w:tr>
        <w:trPr>
          <w:trHeight w:val="244" w:hRule="exact"/>
        </w:trPr>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28" w:type="dxa"/>
            <w:tcBorders>
              <w:top w:val="single" w:sz="4" w:space="0" w:color="000000"/>
              <w:left w:val="single" w:sz="9"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328" w:type="dxa"/>
            <w:tcBorders>
              <w:top w:val="single" w:sz="4" w:space="0" w:color="000000"/>
              <w:left w:val="single" w:sz="9"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2" w:right="0"/>
              <w:jc w:val="center"/>
              <w:rPr>
                <w:rFonts w:ascii="Times New Roman" w:hAnsi="Times New Roman" w:cs="Times New Roman" w:eastAsia="Times New Roman" w:hint="default"/>
                <w:sz w:val="18"/>
                <w:szCs w:val="18"/>
              </w:rPr>
            </w:pPr>
            <w:r>
              <w:rPr>
                <w:rFonts w:ascii="Times New Roman"/>
                <w:sz w:val="18"/>
              </w:rPr>
              <w:t>-15,265,476.15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-15,265,476.15</w:t>
            </w:r>
          </w:p>
        </w:tc>
      </w:tr>
      <w:tr>
        <w:trPr>
          <w:trHeight w:val="244" w:hRule="exact"/>
        </w:trPr>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28" w:type="dxa"/>
            <w:tcBorders>
              <w:top w:val="single" w:sz="4" w:space="0" w:color="000000"/>
              <w:left w:val="single" w:sz="9"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0"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0"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．设定受益计划变动额结转留存收益</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1,017,698,410.00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1,809,704,919.76</w:t>
            </w:r>
          </w:p>
        </w:tc>
        <w:tc>
          <w:tcPr>
            <w:tcW w:w="91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2,322,335.12</w:t>
            </w:r>
          </w:p>
        </w:tc>
        <w:tc>
          <w:tcPr>
            <w:tcW w:w="74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left"/>
              <w:rPr>
                <w:rFonts w:ascii="Times New Roman" w:hAnsi="Times New Roman" w:cs="Times New Roman" w:eastAsia="Times New Roman" w:hint="default"/>
                <w:sz w:val="18"/>
                <w:szCs w:val="18"/>
              </w:rPr>
            </w:pPr>
            <w:r>
              <w:rPr>
                <w:rFonts w:ascii="Times New Roman"/>
                <w:sz w:val="18"/>
              </w:rPr>
              <w:t>53,068,207.84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Times New Roman" w:hAnsi="Times New Roman" w:cs="Times New Roman" w:eastAsia="Times New Roman" w:hint="default"/>
                <w:sz w:val="18"/>
                <w:szCs w:val="18"/>
              </w:rPr>
            </w:pPr>
            <w:r>
              <w:rPr>
                <w:rFonts w:ascii="Times New Roman"/>
                <w:sz w:val="18"/>
              </w:rPr>
              <w:t>133,727,747.36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3,016,521,620.08</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8" w:top="1060" w:bottom="1160" w:left="1300" w:right="1300"/>
        </w:sectPr>
      </w:pPr>
    </w:p>
    <w:p>
      <w:pPr>
        <w:spacing w:line="240" w:lineRule="auto" w:before="12"/>
        <w:rPr>
          <w:rFonts w:ascii="宋体" w:hAnsi="宋体" w:cs="宋体" w:eastAsia="宋体" w:hint="default"/>
          <w:sz w:val="2"/>
          <w:szCs w:val="2"/>
        </w:rPr>
      </w:pPr>
      <w:r>
        <w:rPr/>
        <w:pict>
          <v:group style="position:absolute;margin-left:244.910995pt;margin-top:202.080002pt;width:63pt;height:10.4pt;mso-position-horizontal-relative:page;mso-position-vertical-relative:page;z-index:-1148752" coordorigin="4898,4042" coordsize="1260,208">
            <v:shape style="position:absolute;left:4898;top:4042;width:1260;height:208" coordorigin="4898,4042" coordsize="1260,208" path="m4898,4042l4898,4249,6158,4249,6158,4042,4898,4042xe" filled="true" fillcolor="#ffffff" stroked="false">
              <v:path arrowok="t"/>
              <v:fill type="solid"/>
            </v:shape>
            <w10:wrap type="none"/>
          </v:group>
        </w:pict>
      </w: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20"/>
        <w:ind w:left="139" w:right="0"/>
        <w:jc w:val="left"/>
      </w:pPr>
      <w:r>
        <w:rPr/>
        <w:t>上期金额</w:t>
      </w:r>
    </w:p>
    <w:p>
      <w:pPr>
        <w:pStyle w:val="BodyText"/>
        <w:spacing w:line="240" w:lineRule="auto" w:before="116"/>
        <w:ind w:left="0" w:right="139"/>
        <w:jc w:val="right"/>
      </w:pPr>
      <w:r>
        <w:rPr/>
        <w:pict>
          <v:group style="position:absolute;margin-left:452.811005pt;margin-top:35.512032pt;width:45.5pt;height:35.550pt;mso-position-horizontal-relative:page;mso-position-vertical-relative:paragraph;z-index:-1148776" coordorigin="9056,710" coordsize="910,711">
            <v:group style="position:absolute;left:9056;top:710;width:910;height:711" coordorigin="9056,710" coordsize="910,711">
              <v:shape style="position:absolute;left:9056;top:710;width:910;height:711" coordorigin="9056,710" coordsize="910,711" path="m9966,949l9966,710,9056,710,9362,949,9966,949xe" filled="true" fillcolor="#d3d3d3" stroked="false">
                <v:path arrowok="t"/>
                <v:fill type="solid"/>
              </v:shape>
              <v:shape style="position:absolute;left:9056;top:710;width:910;height:711" coordorigin="9056,710" coordsize="910,711" path="m9660,1182l9362,949,9079,949,9079,1182,9660,1182xe" filled="true" fillcolor="#d3d3d3" stroked="false">
                <v:path arrowok="t"/>
                <v:fill type="solid"/>
              </v:shape>
              <v:shape style="position:absolute;left:9056;top:710;width:910;height:711" coordorigin="9056,710" coordsize="910,711" path="m9966,1421l9966,1182,9660,1182,9966,1421xe" filled="true" fillcolor="#d3d3d3" stroked="false">
                <v:path arrowok="t"/>
                <v:fill type="solid"/>
              </v:shape>
              <v:shape style="position:absolute;left:9056;top:710;width:910;height:711" coordorigin="9056,710" coordsize="910,711" path="m9966,1182l9966,949,9943,949,9943,1182,9966,1182xe" filled="true" fillcolor="#d3d3d3" stroked="false">
                <v:path arrowok="t"/>
                <v:fill type="solid"/>
              </v:shape>
            </v:group>
            <v:group style="position:absolute;left:9079;top:949;width:864;height:233" coordorigin="9079,949" coordsize="864,233">
              <v:shape style="position:absolute;left:9079;top:949;width:864;height:233" coordorigin="9079,949" coordsize="864,233" path="m9079,949l9079,1182,9943,1182,9943,949,9079,949xe" filled="true" fillcolor="#d3d3d3" stroked="false">
                <v:path arrowok="t"/>
                <v:fill type="solid"/>
              </v:shape>
            </v:group>
            <w10:wrap type="none"/>
          </v:group>
        </w:pict>
      </w:r>
      <w:r>
        <w:rPr/>
        <w:t>单位：元</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3408"/>
        <w:gridCol w:w="1328"/>
        <w:gridCol w:w="572"/>
        <w:gridCol w:w="571"/>
        <w:gridCol w:w="404"/>
        <w:gridCol w:w="1316"/>
        <w:gridCol w:w="919"/>
        <w:gridCol w:w="1127"/>
        <w:gridCol w:w="740"/>
        <w:gridCol w:w="1091"/>
        <w:gridCol w:w="1181"/>
        <w:gridCol w:w="1316"/>
      </w:tblGrid>
      <w:tr>
        <w:trPr>
          <w:trHeight w:val="244" w:hRule="exact"/>
        </w:trPr>
        <w:tc>
          <w:tcPr>
            <w:tcW w:w="3408" w:type="dxa"/>
            <w:vMerge w:val="restart"/>
            <w:tcBorders>
              <w:top w:val="single" w:sz="4" w:space="0" w:color="000000"/>
              <w:left w:val="single" w:sz="4" w:space="0" w:color="000000"/>
              <w:right w:val="single" w:sz="4" w:space="0" w:color="000000"/>
            </w:tcBorders>
            <w:shd w:val="clear" w:color="auto" w:fill="D3D3D3"/>
          </w:tcPr>
          <w:p>
            <w:pPr/>
          </w:p>
        </w:tc>
        <w:tc>
          <w:tcPr>
            <w:tcW w:w="10567"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8"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124" w:hRule="exact"/>
        </w:trPr>
        <w:tc>
          <w:tcPr>
            <w:tcW w:w="3408" w:type="dxa"/>
            <w:vMerge/>
            <w:tcBorders>
              <w:left w:val="single" w:sz="4" w:space="0" w:color="000000"/>
              <w:bottom w:val="nil" w:sz="6" w:space="0" w:color="auto"/>
              <w:right w:val="single" w:sz="4" w:space="0" w:color="000000"/>
            </w:tcBorders>
            <w:shd w:val="clear" w:color="auto" w:fill="D3D3D3"/>
          </w:tcPr>
          <w:p>
            <w:pPr/>
          </w:p>
        </w:tc>
        <w:tc>
          <w:tcPr>
            <w:tcW w:w="1328" w:type="dxa"/>
            <w:vMerge w:val="restart"/>
            <w:tcBorders>
              <w:top w:val="single" w:sz="4" w:space="0" w:color="000000"/>
              <w:left w:val="single" w:sz="4" w:space="0" w:color="000000"/>
              <w:right w:val="single" w:sz="4" w:space="0" w:color="000000"/>
            </w:tcBorders>
            <w:shd w:val="clear" w:color="auto" w:fill="D3D3D3"/>
          </w:tcPr>
          <w:p>
            <w:pPr/>
          </w:p>
        </w:tc>
        <w:tc>
          <w:tcPr>
            <w:tcW w:w="1548"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05" w:lineRule="exact"/>
              <w:ind w:left="22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6" w:type="dxa"/>
            <w:vMerge w:val="restart"/>
            <w:tcBorders>
              <w:top w:val="single" w:sz="4" w:space="0" w:color="000000"/>
              <w:left w:val="single" w:sz="4" w:space="0" w:color="000000"/>
              <w:right w:val="single" w:sz="4" w:space="0" w:color="000000"/>
            </w:tcBorders>
            <w:shd w:val="clear" w:color="auto" w:fill="D3D3D3"/>
          </w:tcPr>
          <w:p>
            <w:pPr/>
          </w:p>
        </w:tc>
        <w:tc>
          <w:tcPr>
            <w:tcW w:w="919" w:type="dxa"/>
            <w:vMerge w:val="restart"/>
            <w:tcBorders>
              <w:top w:val="single" w:sz="4" w:space="0" w:color="000000"/>
              <w:left w:val="single" w:sz="9" w:space="0" w:color="D3D3D3"/>
              <w:right w:val="single" w:sz="13" w:space="0" w:color="D3D3D3"/>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pacing w:val="-8"/>
                <w:sz w:val="18"/>
                <w:szCs w:val="18"/>
              </w:rPr>
              <w:t>减：库存股</w:t>
            </w:r>
          </w:p>
        </w:tc>
        <w:tc>
          <w:tcPr>
            <w:tcW w:w="1127" w:type="dxa"/>
            <w:tcBorders>
              <w:top w:val="single" w:sz="4" w:space="0" w:color="000000"/>
              <w:left w:val="single" w:sz="4" w:space="0" w:color="000000"/>
              <w:bottom w:val="nil" w:sz="6" w:space="0" w:color="auto"/>
              <w:right w:val="single" w:sz="4" w:space="0" w:color="000000"/>
            </w:tcBorders>
            <w:shd w:val="clear" w:color="auto" w:fill="D3D3D3"/>
          </w:tcPr>
          <w:p>
            <w:pPr/>
          </w:p>
        </w:tc>
        <w:tc>
          <w:tcPr>
            <w:tcW w:w="74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91" w:type="dxa"/>
            <w:vMerge w:val="restart"/>
            <w:tcBorders>
              <w:top w:val="single" w:sz="4" w:space="0" w:color="000000"/>
              <w:left w:val="single" w:sz="4" w:space="0" w:color="000000"/>
              <w:right w:val="single" w:sz="4" w:space="0" w:color="000000"/>
            </w:tcBorders>
            <w:shd w:val="clear" w:color="auto" w:fill="D3D3D3"/>
          </w:tcPr>
          <w:p>
            <w:pPr/>
          </w:p>
        </w:tc>
        <w:tc>
          <w:tcPr>
            <w:tcW w:w="1181" w:type="dxa"/>
            <w:vMerge w:val="restart"/>
            <w:tcBorders>
              <w:top w:val="single" w:sz="4" w:space="0" w:color="000000"/>
              <w:left w:val="single" w:sz="4" w:space="0" w:color="000000"/>
              <w:right w:val="single" w:sz="4" w:space="0" w:color="000000"/>
            </w:tcBorders>
            <w:shd w:val="clear" w:color="auto" w:fill="D3D3D3"/>
          </w:tcPr>
          <w:p>
            <w:pPr/>
          </w:p>
        </w:tc>
        <w:tc>
          <w:tcPr>
            <w:tcW w:w="1316" w:type="dxa"/>
            <w:vMerge w:val="restart"/>
            <w:tcBorders>
              <w:top w:val="single" w:sz="4" w:space="0" w:color="000000"/>
              <w:left w:val="single" w:sz="4" w:space="0" w:color="000000"/>
              <w:right w:val="single" w:sz="4" w:space="0" w:color="000000"/>
            </w:tcBorders>
            <w:shd w:val="clear" w:color="auto" w:fill="D3D3D3"/>
          </w:tcPr>
          <w:p>
            <w:pPr/>
          </w:p>
        </w:tc>
      </w:tr>
      <w:tr>
        <w:trPr>
          <w:trHeight w:val="119" w:hRule="exact"/>
        </w:trPr>
        <w:tc>
          <w:tcPr>
            <w:tcW w:w="3408" w:type="dxa"/>
            <w:vMerge w:val="restart"/>
            <w:tcBorders>
              <w:top w:val="nil" w:sz="6" w:space="0" w:color="auto"/>
              <w:left w:val="single" w:sz="4" w:space="0" w:color="000000"/>
              <w:right w:val="single" w:sz="4" w:space="0" w:color="000000"/>
            </w:tcBorders>
            <w:shd w:val="clear" w:color="auto" w:fill="D3D3D3"/>
          </w:tcPr>
          <w:p>
            <w:pPr>
              <w:pStyle w:val="TableParagraph"/>
              <w:spacing w:line="203"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28" w:type="dxa"/>
            <w:vMerge/>
            <w:tcBorders>
              <w:left w:val="single" w:sz="4" w:space="0" w:color="000000"/>
              <w:bottom w:val="nil" w:sz="6" w:space="0" w:color="auto"/>
              <w:right w:val="single" w:sz="4" w:space="0" w:color="000000"/>
            </w:tcBorders>
            <w:shd w:val="clear" w:color="auto" w:fill="D3D3D3"/>
          </w:tcPr>
          <w:p>
            <w:pPr/>
          </w:p>
        </w:tc>
        <w:tc>
          <w:tcPr>
            <w:tcW w:w="1548" w:type="dxa"/>
            <w:gridSpan w:val="3"/>
            <w:vMerge/>
            <w:tcBorders>
              <w:left w:val="single" w:sz="4" w:space="0" w:color="000000"/>
              <w:bottom w:val="single" w:sz="4" w:space="0" w:color="000000"/>
              <w:right w:val="single" w:sz="4" w:space="0" w:color="000000"/>
            </w:tcBorders>
            <w:shd w:val="clear" w:color="auto" w:fill="D3D3D3"/>
          </w:tcPr>
          <w:p>
            <w:pPr/>
          </w:p>
        </w:tc>
        <w:tc>
          <w:tcPr>
            <w:tcW w:w="1316" w:type="dxa"/>
            <w:vMerge/>
            <w:tcBorders>
              <w:left w:val="single" w:sz="4" w:space="0" w:color="000000"/>
              <w:bottom w:val="nil" w:sz="6" w:space="0" w:color="auto"/>
              <w:right w:val="single" w:sz="4" w:space="0" w:color="000000"/>
            </w:tcBorders>
            <w:shd w:val="clear" w:color="auto" w:fill="D3D3D3"/>
          </w:tcPr>
          <w:p>
            <w:pPr/>
          </w:p>
        </w:tc>
        <w:tc>
          <w:tcPr>
            <w:tcW w:w="919" w:type="dxa"/>
            <w:vMerge/>
            <w:tcBorders>
              <w:left w:val="single" w:sz="9" w:space="0" w:color="D3D3D3"/>
              <w:right w:val="single" w:sz="13" w:space="0" w:color="D3D3D3"/>
            </w:tcBorders>
          </w:tcPr>
          <w:p>
            <w:pPr/>
          </w:p>
        </w:tc>
        <w:tc>
          <w:tcPr>
            <w:tcW w:w="1127" w:type="dxa"/>
            <w:vMerge w:val="restart"/>
            <w:tcBorders>
              <w:top w:val="nil" w:sz="6" w:space="0" w:color="auto"/>
              <w:left w:val="single" w:sz="4" w:space="0" w:color="000000"/>
              <w:right w:val="single" w:sz="4" w:space="0" w:color="000000"/>
            </w:tcBorders>
            <w:shd w:val="clear" w:color="auto" w:fill="D3D3D3"/>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其他综合收</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益</w:t>
            </w:r>
          </w:p>
        </w:tc>
        <w:tc>
          <w:tcPr>
            <w:tcW w:w="740" w:type="dxa"/>
            <w:vMerge w:val="restart"/>
            <w:tcBorders>
              <w:top w:val="nil" w:sz="6" w:space="0" w:color="auto"/>
              <w:left w:val="single" w:sz="4" w:space="0" w:color="000000"/>
              <w:right w:val="single" w:sz="4" w:space="0" w:color="000000"/>
            </w:tcBorders>
            <w:shd w:val="clear" w:color="auto" w:fill="D3D3D3"/>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专项储</w:t>
            </w:r>
          </w:p>
          <w:p>
            <w:pPr>
              <w:pStyle w:val="TableParagraph"/>
              <w:spacing w:line="235" w:lineRule="exact"/>
              <w:ind w:left="1"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1091" w:type="dxa"/>
            <w:vMerge/>
            <w:tcBorders>
              <w:left w:val="single" w:sz="4" w:space="0" w:color="000000"/>
              <w:bottom w:val="nil" w:sz="6" w:space="0" w:color="auto"/>
              <w:right w:val="single" w:sz="4" w:space="0" w:color="000000"/>
            </w:tcBorders>
            <w:shd w:val="clear" w:color="auto" w:fill="D3D3D3"/>
          </w:tcPr>
          <w:p>
            <w:pPr/>
          </w:p>
        </w:tc>
        <w:tc>
          <w:tcPr>
            <w:tcW w:w="1181" w:type="dxa"/>
            <w:vMerge/>
            <w:tcBorders>
              <w:left w:val="single" w:sz="4" w:space="0" w:color="000000"/>
              <w:bottom w:val="nil" w:sz="6" w:space="0" w:color="auto"/>
              <w:right w:val="single" w:sz="4" w:space="0" w:color="000000"/>
            </w:tcBorders>
            <w:shd w:val="clear" w:color="auto" w:fill="D3D3D3"/>
          </w:tcPr>
          <w:p>
            <w:pPr/>
          </w:p>
        </w:tc>
        <w:tc>
          <w:tcPr>
            <w:tcW w:w="1316" w:type="dxa"/>
            <w:vMerge/>
            <w:tcBorders>
              <w:left w:val="single" w:sz="4" w:space="0" w:color="000000"/>
              <w:bottom w:val="nil" w:sz="6" w:space="0" w:color="auto"/>
              <w:right w:val="single" w:sz="4" w:space="0" w:color="000000"/>
            </w:tcBorders>
            <w:shd w:val="clear" w:color="auto" w:fill="D3D3D3"/>
          </w:tcPr>
          <w:p>
            <w:pPr/>
          </w:p>
        </w:tc>
      </w:tr>
      <w:tr>
        <w:trPr>
          <w:trHeight w:val="112" w:hRule="exact"/>
        </w:trPr>
        <w:tc>
          <w:tcPr>
            <w:tcW w:w="3408" w:type="dxa"/>
            <w:vMerge/>
            <w:tcBorders>
              <w:left w:val="single" w:sz="4" w:space="0" w:color="000000"/>
              <w:bottom w:val="nil" w:sz="6" w:space="0" w:color="auto"/>
              <w:right w:val="single" w:sz="4" w:space="0" w:color="000000"/>
            </w:tcBorders>
            <w:shd w:val="clear" w:color="auto" w:fill="D3D3D3"/>
          </w:tcPr>
          <w:p>
            <w:pPr/>
          </w:p>
        </w:tc>
        <w:tc>
          <w:tcPr>
            <w:tcW w:w="1328" w:type="dxa"/>
            <w:vMerge w:val="restart"/>
            <w:tcBorders>
              <w:top w:val="nil" w:sz="6" w:space="0" w:color="auto"/>
              <w:left w:val="single" w:sz="4" w:space="0" w:color="000000"/>
              <w:right w:val="single" w:sz="4" w:space="0" w:color="000000"/>
            </w:tcBorders>
            <w:shd w:val="clear" w:color="auto" w:fill="D3D3D3"/>
          </w:tcPr>
          <w:p>
            <w:pPr>
              <w:pStyle w:val="TableParagraph"/>
              <w:spacing w:line="206" w:lineRule="exact"/>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72" w:type="dxa"/>
            <w:vMerge w:val="restart"/>
            <w:tcBorders>
              <w:top w:val="single" w:sz="4" w:space="0" w:color="000000"/>
              <w:left w:val="single" w:sz="4" w:space="0" w:color="000000"/>
              <w:right w:val="single" w:sz="4" w:space="0" w:color="000000"/>
            </w:tcBorders>
            <w:shd w:val="clear" w:color="auto" w:fill="D3D3D3"/>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优先</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571" w:type="dxa"/>
            <w:vMerge w:val="restart"/>
            <w:tcBorders>
              <w:top w:val="single" w:sz="4" w:space="0" w:color="000000"/>
              <w:left w:val="single" w:sz="4" w:space="0" w:color="000000"/>
              <w:right w:val="single" w:sz="4" w:space="0" w:color="000000"/>
            </w:tcBorders>
            <w:shd w:val="clear" w:color="auto" w:fill="D3D3D3"/>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永续</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债</w:t>
            </w:r>
          </w:p>
        </w:tc>
        <w:tc>
          <w:tcPr>
            <w:tcW w:w="404" w:type="dxa"/>
            <w:vMerge w:val="restart"/>
            <w:tcBorders>
              <w:top w:val="single" w:sz="4" w:space="0" w:color="000000"/>
              <w:left w:val="single" w:sz="4" w:space="0" w:color="000000"/>
              <w:right w:val="single" w:sz="4" w:space="0" w:color="000000"/>
            </w:tcBorders>
            <w:shd w:val="clear" w:color="auto" w:fill="D3D3D3"/>
          </w:tcPr>
          <w:p>
            <w:pPr>
              <w:pStyle w:val="TableParagraph"/>
              <w:spacing w:line="205" w:lineRule="exact"/>
              <w:ind w:left="106"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4" w:lineRule="exact"/>
              <w:ind w:left="106"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316" w:type="dxa"/>
            <w:vMerge w:val="restart"/>
            <w:tcBorders>
              <w:top w:val="nil" w:sz="6" w:space="0" w:color="auto"/>
              <w:left w:val="single" w:sz="4" w:space="0" w:color="000000"/>
              <w:right w:val="single" w:sz="4" w:space="0" w:color="000000"/>
            </w:tcBorders>
            <w:shd w:val="clear" w:color="auto" w:fill="D3D3D3"/>
          </w:tcPr>
          <w:p>
            <w:pPr>
              <w:pStyle w:val="TableParagraph"/>
              <w:spacing w:line="206" w:lineRule="exact"/>
              <w:ind w:left="29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19" w:type="dxa"/>
            <w:vMerge/>
            <w:tcBorders>
              <w:left w:val="single" w:sz="9" w:space="0" w:color="D3D3D3"/>
              <w:right w:val="single" w:sz="13" w:space="0" w:color="D3D3D3"/>
            </w:tcBorders>
          </w:tcPr>
          <w:p>
            <w:pPr/>
          </w:p>
        </w:tc>
        <w:tc>
          <w:tcPr>
            <w:tcW w:w="1127" w:type="dxa"/>
            <w:vMerge/>
            <w:tcBorders>
              <w:left w:val="single" w:sz="4" w:space="0" w:color="000000"/>
              <w:right w:val="single" w:sz="4" w:space="0" w:color="000000"/>
            </w:tcBorders>
            <w:shd w:val="clear" w:color="auto" w:fill="D3D3D3"/>
          </w:tcPr>
          <w:p>
            <w:pPr/>
          </w:p>
        </w:tc>
        <w:tc>
          <w:tcPr>
            <w:tcW w:w="740" w:type="dxa"/>
            <w:vMerge/>
            <w:tcBorders>
              <w:left w:val="single" w:sz="4" w:space="0" w:color="000000"/>
              <w:right w:val="single" w:sz="4" w:space="0" w:color="000000"/>
            </w:tcBorders>
            <w:shd w:val="clear" w:color="auto" w:fill="D3D3D3"/>
          </w:tcPr>
          <w:p>
            <w:pPr/>
          </w:p>
        </w:tc>
        <w:tc>
          <w:tcPr>
            <w:tcW w:w="1091" w:type="dxa"/>
            <w:vMerge w:val="restart"/>
            <w:tcBorders>
              <w:top w:val="nil" w:sz="6" w:space="0" w:color="auto"/>
              <w:left w:val="single" w:sz="4" w:space="0" w:color="000000"/>
              <w:right w:val="single" w:sz="4" w:space="0" w:color="000000"/>
            </w:tcBorders>
            <w:shd w:val="clear" w:color="auto" w:fill="D3D3D3"/>
          </w:tcPr>
          <w:p>
            <w:pPr>
              <w:pStyle w:val="TableParagraph"/>
              <w:spacing w:line="206" w:lineRule="exact"/>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nil" w:sz="6" w:space="0" w:color="auto"/>
              <w:left w:val="single" w:sz="4" w:space="0" w:color="000000"/>
              <w:right w:val="single" w:sz="4" w:space="0" w:color="000000"/>
            </w:tcBorders>
            <w:shd w:val="clear" w:color="auto" w:fill="D3D3D3"/>
          </w:tcPr>
          <w:p>
            <w:pPr>
              <w:pStyle w:val="TableParagraph"/>
              <w:spacing w:line="206" w:lineRule="exact"/>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6" w:type="dxa"/>
            <w:vMerge w:val="restart"/>
            <w:tcBorders>
              <w:top w:val="nil" w:sz="6" w:space="0" w:color="auto"/>
              <w:left w:val="single" w:sz="4" w:space="0" w:color="000000"/>
              <w:right w:val="single" w:sz="4" w:space="0" w:color="000000"/>
            </w:tcBorders>
            <w:shd w:val="clear" w:color="auto" w:fill="D3D3D3"/>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21" w:hRule="exact"/>
        </w:trPr>
        <w:tc>
          <w:tcPr>
            <w:tcW w:w="3408" w:type="dxa"/>
            <w:vMerge w:val="restart"/>
            <w:tcBorders>
              <w:top w:val="nil" w:sz="6" w:space="0" w:color="auto"/>
              <w:left w:val="single" w:sz="4" w:space="0" w:color="000000"/>
              <w:right w:val="single" w:sz="4" w:space="0" w:color="000000"/>
            </w:tcBorders>
            <w:shd w:val="clear" w:color="auto" w:fill="D3D3D3"/>
          </w:tcPr>
          <w:p>
            <w:pPr/>
          </w:p>
        </w:tc>
        <w:tc>
          <w:tcPr>
            <w:tcW w:w="1328" w:type="dxa"/>
            <w:vMerge/>
            <w:tcBorders>
              <w:left w:val="single" w:sz="4" w:space="0" w:color="000000"/>
              <w:bottom w:val="nil" w:sz="6" w:space="0" w:color="auto"/>
              <w:right w:val="single" w:sz="4" w:space="0" w:color="000000"/>
            </w:tcBorders>
            <w:shd w:val="clear" w:color="auto" w:fill="D3D3D3"/>
          </w:tcPr>
          <w:p>
            <w:pPr/>
          </w:p>
        </w:tc>
        <w:tc>
          <w:tcPr>
            <w:tcW w:w="572" w:type="dxa"/>
            <w:vMerge/>
            <w:tcBorders>
              <w:left w:val="single" w:sz="4" w:space="0" w:color="000000"/>
              <w:right w:val="single" w:sz="4" w:space="0" w:color="000000"/>
            </w:tcBorders>
            <w:shd w:val="clear" w:color="auto" w:fill="D3D3D3"/>
          </w:tcPr>
          <w:p>
            <w:pPr/>
          </w:p>
        </w:tc>
        <w:tc>
          <w:tcPr>
            <w:tcW w:w="571" w:type="dxa"/>
            <w:vMerge/>
            <w:tcBorders>
              <w:left w:val="single" w:sz="4" w:space="0" w:color="000000"/>
              <w:right w:val="single" w:sz="4" w:space="0" w:color="000000"/>
            </w:tcBorders>
            <w:shd w:val="clear" w:color="auto" w:fill="D3D3D3"/>
          </w:tcPr>
          <w:p>
            <w:pPr/>
          </w:p>
        </w:tc>
        <w:tc>
          <w:tcPr>
            <w:tcW w:w="404" w:type="dxa"/>
            <w:vMerge/>
            <w:tcBorders>
              <w:left w:val="single" w:sz="4" w:space="0" w:color="000000"/>
              <w:right w:val="single" w:sz="4" w:space="0" w:color="000000"/>
            </w:tcBorders>
            <w:shd w:val="clear" w:color="auto" w:fill="D3D3D3"/>
          </w:tcPr>
          <w:p>
            <w:pPr/>
          </w:p>
        </w:tc>
        <w:tc>
          <w:tcPr>
            <w:tcW w:w="1316" w:type="dxa"/>
            <w:vMerge/>
            <w:tcBorders>
              <w:left w:val="single" w:sz="4" w:space="0" w:color="000000"/>
              <w:bottom w:val="nil" w:sz="6" w:space="0" w:color="auto"/>
              <w:right w:val="single" w:sz="4" w:space="0" w:color="000000"/>
            </w:tcBorders>
            <w:shd w:val="clear" w:color="auto" w:fill="D3D3D3"/>
          </w:tcPr>
          <w:p>
            <w:pPr/>
          </w:p>
        </w:tc>
        <w:tc>
          <w:tcPr>
            <w:tcW w:w="919" w:type="dxa"/>
            <w:vMerge/>
            <w:tcBorders>
              <w:left w:val="single" w:sz="9" w:space="0" w:color="D3D3D3"/>
              <w:right w:val="single" w:sz="13" w:space="0" w:color="D3D3D3"/>
            </w:tcBorders>
          </w:tcPr>
          <w:p>
            <w:pPr/>
          </w:p>
        </w:tc>
        <w:tc>
          <w:tcPr>
            <w:tcW w:w="1127" w:type="dxa"/>
            <w:vMerge/>
            <w:tcBorders>
              <w:left w:val="single" w:sz="4" w:space="0" w:color="000000"/>
              <w:right w:val="single" w:sz="4" w:space="0" w:color="000000"/>
            </w:tcBorders>
            <w:shd w:val="clear" w:color="auto" w:fill="D3D3D3"/>
          </w:tcPr>
          <w:p>
            <w:pPr/>
          </w:p>
        </w:tc>
        <w:tc>
          <w:tcPr>
            <w:tcW w:w="740" w:type="dxa"/>
            <w:vMerge/>
            <w:tcBorders>
              <w:left w:val="single" w:sz="4" w:space="0" w:color="000000"/>
              <w:right w:val="single" w:sz="4" w:space="0" w:color="000000"/>
            </w:tcBorders>
            <w:shd w:val="clear" w:color="auto" w:fill="D3D3D3"/>
          </w:tcPr>
          <w:p>
            <w:pPr/>
          </w:p>
        </w:tc>
        <w:tc>
          <w:tcPr>
            <w:tcW w:w="1091" w:type="dxa"/>
            <w:vMerge/>
            <w:tcBorders>
              <w:left w:val="single" w:sz="4" w:space="0" w:color="000000"/>
              <w:bottom w:val="nil" w:sz="6" w:space="0" w:color="auto"/>
              <w:right w:val="single" w:sz="4" w:space="0" w:color="000000"/>
            </w:tcBorders>
            <w:shd w:val="clear" w:color="auto" w:fill="D3D3D3"/>
          </w:tcPr>
          <w:p>
            <w:pPr/>
          </w:p>
        </w:tc>
        <w:tc>
          <w:tcPr>
            <w:tcW w:w="1181" w:type="dxa"/>
            <w:vMerge/>
            <w:tcBorders>
              <w:left w:val="single" w:sz="4" w:space="0" w:color="000000"/>
              <w:bottom w:val="nil" w:sz="6" w:space="0" w:color="auto"/>
              <w:right w:val="single" w:sz="4" w:space="0" w:color="000000"/>
            </w:tcBorders>
            <w:shd w:val="clear" w:color="auto" w:fill="D3D3D3"/>
          </w:tcPr>
          <w:p>
            <w:pPr/>
          </w:p>
        </w:tc>
        <w:tc>
          <w:tcPr>
            <w:tcW w:w="1316" w:type="dxa"/>
            <w:vMerge/>
            <w:tcBorders>
              <w:left w:val="single" w:sz="4" w:space="0" w:color="000000"/>
              <w:bottom w:val="nil" w:sz="6" w:space="0" w:color="auto"/>
              <w:right w:val="single" w:sz="4" w:space="0" w:color="000000"/>
            </w:tcBorders>
            <w:shd w:val="clear" w:color="auto" w:fill="D3D3D3"/>
          </w:tcPr>
          <w:p>
            <w:pPr/>
          </w:p>
        </w:tc>
      </w:tr>
      <w:tr>
        <w:trPr>
          <w:trHeight w:val="244" w:hRule="exact"/>
        </w:trPr>
        <w:tc>
          <w:tcPr>
            <w:tcW w:w="3408" w:type="dxa"/>
            <w:vMerge/>
            <w:tcBorders>
              <w:left w:val="single" w:sz="4" w:space="0" w:color="000000"/>
              <w:bottom w:val="single" w:sz="4" w:space="0" w:color="000000"/>
              <w:right w:val="single" w:sz="4" w:space="0" w:color="000000"/>
            </w:tcBorders>
            <w:shd w:val="clear" w:color="auto" w:fill="D3D3D3"/>
          </w:tcPr>
          <w:p>
            <w:pPr/>
          </w:p>
        </w:tc>
        <w:tc>
          <w:tcPr>
            <w:tcW w:w="1328" w:type="dxa"/>
            <w:tcBorders>
              <w:top w:val="nil" w:sz="6" w:space="0" w:color="auto"/>
              <w:left w:val="single" w:sz="4" w:space="0" w:color="000000"/>
              <w:bottom w:val="single" w:sz="4" w:space="0" w:color="000000"/>
              <w:right w:val="single" w:sz="4" w:space="0" w:color="000000"/>
            </w:tcBorders>
            <w:shd w:val="clear" w:color="auto" w:fill="D3D3D3"/>
          </w:tcPr>
          <w:p>
            <w:pPr/>
          </w:p>
        </w:tc>
        <w:tc>
          <w:tcPr>
            <w:tcW w:w="572" w:type="dxa"/>
            <w:vMerge/>
            <w:tcBorders>
              <w:left w:val="single" w:sz="4" w:space="0" w:color="000000"/>
              <w:bottom w:val="single" w:sz="4" w:space="0" w:color="000000"/>
              <w:right w:val="single" w:sz="4" w:space="0" w:color="000000"/>
            </w:tcBorders>
            <w:shd w:val="clear" w:color="auto" w:fill="D3D3D3"/>
          </w:tcPr>
          <w:p>
            <w:pPr/>
          </w:p>
        </w:tc>
        <w:tc>
          <w:tcPr>
            <w:tcW w:w="571" w:type="dxa"/>
            <w:vMerge/>
            <w:tcBorders>
              <w:left w:val="single" w:sz="4" w:space="0" w:color="000000"/>
              <w:bottom w:val="single" w:sz="4" w:space="0" w:color="000000"/>
              <w:right w:val="single" w:sz="4" w:space="0" w:color="000000"/>
            </w:tcBorders>
            <w:shd w:val="clear" w:color="auto" w:fill="D3D3D3"/>
          </w:tcPr>
          <w:p>
            <w:pPr/>
          </w:p>
        </w:tc>
        <w:tc>
          <w:tcPr>
            <w:tcW w:w="404" w:type="dxa"/>
            <w:vMerge/>
            <w:tcBorders>
              <w:left w:val="single" w:sz="4" w:space="0" w:color="000000"/>
              <w:bottom w:val="single" w:sz="4" w:space="0" w:color="000000"/>
              <w:right w:val="single" w:sz="4" w:space="0" w:color="000000"/>
            </w:tcBorders>
            <w:shd w:val="clear" w:color="auto" w:fill="D3D3D3"/>
          </w:tcPr>
          <w:p>
            <w:pPr/>
          </w:p>
        </w:tc>
        <w:tc>
          <w:tcPr>
            <w:tcW w:w="1316" w:type="dxa"/>
            <w:tcBorders>
              <w:top w:val="nil" w:sz="6" w:space="0" w:color="auto"/>
              <w:left w:val="single" w:sz="4" w:space="0" w:color="000000"/>
              <w:bottom w:val="single" w:sz="4" w:space="0" w:color="000000"/>
              <w:right w:val="single" w:sz="4" w:space="0" w:color="000000"/>
            </w:tcBorders>
            <w:shd w:val="clear" w:color="auto" w:fill="D3D3D3"/>
          </w:tcPr>
          <w:p>
            <w:pPr/>
          </w:p>
        </w:tc>
        <w:tc>
          <w:tcPr>
            <w:tcW w:w="919" w:type="dxa"/>
            <w:vMerge/>
            <w:tcBorders>
              <w:left w:val="single" w:sz="9" w:space="0" w:color="D3D3D3"/>
              <w:bottom w:val="single" w:sz="4" w:space="0" w:color="000000"/>
              <w:right w:val="single" w:sz="13" w:space="0" w:color="D3D3D3"/>
            </w:tcBorders>
          </w:tcPr>
          <w:p>
            <w:pPr/>
          </w:p>
        </w:tc>
        <w:tc>
          <w:tcPr>
            <w:tcW w:w="1127" w:type="dxa"/>
            <w:vMerge/>
            <w:tcBorders>
              <w:left w:val="single" w:sz="4" w:space="0" w:color="000000"/>
              <w:bottom w:val="single" w:sz="4" w:space="0" w:color="000000"/>
              <w:right w:val="single" w:sz="4" w:space="0" w:color="000000"/>
            </w:tcBorders>
            <w:shd w:val="clear" w:color="auto" w:fill="D3D3D3"/>
          </w:tcPr>
          <w:p>
            <w:pPr/>
          </w:p>
        </w:tc>
        <w:tc>
          <w:tcPr>
            <w:tcW w:w="740" w:type="dxa"/>
            <w:vMerge/>
            <w:tcBorders>
              <w:left w:val="single" w:sz="4" w:space="0" w:color="000000"/>
              <w:bottom w:val="single" w:sz="4" w:space="0" w:color="000000"/>
              <w:right w:val="single" w:sz="4" w:space="0" w:color="000000"/>
            </w:tcBorders>
            <w:shd w:val="clear" w:color="auto" w:fill="D3D3D3"/>
          </w:tcPr>
          <w:p>
            <w:pPr/>
          </w:p>
        </w:tc>
        <w:tc>
          <w:tcPr>
            <w:tcW w:w="1091" w:type="dxa"/>
            <w:tcBorders>
              <w:top w:val="nil" w:sz="6" w:space="0" w:color="auto"/>
              <w:left w:val="single" w:sz="4" w:space="0" w:color="000000"/>
              <w:bottom w:val="single" w:sz="4" w:space="0" w:color="000000"/>
              <w:right w:val="single" w:sz="4" w:space="0" w:color="000000"/>
            </w:tcBorders>
            <w:shd w:val="clear" w:color="auto" w:fill="D3D3D3"/>
          </w:tcPr>
          <w:p>
            <w:pPr/>
          </w:p>
        </w:tc>
        <w:tc>
          <w:tcPr>
            <w:tcW w:w="1181" w:type="dxa"/>
            <w:tcBorders>
              <w:top w:val="nil" w:sz="6" w:space="0" w:color="auto"/>
              <w:left w:val="single" w:sz="4" w:space="0" w:color="000000"/>
              <w:bottom w:val="single" w:sz="4" w:space="0" w:color="000000"/>
              <w:right w:val="single" w:sz="4" w:space="0" w:color="000000"/>
            </w:tcBorders>
            <w:shd w:val="clear" w:color="auto" w:fill="D3D3D3"/>
          </w:tcPr>
          <w:p>
            <w:pPr/>
          </w:p>
        </w:tc>
        <w:tc>
          <w:tcPr>
            <w:tcW w:w="131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244" w:hRule="exact"/>
        </w:trPr>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1,017,698,410.00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1,809,704,919.76</w:t>
            </w:r>
          </w:p>
        </w:tc>
        <w:tc>
          <w:tcPr>
            <w:tcW w:w="91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9" w:space="0" w:color="D3D3D3"/>
              <w:left w:val="single" w:sz="4" w:space="0" w:color="000000"/>
              <w:bottom w:val="single" w:sz="4" w:space="0" w:color="000000"/>
              <w:right w:val="single" w:sz="4" w:space="0" w:color="000000"/>
            </w:tcBorders>
          </w:tcPr>
          <w:p>
            <w:pPr/>
          </w:p>
        </w:tc>
        <w:tc>
          <w:tcPr>
            <w:tcW w:w="740" w:type="dxa"/>
            <w:tcBorders>
              <w:top w:val="single" w:sz="49" w:space="0" w:color="D3D3D3"/>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sz w:val="18"/>
              </w:rPr>
              <w:t>53,068,207.84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Times New Roman" w:hAnsi="Times New Roman" w:cs="Times New Roman" w:eastAsia="Times New Roman" w:hint="default"/>
                <w:sz w:val="18"/>
                <w:szCs w:val="18"/>
              </w:rPr>
            </w:pPr>
            <w:r>
              <w:rPr>
                <w:rFonts w:ascii="Times New Roman"/>
                <w:sz w:val="18"/>
              </w:rPr>
              <w:t>218,487,619.43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3,098,959,157.03</w:t>
            </w:r>
          </w:p>
        </w:tc>
      </w:tr>
      <w:tr>
        <w:trPr>
          <w:trHeight w:val="244" w:hRule="exact"/>
        </w:trPr>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1,017,698,410.00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1,809,704,919.76</w:t>
            </w:r>
          </w:p>
        </w:tc>
        <w:tc>
          <w:tcPr>
            <w:tcW w:w="91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left"/>
              <w:rPr>
                <w:rFonts w:ascii="Times New Roman" w:hAnsi="Times New Roman" w:cs="Times New Roman" w:eastAsia="Times New Roman" w:hint="default"/>
                <w:sz w:val="18"/>
                <w:szCs w:val="18"/>
              </w:rPr>
            </w:pPr>
            <w:r>
              <w:rPr>
                <w:rFonts w:ascii="Times New Roman"/>
                <w:sz w:val="18"/>
              </w:rPr>
              <w:t>53,068,207.84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Times New Roman" w:hAnsi="Times New Roman" w:cs="Times New Roman" w:eastAsia="Times New Roman" w:hint="default"/>
                <w:sz w:val="18"/>
                <w:szCs w:val="18"/>
              </w:rPr>
            </w:pPr>
            <w:r>
              <w:rPr>
                <w:rFonts w:ascii="Times New Roman"/>
                <w:sz w:val="18"/>
              </w:rPr>
              <w:t>218,487,619.43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3,098,959,157.03</w:t>
            </w:r>
          </w:p>
        </w:tc>
      </w:tr>
      <w:tr>
        <w:trPr>
          <w:trHeight w:val="244" w:hRule="exact"/>
        </w:trPr>
        <w:tc>
          <w:tcPr>
            <w:tcW w:w="3408"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328" w:type="dxa"/>
            <w:tcBorders>
              <w:top w:val="single" w:sz="4" w:space="0" w:color="000000"/>
              <w:left w:val="single" w:sz="9" w:space="0" w:color="FFFFFF"/>
              <w:bottom w:val="single" w:sz="4" w:space="0" w:color="000000"/>
              <w:right w:val="single" w:sz="4" w:space="0" w:color="000000"/>
            </w:tcBorders>
          </w:tcPr>
          <w:p>
            <w:pPr>
              <w:pStyle w:val="TableParagraph"/>
              <w:spacing w:line="205" w:lineRule="exact"/>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2,190,121.44</w:t>
            </w:r>
          </w:p>
        </w:tc>
        <w:tc>
          <w:tcPr>
            <w:tcW w:w="74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2" w:right="0"/>
              <w:jc w:val="center"/>
              <w:rPr>
                <w:rFonts w:ascii="Times New Roman" w:hAnsi="Times New Roman" w:cs="Times New Roman" w:eastAsia="Times New Roman" w:hint="default"/>
                <w:sz w:val="18"/>
                <w:szCs w:val="18"/>
              </w:rPr>
            </w:pPr>
            <w:r>
              <w:rPr>
                <w:rFonts w:ascii="Times New Roman"/>
                <w:sz w:val="18"/>
              </w:rPr>
              <w:t>-44,925,352.98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-42,735,231.54</w:t>
            </w:r>
          </w:p>
        </w:tc>
      </w:tr>
      <w:tr>
        <w:trPr>
          <w:trHeight w:val="244" w:hRule="exact"/>
        </w:trPr>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2,190,121.44</w:t>
            </w:r>
          </w:p>
        </w:tc>
        <w:tc>
          <w:tcPr>
            <w:tcW w:w="74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2" w:right="0"/>
              <w:jc w:val="center"/>
              <w:rPr>
                <w:rFonts w:ascii="Times New Roman" w:hAnsi="Times New Roman" w:cs="Times New Roman" w:eastAsia="Times New Roman" w:hint="default"/>
                <w:sz w:val="18"/>
                <w:szCs w:val="18"/>
              </w:rPr>
            </w:pPr>
            <w:r>
              <w:rPr>
                <w:rFonts w:ascii="Times New Roman"/>
                <w:sz w:val="18"/>
              </w:rPr>
              <w:t>-22,535,987.97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-20,345,866.53</w:t>
            </w:r>
          </w:p>
        </w:tc>
      </w:tr>
      <w:tr>
        <w:trPr>
          <w:trHeight w:val="244" w:hRule="exact"/>
        </w:trPr>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328" w:type="dxa"/>
            <w:tcBorders>
              <w:top w:val="single" w:sz="4" w:space="0" w:color="000000"/>
              <w:left w:val="single" w:sz="9"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328" w:type="dxa"/>
            <w:tcBorders>
              <w:top w:val="single" w:sz="4" w:space="0" w:color="000000"/>
              <w:left w:val="single" w:sz="9"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328" w:type="dxa"/>
            <w:tcBorders>
              <w:top w:val="single" w:sz="4" w:space="0" w:color="000000"/>
              <w:left w:val="single" w:sz="9"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0"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328" w:type="dxa"/>
            <w:tcBorders>
              <w:top w:val="single" w:sz="4" w:space="0" w:color="000000"/>
              <w:left w:val="single" w:sz="9"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0"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28" w:type="dxa"/>
            <w:tcBorders>
              <w:top w:val="single" w:sz="4" w:space="0" w:color="000000"/>
              <w:left w:val="single" w:sz="9"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28" w:type="dxa"/>
            <w:tcBorders>
              <w:top w:val="single" w:sz="4" w:space="0" w:color="000000"/>
              <w:left w:val="single" w:sz="9"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2" w:right="0"/>
              <w:jc w:val="center"/>
              <w:rPr>
                <w:rFonts w:ascii="Times New Roman" w:hAnsi="Times New Roman" w:cs="Times New Roman" w:eastAsia="Times New Roman" w:hint="default"/>
                <w:sz w:val="18"/>
                <w:szCs w:val="18"/>
              </w:rPr>
            </w:pPr>
            <w:r>
              <w:rPr>
                <w:rFonts w:ascii="Times New Roman"/>
                <w:sz w:val="18"/>
              </w:rPr>
              <w:t>-22,389,365.01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-22,389,365.01</w:t>
            </w:r>
          </w:p>
        </w:tc>
      </w:tr>
      <w:tr>
        <w:trPr>
          <w:trHeight w:val="244" w:hRule="exact"/>
        </w:trPr>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28" w:type="dxa"/>
            <w:tcBorders>
              <w:top w:val="single" w:sz="4" w:space="0" w:color="000000"/>
              <w:left w:val="single" w:sz="9"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328" w:type="dxa"/>
            <w:tcBorders>
              <w:top w:val="single" w:sz="4" w:space="0" w:color="000000"/>
              <w:left w:val="single" w:sz="9"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2" w:right="0"/>
              <w:jc w:val="center"/>
              <w:rPr>
                <w:rFonts w:ascii="Times New Roman" w:hAnsi="Times New Roman" w:cs="Times New Roman" w:eastAsia="Times New Roman" w:hint="default"/>
                <w:sz w:val="18"/>
                <w:szCs w:val="18"/>
              </w:rPr>
            </w:pPr>
            <w:r>
              <w:rPr>
                <w:rFonts w:ascii="Times New Roman"/>
                <w:sz w:val="18"/>
              </w:rPr>
              <w:t>-22,389,365.01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-22,389,365.01</w:t>
            </w:r>
          </w:p>
        </w:tc>
      </w:tr>
      <w:tr>
        <w:trPr>
          <w:trHeight w:val="244" w:hRule="exact"/>
        </w:trPr>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28" w:type="dxa"/>
            <w:tcBorders>
              <w:top w:val="single" w:sz="4" w:space="0" w:color="000000"/>
              <w:left w:val="single" w:sz="9"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328" w:type="dxa"/>
            <w:tcBorders>
              <w:top w:val="single" w:sz="4" w:space="0" w:color="000000"/>
              <w:left w:val="single" w:sz="9"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0"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328" w:type="dxa"/>
            <w:tcBorders>
              <w:top w:val="single" w:sz="4" w:space="0" w:color="000000"/>
              <w:left w:val="single" w:sz="9"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0"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328" w:type="dxa"/>
            <w:tcBorders>
              <w:top w:val="single" w:sz="4" w:space="0" w:color="000000"/>
              <w:left w:val="single" w:sz="9"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0"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．设定受益计划变动额结转留存收益</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1,017,698,410.00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1,809,704,919.76</w:t>
            </w:r>
          </w:p>
        </w:tc>
        <w:tc>
          <w:tcPr>
            <w:tcW w:w="91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2,190,121.44</w:t>
            </w:r>
          </w:p>
        </w:tc>
        <w:tc>
          <w:tcPr>
            <w:tcW w:w="74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left"/>
              <w:rPr>
                <w:rFonts w:ascii="Times New Roman" w:hAnsi="Times New Roman" w:cs="Times New Roman" w:eastAsia="Times New Roman" w:hint="default"/>
                <w:sz w:val="18"/>
                <w:szCs w:val="18"/>
              </w:rPr>
            </w:pPr>
            <w:r>
              <w:rPr>
                <w:rFonts w:ascii="Times New Roman"/>
                <w:sz w:val="18"/>
              </w:rPr>
              <w:t>53,068,207.84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Times New Roman" w:hAnsi="Times New Roman" w:cs="Times New Roman" w:eastAsia="Times New Roman" w:hint="default"/>
                <w:sz w:val="18"/>
                <w:szCs w:val="18"/>
              </w:rPr>
            </w:pPr>
            <w:r>
              <w:rPr>
                <w:rFonts w:ascii="Times New Roman"/>
                <w:sz w:val="18"/>
              </w:rPr>
              <w:t>173,562,266.45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3,056,223,925.49</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8" w:top="1060" w:bottom="1160" w:left="1300" w:right="1300"/>
        </w:sectPr>
      </w:pPr>
    </w:p>
    <w:p>
      <w:pPr>
        <w:spacing w:line="240" w:lineRule="auto" w:before="9"/>
        <w:rPr>
          <w:rFonts w:ascii="宋体" w:hAnsi="宋体" w:cs="宋体" w:eastAsia="宋体" w:hint="default"/>
          <w:sz w:val="19"/>
          <w:szCs w:val="19"/>
        </w:rPr>
      </w:pPr>
    </w:p>
    <w:p>
      <w:pPr>
        <w:pStyle w:val="Heading2"/>
        <w:spacing w:line="240" w:lineRule="auto" w:before="26"/>
        <w:ind w:right="0"/>
        <w:jc w:val="both"/>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28" w:firstLine="480"/>
        <w:jc w:val="both"/>
      </w:pPr>
      <w:r>
        <w:rPr/>
        <w:t>浙江华媒控股股份有限公司（以下简称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）系由浙江华智控股股份有限公司更名而来，其前身为重庆 </w:t>
      </w:r>
      <w:r>
        <w:rPr>
          <w:spacing w:val="-1"/>
        </w:rPr>
        <w:t>川仪股份有限公司，系于</w:t>
      </w:r>
      <w:r>
        <w:rPr>
          <w:rFonts w:ascii="Times New Roman" w:hAnsi="Times New Roman" w:cs="Times New Roman" w:eastAsia="Times New Roman" w:hint="default"/>
          <w:spacing w:val="-1"/>
        </w:rPr>
        <w:t>1993</w:t>
      </w:r>
      <w:r>
        <w:rPr>
          <w:spacing w:val="-1"/>
        </w:rPr>
        <w:t>年经重庆市体改委体改发</w:t>
      </w:r>
      <w:r>
        <w:rPr>
          <w:rFonts w:ascii="Times New Roman" w:hAnsi="Times New Roman" w:cs="Times New Roman" w:eastAsia="Times New Roman" w:hint="default"/>
          <w:spacing w:val="-1"/>
        </w:rPr>
        <w:t>[1993]30</w:t>
      </w:r>
      <w:r>
        <w:rPr>
          <w:spacing w:val="-1"/>
        </w:rPr>
        <w:t>号文批准设立的定向募集股份有限公司，于</w:t>
      </w:r>
      <w:r>
        <w:rPr>
          <w:rFonts w:ascii="Times New Roman" w:hAnsi="Times New Roman" w:cs="Times New Roman" w:eastAsia="Times New Roman" w:hint="default"/>
          <w:spacing w:val="-1"/>
        </w:rPr>
        <w:t>1999</w:t>
      </w:r>
      <w:r>
        <w:rPr>
          <w:spacing w:val="-1"/>
        </w:rPr>
        <w:t>年</w:t>
      </w:r>
      <w:r>
        <w:rPr>
          <w:rFonts w:ascii="Times New Roman" w:hAnsi="Times New Roman" w:cs="Times New Roman" w:eastAsia="Times New Roman" w:hint="default"/>
          <w:spacing w:val="-1"/>
        </w:rPr>
        <w:t>5</w:t>
      </w:r>
      <w:r>
        <w:rPr>
          <w:spacing w:val="-1"/>
        </w:rPr>
        <w:t>月和</w:t>
      </w:r>
      <w:r>
        <w:rPr>
          <w:rFonts w:ascii="Times New Roman" w:hAnsi="Times New Roman" w:cs="Times New Roman" w:eastAsia="Times New Roman" w:hint="default"/>
          <w:spacing w:val="-1"/>
        </w:rPr>
        <w:t>7</w:t>
      </w:r>
      <w:r>
        <w:rPr>
          <w:spacing w:val="-1"/>
        </w:rPr>
        <w:t>月</w:t>
      </w:r>
      <w:r>
        <w:rPr>
          <w:spacing w:val="-50"/>
        </w:rPr>
        <w:t> </w:t>
      </w:r>
      <w:r>
        <w:rPr>
          <w:spacing w:val="-2"/>
        </w:rPr>
        <w:t>分别进行了股权转让和重大资产重组，华方医药科技有限公司（原名华立产业集团有限公司，以下简称</w:t>
      </w:r>
      <w:r>
        <w:rPr>
          <w:rFonts w:ascii="Times New Roman" w:hAnsi="Times New Roman" w:cs="Times New Roman" w:eastAsia="Times New Roman" w:hint="default"/>
          <w:spacing w:val="-2"/>
        </w:rPr>
        <w:t>“</w:t>
      </w:r>
      <w:r>
        <w:rPr>
          <w:spacing w:val="-2"/>
        </w:rPr>
        <w:t>华方医药</w:t>
      </w:r>
      <w:r>
        <w:rPr>
          <w:rFonts w:ascii="Times New Roman" w:hAnsi="Times New Roman" w:cs="Times New Roman" w:eastAsia="Times New Roman" w:hint="default"/>
          <w:spacing w:val="-2"/>
        </w:rPr>
        <w:t>”</w:t>
      </w:r>
      <w:r>
        <w:rPr>
          <w:spacing w:val="-2"/>
        </w:rPr>
        <w:t>）成为公</w:t>
      </w:r>
      <w:r>
        <w:rPr>
          <w:spacing w:val="-44"/>
        </w:rPr>
        <w:t> </w:t>
      </w:r>
      <w:r>
        <w:rPr>
          <w:spacing w:val="-44"/>
        </w:rPr>
      </w:r>
      <w:r>
        <w:rPr>
          <w:spacing w:val="-3"/>
        </w:rPr>
        <w:t>司第一大股东。</w:t>
      </w:r>
      <w:r>
        <w:rPr>
          <w:rFonts w:ascii="Times New Roman" w:hAnsi="Times New Roman" w:cs="Times New Roman" w:eastAsia="Times New Roman" w:hint="default"/>
          <w:spacing w:val="-3"/>
        </w:rPr>
        <w:t>1999</w:t>
      </w:r>
      <w:r>
        <w:rPr>
          <w:spacing w:val="-3"/>
        </w:rPr>
        <w:t>年</w:t>
      </w:r>
      <w:r>
        <w:rPr>
          <w:rFonts w:ascii="Times New Roman" w:hAnsi="Times New Roman" w:cs="Times New Roman" w:eastAsia="Times New Roman" w:hint="default"/>
          <w:spacing w:val="-3"/>
        </w:rPr>
        <w:t>10</w:t>
      </w:r>
      <w:r>
        <w:rPr>
          <w:spacing w:val="-3"/>
        </w:rPr>
        <w:t>月公司更名为重庆华立控股股份有限公司，</w:t>
      </w:r>
      <w:r>
        <w:rPr>
          <w:rFonts w:ascii="Times New Roman" w:hAnsi="Times New Roman" w:cs="Times New Roman" w:eastAsia="Times New Roman" w:hint="default"/>
          <w:spacing w:val="-3"/>
        </w:rPr>
        <w:t>2006</w:t>
      </w:r>
      <w:r>
        <w:rPr>
          <w:spacing w:val="-3"/>
        </w:rPr>
        <w:t>年</w:t>
      </w:r>
      <w:r>
        <w:rPr>
          <w:rFonts w:ascii="Times New Roman" w:hAnsi="Times New Roman" w:cs="Times New Roman" w:eastAsia="Times New Roman" w:hint="default"/>
          <w:spacing w:val="-3"/>
        </w:rPr>
        <w:t>6</w:t>
      </w:r>
      <w:r>
        <w:rPr>
          <w:spacing w:val="-3"/>
        </w:rPr>
        <w:t>月更名为重庆华立药业股份有限公司。根据</w:t>
      </w:r>
      <w:r>
        <w:rPr>
          <w:rFonts w:ascii="Times New Roman" w:hAnsi="Times New Roman" w:cs="Times New Roman" w:eastAsia="Times New Roman" w:hint="default"/>
          <w:spacing w:val="-3"/>
        </w:rPr>
        <w:t>2009</w:t>
      </w:r>
      <w:r>
        <w:rPr>
          <w:rFonts w:ascii="Times New Roman" w:hAnsi="Times New Roman" w:cs="Times New Roman" w:eastAsia="Times New Roman" w:hint="default"/>
          <w:spacing w:val="-33"/>
        </w:rPr>
        <w:t> </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4</w:t>
      </w:r>
      <w:r>
        <w:rPr>
          <w:spacing w:val="-2"/>
        </w:rPr>
        <w:t>日华方医药与华立集团股份有限公司（以下简称</w:t>
      </w:r>
      <w:r>
        <w:rPr>
          <w:rFonts w:ascii="Times New Roman" w:hAnsi="Times New Roman" w:cs="Times New Roman" w:eastAsia="Times New Roman" w:hint="default"/>
          <w:spacing w:val="-2"/>
        </w:rPr>
        <w:t>“</w:t>
      </w:r>
      <w:r>
        <w:rPr>
          <w:spacing w:val="-2"/>
        </w:rPr>
        <w:t>华立集团</w:t>
      </w:r>
      <w:r>
        <w:rPr>
          <w:rFonts w:ascii="Times New Roman" w:hAnsi="Times New Roman" w:cs="Times New Roman" w:eastAsia="Times New Roman" w:hint="default"/>
          <w:spacing w:val="-2"/>
        </w:rPr>
        <w:t>”</w:t>
      </w:r>
      <w:r>
        <w:rPr>
          <w:spacing w:val="-2"/>
        </w:rPr>
        <w:t>）签订的股权转让合同，华方医药将持有公司</w:t>
      </w:r>
      <w:r>
        <w:rPr>
          <w:rFonts w:ascii="Times New Roman" w:hAnsi="Times New Roman" w:cs="Times New Roman" w:eastAsia="Times New Roman" w:hint="default"/>
          <w:spacing w:val="-2"/>
        </w:rPr>
        <w:t>23.52%</w:t>
      </w:r>
      <w:r>
        <w:rPr>
          <w:spacing w:val="-2"/>
        </w:rPr>
        <w:t>的股</w:t>
      </w:r>
      <w:r>
        <w:rPr>
          <w:spacing w:val="-53"/>
        </w:rPr>
        <w:t> </w:t>
      </w:r>
      <w:r>
        <w:rPr/>
        <w:t>份转让给华立集团，华立集团成为公司第一大股东。</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13</w:t>
      </w:r>
      <w:r>
        <w:rPr/>
        <w:t>日，公司名称变更为重庆华智控股股份有限公司。</w:t>
      </w:r>
      <w:r>
        <w:rPr>
          <w:rFonts w:ascii="Times New Roman" w:hAnsi="Times New Roman" w:cs="Times New Roman" w:eastAsia="Times New Roman" w:hint="default"/>
        </w:rPr>
        <w:t>2011</w:t>
      </w:r>
      <w:r>
        <w:rPr>
          <w:rFonts w:ascii="Times New Roman" w:hAnsi="Times New Roman" w:cs="Times New Roman" w:eastAsia="Times New Roman" w:hint="default"/>
          <w:spacing w:val="35"/>
        </w:rPr>
        <w:t> </w:t>
      </w:r>
      <w:r>
        <w:rPr/>
        <w:t>年</w:t>
      </w:r>
      <w:r>
        <w:rPr>
          <w:rFonts w:ascii="Times New Roman" w:hAnsi="Times New Roman" w:cs="Times New Roman" w:eastAsia="Times New Roman" w:hint="default"/>
        </w:rPr>
        <w:t>12</w:t>
      </w:r>
      <w:r>
        <w:rPr/>
        <w:t>月公司更名为浙江华智控股股份有限公司。</w:t>
      </w:r>
    </w:p>
    <w:p>
      <w:pPr>
        <w:pStyle w:val="BodyText"/>
        <w:spacing w:line="300" w:lineRule="auto" w:before="13"/>
        <w:ind w:right="1128" w:firstLine="480"/>
        <w:jc w:val="both"/>
      </w:pPr>
      <w:r>
        <w:rPr>
          <w:rFonts w:ascii="Times New Roman" w:hAnsi="Times New Roman" w:cs="Times New Roman" w:eastAsia="Times New Roman" w:hint="default"/>
        </w:rPr>
        <w:t>1996</w:t>
      </w:r>
      <w:r>
        <w:rPr/>
        <w:t>年公司经批准向社会公开发行</w:t>
      </w:r>
      <w:r>
        <w:rPr>
          <w:rFonts w:ascii="Times New Roman" w:hAnsi="Times New Roman" w:cs="Times New Roman" w:eastAsia="Times New Roman" w:hint="default"/>
        </w:rPr>
        <w:t>A</w:t>
      </w:r>
      <w:r>
        <w:rPr/>
        <w:t>股股票，同年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w:t>
      </w:r>
      <w:r>
        <w:rPr>
          <w:rFonts w:ascii="Times New Roman" w:hAnsi="Times New Roman" w:cs="Times New Roman" w:eastAsia="Times New Roman" w:hint="default"/>
        </w:rPr>
        <w:t>4,500</w:t>
      </w:r>
      <w:r>
        <w:rPr/>
        <w:t>万股人民币普通股股票在深交所挂牌上市。经历次 增资，截至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日，公司注册资本</w:t>
      </w:r>
      <w:r>
        <w:rPr>
          <w:rFonts w:ascii="Times New Roman" w:hAnsi="Times New Roman" w:cs="Times New Roman" w:eastAsia="Times New Roman" w:hint="default"/>
        </w:rPr>
        <w:t>487,731,995.00</w:t>
      </w:r>
      <w:r>
        <w:rPr/>
        <w:t>元，股份</w:t>
      </w:r>
      <w:r>
        <w:rPr>
          <w:rFonts w:ascii="Times New Roman" w:hAnsi="Times New Roman" w:cs="Times New Roman" w:eastAsia="Times New Roman" w:hint="default"/>
        </w:rPr>
        <w:t>487,731,995</w:t>
      </w:r>
      <w:r>
        <w:rPr/>
        <w:t>股，均为无限售条件流通股。</w:t>
      </w:r>
    </w:p>
    <w:p>
      <w:pPr>
        <w:pStyle w:val="BodyText"/>
        <w:spacing w:line="304" w:lineRule="auto" w:before="13"/>
        <w:ind w:left="153" w:right="1118" w:firstLine="480"/>
        <w:jc w:val="both"/>
      </w:pPr>
      <w:r>
        <w:rPr>
          <w:spacing w:val="-1"/>
        </w:rPr>
        <w:t>根据浙江华智控股股份有限公司</w:t>
      </w:r>
      <w:r>
        <w:rPr>
          <w:rFonts w:ascii="Times New Roman" w:hAnsi="Times New Roman" w:cs="Times New Roman" w:eastAsia="Times New Roman" w:hint="default"/>
          <w:spacing w:val="-1"/>
        </w:rPr>
        <w:t>2014</w:t>
      </w:r>
      <w:r>
        <w:rPr>
          <w:spacing w:val="-1"/>
        </w:rPr>
        <w:t>年第七届董事会第十一次会议决议和</w:t>
      </w:r>
      <w:r>
        <w:rPr>
          <w:rFonts w:ascii="Times New Roman" w:hAnsi="Times New Roman" w:cs="Times New Roman" w:eastAsia="Times New Roman" w:hint="default"/>
          <w:spacing w:val="-1"/>
        </w:rPr>
        <w:t>2014</w:t>
      </w:r>
      <w:r>
        <w:rPr>
          <w:spacing w:val="-1"/>
        </w:rPr>
        <w:t>年第一次临时股东大会决议、</w:t>
      </w:r>
      <w:r>
        <w:rPr>
          <w:rFonts w:ascii="Times New Roman" w:hAnsi="Times New Roman" w:cs="Times New Roman" w:eastAsia="Times New Roman" w:hint="default"/>
          <w:spacing w:val="-1"/>
        </w:rPr>
        <w:t>2014</w:t>
      </w:r>
      <w:r>
        <w:rPr>
          <w:spacing w:val="-1"/>
        </w:rPr>
        <w:t>年第</w:t>
      </w:r>
      <w:r>
        <w:rPr/>
        <w:t> </w:t>
      </w:r>
      <w:r>
        <w:rPr>
          <w:spacing w:val="-2"/>
        </w:rPr>
        <w:t>二次临时股东大会决议，并经中共中央宣传部出具《关于同意杭州日报报业集团下属经营性资产借壳上市方案的函》、国家</w:t>
      </w:r>
      <w:r>
        <w:rPr>
          <w:spacing w:val="-66"/>
        </w:rPr>
        <w:t> </w:t>
      </w:r>
      <w:r>
        <w:rPr>
          <w:spacing w:val="-66"/>
        </w:rPr>
      </w:r>
      <w:r>
        <w:rPr>
          <w:spacing w:val="-1"/>
        </w:rPr>
        <w:t>新闻出版广电总局出具《关于同意杭州日报报业集团借壳上市的批复》（新出审字</w:t>
      </w:r>
      <w:r>
        <w:rPr>
          <w:rFonts w:ascii="Times New Roman" w:hAnsi="Times New Roman" w:cs="Times New Roman" w:eastAsia="Times New Roman" w:hint="default"/>
          <w:spacing w:val="-1"/>
        </w:rPr>
        <w:t>[2013]1684</w:t>
      </w:r>
      <w:r>
        <w:rPr>
          <w:spacing w:val="-1"/>
        </w:rPr>
        <w:t>号）、浙江省财政厅出具《关</w:t>
      </w:r>
      <w:r>
        <w:rPr>
          <w:spacing w:val="-56"/>
        </w:rPr>
        <w:t> </w:t>
      </w:r>
      <w:r>
        <w:rPr>
          <w:spacing w:val="-56"/>
        </w:rPr>
      </w:r>
      <w:r>
        <w:rPr>
          <w:spacing w:val="-1"/>
        </w:rPr>
        <w:t>于同意杭报集团下属传媒经营性资产借壳上市方案的批复》（浙财文资</w:t>
      </w:r>
      <w:r>
        <w:rPr>
          <w:rFonts w:ascii="Times New Roman" w:hAnsi="Times New Roman" w:cs="Times New Roman" w:eastAsia="Times New Roman" w:hint="default"/>
          <w:spacing w:val="-1"/>
        </w:rPr>
        <w:t>[2014]11</w:t>
      </w:r>
      <w:r>
        <w:rPr>
          <w:spacing w:val="-1"/>
        </w:rPr>
        <w:t>号）、中国证券监督管理委员会《关于核准</w:t>
      </w:r>
      <w:r>
        <w:rPr>
          <w:spacing w:val="-57"/>
        </w:rPr>
        <w:t> </w:t>
      </w:r>
      <w:r>
        <w:rPr>
          <w:spacing w:val="-57"/>
        </w:rPr>
      </w:r>
      <w:r>
        <w:rPr>
          <w:spacing w:val="12"/>
        </w:rPr>
        <w:t>浙江华智控股股份有限公司重大资产重组及向杭州日报报业集团有限公司等发行股份购买资产的批复》（证监许可</w:t>
      </w:r>
      <w:r>
        <w:rPr>
          <w:spacing w:val="-49"/>
        </w:rPr>
        <w:t> </w:t>
      </w:r>
      <w:r>
        <w:rPr>
          <w:spacing w:val="-49"/>
        </w:rPr>
      </w:r>
      <w:r>
        <w:rPr>
          <w:rFonts w:ascii="Times New Roman" w:hAnsi="Times New Roman" w:cs="Times New Roman" w:eastAsia="Times New Roman" w:hint="default"/>
          <w:spacing w:val="-1"/>
        </w:rPr>
        <w:t>[2014]1274</w:t>
      </w:r>
      <w:r>
        <w:rPr>
          <w:spacing w:val="-1"/>
        </w:rPr>
        <w:t>号）及《关于核准豁免杭州日报报业集团有限公司及一致行动人要约收购浙江华智控股股份有限公司股份义务的</w:t>
      </w:r>
      <w:r>
        <w:rPr>
          <w:spacing w:val="-54"/>
        </w:rPr>
        <w:t> </w:t>
      </w:r>
      <w:r>
        <w:rPr>
          <w:spacing w:val="-54"/>
        </w:rPr>
      </w:r>
      <w:r>
        <w:rPr>
          <w:spacing w:val="2"/>
        </w:rPr>
        <w:t>批复》（证监许可</w:t>
      </w:r>
      <w:r>
        <w:rPr>
          <w:rFonts w:ascii="Times New Roman" w:hAnsi="Times New Roman" w:cs="Times New Roman" w:eastAsia="Times New Roman" w:hint="default"/>
          <w:spacing w:val="2"/>
        </w:rPr>
        <w:t>[2014]1275</w:t>
      </w:r>
      <w:r>
        <w:rPr>
          <w:spacing w:val="2"/>
        </w:rPr>
        <w:t>号）批准，浙江华智控股股份有限公司对杭州日报报业集团有限公司和都市快报社发行股份</w:t>
      </w:r>
      <w:r>
        <w:rPr>
          <w:spacing w:val="-64"/>
        </w:rPr>
        <w:t> </w:t>
      </w:r>
      <w:r>
        <w:rPr>
          <w:spacing w:val="-64"/>
        </w:rPr>
      </w:r>
      <w:r>
        <w:rPr>
          <w:rFonts w:ascii="Times New Roman" w:hAnsi="Times New Roman" w:cs="Times New Roman" w:eastAsia="Times New Roman" w:hint="default"/>
          <w:spacing w:val="-2"/>
        </w:rPr>
        <w:t>529,966,415</w:t>
      </w:r>
      <w:r>
        <w:rPr>
          <w:spacing w:val="-2"/>
        </w:rPr>
        <w:t>股，购买杭州日报报业集团有限公司和都市快报社拥有的传媒类</w:t>
      </w:r>
      <w:r>
        <w:rPr>
          <w:rFonts w:ascii="Times New Roman" w:hAnsi="Times New Roman" w:cs="Times New Roman" w:eastAsia="Times New Roman" w:hint="default"/>
          <w:spacing w:val="-2"/>
        </w:rPr>
        <w:t>11</w:t>
      </w:r>
      <w:r>
        <w:rPr>
          <w:spacing w:val="-2"/>
        </w:rPr>
        <w:t>家企业股权。上述交易完成后，杭州日报报业</w:t>
      </w:r>
      <w:r>
        <w:rPr>
          <w:spacing w:val="-54"/>
        </w:rPr>
        <w:t> </w:t>
      </w:r>
      <w:r>
        <w:rPr>
          <w:spacing w:val="-54"/>
        </w:rPr>
      </w:r>
      <w:r>
        <w:rPr/>
        <w:t>集团有限公司成为本公司的控股股东，杭州日报报业集团（杭州日报社）持有杭州日报报业集团有限公司</w:t>
      </w:r>
      <w:r>
        <w:rPr>
          <w:rFonts w:ascii="Times New Roman" w:hAnsi="Times New Roman" w:cs="Times New Roman" w:eastAsia="Times New Roman" w:hint="default"/>
        </w:rPr>
        <w:t>100%</w:t>
      </w:r>
      <w:r>
        <w:rPr/>
        <w:t>股权、成为</w:t>
      </w:r>
      <w:r>
        <w:rPr>
          <w:spacing w:val="-56"/>
        </w:rPr>
        <w:t> </w:t>
      </w:r>
      <w:r>
        <w:rPr>
          <w:spacing w:val="-56"/>
        </w:rPr>
      </w:r>
      <w:r>
        <w:rPr/>
        <w:t>本公司的实际控制人。</w:t>
      </w:r>
    </w:p>
    <w:p>
      <w:pPr>
        <w:pStyle w:val="BodyText"/>
        <w:spacing w:line="624" w:lineRule="exact" w:before="51"/>
        <w:ind w:left="634" w:right="1110" w:hanging="107"/>
        <w:jc w:val="left"/>
      </w:pPr>
      <w:r>
        <w:rPr/>
        <w:t>本财务报表业经本公司董事会于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日决议批准报出。 本公司</w:t>
      </w:r>
      <w:r>
        <w:rPr>
          <w:rFonts w:ascii="Times New Roman" w:hAnsi="Times New Roman" w:cs="Times New Roman" w:eastAsia="Times New Roman" w:hint="default"/>
        </w:rPr>
        <w:t>2018</w:t>
      </w:r>
      <w:r>
        <w:rPr/>
        <w:t>年度纳入合并范围的二级子公司共</w:t>
      </w:r>
      <w:r>
        <w:rPr>
          <w:rFonts w:ascii="Times New Roman" w:hAnsi="Times New Roman" w:cs="Times New Roman" w:eastAsia="Times New Roman" w:hint="default"/>
        </w:rPr>
        <w:t>15</w:t>
      </w:r>
      <w:r>
        <w:rPr/>
        <w:t>户，详见本附注九</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。本公司本年度合并范围变</w:t>
      </w:r>
    </w:p>
    <w:p>
      <w:pPr>
        <w:pStyle w:val="BodyText"/>
        <w:spacing w:line="226" w:lineRule="exact"/>
        <w:ind w:right="0"/>
        <w:jc w:val="both"/>
      </w:pPr>
      <w:r>
        <w:rPr/>
        <w:t>化详见本附注八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pStyle w:val="BodyText"/>
        <w:spacing w:line="316" w:lineRule="auto" w:before="63"/>
        <w:ind w:right="0" w:firstLine="480"/>
        <w:jc w:val="left"/>
      </w:pPr>
      <w:r>
        <w:rPr>
          <w:spacing w:val="-3"/>
        </w:rPr>
        <w:t>本公司及各子公司主要从事：设计、制作、代理、发布国内各类广告，实业投资，新媒体技术开发，经营进出口业务，</w:t>
      </w:r>
      <w:r>
        <w:rPr/>
        <w:t> </w:t>
      </w:r>
      <w:r>
        <w:rPr>
          <w:spacing w:val="-2"/>
        </w:rPr>
        <w:t>会展服务，教育培训，印刷，批发、零售：图书报刊，电子出版物，日用品，化妆品，家用电器，电子产品，五金，通信设</w:t>
      </w:r>
      <w:r>
        <w:rPr>
          <w:spacing w:val="-73"/>
        </w:rPr>
        <w:t> </w:t>
      </w:r>
      <w:r>
        <w:rPr>
          <w:spacing w:val="-73"/>
        </w:rPr>
      </w:r>
      <w:r>
        <w:rPr/>
        <w:t>备。（上述经营范围不含国家法律法规规定禁止、限制和许可经营的项目）。</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本公司财务报表以持续经营假设为基础，根据实际发生的交易和事项，按照财政部发布的《企业会计准则</w:t>
      </w:r>
      <w:r>
        <w:rPr>
          <w:rFonts w:ascii="Times New Roman" w:hAnsi="Times New Roman" w:cs="Times New Roman" w:eastAsia="Times New Roman" w:hint="default"/>
        </w:rPr>
        <w:t>——</w:t>
      </w:r>
      <w:r>
        <w:rPr/>
        <w:t>基本准则》</w:t>
      </w:r>
    </w:p>
    <w:p>
      <w:pPr>
        <w:pStyle w:val="BodyText"/>
        <w:spacing w:line="300" w:lineRule="auto" w:before="63"/>
        <w:ind w:right="1128"/>
        <w:jc w:val="both"/>
      </w:pPr>
      <w:r>
        <w:rPr/>
        <w:t>（财政部令第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日及其后颁布和修订的</w:t>
      </w:r>
      <w:r>
        <w:rPr>
          <w:rFonts w:ascii="Times New Roman" w:hAnsi="Times New Roman" w:cs="Times New Roman" w:eastAsia="Times New Roman" w:hint="default"/>
        </w:rPr>
        <w:t>42</w:t>
      </w:r>
      <w:r>
        <w:rPr/>
        <w:t>项具体会计准则、企业会计准则</w:t>
      </w:r>
      <w:r>
        <w:rPr>
          <w:spacing w:val="-83"/>
        </w:rPr>
        <w:t> </w:t>
      </w:r>
      <w:r>
        <w:rPr>
          <w:spacing w:val="-83"/>
        </w:rPr>
      </w:r>
      <w:r>
        <w:rPr>
          <w:spacing w:val="-2"/>
        </w:rPr>
        <w:t>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），以及中国证券监督管理委员会《公开发行证券</w:t>
      </w:r>
      <w:r>
        <w:rPr>
          <w:spacing w:val="-42"/>
        </w:rPr>
        <w:t> </w:t>
      </w:r>
      <w:r>
        <w:rPr>
          <w:spacing w:val="-42"/>
        </w:rPr>
      </w:r>
      <w:r>
        <w:rPr/>
        <w:t>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年修订）的披露规定编制。</w:t>
      </w:r>
    </w:p>
    <w:p>
      <w:pPr>
        <w:pStyle w:val="BodyText"/>
        <w:spacing w:line="316" w:lineRule="auto" w:before="13"/>
        <w:ind w:right="0" w:firstLine="360"/>
        <w:jc w:val="left"/>
      </w:pPr>
      <w:r>
        <w:rPr>
          <w:spacing w:val="-2"/>
        </w:rPr>
        <w:t>根据企业会计准则的相关规定，本公司会计核算以权责发生制为基础。除某些金融工具外，本财务报表均以历史成本为</w:t>
      </w:r>
      <w:r>
        <w:rPr/>
        <w:t> 计量基础。资产如果发生减值，则按照相关规定计提相应的减值准备。</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本公司不存在导致对报告期末起</w:t>
      </w:r>
      <w:r>
        <w:rPr>
          <w:rFonts w:ascii="Times New Roman" w:hAnsi="Times New Roman" w:cs="Times New Roman" w:eastAsia="Times New Roman" w:hint="default"/>
        </w:rPr>
        <w:t>12</w:t>
      </w:r>
      <w:r>
        <w:rPr/>
        <w:t>个月内的持续经营假设产生重大疑虑的事项或情况。</w:t>
      </w:r>
    </w:p>
    <w:p>
      <w:pPr>
        <w:spacing w:after="0" w:line="240" w:lineRule="auto"/>
        <w:jc w:val="left"/>
        <w:sectPr>
          <w:headerReference w:type="default" r:id="rId54"/>
          <w:footerReference w:type="default" r:id="rId55"/>
          <w:pgSz w:w="11910" w:h="16840"/>
          <w:pgMar w:header="877" w:footer="982" w:top="1100" w:bottom="1180" w:left="980" w:right="0"/>
          <w:pgNumType w:start="8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53" w:right="7691"/>
        <w:jc w:val="left"/>
      </w:pPr>
      <w:r>
        <w:rPr/>
        <w:t>公司是否需要遵守特殊行业的披露要求 否</w:t>
      </w:r>
    </w:p>
    <w:p>
      <w:pPr>
        <w:pStyle w:val="BodyText"/>
        <w:spacing w:line="357" w:lineRule="auto" w:before="29"/>
        <w:ind w:left="444" w:right="0" w:hanging="291"/>
        <w:jc w:val="left"/>
      </w:pPr>
      <w:r>
        <w:rPr/>
        <w:t>具体会计政策和会计估计提示： </w:t>
      </w:r>
      <w:r>
        <w:rPr>
          <w:spacing w:val="-1"/>
        </w:rPr>
        <w:t>本公司及各子公司从事报刊发行行业广告策划及印刷相关业务、信息服务业务、教育培训业务。本公司及各子公司根据</w:t>
      </w:r>
    </w:p>
    <w:p>
      <w:pPr>
        <w:pStyle w:val="BodyText"/>
        <w:spacing w:line="224" w:lineRule="exact"/>
        <w:ind w:left="153" w:right="0"/>
        <w:jc w:val="left"/>
      </w:pPr>
      <w:r>
        <w:rPr/>
        <w:t>实际生产经营特点，依据相关企业会计准则的规定，对收入确认、研究开发支出等交易和事项制定了若干项具体会计政策和</w:t>
      </w:r>
    </w:p>
    <w:p>
      <w:pPr>
        <w:pStyle w:val="BodyText"/>
        <w:spacing w:line="300" w:lineRule="auto" w:before="76"/>
        <w:ind w:left="153" w:right="1151"/>
        <w:jc w:val="left"/>
      </w:pPr>
      <w:r>
        <w:rPr/>
        <w:t>会计估计，详见本附注五、</w:t>
      </w:r>
      <w:r>
        <w:rPr>
          <w:rFonts w:ascii="Times New Roman" w:hAnsi="Times New Roman" w:cs="Times New Roman" w:eastAsia="Times New Roman" w:hint="default"/>
        </w:rPr>
        <w:t>28“</w:t>
      </w:r>
      <w:r>
        <w:rPr/>
        <w:t>收入</w:t>
      </w:r>
      <w:r>
        <w:rPr>
          <w:rFonts w:ascii="Times New Roman" w:hAnsi="Times New Roman" w:cs="Times New Roman" w:eastAsia="Times New Roman" w:hint="default"/>
        </w:rPr>
        <w:t>”</w:t>
      </w:r>
      <w:r>
        <w:rPr/>
        <w:t>各项描述。关于管理层所作出的重大会计判断和估计的说明，请参阅附注五、</w:t>
      </w:r>
      <w:r>
        <w:rPr>
          <w:rFonts w:ascii="Times New Roman" w:hAnsi="Times New Roman" w:cs="Times New Roman" w:eastAsia="Times New Roman" w:hint="default"/>
        </w:rPr>
        <w:t>32“</w:t>
      </w:r>
      <w:r>
        <w:rPr/>
        <w:t>其他 重要的会计政策和会计估计</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131" w:firstLine="307"/>
        <w:jc w:val="both"/>
      </w:pPr>
      <w:r>
        <w:rPr>
          <w:spacing w:val="-1"/>
        </w:rPr>
        <w:t>本公司编制的财务报表符合企业会计准则的要求，真实、完整地反映了本公司</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日的财务状况及</w:t>
      </w:r>
      <w:r>
        <w:rPr>
          <w:rFonts w:ascii="Times New Roman" w:hAnsi="Times New Roman" w:cs="Times New Roman" w:eastAsia="Times New Roman" w:hint="default"/>
          <w:spacing w:val="-1"/>
        </w:rPr>
        <w:t>2018</w:t>
      </w:r>
      <w:r>
        <w:rPr>
          <w:spacing w:val="-1"/>
        </w:rPr>
        <w:t>年度的</w:t>
      </w:r>
      <w:r>
        <w:rPr/>
        <w:t> </w:t>
      </w:r>
      <w:r>
        <w:rPr>
          <w:spacing w:val="-2"/>
        </w:rPr>
        <w:t>经营成果和现金流量等有关信息。此外，本公司的财务报表在所有重大方面符合中国证券监督管理委员会</w:t>
      </w:r>
      <w:r>
        <w:rPr>
          <w:rFonts w:ascii="Times New Roman" w:hAnsi="Times New Roman" w:cs="Times New Roman" w:eastAsia="Times New Roman" w:hint="default"/>
          <w:spacing w:val="-2"/>
        </w:rPr>
        <w:t>2014</w:t>
      </w:r>
      <w:r>
        <w:rPr>
          <w:spacing w:val="-2"/>
        </w:rPr>
        <w:t>年修订的《公</w:t>
      </w:r>
      <w:r>
        <w:rPr>
          <w:spacing w:val="-62"/>
        </w:rPr>
        <w:t> </w:t>
      </w:r>
      <w:r>
        <w:rPr>
          <w:spacing w:val="-62"/>
        </w:rPr>
      </w:r>
      <w:r>
        <w:rPr/>
        <w:t>开发行证券的公司信息披露编报规则第</w:t>
      </w:r>
      <w:r>
        <w:rPr>
          <w:rFonts w:ascii="Times New Roman" w:hAnsi="Times New Roman" w:cs="Times New Roman" w:eastAsia="Times New Roman" w:hint="default"/>
        </w:rPr>
        <w:t>15</w:t>
      </w:r>
      <w:r>
        <w:rPr/>
        <w:t>号－财务报告的一般规定》有关财务报表及其附注的披露要求。</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48" w:firstLine="360"/>
        <w:jc w:val="both"/>
      </w:pPr>
      <w:r>
        <w:rPr/>
        <w:t>本公司的会计期间分为年度和中期，会计中期指短于一个完整的会计年度的报告期间。本公司会计年度采用公历年度， 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125" w:firstLine="360"/>
        <w:jc w:val="both"/>
      </w:pPr>
      <w:r>
        <w:rPr/>
        <w:t>正常营业周期是指本公司从购买用于加工的资产起至实现现金或现金等价物的期间。本公司以</w:t>
      </w:r>
      <w:r>
        <w:rPr>
          <w:rFonts w:ascii="Times New Roman" w:hAnsi="Times New Roman" w:cs="Times New Roman" w:eastAsia="Times New Roman" w:hint="default"/>
        </w:rPr>
        <w:t>12</w:t>
      </w:r>
      <w:r>
        <w:rPr/>
        <w:t>个月作为一个营业周</w:t>
      </w:r>
      <w:r>
        <w:rPr>
          <w:spacing w:val="2"/>
        </w:rPr>
        <w:t> </w:t>
      </w:r>
      <w:r>
        <w:rPr/>
        <w:t>期，并以其作为资产和负债的流动性划分标准。</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360"/>
        <w:jc w:val="both"/>
      </w:pPr>
      <w:r>
        <w:rPr>
          <w:spacing w:val="-2"/>
        </w:rPr>
        <w:t>人民币为本公司及境内子公司经营所处的主要经济环境中的货币，本公司及境内子公司以人民币为记账本位币。本公司</w:t>
      </w:r>
      <w:r>
        <w:rPr/>
        <w:t> 编制本财务报表时所采用的货币为人民币。</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360"/>
        <w:jc w:val="both"/>
      </w:pPr>
      <w:r>
        <w:rPr>
          <w:spacing w:val="-2"/>
        </w:rPr>
        <w:t>企业合并，是指将两个或两个以上单独的企业合并形成一个报告主体的交易或事项。企业合并分为同一控制下企业合并</w:t>
      </w:r>
      <w:r>
        <w:rPr/>
        <w:t> 和非同一控制下企业合并。</w:t>
      </w:r>
    </w:p>
    <w:p>
      <w:pPr>
        <w:pStyle w:val="BodyText"/>
        <w:spacing w:line="300" w:lineRule="auto" w:before="19"/>
        <w:ind w:left="513" w:right="0"/>
        <w:jc w:val="left"/>
      </w:pPr>
      <w:r>
        <w:rPr/>
        <w:t>（</w:t>
      </w:r>
      <w:r>
        <w:rPr>
          <w:rFonts w:ascii="Times New Roman" w:hAnsi="Times New Roman" w:cs="Times New Roman" w:eastAsia="Times New Roman" w:hint="default"/>
        </w:rPr>
        <w:t>1</w:t>
      </w:r>
      <w:r>
        <w:rPr/>
        <w:t>）同一控制下企业合并 </w:t>
      </w:r>
      <w:r>
        <w:rPr>
          <w:spacing w:val="-2"/>
        </w:rPr>
        <w:t>参与合并的企业在合并前后均受同一方或相同的多方最终控制，且该控制并非暂时性的，为同一控制下的企业合并。同</w:t>
      </w:r>
    </w:p>
    <w:p>
      <w:pPr>
        <w:pStyle w:val="BodyText"/>
        <w:spacing w:line="316" w:lineRule="auto" w:before="31"/>
        <w:ind w:left="153" w:right="0"/>
        <w:jc w:val="left"/>
      </w:pPr>
      <w:r>
        <w:rPr>
          <w:spacing w:val="-4"/>
        </w:rPr>
        <w:t>一控制下的企业合并，在合并日取得对其他参与合并企业控制权的一方为合并方，参与合并的其他企业为被合并方。合并日，</w:t>
      </w:r>
      <w:r>
        <w:rPr>
          <w:spacing w:val="-44"/>
        </w:rPr>
        <w:t> </w:t>
      </w:r>
      <w:r>
        <w:rPr>
          <w:spacing w:val="-44"/>
        </w:rPr>
      </w:r>
      <w:r>
        <w:rPr/>
        <w:t>是指合并方实际取得对被合并方控制权的日期。</w:t>
      </w:r>
    </w:p>
    <w:p>
      <w:pPr>
        <w:pStyle w:val="BodyText"/>
        <w:spacing w:line="316" w:lineRule="auto" w:before="19"/>
        <w:ind w:left="153" w:right="1048" w:firstLine="360"/>
        <w:jc w:val="both"/>
      </w:pPr>
      <w:r>
        <w:rPr>
          <w:spacing w:val="-2"/>
        </w:rPr>
        <w:t>合并方取得的资产和负债均按合并日在被合并方的账面价值计量。合并方取得的净资产账面价值与支付的合并对价账面</w:t>
      </w:r>
      <w:r>
        <w:rPr/>
        <w:t> 价值（或发行股份面值总额）的差额，调整资本公积（股本溢价）；资本公积（股本溢价）不足以冲减的，调整留存收益。</w:t>
      </w:r>
    </w:p>
    <w:p>
      <w:pPr>
        <w:pStyle w:val="BodyText"/>
        <w:spacing w:line="240" w:lineRule="auto" w:before="19"/>
        <w:ind w:left="514" w:right="0"/>
        <w:jc w:val="left"/>
      </w:pPr>
      <w:r>
        <w:rPr/>
        <w:t>合并方为进行企业合并发生的各项直接费用，于发生时计入当期损益。</w:t>
      </w:r>
    </w:p>
    <w:p>
      <w:pPr>
        <w:pStyle w:val="BodyText"/>
        <w:spacing w:line="300" w:lineRule="auto" w:before="76"/>
        <w:ind w:left="514" w:right="0"/>
        <w:jc w:val="left"/>
      </w:pPr>
      <w:r>
        <w:rPr/>
        <w:t>（</w:t>
      </w:r>
      <w:r>
        <w:rPr>
          <w:rFonts w:ascii="Times New Roman" w:hAnsi="Times New Roman" w:cs="Times New Roman" w:eastAsia="Times New Roman" w:hint="default"/>
        </w:rPr>
        <w:t>2</w:t>
      </w:r>
      <w:r>
        <w:rPr/>
        <w:t>）非同一控制下企业合并 </w:t>
      </w:r>
      <w:r>
        <w:rPr>
          <w:spacing w:val="-2"/>
        </w:rPr>
        <w:t>参与合并的企业在合并前后不受同一方或相同的多方最终控制的，为非同一控制下的企业合并。非同一控制下的企业合</w:t>
      </w:r>
    </w:p>
    <w:p>
      <w:pPr>
        <w:spacing w:after="0" w:line="300" w:lineRule="auto"/>
        <w:jc w:val="left"/>
        <w:sectPr>
          <w:pgSz w:w="11910" w:h="16840"/>
          <w:pgMar w:header="877" w:footer="982" w:top="1100" w:bottom="1180" w:left="980" w:right="0"/>
        </w:sectPr>
      </w:pPr>
    </w:p>
    <w:p>
      <w:pPr>
        <w:spacing w:line="240" w:lineRule="auto" w:before="12"/>
        <w:rPr>
          <w:rFonts w:ascii="宋体" w:hAnsi="宋体" w:cs="宋体" w:eastAsia="宋体" w:hint="default"/>
          <w:sz w:val="21"/>
          <w:szCs w:val="21"/>
        </w:rPr>
      </w:pPr>
    </w:p>
    <w:p>
      <w:pPr>
        <w:pStyle w:val="BodyText"/>
        <w:spacing w:line="316" w:lineRule="auto" w:before="44"/>
        <w:ind w:left="153" w:right="1131"/>
        <w:jc w:val="both"/>
      </w:pPr>
      <w:r>
        <w:rPr>
          <w:spacing w:val="-2"/>
        </w:rPr>
        <w:t>并，在购买日取得对其他参与合并企业控制权的一方为购买方，参与合并的其他企业为被购买方。购买日，是指为购买方实</w:t>
      </w:r>
      <w:r>
        <w:rPr>
          <w:spacing w:val="-66"/>
        </w:rPr>
        <w:t> </w:t>
      </w:r>
      <w:r>
        <w:rPr>
          <w:spacing w:val="-66"/>
        </w:rPr>
      </w:r>
      <w:r>
        <w:rPr/>
        <w:t>际取得对被购买方控制权的日期。</w:t>
      </w:r>
    </w:p>
    <w:p>
      <w:pPr>
        <w:pStyle w:val="BodyText"/>
        <w:spacing w:line="316" w:lineRule="auto" w:before="19"/>
        <w:ind w:left="153" w:right="1130" w:firstLine="360"/>
        <w:jc w:val="both"/>
      </w:pPr>
      <w:r>
        <w:rPr>
          <w:spacing w:val="-2"/>
        </w:rPr>
        <w:t>对于非同一控制下的企业合并，合并成本包含购买日购买方为取得对被购买方的控制权而付出的资产、发生或承担的负</w:t>
      </w:r>
      <w:r>
        <w:rPr/>
        <w:t> </w:t>
      </w:r>
      <w:r>
        <w:rPr>
          <w:spacing w:val="-2"/>
        </w:rPr>
        <w:t>债以及发行的权益性证券的公允价值，为企业合并发生的审计、法律服务、评估咨询等中介费用以及其他管理费用于发生时</w:t>
      </w:r>
      <w:r>
        <w:rPr>
          <w:spacing w:val="-66"/>
        </w:rPr>
        <w:t> </w:t>
      </w:r>
      <w:r>
        <w:rPr>
          <w:spacing w:val="-66"/>
        </w:rPr>
      </w:r>
      <w:r>
        <w:rPr>
          <w:spacing w:val="-2"/>
        </w:rPr>
        <w:t>计入当期损益。购买方作为合并对价发行的权益性证券或债务性证券的交易费用，计入权益性证券或债务性证券的初始确认</w:t>
      </w:r>
      <w:r>
        <w:rPr>
          <w:spacing w:val="-64"/>
        </w:rPr>
        <w:t> </w:t>
      </w:r>
      <w:r>
        <w:rPr>
          <w:spacing w:val="-64"/>
        </w:rPr>
      </w:r>
      <w:r>
        <w:rPr>
          <w:spacing w:val="-2"/>
        </w:rPr>
        <w:t>金额。所涉及的或有对价按其在购买日的公允价值计入合并成本，购买日后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个月内出现对购买日已存在情况的新的或进一</w:t>
      </w:r>
      <w:r>
        <w:rPr>
          <w:spacing w:val="-62"/>
        </w:rPr>
        <w:t> </w:t>
      </w:r>
      <w:r>
        <w:rPr>
          <w:spacing w:val="-2"/>
        </w:rPr>
        <w:t>步证据而需要调整或有对价的，相应调整合并商誉。购买方发生的合并成本及在合并中取得的可辨认净资产按购买日的公允</w:t>
      </w:r>
      <w:r>
        <w:rPr>
          <w:spacing w:val="-64"/>
        </w:rPr>
        <w:t> </w:t>
      </w:r>
      <w:r>
        <w:rPr>
          <w:spacing w:val="-64"/>
        </w:rPr>
      </w:r>
      <w:r>
        <w:rPr>
          <w:spacing w:val="-2"/>
        </w:rPr>
        <w:t>价值计量。合并成本大于合并中取得的被购买方于购买日可辨认净资产公允价值份额的差额，确认为商誉。合并成本小于合</w:t>
      </w:r>
      <w:r>
        <w:rPr>
          <w:spacing w:val="-66"/>
        </w:rPr>
        <w:t> </w:t>
      </w:r>
      <w:r>
        <w:rPr>
          <w:spacing w:val="-66"/>
        </w:rPr>
      </w:r>
      <w:r>
        <w:rPr>
          <w:spacing w:val="-2"/>
        </w:rPr>
        <w:t>并中取得的被购买方可辨认净资产公允价值份额的，首先对取得的被购买方各项可辨认资产、负债及或有负债的公允价值以</w:t>
      </w:r>
      <w:r>
        <w:rPr>
          <w:spacing w:val="-64"/>
        </w:rPr>
        <w:t> </w:t>
      </w:r>
      <w:r>
        <w:rPr>
          <w:spacing w:val="-64"/>
        </w:rPr>
      </w:r>
      <w:r>
        <w:rPr>
          <w:spacing w:val="-2"/>
        </w:rPr>
        <w:t>及合并成本的计量进行复核，复核后合并成本仍小于合并中取得的被购买方可辨认净资产公允价值份额的，其差额计入当期</w:t>
      </w:r>
      <w:r>
        <w:rPr>
          <w:spacing w:val="-64"/>
        </w:rPr>
        <w:t> </w:t>
      </w:r>
      <w:r>
        <w:rPr>
          <w:spacing w:val="-64"/>
        </w:rPr>
      </w:r>
      <w:r>
        <w:rPr/>
        <w:t>损益。</w:t>
      </w:r>
    </w:p>
    <w:p>
      <w:pPr>
        <w:pStyle w:val="BodyText"/>
        <w:spacing w:line="312" w:lineRule="auto" w:before="19"/>
        <w:ind w:left="153" w:right="1127" w:firstLine="360"/>
        <w:jc w:val="both"/>
      </w:pPr>
      <w:r>
        <w:rPr/>
        <w:t>购买方取得被购买方的可抵扣暂时性差异，在购买日因不符合递延所得税资产确认条件而未予确认的，在购买日后</w:t>
      </w:r>
      <w:r>
        <w:rPr>
          <w:rFonts w:ascii="Times New Roman" w:hAnsi="Times New Roman" w:cs="Times New Roman" w:eastAsia="Times New Roman" w:hint="default"/>
        </w:rPr>
        <w:t>12 </w:t>
      </w: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6"/>
        </w:rPr>
        <w:t> </w:t>
      </w:r>
      <w:r>
        <w:rPr>
          <w:spacing w:val="-66"/>
        </w:rPr>
      </w:r>
      <w:r>
        <w:rPr/>
        <w:t>以外，确认与企业合并相关的递延所得税资产的，计入当期损益。</w:t>
      </w:r>
    </w:p>
    <w:p>
      <w:pPr>
        <w:pStyle w:val="BodyText"/>
        <w:spacing w:line="300" w:lineRule="auto" w:before="22"/>
        <w:ind w:right="1040" w:firstLine="360"/>
        <w:jc w:val="left"/>
      </w:pPr>
      <w:r>
        <w:rPr>
          <w:spacing w:val="-5"/>
        </w:rPr>
        <w:t>通过多次交易分步实现的非同一控制下企业合并，根据《财政部关于印发企业会计准则解释第</w:t>
      </w:r>
      <w:r>
        <w:rPr>
          <w:rFonts w:ascii="Times New Roman" w:hAnsi="Times New Roman" w:cs="Times New Roman" w:eastAsia="Times New Roman" w:hint="default"/>
          <w:spacing w:val="-5"/>
        </w:rPr>
        <w:t>5</w:t>
      </w:r>
      <w:r>
        <w:rPr>
          <w:spacing w:val="-5"/>
        </w:rPr>
        <w:t>号的通知》（财会〔</w:t>
      </w:r>
      <w:r>
        <w:rPr>
          <w:rFonts w:ascii="Times New Roman" w:hAnsi="Times New Roman" w:cs="Times New Roman" w:eastAsia="Times New Roman" w:hint="default"/>
          <w:spacing w:val="-5"/>
        </w:rPr>
        <w:t>2012</w:t>
      </w:r>
      <w:r>
        <w:rPr>
          <w:spacing w:val="-5"/>
        </w:rPr>
        <w:t>〕</w:t>
      </w:r>
      <w:r>
        <w:rPr/>
        <w:t> </w:t>
      </w:r>
      <w:r>
        <w:rPr>
          <w:rFonts w:ascii="Times New Roman" w:hAnsi="Times New Roman" w:cs="Times New Roman" w:eastAsia="Times New Roman" w:hint="default"/>
        </w:rPr>
        <w:t>19</w:t>
      </w:r>
      <w:r>
        <w:rPr/>
        <w:t>号）和《企业会计准则第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合并财务报表》第五十一条关于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的判断标准（参见本附注五、</w:t>
      </w:r>
      <w:r>
        <w:rPr>
          <w:rFonts w:ascii="Times New Roman" w:hAnsi="Times New Roman" w:cs="Times New Roman" w:eastAsia="Times New Roman" w:hint="default"/>
        </w:rPr>
        <w:t>6</w:t>
      </w:r>
      <w:r>
        <w:rPr/>
        <w:t>），判断</w:t>
      </w:r>
      <w:r>
        <w:rPr>
          <w:spacing w:val="-70"/>
        </w:rPr>
        <w:t> </w:t>
      </w:r>
      <w:r>
        <w:rPr>
          <w:spacing w:val="-70"/>
        </w:rPr>
      </w:r>
      <w:r>
        <w:rPr/>
        <w:t>该多次交易是否属于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的，参考本部分前面各段描述及本附注四、</w:t>
      </w:r>
      <w:r>
        <w:rPr>
          <w:rFonts w:ascii="Times New Roman" w:hAnsi="Times New Roman" w:cs="Times New Roman" w:eastAsia="Times New Roman" w:hint="default"/>
        </w:rPr>
        <w:t>11“</w:t>
      </w:r>
      <w:r>
        <w:rPr/>
        <w:t>长期股权投资</w:t>
      </w:r>
      <w:r>
        <w:rPr>
          <w:rFonts w:ascii="Times New Roman" w:hAnsi="Times New Roman" w:cs="Times New Roman" w:eastAsia="Times New Roman" w:hint="default"/>
        </w:rPr>
        <w:t>”</w:t>
      </w:r>
      <w:r>
        <w:rPr/>
        <w:t>进行会 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的，区分个别财务报表和合并财务报表进行相关会计处理：</w:t>
      </w:r>
    </w:p>
    <w:p>
      <w:pPr>
        <w:pStyle w:val="BodyText"/>
        <w:spacing w:line="316" w:lineRule="auto" w:before="13"/>
        <w:ind w:right="1129" w:firstLine="360"/>
        <w:jc w:val="both"/>
      </w:pPr>
      <w:r>
        <w:rPr>
          <w:spacing w:val="-2"/>
        </w:rPr>
        <w:t>在个别财务报表中，以购买日之前所持被购买方的股权投资的账面价值与购买日新增投资成本之和，作为该项投资的初</w:t>
      </w:r>
      <w:r>
        <w:rPr/>
        <w:t> </w:t>
      </w:r>
      <w:r>
        <w:rPr>
          <w:spacing w:val="-2"/>
        </w:rPr>
        <w:t>始投资成本；购买日之前持有的被购买方的股权涉及其他综合收益的，在处置该项投资时将与其相关的其他综合收益采用与</w:t>
      </w:r>
      <w:r>
        <w:rPr>
          <w:spacing w:val="-64"/>
        </w:rPr>
        <w:t> </w:t>
      </w:r>
      <w:r>
        <w:rPr>
          <w:spacing w:val="-64"/>
        </w:rPr>
      </w:r>
      <w:r>
        <w:rPr>
          <w:spacing w:val="-2"/>
        </w:rPr>
        <w:t>被购买方直接处置相关资产或负债相同的基础进行会计处理（即，除了按照权益法核算的在被购买方重新计量设定受益计划</w:t>
      </w:r>
      <w:r>
        <w:rPr>
          <w:spacing w:val="-64"/>
        </w:rPr>
        <w:t> </w:t>
      </w:r>
      <w:r>
        <w:rPr>
          <w:spacing w:val="-64"/>
        </w:rPr>
      </w:r>
      <w:r>
        <w:rPr/>
        <w:t>净负债或净资产导致的变动中的相应份额以外，其余转入当期投资收益）。</w:t>
      </w:r>
    </w:p>
    <w:p>
      <w:pPr>
        <w:pStyle w:val="BodyText"/>
        <w:spacing w:line="316" w:lineRule="auto" w:before="19"/>
        <w:ind w:right="1129" w:firstLine="360"/>
        <w:jc w:val="both"/>
      </w:pPr>
      <w:r>
        <w:rPr>
          <w:spacing w:val="-2"/>
        </w:rPr>
        <w:t>在合并财务报表中，对于购买日之前持有的被购买方的股权，按照该股权在购买日的公允价值进行重新计量，公允价值</w:t>
      </w:r>
      <w:r>
        <w:rPr/>
        <w:t> </w:t>
      </w:r>
      <w:r>
        <w:rPr>
          <w:spacing w:val="-2"/>
        </w:rPr>
        <w:t>与其账面价值的差额计入当期投资收益；购买日之前持有的被购买方的股权涉及其他综合收益的，与其相关的其他综合收益</w:t>
      </w:r>
      <w:r>
        <w:rPr>
          <w:spacing w:val="-64"/>
        </w:rPr>
        <w:t> </w:t>
      </w:r>
      <w:r>
        <w:rPr>
          <w:spacing w:val="-64"/>
        </w:rPr>
      </w:r>
      <w:r>
        <w:rPr>
          <w:spacing w:val="-2"/>
        </w:rPr>
        <w:t>应当采用与被购买方直接处置相关资产或负债相同的基础进行会计处理（即，除了按照权益法核算的在被购买方重新计量设</w:t>
      </w:r>
      <w:r>
        <w:rPr>
          <w:spacing w:val="-64"/>
        </w:rPr>
        <w:t> </w:t>
      </w:r>
      <w:r>
        <w:rPr>
          <w:spacing w:val="-64"/>
        </w:rPr>
      </w:r>
      <w:r>
        <w:rPr/>
        <w:t>定受益计划净负债或净资产导致的变动中的相应份额以外，其余转为购买日所属当期投资收益）。</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633" w:right="0"/>
        <w:jc w:val="left"/>
      </w:pPr>
      <w:r>
        <w:rPr/>
        <w:t>（</w:t>
      </w:r>
      <w:r>
        <w:rPr>
          <w:rFonts w:ascii="Times New Roman" w:hAnsi="Times New Roman" w:cs="Times New Roman" w:eastAsia="Times New Roman" w:hint="default"/>
        </w:rPr>
        <w:t>1</w:t>
      </w:r>
      <w:r>
        <w:rPr/>
        <w:t>）合并财务报表范围的确定原则 </w:t>
      </w:r>
      <w:r>
        <w:rPr>
          <w:spacing w:val="-1"/>
        </w:rPr>
        <w:t>合并财务报表的合并范围以控制为基础予以确定。控制是指本公司拥有对被投资方的权力，通过参与被投资方的相关</w:t>
      </w:r>
    </w:p>
    <w:p>
      <w:pPr>
        <w:pStyle w:val="BodyText"/>
        <w:spacing w:line="316" w:lineRule="auto" w:before="31"/>
        <w:ind w:left="153" w:right="1131"/>
        <w:jc w:val="both"/>
      </w:pPr>
      <w:r>
        <w:rPr>
          <w:spacing w:val="-2"/>
        </w:rPr>
        <w:t>活动而享有可变回报，并且有能力运用对被投资方的权力影响该回报金额。合并范围包括本公司及全部子公司。子公司，是</w:t>
      </w:r>
      <w:r>
        <w:rPr>
          <w:spacing w:val="-66"/>
        </w:rPr>
        <w:t> </w:t>
      </w:r>
      <w:r>
        <w:rPr>
          <w:spacing w:val="-66"/>
        </w:rPr>
      </w:r>
      <w:r>
        <w:rPr/>
        <w:t>指被本公司控制的主体。</w:t>
      </w:r>
    </w:p>
    <w:p>
      <w:pPr>
        <w:pStyle w:val="BodyText"/>
        <w:spacing w:line="240" w:lineRule="auto" w:before="19"/>
        <w:ind w:left="634" w:right="0"/>
        <w:jc w:val="left"/>
      </w:pPr>
      <w:r>
        <w:rPr/>
        <w:t>一旦相关事实和情况的变化导致上述控制定义涉及的相关要素发生了变化，本公司将进行重新评估。</w:t>
      </w:r>
    </w:p>
    <w:p>
      <w:pPr>
        <w:pStyle w:val="BodyText"/>
        <w:spacing w:line="300" w:lineRule="auto" w:before="76"/>
        <w:ind w:left="634" w:right="0"/>
        <w:jc w:val="left"/>
      </w:pPr>
      <w:r>
        <w:rPr/>
        <w:t>（</w:t>
      </w:r>
      <w:r>
        <w:rPr>
          <w:rFonts w:ascii="Times New Roman" w:hAnsi="Times New Roman" w:cs="Times New Roman" w:eastAsia="Times New Roman" w:hint="default"/>
        </w:rPr>
        <w:t>2</w:t>
      </w:r>
      <w:r>
        <w:rPr/>
        <w:t>）合并财务报表编制的方法 </w:t>
      </w:r>
      <w:r>
        <w:rPr>
          <w:spacing w:val="-1"/>
        </w:rPr>
        <w:t>从取得子公司的净资产和生产经营决策的实际控制权之日起，本公司开始将其纳入合并范围；从丧失实际控制权之日</w:t>
      </w:r>
    </w:p>
    <w:p>
      <w:pPr>
        <w:pStyle w:val="BodyText"/>
        <w:spacing w:line="316" w:lineRule="auto" w:before="31"/>
        <w:ind w:left="153" w:right="1131"/>
        <w:jc w:val="both"/>
      </w:pPr>
      <w:r>
        <w:rPr>
          <w:spacing w:val="-2"/>
        </w:rPr>
        <w:t>起停止纳入合并范围。对于处置的子公司，处置日前的经营成果和现金流量已经适当地包括在合并利润表和合并现金流量表</w:t>
      </w:r>
      <w:r>
        <w:rPr>
          <w:spacing w:val="-64"/>
        </w:rPr>
        <w:t> </w:t>
      </w:r>
      <w:r>
        <w:rPr>
          <w:spacing w:val="-64"/>
        </w:rPr>
      </w:r>
      <w:r>
        <w:rPr>
          <w:spacing w:val="-2"/>
        </w:rPr>
        <w:t>中；当期处置的子公司，不调整合并资产负债表的期初数。非同一控制下企业合并增加的子公司，其购买日后的经营成果及</w:t>
      </w:r>
      <w:r>
        <w:rPr>
          <w:spacing w:val="-66"/>
        </w:rPr>
        <w:t> </w:t>
      </w:r>
      <w:r>
        <w:rPr>
          <w:spacing w:val="-66"/>
        </w:rPr>
      </w:r>
      <w:r>
        <w:rPr>
          <w:spacing w:val="-2"/>
        </w:rPr>
        <w:t>现金流量已经适当地包括在合并利润表和合并现金流量表中，且不调整合并财务报表的期初数和对比数。同一控制下企业合</w:t>
      </w:r>
      <w:r>
        <w:rPr>
          <w:spacing w:val="-64"/>
        </w:rPr>
        <w:t> </w:t>
      </w:r>
      <w:r>
        <w:rPr>
          <w:spacing w:val="-64"/>
        </w:rPr>
      </w:r>
      <w:r>
        <w:rPr>
          <w:spacing w:val="-2"/>
        </w:rPr>
        <w:t>并增加的子公司及吸收合并下的被合并方，其自合并当期期初至合并日的经营成果和现金流量已经适当地包括在合并利润表</w:t>
      </w:r>
      <w:r>
        <w:rPr>
          <w:spacing w:val="-64"/>
        </w:rPr>
        <w:t> </w:t>
      </w:r>
      <w:r>
        <w:rPr>
          <w:spacing w:val="-64"/>
        </w:rPr>
      </w:r>
      <w:r>
        <w:rPr/>
        <w:t>和合并现金流量表中，并且同时调整合并财务报表的对比数。</w:t>
      </w:r>
    </w:p>
    <w:p>
      <w:pPr>
        <w:pStyle w:val="BodyText"/>
        <w:spacing w:line="316" w:lineRule="auto" w:before="19"/>
        <w:ind w:left="153" w:right="0" w:firstLine="480"/>
        <w:jc w:val="left"/>
      </w:pPr>
      <w:r>
        <w:rPr>
          <w:spacing w:val="-1"/>
        </w:rPr>
        <w:t>在编制合并财务报表时，子公司与本公司采用的会计政策或会计期间不一致的，按照本公司的会计政策和会计期间对</w:t>
      </w:r>
      <w:r>
        <w:rPr/>
        <w:t> </w:t>
      </w:r>
      <w:r>
        <w:rPr>
          <w:spacing w:val="-2"/>
        </w:rPr>
        <w:t>子公司财务报表进行必要的调整。对于非同一控制下企业合并取得的子公司，以购买日可辨认净资产公允价值为基础对其财</w:t>
      </w:r>
    </w:p>
    <w:p>
      <w:pPr>
        <w:spacing w:after="0" w:line="316" w:lineRule="auto"/>
        <w:jc w:val="left"/>
        <w:sectPr>
          <w:pgSz w:w="11910" w:h="16840"/>
          <w:pgMar w:header="877" w:footer="982" w:top="1100" w:bottom="1180" w:left="980" w:right="0"/>
        </w:sectPr>
      </w:pPr>
    </w:p>
    <w:p>
      <w:pPr>
        <w:spacing w:line="240" w:lineRule="auto" w:before="12"/>
        <w:rPr>
          <w:rFonts w:ascii="宋体" w:hAnsi="宋体" w:cs="宋体" w:eastAsia="宋体" w:hint="default"/>
          <w:sz w:val="21"/>
          <w:szCs w:val="21"/>
        </w:rPr>
      </w:pPr>
    </w:p>
    <w:p>
      <w:pPr>
        <w:pStyle w:val="BodyText"/>
        <w:spacing w:line="240" w:lineRule="auto" w:before="44"/>
        <w:ind w:left="153" w:right="0"/>
        <w:jc w:val="both"/>
      </w:pPr>
      <w:r>
        <w:rPr/>
        <w:t>务报表进行调整。</w:t>
      </w:r>
    </w:p>
    <w:p>
      <w:pPr>
        <w:pStyle w:val="BodyText"/>
        <w:spacing w:line="316" w:lineRule="auto" w:before="76"/>
        <w:ind w:left="633" w:right="0"/>
        <w:jc w:val="left"/>
      </w:pPr>
      <w:r>
        <w:rPr/>
        <w:t>公司内所有重大往来余额、交易及未实现利润在合并财务报表编制时予以抵销。 </w:t>
      </w:r>
      <w:r>
        <w:rPr>
          <w:spacing w:val="2"/>
        </w:rPr>
        <w:t>子公司的股东权益及当期净损益中不属于本公司所拥有的部分分别作为少数股东权益及少数股东损益在合并财务报</w:t>
      </w:r>
      <w:r>
        <w:rPr/>
      </w:r>
    </w:p>
    <w:p>
      <w:pPr>
        <w:pStyle w:val="BodyText"/>
        <w:spacing w:line="300" w:lineRule="auto" w:before="19"/>
        <w:ind w:left="153" w:right="1129"/>
        <w:jc w:val="both"/>
      </w:pPr>
      <w:r>
        <w:rPr/>
        <w:t>表中股东权益及净利润项下单独列示。子公司当期净损益中属于少数股东权益的份额，在合并利润表中净利润项目下以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w:t>
      </w:r>
      <w:r>
        <w:rPr>
          <w:spacing w:val="-76"/>
        </w:rPr>
        <w:t> </w:t>
      </w:r>
      <w:r>
        <w:rPr/>
        <w:t>数股东损益</w:t>
      </w:r>
      <w:r>
        <w:rPr>
          <w:rFonts w:ascii="Times New Roman" w:hAnsi="Times New Roman" w:cs="Times New Roman" w:eastAsia="Times New Roman" w:hint="default"/>
        </w:rPr>
        <w:t>”</w:t>
      </w:r>
      <w:r>
        <w:rPr/>
        <w:t>项目列示。少数股东分担的子公司的亏损超过了少数股东在该子公司期初股东权益中所享有的份额，仍冲减少</w:t>
      </w:r>
      <w:r>
        <w:rPr>
          <w:spacing w:val="-77"/>
        </w:rPr>
        <w:t> </w:t>
      </w:r>
      <w:r>
        <w:rPr>
          <w:spacing w:val="-77"/>
        </w:rPr>
      </w:r>
      <w:r>
        <w:rPr/>
        <w:t>数股东权益。</w:t>
      </w:r>
    </w:p>
    <w:p>
      <w:pPr>
        <w:pStyle w:val="BodyText"/>
        <w:spacing w:line="312" w:lineRule="auto" w:before="31"/>
        <w:ind w:left="153" w:right="1130" w:firstLine="480"/>
        <w:jc w:val="both"/>
      </w:pPr>
      <w:r>
        <w:rPr>
          <w:spacing w:val="-1"/>
        </w:rPr>
        <w:t>当因处置部分股权投资或其他原因丧失了对原有子公司的控制权时，对于剩余股权，按照其在丧失控制权日的公允价</w:t>
      </w:r>
      <w:r>
        <w:rPr/>
        <w:t> </w:t>
      </w:r>
      <w:r>
        <w:rPr>
          <w:spacing w:val="-2"/>
        </w:rPr>
        <w:t>值进行重新计量。处置股权取得的对价与剩余股权公允价值之和，减去按原持股比例计算应享有原有子公司自购买日开始持</w:t>
      </w:r>
      <w:r>
        <w:rPr>
          <w:spacing w:val="-64"/>
        </w:rPr>
        <w:t> </w:t>
      </w:r>
      <w:r>
        <w:rPr>
          <w:spacing w:val="-64"/>
        </w:rPr>
      </w:r>
      <w:r>
        <w:rPr>
          <w:spacing w:val="-2"/>
        </w:rPr>
        <w:t>续计算的净资产的份额之间的差额，计入丧失控制权当期的投资收益。与原有子公司股权投资相关的其他综合收益，在丧失</w:t>
      </w:r>
      <w:r>
        <w:rPr>
          <w:spacing w:val="-66"/>
        </w:rPr>
        <w:t> </w:t>
      </w:r>
      <w:r>
        <w:rPr>
          <w:spacing w:val="-66"/>
        </w:rPr>
      </w:r>
      <w:r>
        <w:rPr>
          <w:spacing w:val="-2"/>
        </w:rPr>
        <w:t>控制权时采用与被购买方直接处置相关资产或负债相同的基础进行会计处理（即，除了在该原有子公司重新计量设定受益计</w:t>
      </w:r>
      <w:r>
        <w:rPr>
          <w:spacing w:val="-64"/>
        </w:rPr>
        <w:t> </w:t>
      </w:r>
      <w:r>
        <w:rPr>
          <w:spacing w:val="-64"/>
        </w:rPr>
      </w:r>
      <w:r>
        <w:rPr>
          <w:spacing w:val="-4"/>
        </w:rPr>
        <w:t>划净负债或净资产导致的变动以外，其余一并转为当期投资收益）。其后，对该部分剩余股权按照《企业会计准则第</w:t>
      </w:r>
      <w:r>
        <w:rPr>
          <w:rFonts w:ascii="Times New Roman" w:hAnsi="Times New Roman" w:cs="Times New Roman" w:eastAsia="Times New Roman" w:hint="default"/>
          <w:spacing w:val="-4"/>
        </w:rPr>
        <w:t>2</w:t>
      </w:r>
      <w:r>
        <w:rPr>
          <w:spacing w:val="-4"/>
        </w:rPr>
        <w:t>号</w:t>
      </w:r>
      <w:r>
        <w:rPr>
          <w:rFonts w:ascii="Times New Roman" w:hAnsi="Times New Roman" w:cs="Times New Roman" w:eastAsia="Times New Roman" w:hint="default"/>
          <w:spacing w:val="-4"/>
        </w:rPr>
        <w:t>——</w:t>
      </w:r>
      <w:r>
        <w:rPr>
          <w:rFonts w:ascii="Times New Roman" w:hAnsi="Times New Roman" w:cs="Times New Roman" w:eastAsia="Times New Roman" w:hint="default"/>
        </w:rPr>
        <w:t> </w:t>
      </w:r>
      <w:r>
        <w:rPr/>
        <w:t>长期股权投资》或《企业会计准则第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金融工具确认和计量》等相关规定进行后续计量，详见本附注五、</w:t>
      </w:r>
      <w:r>
        <w:rPr>
          <w:rFonts w:ascii="Times New Roman" w:hAnsi="Times New Roman" w:cs="Times New Roman" w:eastAsia="Times New Roman" w:hint="default"/>
        </w:rPr>
        <w:t>14“</w:t>
      </w:r>
      <w:r>
        <w:rPr/>
        <w:t>长期股 权投资</w:t>
      </w:r>
      <w:r>
        <w:rPr>
          <w:rFonts w:ascii="Times New Roman" w:hAnsi="Times New Roman" w:cs="Times New Roman" w:eastAsia="Times New Roman" w:hint="default"/>
        </w:rPr>
        <w:t>”</w:t>
      </w:r>
      <w:r>
        <w:rPr/>
        <w:t>或本附注五、</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w:t>
      </w:r>
      <w:r>
        <w:rPr/>
        <w:t>。</w:t>
      </w:r>
    </w:p>
    <w:p>
      <w:pPr>
        <w:pStyle w:val="BodyText"/>
        <w:spacing w:line="312" w:lineRule="auto" w:before="3"/>
        <w:ind w:left="153" w:right="1031" w:firstLine="290"/>
        <w:jc w:val="left"/>
      </w:pPr>
      <w:r>
        <w:rPr/>
        <w:t>本公司通过多次交易分步处置对子公司股权投资直至丧失控制权的，需区分处置对子公司股权投资直至丧失控制权的各 </w:t>
      </w:r>
      <w:r>
        <w:rPr>
          <w:spacing w:val="-2"/>
        </w:rPr>
        <w:t>项交易是否属于一揽子交易。处置对子公司股权投资的各项交易的条款、条件以及经济影响符合以下一种或多种情况，通常</w:t>
      </w:r>
      <w:r>
        <w:rPr>
          <w:spacing w:val="-66"/>
        </w:rPr>
        <w:t> </w:t>
      </w:r>
      <w:r>
        <w:rPr>
          <w:spacing w:val="-66"/>
        </w:rPr>
      </w:r>
      <w:r>
        <w:rPr>
          <w:spacing w:val="-2"/>
        </w:rPr>
        <w:t>表明应将多次交易事项作为一揽子交易进行会计处理：①这些交易是同时或者在考虑了彼此影响的情况下订立的；②这些交</w:t>
      </w:r>
      <w:r>
        <w:rPr>
          <w:spacing w:val="-64"/>
        </w:rPr>
        <w:t> </w:t>
      </w:r>
      <w:r>
        <w:rPr>
          <w:spacing w:val="-64"/>
        </w:rPr>
      </w:r>
      <w:r>
        <w:rPr/>
        <w:t>易整体才能达成一项完整的商业结果；③一项交易的发生取决于其他至少一项交易的发生；④一项交易单独看是不经济的， 但是和其他交易一并考虑时是经济的。不属于一揽子交易的，对其中的每一项交易视情况分别按照</w:t>
      </w:r>
      <w:r>
        <w:rPr>
          <w:rFonts w:ascii="Times New Roman" w:hAnsi="Times New Roman" w:cs="Times New Roman" w:eastAsia="Times New Roman" w:hint="default"/>
        </w:rPr>
        <w:t>“</w:t>
      </w:r>
      <w:r>
        <w:rPr/>
        <w:t>不丧失控制权的情况下</w:t>
      </w:r>
      <w:r>
        <w:rPr>
          <w:spacing w:val="-78"/>
        </w:rPr>
        <w:t> </w:t>
      </w:r>
      <w:r>
        <w:rPr>
          <w:spacing w:val="-78"/>
        </w:rPr>
      </w:r>
      <w:r>
        <w:rPr/>
        <w:t>部分处置对子公司的长期股权投资</w:t>
      </w:r>
      <w:r>
        <w:rPr>
          <w:rFonts w:ascii="Times New Roman" w:hAnsi="Times New Roman" w:cs="Times New Roman" w:eastAsia="Times New Roman" w:hint="default"/>
        </w:rPr>
        <w:t>”</w:t>
      </w:r>
      <w:r>
        <w:rPr/>
        <w:t>（详见本附注五、</w:t>
      </w:r>
      <w:r>
        <w:rPr>
          <w:rFonts w:ascii="Times New Roman" w:hAnsi="Times New Roman" w:cs="Times New Roman" w:eastAsia="Times New Roman" w:hint="default"/>
        </w:rPr>
        <w:t>14</w:t>
      </w:r>
      <w:r>
        <w:rPr/>
        <w:t>、（</w:t>
      </w:r>
      <w:r>
        <w:rPr>
          <w:rFonts w:ascii="Times New Roman" w:hAnsi="Times New Roman" w:cs="Times New Roman" w:eastAsia="Times New Roman" w:hint="default"/>
        </w:rPr>
        <w:t>2</w:t>
      </w:r>
      <w:r>
        <w:rPr/>
        <w:t>）④）和</w:t>
      </w:r>
      <w:r>
        <w:rPr>
          <w:rFonts w:ascii="Times New Roman" w:hAnsi="Times New Roman" w:cs="Times New Roman" w:eastAsia="Times New Roman" w:hint="default"/>
        </w:rPr>
        <w:t>“</w:t>
      </w:r>
      <w:r>
        <w:rPr/>
        <w:t>因处置部分股权投资或其他原因丧失了对原有子公</w:t>
      </w:r>
      <w:r>
        <w:rPr>
          <w:spacing w:val="-70"/>
        </w:rPr>
        <w:t> </w:t>
      </w:r>
      <w:r>
        <w:rPr>
          <w:spacing w:val="-70"/>
        </w:rPr>
      </w:r>
      <w:r>
        <w:rPr>
          <w:spacing w:val="-2"/>
        </w:rPr>
        <w:t>司的控制权</w:t>
      </w:r>
      <w:r>
        <w:rPr>
          <w:rFonts w:ascii="Times New Roman" w:hAnsi="Times New Roman" w:cs="Times New Roman" w:eastAsia="Times New Roman" w:hint="default"/>
          <w:spacing w:val="-2"/>
        </w:rPr>
        <w:t>”</w:t>
      </w:r>
      <w:r>
        <w:rPr>
          <w:spacing w:val="-2"/>
        </w:rPr>
        <w:t>（详见前段）适用的原则进行会计处理。处置对子公司股权投资直至丧失控制权的各项交易属于一揽子交易的，</w:t>
      </w:r>
      <w:r>
        <w:rPr>
          <w:spacing w:val="-52"/>
        </w:rPr>
        <w:t> </w:t>
      </w:r>
      <w:r>
        <w:rPr>
          <w:spacing w:val="-52"/>
        </w:rPr>
      </w:r>
      <w:r>
        <w:rPr>
          <w:spacing w:val="-2"/>
        </w:rPr>
        <w:t>将各项交易作为一项处置子公司并丧失控制权的交易进行会计处理；但是，在丧失控制权之前每一次处置价款与处置投资对</w:t>
      </w:r>
      <w:r>
        <w:rPr>
          <w:spacing w:val="-64"/>
        </w:rPr>
        <w:t> </w:t>
      </w:r>
      <w:r>
        <w:rPr>
          <w:spacing w:val="-64"/>
        </w:rPr>
      </w:r>
      <w:r>
        <w:rPr>
          <w:spacing w:val="-2"/>
        </w:rPr>
        <w:t>应的享有该子公司净资产份额的差额，在合并财务报表中确认为其他综合收益，在丧失控制权时一并转入丧失控制权当期的</w:t>
      </w:r>
      <w:r>
        <w:rPr>
          <w:spacing w:val="-64"/>
        </w:rPr>
        <w:t> </w:t>
      </w:r>
      <w:r>
        <w:rPr>
          <w:spacing w:val="-64"/>
        </w:rPr>
      </w:r>
      <w:r>
        <w:rPr/>
        <w:t>损益。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0" w:firstLine="360"/>
        <w:jc w:val="left"/>
      </w:pPr>
      <w:r>
        <w:rPr/>
        <w:t>合营安排，是指一项由两个或两个以上的参与方共同控制的安排。本公司根据在合营安排中享有的权利和承担的义务， </w:t>
      </w:r>
      <w:r>
        <w:rPr>
          <w:spacing w:val="-2"/>
        </w:rPr>
        <w:t>将合营安排分为共同经营和合营企业。共同经营，是指本公司享有该安排相关资产且承担该安排相关负债的合营安排。合营</w:t>
      </w:r>
      <w:r>
        <w:rPr>
          <w:spacing w:val="-66"/>
        </w:rPr>
        <w:t> </w:t>
      </w:r>
      <w:r>
        <w:rPr>
          <w:spacing w:val="-66"/>
        </w:rPr>
      </w:r>
      <w:r>
        <w:rPr/>
        <w:t>企业，是指本公司仅对该安排的净资产享有权利的合营安排。</w:t>
      </w:r>
    </w:p>
    <w:p>
      <w:pPr>
        <w:pStyle w:val="BodyText"/>
        <w:spacing w:line="300" w:lineRule="auto" w:before="19"/>
        <w:ind w:left="514" w:right="0"/>
        <w:jc w:val="left"/>
      </w:pPr>
      <w:r>
        <w:rPr/>
        <w:t>本公司对合营企业的投资采用权益法核算，按照本附注五、</w:t>
      </w:r>
      <w:r>
        <w:rPr>
          <w:rFonts w:ascii="Times New Roman" w:hAnsi="Times New Roman" w:cs="Times New Roman" w:eastAsia="Times New Roman" w:hint="default"/>
        </w:rPr>
        <w:t>14“</w:t>
      </w:r>
      <w:r>
        <w:rPr/>
        <w:t>权益法核算的长期股权投资</w:t>
      </w:r>
      <w:r>
        <w:rPr>
          <w:rFonts w:ascii="Times New Roman" w:hAnsi="Times New Roman" w:cs="Times New Roman" w:eastAsia="Times New Roman" w:hint="default"/>
        </w:rPr>
        <w:t>”</w:t>
      </w:r>
      <w:r>
        <w:rPr/>
        <w:t>中所述的会计政策处理。 </w:t>
      </w:r>
      <w:r>
        <w:rPr>
          <w:spacing w:val="-2"/>
        </w:rPr>
        <w:t>本公司作为合营方对共同经营，确认本公司单独持有的资产、单独所承担的负债，以及按本公司份额确认共同持有的资</w:t>
      </w:r>
    </w:p>
    <w:p>
      <w:pPr>
        <w:pStyle w:val="BodyText"/>
        <w:spacing w:line="316" w:lineRule="auto" w:before="31"/>
        <w:ind w:right="1131"/>
        <w:jc w:val="both"/>
      </w:pPr>
      <w:r>
        <w:rPr>
          <w:spacing w:val="-2"/>
        </w:rPr>
        <w:t>产和共同承担的负债；确认出售本公司享有的共同经营产出份额所产生的收入；按本公司份额确认共同经营因出售产出所产</w:t>
      </w:r>
      <w:r>
        <w:rPr>
          <w:spacing w:val="-64"/>
        </w:rPr>
        <w:t> </w:t>
      </w:r>
      <w:r>
        <w:rPr>
          <w:spacing w:val="-64"/>
        </w:rPr>
      </w:r>
      <w:r>
        <w:rPr/>
        <w:t>生的收入；确认本公司单独所发生的费用，以及按本公司份额确认共同经营发生的费用。</w:t>
      </w:r>
    </w:p>
    <w:p>
      <w:pPr>
        <w:pStyle w:val="BodyText"/>
        <w:spacing w:line="312" w:lineRule="auto" w:before="19"/>
        <w:ind w:right="1128" w:firstLine="290"/>
        <w:jc w:val="both"/>
      </w:pPr>
      <w:r>
        <w:rPr>
          <w:spacing w:val="-1"/>
        </w:rPr>
        <w:t>当本公司作为合营方向共同经营投出或出售资产（该资产不构成业务，下同）、或者自共同经营购买资产时，在该等资</w:t>
      </w:r>
      <w:r>
        <w:rPr/>
        <w:t> </w:t>
      </w:r>
      <w:r>
        <w:rPr>
          <w:spacing w:val="-2"/>
        </w:rPr>
        <w:t>产出售给第三方之前，本公司仅确认因该交易产生的损益中归属于共同经营其他参与方的部分。该等资产发生符合《企业会</w:t>
      </w:r>
      <w:r>
        <w:rPr>
          <w:spacing w:val="-66"/>
        </w:rPr>
        <w:t> </w:t>
      </w:r>
      <w:r>
        <w:rPr>
          <w:spacing w:val="-66"/>
        </w:rPr>
      </w:r>
      <w:r>
        <w:rPr/>
        <w:t>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资产减值》等规定的资产减值损失的，对于由本公司向共同经营投出或出售资产的情况，本公司全额确认</w:t>
      </w:r>
      <w:r>
        <w:rPr>
          <w:spacing w:val="-83"/>
        </w:rPr>
        <w:t> </w:t>
      </w:r>
      <w:r>
        <w:rPr>
          <w:spacing w:val="-83"/>
        </w:rPr>
      </w:r>
      <w:r>
        <w:rPr/>
        <w:t>该损失；对于本公司自共同经营购买资产的情况，本公司按承担的份额确认该损失。</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17" w:firstLine="325"/>
        <w:jc w:val="left"/>
      </w:pPr>
      <w:r>
        <w:rPr>
          <w:spacing w:val="-1"/>
        </w:rPr>
        <w:t>本公司现金及现金等价物包括库存现金、可以随时用于支付的存款以及本公司持有的期限短（一般为从购买日起三个月</w:t>
      </w:r>
      <w:r>
        <w:rPr/>
        <w:t> 内到期）、流动性强、易于转换为已知金额现金、价值变动风险很小的投资。</w:t>
      </w:r>
    </w:p>
    <w:p>
      <w:pPr>
        <w:spacing w:after="0" w:line="316" w:lineRule="auto"/>
        <w:jc w:val="left"/>
        <w:sectPr>
          <w:pgSz w:w="11910" w:h="16840"/>
          <w:pgMar w:header="877" w:footer="982" w:top="1100" w:bottom="11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131" w:firstLine="480"/>
        <w:jc w:val="both"/>
      </w:pPr>
      <w:r>
        <w:rPr>
          <w:spacing w:val="-1"/>
        </w:rPr>
        <w:t>在本公司成为金融工具合同的一方时确认一项金融资产或金融负债。金融资产和金融负债在初始确认时以公允价值计</w:t>
      </w:r>
      <w:r>
        <w:rPr/>
        <w:t> </w:t>
      </w:r>
      <w:r>
        <w:rPr>
          <w:spacing w:val="-2"/>
        </w:rPr>
        <w:t>量。对于以公允价值计量且其变动计入当期损益的金融资产和金融负债，相关的交易费用直接计入损益；对于其他类别的金</w:t>
      </w:r>
      <w:r>
        <w:rPr>
          <w:spacing w:val="-66"/>
        </w:rPr>
        <w:t> </w:t>
      </w:r>
      <w:r>
        <w:rPr>
          <w:spacing w:val="-66"/>
        </w:rPr>
      </w:r>
      <w:r>
        <w:rPr/>
        <w:t>融资产和金融负债，相关交易费用计入初始确认金额。</w:t>
      </w:r>
    </w:p>
    <w:p>
      <w:pPr>
        <w:pStyle w:val="BodyText"/>
        <w:spacing w:line="300" w:lineRule="auto" w:before="19"/>
        <w:ind w:left="633" w:right="1091"/>
        <w:jc w:val="left"/>
      </w:pPr>
      <w:r>
        <w:rPr/>
        <w:t>（</w:t>
      </w:r>
      <w:r>
        <w:rPr>
          <w:rFonts w:ascii="Times New Roman" w:hAnsi="Times New Roman" w:cs="Times New Roman" w:eastAsia="Times New Roman" w:hint="default"/>
        </w:rPr>
        <w:t>1</w:t>
      </w:r>
      <w:r>
        <w:rPr/>
        <w:t>）金融资产和金融负债的公允价值确定方法 公允价值，是指市场参与者在计量日发生的有序交易中，出售一项资产所能收到或者转移一项负债所需支付的价格。</w:t>
      </w:r>
    </w:p>
    <w:p>
      <w:pPr>
        <w:pStyle w:val="BodyText"/>
        <w:spacing w:line="316" w:lineRule="auto" w:before="31"/>
        <w:ind w:left="153" w:right="0"/>
        <w:jc w:val="left"/>
      </w:pPr>
      <w:r>
        <w:rPr>
          <w:spacing w:val="-2"/>
        </w:rPr>
        <w:t>金融工具存在活跃市场的，本公司采用活跃市场中的报价确定其公允价值。活跃市场中的报价是指易于定期从交易所、经纪</w:t>
      </w:r>
      <w:r>
        <w:rPr>
          <w:spacing w:val="-66"/>
        </w:rPr>
        <w:t> </w:t>
      </w:r>
      <w:r>
        <w:rPr>
          <w:spacing w:val="-66"/>
        </w:rPr>
      </w:r>
      <w:r>
        <w:rPr>
          <w:spacing w:val="-2"/>
        </w:rPr>
        <w:t>商、行业协会、定价服务机构等获得的价格，且代表了在公平交易中实际发生的市场交易的价格。金融工具不存在活跃市场</w:t>
      </w:r>
      <w:r>
        <w:rPr>
          <w:spacing w:val="-66"/>
        </w:rPr>
        <w:t> </w:t>
      </w:r>
      <w:r>
        <w:rPr>
          <w:spacing w:val="-66"/>
        </w:rPr>
      </w:r>
      <w:r>
        <w:rPr>
          <w:spacing w:val="-4"/>
        </w:rPr>
        <w:t>的，本公司采用估值技术确定其公允价值。估值技术包括参考熟悉情况并自愿交易的各方最近进行的市场交易中使用的价格、</w:t>
      </w:r>
      <w:r>
        <w:rPr>
          <w:spacing w:val="-44"/>
        </w:rPr>
        <w:t> </w:t>
      </w:r>
      <w:r>
        <w:rPr>
          <w:spacing w:val="-44"/>
        </w:rPr>
      </w:r>
      <w:r>
        <w:rPr/>
        <w:t>参照实质上相同的其他金融工具当前的公允价值、现金流量折现法和期权定价模型等。</w:t>
      </w:r>
    </w:p>
    <w:p>
      <w:pPr>
        <w:pStyle w:val="BodyText"/>
        <w:spacing w:line="300" w:lineRule="auto" w:before="19"/>
        <w:ind w:left="633" w:right="0"/>
        <w:jc w:val="left"/>
      </w:pPr>
      <w:r>
        <w:rPr/>
        <w:t>（</w:t>
      </w:r>
      <w:r>
        <w:rPr>
          <w:rFonts w:ascii="Times New Roman" w:hAnsi="Times New Roman" w:cs="Times New Roman" w:eastAsia="Times New Roman" w:hint="default"/>
        </w:rPr>
        <w:t>2</w:t>
      </w:r>
      <w:r>
        <w:rPr/>
        <w:t>）金融资产的分类、确认和计量 </w:t>
      </w:r>
      <w:r>
        <w:rPr>
          <w:spacing w:val="-1"/>
        </w:rPr>
        <w:t>以常规方式买卖金融资产，按交易日进行会计确认和终止确认。金融资产在初始确认时划分为以公允价值计量且其变</w:t>
      </w:r>
    </w:p>
    <w:p>
      <w:pPr>
        <w:pStyle w:val="BodyText"/>
        <w:spacing w:line="240" w:lineRule="auto" w:before="31"/>
        <w:ind w:left="153" w:right="0"/>
        <w:jc w:val="left"/>
      </w:pPr>
      <w:r>
        <w:rPr/>
        <w:t>动计入当期损益的金融资产、持有至到期投资、贷款和应收款项以及可供出售金融资产。</w:t>
      </w:r>
    </w:p>
    <w:p>
      <w:pPr>
        <w:pStyle w:val="BodyText"/>
        <w:spacing w:line="316" w:lineRule="auto" w:before="76"/>
        <w:ind w:left="633" w:right="1111"/>
        <w:jc w:val="left"/>
      </w:pPr>
      <w:r>
        <w:rPr/>
        <w:t>①以公允价值计量且其变动计入当期损益的金融资产 包括交易性金融资产和指定为以公允价值计量且其变动计入当期损益的金融资产。 交易性金融资产是指满足下列条件之一的金融资产：</w:t>
      </w:r>
      <w:r>
        <w:rPr>
          <w:rFonts w:ascii="Times New Roman" w:hAnsi="Times New Roman" w:cs="Times New Roman" w:eastAsia="Times New Roman" w:hint="default"/>
        </w:rPr>
        <w:t>A.</w:t>
      </w:r>
      <w:r>
        <w:rPr/>
        <w:t>取得该金融资产的目的，主要是为了近期内出售；</w:t>
      </w:r>
      <w:r>
        <w:rPr>
          <w:rFonts w:ascii="Times New Roman" w:hAnsi="Times New Roman" w:cs="Times New Roman" w:eastAsia="Times New Roman" w:hint="default"/>
        </w:rPr>
        <w:t>B.</w:t>
      </w:r>
      <w:r>
        <w:rPr/>
        <w:t>属于进行</w:t>
      </w:r>
    </w:p>
    <w:p>
      <w:pPr>
        <w:pStyle w:val="BodyText"/>
        <w:spacing w:line="309" w:lineRule="auto"/>
        <w:ind w:left="153" w:right="1131"/>
        <w:jc w:val="both"/>
      </w:pPr>
      <w:r>
        <w:rPr>
          <w:spacing w:val="-2"/>
        </w:rPr>
        <w:t>集中管理的可辨认金融工具组合的一部分，且有客观证据表明本公司近期采用短期获利方式对该组合进行管理；</w:t>
      </w:r>
      <w:r>
        <w:rPr>
          <w:rFonts w:ascii="Times New Roman" w:hAnsi="Times New Roman" w:cs="Times New Roman" w:eastAsia="Times New Roman" w:hint="default"/>
          <w:spacing w:val="-2"/>
        </w:rPr>
        <w:t>C.</w:t>
      </w:r>
      <w:r>
        <w:rPr>
          <w:spacing w:val="-2"/>
        </w:rPr>
        <w:t>属于衍生</w:t>
      </w:r>
      <w:r>
        <w:rPr>
          <w:spacing w:val="-49"/>
        </w:rPr>
        <w:t> </w:t>
      </w:r>
      <w:r>
        <w:rPr>
          <w:spacing w:val="-2"/>
        </w:rPr>
        <w:t>工具，但是，被指定且为有效套期工具的衍生工具、属于财务担保合同的衍生工具、与在活跃市场中没有报价且其公允价值</w:t>
      </w:r>
      <w:r>
        <w:rPr>
          <w:spacing w:val="-66"/>
        </w:rPr>
        <w:t> </w:t>
      </w:r>
      <w:r>
        <w:rPr>
          <w:spacing w:val="-66"/>
        </w:rPr>
      </w:r>
      <w:r>
        <w:rPr/>
        <w:t>不能可靠计量的权益工具投资挂钩并须通过交付该权益工具结算的衍生工具除外。</w:t>
      </w:r>
    </w:p>
    <w:p>
      <w:pPr>
        <w:pStyle w:val="BodyText"/>
        <w:spacing w:line="307" w:lineRule="auto" w:before="24"/>
        <w:ind w:left="153" w:right="1131" w:firstLine="480"/>
        <w:jc w:val="both"/>
      </w:pPr>
      <w:r>
        <w:rPr>
          <w:spacing w:val="-1"/>
        </w:rPr>
        <w:t>符合下述条件之一的金融资产，在初始确认时可指定为以公允价值计量且其变动计入当期损益的金融资产：</w:t>
      </w:r>
      <w:r>
        <w:rPr>
          <w:rFonts w:ascii="Times New Roman" w:hAnsi="Times New Roman" w:cs="Times New Roman" w:eastAsia="Times New Roman" w:hint="default"/>
          <w:spacing w:val="-1"/>
        </w:rPr>
        <w:t>A.</w:t>
      </w:r>
      <w:r>
        <w:rPr>
          <w:spacing w:val="-1"/>
        </w:rPr>
        <w:t>该指定</w:t>
      </w:r>
      <w:r>
        <w:rPr/>
        <w:t> </w:t>
      </w:r>
      <w:r>
        <w:rPr>
          <w:spacing w:val="-2"/>
        </w:rPr>
        <w:t>可以消除或明显减少由于该金融资产的计量基础不同所导致的相关利得或损失在确认或计量方面不一致的情况；</w:t>
      </w:r>
      <w:r>
        <w:rPr>
          <w:rFonts w:ascii="Times New Roman" w:hAnsi="Times New Roman" w:cs="Times New Roman" w:eastAsia="Times New Roman" w:hint="default"/>
          <w:spacing w:val="-2"/>
        </w:rPr>
        <w:t>B.</w:t>
      </w:r>
      <w:r>
        <w:rPr>
          <w:spacing w:val="-2"/>
        </w:rPr>
        <w:t>本公司风</w:t>
      </w:r>
      <w:r>
        <w:rPr>
          <w:spacing w:val="-49"/>
        </w:rPr>
        <w:t> </w:t>
      </w:r>
      <w:r>
        <w:rPr>
          <w:spacing w:val="-2"/>
        </w:rPr>
        <w:t>险管理或投资策略的正式书面文件已载明，对该金融资产所在的金融资产组合或金融资产和金融负债组合以公允价值为基础</w:t>
      </w:r>
      <w:r>
        <w:rPr>
          <w:spacing w:val="-64"/>
        </w:rPr>
        <w:t> </w:t>
      </w:r>
      <w:r>
        <w:rPr>
          <w:spacing w:val="-64"/>
        </w:rPr>
      </w:r>
      <w:r>
        <w:rPr/>
        <w:t>进行管理、评价并向关键管理人员报告。</w:t>
      </w:r>
    </w:p>
    <w:p>
      <w:pPr>
        <w:pStyle w:val="BodyText"/>
        <w:spacing w:line="316" w:lineRule="auto" w:before="26"/>
        <w:ind w:left="153" w:right="1131" w:firstLine="480"/>
        <w:jc w:val="both"/>
      </w:pPr>
      <w:r>
        <w:rPr>
          <w:spacing w:val="-1"/>
        </w:rPr>
        <w:t>以公允价值计量且其变动计入当期损益的金融资产采用公允价值进行后续计量，公允价值变动形成的利得或损失以及</w:t>
      </w:r>
      <w:r>
        <w:rPr/>
        <w:t> 与该等金融资产相关的股利和利息收入计入当期损益。</w:t>
      </w:r>
    </w:p>
    <w:p>
      <w:pPr>
        <w:pStyle w:val="BodyText"/>
        <w:spacing w:line="316" w:lineRule="auto" w:before="19"/>
        <w:ind w:left="633" w:right="1117"/>
        <w:jc w:val="left"/>
      </w:pPr>
      <w:r>
        <w:rPr/>
        <w:t>②持有至到期投资 是指到期日固定、回收金额固定或可确定，且本公司有明确意图和能力持有至到期的非衍生金融资产。 </w:t>
      </w:r>
      <w:r>
        <w:rPr>
          <w:spacing w:val="-1"/>
        </w:rPr>
        <w:t>持有至到期投资采用实际利率法，按摊余成本进行后续计量，在终止确认、发生减值或摊销时产生的利得或损失，计</w:t>
      </w:r>
    </w:p>
    <w:p>
      <w:pPr>
        <w:pStyle w:val="BodyText"/>
        <w:spacing w:line="240" w:lineRule="auto" w:before="19"/>
        <w:ind w:left="153" w:right="0"/>
        <w:jc w:val="left"/>
      </w:pPr>
      <w:r>
        <w:rPr/>
        <w:t>入当期损益。</w:t>
      </w:r>
    </w:p>
    <w:p>
      <w:pPr>
        <w:pStyle w:val="BodyText"/>
        <w:spacing w:line="316" w:lineRule="auto" w:before="76"/>
        <w:ind w:left="153" w:right="1131" w:firstLine="480"/>
        <w:jc w:val="both"/>
      </w:pPr>
      <w:r>
        <w:rPr>
          <w:spacing w:val="-1"/>
        </w:rPr>
        <w:t>实际利率法是指按照金融资产或金融负债（含一组金融资产或金融负债）的实际利率计算其摊余成本及各期利息收入</w:t>
      </w:r>
      <w:r>
        <w:rPr/>
        <w:t> </w:t>
      </w:r>
      <w:r>
        <w:rPr>
          <w:spacing w:val="-2"/>
        </w:rPr>
        <w:t>或支出的方法。实际利率是指将金融资产或金融负债在预期存续期间或适用的更短期间内的未来现金流量，折现为该金融资</w:t>
      </w:r>
      <w:r>
        <w:rPr>
          <w:spacing w:val="-64"/>
        </w:rPr>
        <w:t> </w:t>
      </w:r>
      <w:r>
        <w:rPr>
          <w:spacing w:val="-64"/>
        </w:rPr>
      </w:r>
      <w:r>
        <w:rPr/>
        <w:t>产或金融负债当前账面价值所使用的利率。</w:t>
      </w:r>
    </w:p>
    <w:p>
      <w:pPr>
        <w:pStyle w:val="BodyText"/>
        <w:spacing w:line="316" w:lineRule="auto" w:before="19"/>
        <w:ind w:left="153" w:right="1131" w:firstLine="480"/>
        <w:jc w:val="both"/>
      </w:pPr>
      <w:r>
        <w:rPr>
          <w:spacing w:val="-1"/>
        </w:rPr>
        <w:t>在计算实际利率时，本公司将在考虑金融资产或金融负债所有合同条款的基础上预计未来现金流量（不考虑未来的信</w:t>
      </w:r>
      <w:r>
        <w:rPr/>
        <w:t> </w:t>
      </w:r>
      <w:r>
        <w:rPr>
          <w:spacing w:val="-2"/>
        </w:rPr>
        <w:t>用损失），同时还将考虑金融资产或金融负债合同各方之间支付或收取的、属于实际利率组成部分的各项收费、交易费用及</w:t>
      </w:r>
      <w:r>
        <w:rPr>
          <w:spacing w:val="-66"/>
        </w:rPr>
        <w:t> </w:t>
      </w:r>
      <w:r>
        <w:rPr>
          <w:spacing w:val="-66"/>
        </w:rPr>
      </w:r>
      <w:r>
        <w:rPr/>
        <w:t>折价或溢价等。</w:t>
      </w:r>
    </w:p>
    <w:p>
      <w:pPr>
        <w:pStyle w:val="BodyText"/>
        <w:spacing w:line="316" w:lineRule="auto" w:before="19"/>
        <w:ind w:left="633" w:right="0"/>
        <w:jc w:val="left"/>
      </w:pPr>
      <w:r>
        <w:rPr/>
        <w:t>③贷款和应收款项 </w:t>
      </w:r>
      <w:r>
        <w:rPr>
          <w:spacing w:val="-1"/>
        </w:rPr>
        <w:t>是指在活跃市场中没有报价、回收金额固定或可确定的非衍生金融资产。本公司划分为贷款和应收款的金融资产包括</w:t>
      </w:r>
    </w:p>
    <w:p>
      <w:pPr>
        <w:pStyle w:val="BodyText"/>
        <w:spacing w:line="316" w:lineRule="auto" w:before="19"/>
        <w:ind w:left="633" w:right="0" w:hanging="480"/>
        <w:jc w:val="left"/>
      </w:pPr>
      <w:r>
        <w:rPr/>
        <w:t>应收票据、应收账款、应收利息、应收股利及其他应收款等。 </w:t>
      </w:r>
      <w:r>
        <w:rPr>
          <w:spacing w:val="-1"/>
        </w:rPr>
        <w:t>贷款和应收款项采用实际利率法，按摊余成本进行后续计量，在终止确认、发生减值或摊销时产生的利得或损失，计</w:t>
      </w:r>
    </w:p>
    <w:p>
      <w:pPr>
        <w:pStyle w:val="BodyText"/>
        <w:spacing w:line="240" w:lineRule="auto" w:before="19"/>
        <w:ind w:left="153" w:right="0"/>
        <w:jc w:val="left"/>
      </w:pPr>
      <w:r>
        <w:rPr/>
        <w:t>入当期损益。</w:t>
      </w:r>
    </w:p>
    <w:p>
      <w:pPr>
        <w:pStyle w:val="BodyText"/>
        <w:spacing w:line="240" w:lineRule="auto" w:before="76"/>
        <w:ind w:left="633" w:right="0"/>
        <w:jc w:val="left"/>
      </w:pPr>
      <w:r>
        <w:rPr/>
        <w:t>④可供出售金融资产</w:t>
      </w:r>
    </w:p>
    <w:p>
      <w:pPr>
        <w:spacing w:after="0" w:line="240" w:lineRule="auto"/>
        <w:jc w:val="left"/>
        <w:sectPr>
          <w:pgSz w:w="11910" w:h="16840"/>
          <w:pgMar w:header="877" w:footer="982" w:top="1100" w:bottom="1180" w:left="980" w:right="0"/>
        </w:sectPr>
      </w:pPr>
    </w:p>
    <w:p>
      <w:pPr>
        <w:spacing w:line="240" w:lineRule="auto" w:before="12"/>
        <w:rPr>
          <w:rFonts w:ascii="宋体" w:hAnsi="宋体" w:cs="宋体" w:eastAsia="宋体" w:hint="default"/>
          <w:sz w:val="21"/>
          <w:szCs w:val="21"/>
        </w:rPr>
      </w:pPr>
    </w:p>
    <w:p>
      <w:pPr>
        <w:pStyle w:val="BodyText"/>
        <w:spacing w:line="316" w:lineRule="auto" w:before="44"/>
        <w:ind w:left="153" w:right="1271" w:firstLine="480"/>
        <w:jc w:val="left"/>
      </w:pPr>
      <w:r>
        <w:rPr/>
        <w:t>包括初始确认时即被指定为可供出售的非衍生金融资产，以及除了以公允价值计量且其变动计入当期损益的金融资 产、贷款和应收款项、持有至到期投资以外的金融资产。</w:t>
      </w:r>
    </w:p>
    <w:p>
      <w:pPr>
        <w:pStyle w:val="BodyText"/>
        <w:spacing w:line="316" w:lineRule="auto" w:before="19"/>
        <w:ind w:left="153" w:right="1130" w:firstLine="480"/>
        <w:jc w:val="both"/>
      </w:pPr>
      <w:r>
        <w:rPr>
          <w:spacing w:val="-1"/>
        </w:rPr>
        <w:t>可供出售债务工具投资的期末成本按照摊余成本法确定，即初始确认金额扣除已偿还的本金，加上或减去采用实际利</w:t>
      </w:r>
      <w:r>
        <w:rPr/>
        <w:t> </w:t>
      </w:r>
      <w:r>
        <w:rPr>
          <w:spacing w:val="-2"/>
        </w:rPr>
        <w:t>率法将该初始确认金额与到期日金额之间的差额进行摊销形成的累计摊销额，并扣除已发生的减值损失后的金额。可供出售</w:t>
      </w:r>
      <w:r>
        <w:rPr>
          <w:spacing w:val="-64"/>
        </w:rPr>
        <w:t> </w:t>
      </w:r>
      <w:r>
        <w:rPr>
          <w:spacing w:val="-64"/>
        </w:rPr>
      </w:r>
      <w:r>
        <w:rPr/>
        <w:t>权益工具投资的期末成本为其初始取得成本。</w:t>
      </w:r>
    </w:p>
    <w:p>
      <w:pPr>
        <w:pStyle w:val="BodyText"/>
        <w:spacing w:line="316" w:lineRule="auto" w:before="19"/>
        <w:ind w:left="153" w:right="1031" w:firstLine="480"/>
        <w:jc w:val="left"/>
      </w:pPr>
      <w:r>
        <w:rPr/>
        <w:t>可供出售金融资产采用公允价值进行后续计量，公允价值变动形成的利得或损失，除减值损失和外币货币性金融资产 与摊余成本相关的汇兑差额计入当期损益外，确认为其他综合收益，在该金融资产终止确认时转出，计入当期损益。但是， </w:t>
      </w:r>
      <w:r>
        <w:rPr>
          <w:spacing w:val="-2"/>
        </w:rPr>
        <w:t>在活跃市场中没有报价且其公允价值不能可靠计量的权益工具投资，以及与该权益工具挂钩并须通过交付该权益工具结算的</w:t>
      </w:r>
      <w:r>
        <w:rPr>
          <w:spacing w:val="-64"/>
        </w:rPr>
        <w:t> </w:t>
      </w:r>
      <w:r>
        <w:rPr>
          <w:spacing w:val="-64"/>
        </w:rPr>
      </w:r>
      <w:r>
        <w:rPr/>
        <w:t>衍生金融资产，按照成本进行后续计量。</w:t>
      </w:r>
    </w:p>
    <w:p>
      <w:pPr>
        <w:pStyle w:val="BodyText"/>
        <w:spacing w:line="240" w:lineRule="auto" w:before="19"/>
        <w:ind w:left="633" w:right="0"/>
        <w:jc w:val="left"/>
      </w:pPr>
      <w:r>
        <w:rPr/>
        <w:t>可供出售金融资产持有期间取得的利息及被投资单位宣告发放的现金股利，计入投资收益。</w:t>
      </w:r>
    </w:p>
    <w:p>
      <w:pPr>
        <w:pStyle w:val="BodyText"/>
        <w:spacing w:line="300" w:lineRule="auto" w:before="76"/>
        <w:ind w:left="633" w:right="0"/>
        <w:jc w:val="left"/>
      </w:pPr>
      <w:r>
        <w:rPr/>
        <w:t>（</w:t>
      </w:r>
      <w:r>
        <w:rPr>
          <w:rFonts w:ascii="Times New Roman" w:hAnsi="Times New Roman" w:cs="Times New Roman" w:eastAsia="Times New Roman" w:hint="default"/>
        </w:rPr>
        <w:t>3</w:t>
      </w:r>
      <w:r>
        <w:rPr/>
        <w:t>）金融资产减值 </w:t>
      </w:r>
      <w:r>
        <w:rPr>
          <w:spacing w:val="-1"/>
        </w:rPr>
        <w:t>除了以公允价值计量且其变动计入当期损益的金融资产外，本公司在每个资产负债表日对其他金融资产的账面价值进</w:t>
      </w:r>
    </w:p>
    <w:p>
      <w:pPr>
        <w:pStyle w:val="BodyText"/>
        <w:spacing w:line="316" w:lineRule="auto" w:before="31"/>
        <w:ind w:left="633" w:right="0" w:hanging="480"/>
        <w:jc w:val="left"/>
      </w:pPr>
      <w:r>
        <w:rPr/>
        <w:t>行检查，有客观证据表明金融资产发生减值的，计提减值准备。 </w:t>
      </w:r>
      <w:r>
        <w:rPr>
          <w:spacing w:val="-1"/>
        </w:rPr>
        <w:t>本公司对单项金额重大的金融资产单独进行减值测试；对单项金额不重大的金融资产，单独进行减值测试或包括在具</w:t>
      </w:r>
    </w:p>
    <w:p>
      <w:pPr>
        <w:pStyle w:val="BodyText"/>
        <w:spacing w:line="316" w:lineRule="auto" w:before="19"/>
        <w:ind w:left="153" w:right="1131"/>
        <w:jc w:val="both"/>
      </w:pPr>
      <w:r>
        <w:rPr>
          <w:spacing w:val="-2"/>
        </w:rPr>
        <w:t>有类似信用风险特征的金融资产组合中进行减值测试。单独测试未发生减值的金融资产（包括单项金额重大和不重大的金融</w:t>
      </w:r>
      <w:r>
        <w:rPr>
          <w:spacing w:val="-64"/>
        </w:rPr>
        <w:t> </w:t>
      </w:r>
      <w:r>
        <w:rPr>
          <w:spacing w:val="-64"/>
        </w:rPr>
      </w:r>
      <w:r>
        <w:rPr>
          <w:spacing w:val="-2"/>
        </w:rPr>
        <w:t>资产），包括在具有类似信用风险特征的金融资产组合中再进行减值测试。已单项确认减值损失的金融资产，不包括在具有</w:t>
      </w:r>
      <w:r>
        <w:rPr>
          <w:spacing w:val="-66"/>
        </w:rPr>
        <w:t> </w:t>
      </w:r>
      <w:r>
        <w:rPr>
          <w:spacing w:val="-66"/>
        </w:rPr>
      </w:r>
      <w:r>
        <w:rPr/>
        <w:t>类似信用风险特征的金融资产组合中进行减值测试。</w:t>
      </w:r>
    </w:p>
    <w:p>
      <w:pPr>
        <w:pStyle w:val="BodyText"/>
        <w:spacing w:line="316" w:lineRule="auto" w:before="19"/>
        <w:ind w:left="633" w:right="0"/>
        <w:jc w:val="left"/>
      </w:pPr>
      <w:r>
        <w:rPr/>
        <w:t>①持有至到期投资、贷款和应收款项减值 </w:t>
      </w:r>
      <w:r>
        <w:rPr>
          <w:spacing w:val="-1"/>
        </w:rPr>
        <w:t>以成本或摊余成本计量的金融资产将其账面价值减记至预计未来现金流量现值，减记金额确认为减值损失，计入当期</w:t>
      </w:r>
    </w:p>
    <w:p>
      <w:pPr>
        <w:pStyle w:val="BodyText"/>
        <w:spacing w:line="316" w:lineRule="auto" w:before="19"/>
        <w:ind w:left="153" w:right="1031"/>
        <w:jc w:val="left"/>
      </w:pPr>
      <w:r>
        <w:rPr/>
        <w:t>损益。金融资产在确认减值损失后，如有客观证据表明该金融资产价值已恢复，且客观上与确认该损失后发生的事项有关， </w:t>
      </w:r>
      <w:r>
        <w:rPr>
          <w:spacing w:val="-2"/>
        </w:rPr>
        <w:t>原确认的减值损失予以转回，金融资产转回减值损失后的账面价值不超过假定不计提减值准备情况下该金融资产在转回日的</w:t>
      </w:r>
      <w:r>
        <w:rPr>
          <w:spacing w:val="-64"/>
        </w:rPr>
        <w:t> </w:t>
      </w:r>
      <w:r>
        <w:rPr>
          <w:spacing w:val="-64"/>
        </w:rPr>
      </w:r>
      <w:r>
        <w:rPr/>
        <w:t>摊余成本。</w:t>
      </w:r>
    </w:p>
    <w:p>
      <w:pPr>
        <w:pStyle w:val="BodyText"/>
        <w:spacing w:line="316" w:lineRule="auto" w:before="19"/>
        <w:ind w:left="633" w:right="0"/>
        <w:jc w:val="left"/>
      </w:pPr>
      <w:r>
        <w:rPr/>
        <w:t>②可供出售金融资产减值 </w:t>
      </w:r>
      <w:r>
        <w:rPr>
          <w:spacing w:val="-1"/>
        </w:rPr>
        <w:t>当综合相关因素判断可供出售权益工具投资公允价值下跌是严重或非暂时性下跌时，表明该可供出售权益工具投资发</w:t>
      </w:r>
    </w:p>
    <w:p>
      <w:pPr>
        <w:pStyle w:val="BodyText"/>
        <w:spacing w:line="300" w:lineRule="auto" w:before="19"/>
        <w:ind w:left="633" w:right="1091" w:hanging="480"/>
        <w:jc w:val="left"/>
      </w:pPr>
      <w:r>
        <w:rPr/>
        <w:t>生减值。其中</w:t>
      </w:r>
      <w:r>
        <w:rPr>
          <w:rFonts w:ascii="Times New Roman" w:hAnsi="Times New Roman" w:cs="Times New Roman" w:eastAsia="Times New Roman" w:hint="default"/>
        </w:rPr>
        <w:t>“</w:t>
      </w:r>
      <w:r>
        <w:rPr/>
        <w:t>严重下跌</w:t>
      </w:r>
      <w:r>
        <w:rPr>
          <w:rFonts w:ascii="Times New Roman" w:hAnsi="Times New Roman" w:cs="Times New Roman" w:eastAsia="Times New Roman" w:hint="default"/>
        </w:rPr>
        <w:t>”</w:t>
      </w:r>
      <w:r>
        <w:rPr/>
        <w:t>是指公允价值下跌幅度累计超过</w:t>
      </w:r>
      <w:r>
        <w:rPr>
          <w:rFonts w:ascii="Times New Roman" w:hAnsi="Times New Roman" w:cs="Times New Roman" w:eastAsia="Times New Roman" w:hint="default"/>
        </w:rPr>
        <w:t>20%</w:t>
      </w:r>
      <w:r>
        <w:rPr/>
        <w:t>；</w:t>
      </w:r>
      <w:r>
        <w:rPr>
          <w:rFonts w:ascii="Times New Roman" w:hAnsi="Times New Roman" w:cs="Times New Roman" w:eastAsia="Times New Roman" w:hint="default"/>
        </w:rPr>
        <w:t>“</w:t>
      </w:r>
      <w:r>
        <w:rPr/>
        <w:t>非暂时性下跌</w:t>
      </w:r>
      <w:r>
        <w:rPr>
          <w:rFonts w:ascii="Times New Roman" w:hAnsi="Times New Roman" w:cs="Times New Roman" w:eastAsia="Times New Roman" w:hint="default"/>
        </w:rPr>
        <w:t>”</w:t>
      </w:r>
      <w:r>
        <w:rPr/>
        <w:t>是指公允价值连续下跌时间超过</w:t>
      </w:r>
      <w:r>
        <w:rPr>
          <w:rFonts w:ascii="Times New Roman" w:hAnsi="Times New Roman" w:cs="Times New Roman" w:eastAsia="Times New Roman" w:hint="default"/>
        </w:rPr>
        <w:t>12</w:t>
      </w:r>
      <w:r>
        <w:rPr/>
        <w:t>个月。 可供出售金融资产发生减值时，将原计入其他综合收益的因公允价值下降形成的累计损失予以转出并计入当期损益，</w:t>
      </w:r>
    </w:p>
    <w:p>
      <w:pPr>
        <w:pStyle w:val="BodyText"/>
        <w:spacing w:line="316" w:lineRule="auto" w:before="31"/>
        <w:ind w:left="153" w:right="1211"/>
        <w:jc w:val="left"/>
      </w:pPr>
      <w:r>
        <w:rPr/>
        <w:t>该转出的累计损失为该资产初始取得成本扣除已收回本金和已摊销金额、当前公允价值和原已计入损益的减值损失后的余 额。</w:t>
      </w:r>
    </w:p>
    <w:p>
      <w:pPr>
        <w:pStyle w:val="BodyText"/>
        <w:spacing w:line="316" w:lineRule="auto" w:before="19"/>
        <w:ind w:left="153" w:right="1130" w:firstLine="480"/>
        <w:jc w:val="both"/>
      </w:pPr>
      <w:r>
        <w:rPr>
          <w:spacing w:val="-1"/>
        </w:rPr>
        <w:t>在确认减值损失后，期后如有客观证据表明该金融资产价值已恢复，且客观上与确认该损失后发生的事项有关，原确</w:t>
      </w:r>
      <w:r>
        <w:rPr/>
        <w:t> </w:t>
      </w:r>
      <w:r>
        <w:rPr>
          <w:spacing w:val="-2"/>
        </w:rPr>
        <w:t>认的减值损失予以转回，可供出售权益工具投资的减值损失转回确认为其他综合收益，可供出售债务工具的减值损失转回计</w:t>
      </w:r>
      <w:r>
        <w:rPr>
          <w:spacing w:val="-64"/>
        </w:rPr>
        <w:t> </w:t>
      </w:r>
      <w:r>
        <w:rPr>
          <w:spacing w:val="-64"/>
        </w:rPr>
      </w:r>
      <w:r>
        <w:rPr/>
        <w:t>入当期损益。</w:t>
      </w:r>
    </w:p>
    <w:p>
      <w:pPr>
        <w:pStyle w:val="BodyText"/>
        <w:spacing w:line="316" w:lineRule="auto" w:before="19"/>
        <w:ind w:left="153" w:right="1130" w:firstLine="480"/>
        <w:jc w:val="both"/>
      </w:pPr>
      <w:r>
        <w:rPr>
          <w:spacing w:val="-1"/>
        </w:rPr>
        <w:t>在活跃市场中没有报价且其公允价值不能可靠计量的权益工具投资，或与该权益工具挂钩并须通过交付该权益工具结</w:t>
      </w:r>
      <w:r>
        <w:rPr/>
        <w:t> 算的衍生金融资产的减值损失，不予转回。</w:t>
      </w:r>
    </w:p>
    <w:p>
      <w:pPr>
        <w:pStyle w:val="BodyText"/>
        <w:spacing w:line="300" w:lineRule="auto" w:before="19"/>
        <w:ind w:left="633" w:right="1091"/>
        <w:jc w:val="left"/>
      </w:pPr>
      <w:r>
        <w:rPr/>
        <w:t>（</w:t>
      </w:r>
      <w:r>
        <w:rPr>
          <w:rFonts w:ascii="Times New Roman" w:hAnsi="Times New Roman" w:cs="Times New Roman" w:eastAsia="Times New Roman" w:hint="default"/>
        </w:rPr>
        <w:t>4</w:t>
      </w:r>
      <w:r>
        <w:rPr/>
        <w:t>）金融资产转移的确认依据和计量方法 满足下列条件之一的金融资产，予以终止确认：①收取该金融资产现金流量的合同权利终止；②该金融资产已转移，</w:t>
      </w:r>
    </w:p>
    <w:p>
      <w:pPr>
        <w:pStyle w:val="BodyText"/>
        <w:spacing w:line="316" w:lineRule="auto" w:before="31"/>
        <w:ind w:left="153" w:right="0"/>
        <w:jc w:val="left"/>
      </w:pPr>
      <w:r>
        <w:rPr>
          <w:spacing w:val="-2"/>
        </w:rPr>
        <w:t>且将金融资产所有权上几乎所有的风险和报酬转移给转入方；③该金融资产已转移，虽然企业既没有转移也没有保留金融资</w:t>
      </w:r>
      <w:r>
        <w:rPr>
          <w:spacing w:val="-64"/>
        </w:rPr>
        <w:t> </w:t>
      </w:r>
      <w:r>
        <w:rPr>
          <w:spacing w:val="-64"/>
        </w:rPr>
      </w:r>
      <w:r>
        <w:rPr/>
        <w:t>产所有权上几乎所有的风险和报酬，但是放弃了对该金融资产的控制。</w:t>
      </w:r>
    </w:p>
    <w:p>
      <w:pPr>
        <w:pStyle w:val="BodyText"/>
        <w:spacing w:line="316" w:lineRule="auto" w:before="19"/>
        <w:ind w:left="153" w:right="1130" w:firstLine="480"/>
        <w:jc w:val="both"/>
      </w:pPr>
      <w:r>
        <w:rPr>
          <w:spacing w:val="-1"/>
        </w:rPr>
        <w:t>若企业既没有转移也没有保留金融资产所有权上几乎所有的风险和报酬，且未放弃对该金融资产的控制的，则按照继</w:t>
      </w:r>
      <w:r>
        <w:rPr/>
        <w:t> </w:t>
      </w:r>
      <w:r>
        <w:rPr>
          <w:spacing w:val="-2"/>
        </w:rPr>
        <w:t>续涉入所转移金融资产的程度确认有关金融资产，并相应确认有关负债。继续涉入所转移金融资产的程度，是指该金融资产</w:t>
      </w:r>
      <w:r>
        <w:rPr>
          <w:spacing w:val="-66"/>
        </w:rPr>
        <w:t> </w:t>
      </w:r>
      <w:r>
        <w:rPr>
          <w:spacing w:val="-66"/>
        </w:rPr>
      </w:r>
      <w:r>
        <w:rPr/>
        <w:t>价值变动使企业面临的风险水平。</w:t>
      </w:r>
    </w:p>
    <w:p>
      <w:pPr>
        <w:pStyle w:val="BodyText"/>
        <w:spacing w:line="316" w:lineRule="auto" w:before="19"/>
        <w:ind w:left="153" w:right="1130" w:firstLine="480"/>
        <w:jc w:val="both"/>
      </w:pPr>
      <w:r>
        <w:rPr>
          <w:spacing w:val="-1"/>
        </w:rPr>
        <w:t>金融资产整体转移满足终止确认条件的，将所转移金融资产的账面价值及因转移而收到的对价与原计入其他综合收益</w:t>
      </w:r>
      <w:r>
        <w:rPr/>
        <w:t> 的公允价值变动累计额之和的差额计入当期损益。</w:t>
      </w:r>
    </w:p>
    <w:p>
      <w:pPr>
        <w:pStyle w:val="BodyText"/>
        <w:spacing w:line="316" w:lineRule="auto" w:before="19"/>
        <w:ind w:left="153" w:right="1130" w:firstLine="480"/>
        <w:jc w:val="both"/>
      </w:pPr>
      <w:r>
        <w:rPr>
          <w:spacing w:val="-1"/>
        </w:rPr>
        <w:t>金融资产部分转移满足终止确认条件的，将所转移金融资产的账面价值在终止确认及未终止确认部分之间按其相对的</w:t>
      </w:r>
      <w:r>
        <w:rPr/>
        <w:t> </w:t>
      </w:r>
      <w:r>
        <w:rPr>
          <w:spacing w:val="-2"/>
        </w:rPr>
        <w:t>公允价值进行分摊，并将因转移而收到的对价与应分摊至终止确认部分的原计入其他综合收益的公允价值变动累计额之和与</w:t>
      </w:r>
    </w:p>
    <w:p>
      <w:pPr>
        <w:spacing w:after="0" w:line="316" w:lineRule="auto"/>
        <w:jc w:val="both"/>
        <w:sectPr>
          <w:pgSz w:w="11910" w:h="16840"/>
          <w:pgMar w:header="877" w:footer="982" w:top="1100" w:bottom="1180" w:left="980" w:right="0"/>
        </w:sectPr>
      </w:pPr>
    </w:p>
    <w:p>
      <w:pPr>
        <w:spacing w:line="240" w:lineRule="auto" w:before="12"/>
        <w:rPr>
          <w:rFonts w:ascii="宋体" w:hAnsi="宋体" w:cs="宋体" w:eastAsia="宋体" w:hint="default"/>
          <w:sz w:val="21"/>
          <w:szCs w:val="21"/>
        </w:rPr>
      </w:pPr>
    </w:p>
    <w:p>
      <w:pPr>
        <w:pStyle w:val="BodyText"/>
        <w:spacing w:line="316" w:lineRule="auto" w:before="44"/>
        <w:ind w:left="633" w:right="0" w:hanging="480"/>
        <w:jc w:val="left"/>
      </w:pPr>
      <w:r>
        <w:rPr/>
        <w:t>分摊的前述账面金额之差额计入当期损益。 </w:t>
      </w:r>
      <w:r>
        <w:rPr>
          <w:spacing w:val="-1"/>
        </w:rPr>
        <w:t>本公司对采用附追索权方式出售的金融资产，或将持有的金融资产背书转让，需确定该金融资产所有权上几乎所有的</w:t>
      </w:r>
    </w:p>
    <w:p>
      <w:pPr>
        <w:pStyle w:val="BodyText"/>
        <w:spacing w:line="316" w:lineRule="auto" w:before="19"/>
        <w:ind w:left="153" w:right="1130"/>
        <w:jc w:val="both"/>
      </w:pPr>
      <w:r>
        <w:rPr>
          <w:spacing w:val="-2"/>
        </w:rPr>
        <w:t>风险和报酬是否已经转移。已将该金融资产所有权上几乎所有的风险和报酬转移给转入方的，终止确认该金融资产；保留了</w:t>
      </w:r>
      <w:r>
        <w:rPr>
          <w:spacing w:val="-66"/>
        </w:rPr>
        <w:t> </w:t>
      </w:r>
      <w:r>
        <w:rPr>
          <w:spacing w:val="-66"/>
        </w:rPr>
      </w:r>
      <w:r>
        <w:rPr>
          <w:spacing w:val="-2"/>
        </w:rPr>
        <w:t>金融资产所有权上几乎所有的风险和报酬的，不终止确认该金融资产；既没有转移也没有保留金融资产所有权上几乎所有的</w:t>
      </w:r>
      <w:r>
        <w:rPr>
          <w:spacing w:val="-64"/>
        </w:rPr>
        <w:t> </w:t>
      </w:r>
      <w:r>
        <w:rPr>
          <w:spacing w:val="-64"/>
        </w:rPr>
      </w:r>
      <w:r>
        <w:rPr/>
        <w:t>风险和报酬的，则继续判断企业是否对该资产保留了控制，并根据前面各段所述的原则进行会计处理。</w:t>
      </w:r>
    </w:p>
    <w:p>
      <w:pPr>
        <w:pStyle w:val="BodyText"/>
        <w:spacing w:line="300" w:lineRule="auto" w:before="19"/>
        <w:ind w:left="633" w:right="1271"/>
        <w:jc w:val="left"/>
      </w:pPr>
      <w:r>
        <w:rPr/>
        <w:t>（</w:t>
      </w:r>
      <w:r>
        <w:rPr>
          <w:rFonts w:ascii="Times New Roman" w:hAnsi="Times New Roman" w:cs="Times New Roman" w:eastAsia="Times New Roman" w:hint="default"/>
        </w:rPr>
        <w:t>5</w:t>
      </w:r>
      <w:r>
        <w:rPr/>
        <w:t>）金融负债的分类和计量 金融负债在初始确认时划分为以公允价值计量且其变动计入当期损益的金融负债和其他金融负债。初始确认金融负</w:t>
      </w:r>
    </w:p>
    <w:p>
      <w:pPr>
        <w:pStyle w:val="BodyText"/>
        <w:spacing w:line="316" w:lineRule="auto" w:before="31"/>
        <w:ind w:left="153" w:right="1131"/>
        <w:jc w:val="both"/>
      </w:pPr>
      <w:r>
        <w:rPr>
          <w:spacing w:val="-2"/>
        </w:rPr>
        <w:t>债，以公允价值计量。对于以公允价值计量且其变动计入当期损益的金融负债，相关的交易费用直接计入当期损益；对于其</w:t>
      </w:r>
      <w:r>
        <w:rPr>
          <w:spacing w:val="-66"/>
        </w:rPr>
        <w:t> </w:t>
      </w:r>
      <w:r>
        <w:rPr>
          <w:spacing w:val="-66"/>
        </w:rPr>
      </w:r>
      <w:r>
        <w:rPr/>
        <w:t>他金融负债，相关交易费用计入初始确认金额。</w:t>
      </w:r>
    </w:p>
    <w:p>
      <w:pPr>
        <w:pStyle w:val="BodyText"/>
        <w:spacing w:line="316" w:lineRule="auto" w:before="19"/>
        <w:ind w:left="633" w:right="1271"/>
        <w:jc w:val="left"/>
      </w:pPr>
      <w:r>
        <w:rPr/>
        <w:t>①以公允价值计量且其变动计入当期损益的金融负债 分类为交易性金融负债和在初始确认时指定为以公允价值计量且其变动计入当期损益的金融负债的条件与分类为交</w:t>
      </w:r>
    </w:p>
    <w:p>
      <w:pPr>
        <w:pStyle w:val="BodyText"/>
        <w:spacing w:line="316" w:lineRule="auto" w:before="19"/>
        <w:ind w:left="633" w:right="0" w:hanging="480"/>
        <w:jc w:val="left"/>
      </w:pPr>
      <w:r>
        <w:rPr/>
        <w:t>易性金融资产和在初始确认时指定为以公允价值计量且其变动计入当期损益的金融资产的条件一致。 </w:t>
      </w:r>
      <w:r>
        <w:rPr>
          <w:spacing w:val="-1"/>
        </w:rPr>
        <w:t>以公允价值计量且其变动计入当期损益的金融负债采用公允价值进行后续计量，公允价值的变动形成的利得或损失以</w:t>
      </w:r>
    </w:p>
    <w:p>
      <w:pPr>
        <w:pStyle w:val="BodyText"/>
        <w:spacing w:line="240" w:lineRule="auto" w:before="19"/>
        <w:ind w:left="153" w:right="0"/>
        <w:jc w:val="both"/>
      </w:pPr>
      <w:r>
        <w:rPr/>
        <w:t>及与该等金融负债相关的股利和利息支出计入当期损益。</w:t>
      </w:r>
    </w:p>
    <w:p>
      <w:pPr>
        <w:pStyle w:val="BodyText"/>
        <w:spacing w:line="316" w:lineRule="auto" w:before="76"/>
        <w:ind w:left="633" w:right="0"/>
        <w:jc w:val="left"/>
      </w:pPr>
      <w:r>
        <w:rPr/>
        <w:t>②其他金融负债 </w:t>
      </w:r>
      <w:r>
        <w:rPr>
          <w:spacing w:val="-1"/>
        </w:rPr>
        <w:t>与在活跃市场中没有报价、公允价值不能可靠计量的权益工具挂钩并须通过交付该权益工具结算的衍生金融负债，按</w:t>
      </w:r>
    </w:p>
    <w:p>
      <w:pPr>
        <w:pStyle w:val="BodyText"/>
        <w:spacing w:line="316" w:lineRule="auto" w:before="19"/>
        <w:ind w:left="153" w:right="1131"/>
        <w:jc w:val="both"/>
      </w:pPr>
      <w:r>
        <w:rPr>
          <w:spacing w:val="-2"/>
        </w:rPr>
        <w:t>照成本进行后续计量。其他金融负债采用实际利率法，按摊余成本进行后续计量，终止确认或摊销产生的利得或损失计入当</w:t>
      </w:r>
      <w:r>
        <w:rPr>
          <w:spacing w:val="-66"/>
        </w:rPr>
        <w:t> </w:t>
      </w:r>
      <w:r>
        <w:rPr>
          <w:spacing w:val="-66"/>
        </w:rPr>
      </w:r>
      <w:r>
        <w:rPr/>
        <w:t>期损益。</w:t>
      </w:r>
    </w:p>
    <w:p>
      <w:pPr>
        <w:pStyle w:val="BodyText"/>
        <w:spacing w:line="316" w:lineRule="auto" w:before="19"/>
        <w:ind w:left="633" w:right="0"/>
        <w:jc w:val="left"/>
      </w:pPr>
      <w:r>
        <w:rPr/>
        <w:t>③财务担保合同及贷款承诺 </w:t>
      </w:r>
      <w:r>
        <w:rPr>
          <w:spacing w:val="-1"/>
        </w:rPr>
        <w:t>不属于指定为以公允价值计量且其变动计入当期损益的金融负债的财务担保合同，或没有指定为以公允价值计量且其</w:t>
      </w:r>
    </w:p>
    <w:p>
      <w:pPr>
        <w:pStyle w:val="BodyText"/>
        <w:spacing w:line="300" w:lineRule="auto" w:before="19"/>
        <w:ind w:left="153" w:right="1131"/>
        <w:jc w:val="both"/>
      </w:pPr>
      <w:r>
        <w:rPr>
          <w:spacing w:val="-2"/>
        </w:rPr>
        <w:t>变动计入损益并将以低于市场利率贷款的贷款承诺，以公允价值进行初始确认，在初始确认后按照《企业会计准则第</w:t>
      </w:r>
      <w:r>
        <w:rPr>
          <w:rFonts w:ascii="Times New Roman" w:hAnsi="Times New Roman" w:cs="Times New Roman" w:eastAsia="Times New Roman" w:hint="default"/>
          <w:spacing w:val="-2"/>
        </w:rPr>
        <w:t>13</w:t>
      </w:r>
      <w:r>
        <w:rPr>
          <w:spacing w:val="-2"/>
        </w:rPr>
        <w:t>号</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9"/>
        </w:rPr>
        <w:t> </w:t>
      </w:r>
      <w:r>
        <w:rPr>
          <w:spacing w:val="-2"/>
        </w:rPr>
        <w:t>或有事项》确定的金额和初始确认金额扣除按照《企业会计准则第</w:t>
      </w:r>
      <w:r>
        <w:rPr>
          <w:rFonts w:ascii="Times New Roman" w:hAnsi="Times New Roman" w:cs="Times New Roman" w:eastAsia="Times New Roman" w:hint="default"/>
          <w:spacing w:val="-2"/>
        </w:rPr>
        <w:t>14</w:t>
      </w:r>
      <w:r>
        <w:rPr>
          <w:spacing w:val="-2"/>
        </w:rPr>
        <w:t>号</w:t>
      </w:r>
      <w:r>
        <w:rPr>
          <w:rFonts w:ascii="Times New Roman" w:hAnsi="Times New Roman" w:cs="Times New Roman" w:eastAsia="Times New Roman" w:hint="default"/>
          <w:spacing w:val="-2"/>
        </w:rPr>
        <w:t>—</w:t>
      </w:r>
      <w:r>
        <w:rPr>
          <w:spacing w:val="-2"/>
        </w:rPr>
        <w:t>收入》的原则确定的累计摊销额后的余额之中的较</w:t>
      </w:r>
      <w:r>
        <w:rPr>
          <w:spacing w:val="-64"/>
        </w:rPr>
        <w:t> </w:t>
      </w:r>
      <w:r>
        <w:rPr>
          <w:spacing w:val="-64"/>
        </w:rPr>
      </w:r>
      <w:r>
        <w:rPr/>
        <w:t>高者进行后续计量。</w:t>
      </w:r>
    </w:p>
    <w:p>
      <w:pPr>
        <w:pStyle w:val="BodyText"/>
        <w:spacing w:line="300" w:lineRule="auto" w:before="31"/>
        <w:ind w:left="633" w:right="0"/>
        <w:jc w:val="left"/>
      </w:pPr>
      <w:r>
        <w:rPr/>
        <w:t>（</w:t>
      </w:r>
      <w:r>
        <w:rPr>
          <w:rFonts w:ascii="Times New Roman" w:hAnsi="Times New Roman" w:cs="Times New Roman" w:eastAsia="Times New Roman" w:hint="default"/>
        </w:rPr>
        <w:t>6</w:t>
      </w:r>
      <w:r>
        <w:rPr/>
        <w:t>）金融负债的终止确认 </w:t>
      </w:r>
      <w:r>
        <w:rPr>
          <w:spacing w:val="-1"/>
        </w:rPr>
        <w:t>金融负债的现时义务全部或部分已经解除的，才能终止确认该金融负债或其一部分。本公司（债务人）与债权人之间</w:t>
      </w:r>
    </w:p>
    <w:p>
      <w:pPr>
        <w:pStyle w:val="BodyText"/>
        <w:spacing w:line="316" w:lineRule="auto" w:before="31"/>
        <w:ind w:left="153" w:right="1131"/>
        <w:jc w:val="both"/>
      </w:pPr>
      <w:r>
        <w:rPr>
          <w:spacing w:val="-2"/>
        </w:rPr>
        <w:t>签订协议，以承担新金融负债方式替换现存金融负债，且新金融负债与现存金融负债的合同条款实质上不同的，终止确认现</w:t>
      </w:r>
      <w:r>
        <w:rPr>
          <w:spacing w:val="-66"/>
        </w:rPr>
        <w:t> </w:t>
      </w:r>
      <w:r>
        <w:rPr>
          <w:spacing w:val="-66"/>
        </w:rPr>
      </w:r>
      <w:r>
        <w:rPr/>
        <w:t>存金融负债，并同时确认新金融负债。</w:t>
      </w:r>
    </w:p>
    <w:p>
      <w:pPr>
        <w:pStyle w:val="BodyText"/>
        <w:spacing w:line="316" w:lineRule="auto" w:before="19"/>
        <w:ind w:left="153" w:right="1130" w:firstLine="480"/>
        <w:jc w:val="both"/>
      </w:pPr>
      <w:r>
        <w:rPr>
          <w:spacing w:val="-1"/>
        </w:rPr>
        <w:t>金融负债全部或部分终止确认的，将终止确认部分的账面价值与支付的对价（包括转出的非现金资产或承担的新金融</w:t>
      </w:r>
      <w:r>
        <w:rPr/>
        <w:t> 负债）之间的差额，计入当期损益。</w:t>
      </w:r>
    </w:p>
    <w:p>
      <w:pPr>
        <w:pStyle w:val="BodyText"/>
        <w:spacing w:line="300" w:lineRule="auto" w:before="19"/>
        <w:ind w:left="633" w:right="0"/>
        <w:jc w:val="left"/>
      </w:pPr>
      <w:r>
        <w:rPr/>
        <w:t>（</w:t>
      </w:r>
      <w:r>
        <w:rPr>
          <w:rFonts w:ascii="Times New Roman" w:hAnsi="Times New Roman" w:cs="Times New Roman" w:eastAsia="Times New Roman" w:hint="default"/>
        </w:rPr>
        <w:t>7</w:t>
      </w:r>
      <w:r>
        <w:rPr/>
        <w:t>）衍生工具及嵌入衍生工具 </w:t>
      </w:r>
      <w:r>
        <w:rPr>
          <w:spacing w:val="-1"/>
        </w:rPr>
        <w:t>衍生工具于相关合同签署日以公允价值进行初始计量，并以公允价值进行后续计量。除指定为套期工具且套期高度有</w:t>
      </w:r>
    </w:p>
    <w:p>
      <w:pPr>
        <w:pStyle w:val="BodyText"/>
        <w:spacing w:line="316" w:lineRule="auto" w:before="31"/>
        <w:ind w:left="153" w:right="1130"/>
        <w:jc w:val="both"/>
      </w:pPr>
      <w:r>
        <w:rPr>
          <w:spacing w:val="-2"/>
        </w:rPr>
        <w:t>效的衍生工具，其公允价值变动形成的利得或损失将根据套期关系的性质按照套期会计的要求确定计入损益的期间外，其余</w:t>
      </w:r>
      <w:r>
        <w:rPr>
          <w:spacing w:val="-64"/>
        </w:rPr>
        <w:t> </w:t>
      </w:r>
      <w:r>
        <w:rPr>
          <w:spacing w:val="-64"/>
        </w:rPr>
      </w:r>
      <w:r>
        <w:rPr/>
        <w:t>衍生工具的公允价值变动计入当期损益。</w:t>
      </w:r>
    </w:p>
    <w:p>
      <w:pPr>
        <w:pStyle w:val="BodyText"/>
        <w:spacing w:line="316" w:lineRule="auto" w:before="19"/>
        <w:ind w:left="153" w:right="1130" w:firstLine="480"/>
        <w:jc w:val="both"/>
      </w:pPr>
      <w:r>
        <w:rPr>
          <w:spacing w:val="-1"/>
        </w:rPr>
        <w:t>对包含嵌入衍生工具的混合工具，如未指定为以公允价值计量且其变动计入当期损益的金融资产或金融负债，嵌入衍</w:t>
      </w:r>
      <w:r>
        <w:rPr/>
        <w:t> </w:t>
      </w:r>
      <w:r>
        <w:rPr>
          <w:spacing w:val="-2"/>
        </w:rPr>
        <w:t>生工具与该主合同在经济特征及风险方面不存在紧密关系，且与嵌入衍生工具条件相同，单独存在的工具符合衍生工具定义</w:t>
      </w:r>
      <w:r>
        <w:rPr>
          <w:spacing w:val="-64"/>
        </w:rPr>
        <w:t> </w:t>
      </w:r>
      <w:r>
        <w:rPr>
          <w:spacing w:val="-64"/>
        </w:rPr>
      </w:r>
      <w:r>
        <w:rPr>
          <w:spacing w:val="-2"/>
        </w:rPr>
        <w:t>的，嵌入衍生工具从混合工具中分拆，作为单独的衍生金融工具处理。如果无法在取得时或后续的资产负债表日对嵌入衍生</w:t>
      </w:r>
      <w:r>
        <w:rPr>
          <w:spacing w:val="-66"/>
        </w:rPr>
        <w:t> </w:t>
      </w:r>
      <w:r>
        <w:rPr>
          <w:spacing w:val="-66"/>
        </w:rPr>
      </w:r>
      <w:r>
        <w:rPr/>
        <w:t>工具进行单独计量，则将混合工具整体指定为以公允价值计量且其变动计入当期损益的金融资产或金融负债。</w:t>
      </w:r>
    </w:p>
    <w:p>
      <w:pPr>
        <w:pStyle w:val="BodyText"/>
        <w:spacing w:line="300" w:lineRule="auto" w:before="19"/>
        <w:ind w:left="633" w:right="0"/>
        <w:jc w:val="left"/>
      </w:pPr>
      <w:r>
        <w:rPr/>
        <w:t>（</w:t>
      </w:r>
      <w:r>
        <w:rPr>
          <w:rFonts w:ascii="Times New Roman" w:hAnsi="Times New Roman" w:cs="Times New Roman" w:eastAsia="Times New Roman" w:hint="default"/>
        </w:rPr>
        <w:t>8</w:t>
      </w:r>
      <w:r>
        <w:rPr/>
        <w:t>）金融资产和金融负债的抵销 </w:t>
      </w:r>
      <w:r>
        <w:rPr>
          <w:spacing w:val="-1"/>
        </w:rPr>
        <w:t>当本公司具有抵销已确认金融资产和金融负债的法定权利，且目前可执行该种法定权利，同时本公司计划以净额结算</w:t>
      </w:r>
    </w:p>
    <w:p>
      <w:pPr>
        <w:pStyle w:val="BodyText"/>
        <w:spacing w:line="316" w:lineRule="auto" w:before="31"/>
        <w:ind w:left="153" w:right="1131"/>
        <w:jc w:val="both"/>
      </w:pPr>
      <w:r>
        <w:rPr>
          <w:spacing w:val="-2"/>
        </w:rPr>
        <w:t>或同时变现该金融资产和清偿该金融负债时，金融资产和金融负债以相互抵销后的金额在资产负债表内列示。除此以外，金</w:t>
      </w:r>
      <w:r>
        <w:rPr>
          <w:spacing w:val="-66"/>
        </w:rPr>
        <w:t> </w:t>
      </w:r>
      <w:r>
        <w:rPr>
          <w:spacing w:val="-66"/>
        </w:rPr>
      </w:r>
      <w:r>
        <w:rPr/>
        <w:t>融资产和金融负债在资产负债表内分别列示，不予相互抵销。</w:t>
      </w:r>
    </w:p>
    <w:p>
      <w:pPr>
        <w:pStyle w:val="BodyText"/>
        <w:spacing w:line="300" w:lineRule="auto" w:before="19"/>
        <w:ind w:left="633" w:right="1117"/>
        <w:jc w:val="left"/>
      </w:pPr>
      <w:r>
        <w:rPr/>
        <w:t>（</w:t>
      </w:r>
      <w:r>
        <w:rPr>
          <w:rFonts w:ascii="Times New Roman" w:hAnsi="Times New Roman" w:cs="Times New Roman" w:eastAsia="Times New Roman" w:hint="default"/>
        </w:rPr>
        <w:t>9</w:t>
      </w:r>
      <w:r>
        <w:rPr/>
        <w:t>）权益工具 </w:t>
      </w:r>
      <w:r>
        <w:rPr>
          <w:spacing w:val="-1"/>
        </w:rPr>
        <w:t>权益工具是指能证明拥有本公司在扣除所有负债后的资产中的剩余权益的合同。本公司发行（含再融资）、回购、出</w:t>
      </w:r>
    </w:p>
    <w:p>
      <w:pPr>
        <w:pStyle w:val="BodyText"/>
        <w:spacing w:line="240" w:lineRule="auto" w:before="31"/>
        <w:ind w:left="153" w:right="0"/>
        <w:jc w:val="both"/>
      </w:pPr>
      <w:r>
        <w:rPr/>
        <w:t>售或注销权益工具作为权益的变动处理。本公司不确认权益工具的公允价值变动。与权益性交易相关的交易费用从权益中扣</w:t>
      </w:r>
    </w:p>
    <w:p>
      <w:pPr>
        <w:spacing w:after="0" w:line="240" w:lineRule="auto"/>
        <w:jc w:val="both"/>
        <w:sectPr>
          <w:pgSz w:w="11910" w:h="16840"/>
          <w:pgMar w:header="877" w:footer="982" w:top="1100" w:bottom="1180" w:left="980" w:right="0"/>
        </w:sectPr>
      </w:pPr>
    </w:p>
    <w:p>
      <w:pPr>
        <w:spacing w:line="240" w:lineRule="auto" w:before="12"/>
        <w:rPr>
          <w:rFonts w:ascii="宋体" w:hAnsi="宋体" w:cs="宋体" w:eastAsia="宋体" w:hint="default"/>
          <w:sz w:val="21"/>
          <w:szCs w:val="21"/>
        </w:rPr>
      </w:pPr>
    </w:p>
    <w:p>
      <w:pPr>
        <w:pStyle w:val="BodyText"/>
        <w:spacing w:line="240" w:lineRule="auto" w:before="44"/>
        <w:ind w:left="153" w:right="0"/>
        <w:jc w:val="left"/>
      </w:pPr>
      <w:r>
        <w:rPr/>
        <w:t>减。</w:t>
      </w:r>
    </w:p>
    <w:p>
      <w:pPr>
        <w:pStyle w:val="BodyText"/>
        <w:spacing w:line="316" w:lineRule="auto" w:before="76"/>
        <w:ind w:left="444" w:right="4520"/>
        <w:jc w:val="left"/>
      </w:pPr>
      <w:r>
        <w:rPr/>
        <w:t>本公司对权益工具持有方的各种分配（不包括股票股利），减少股东权益。 本公司不确认权益工具的公允价值变动额。</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686"/>
        <w:gridCol w:w="5881"/>
      </w:tblGrid>
      <w:tr>
        <w:trPr>
          <w:trHeight w:val="714"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88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万元以上的应收款项确认为单项金额重大的应 收款项。</w:t>
            </w:r>
          </w:p>
        </w:tc>
      </w:tr>
      <w:tr>
        <w:trPr>
          <w:trHeight w:val="1338"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88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86"/>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本公司对单项金额重大的应收款项单独进行减值测试，单独测试未发生减 值的金融资产，包括在具有类似信用风险特征的金融资产组合中进行减值 测试。单项测试已确认减值损失的应收款项，不再包括在具有类似信用风 险特征的应收款项组合中进行减值测试。</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right="0"/>
        <w:jc w:val="left"/>
      </w:pPr>
      <w:r>
        <w:rPr/>
        <w:t>组合中，采用账龄分析法计提坏账准备的：</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0.00%</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5.00%</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10.00%</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20.00%</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50.00%</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80.00%</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组合中，采用余额百分比法计提坏账准备的：</w:t>
      </w:r>
    </w:p>
    <w:p>
      <w:pPr>
        <w:pStyle w:val="BodyText"/>
        <w:spacing w:line="338" w:lineRule="auto" w:before="117"/>
        <w:ind w:right="75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4"/>
        <w:rPr>
          <w:rFonts w:ascii="宋体" w:hAnsi="宋体" w:cs="宋体" w:eastAsia="宋体" w:hint="default"/>
          <w:b/>
          <w:bCs/>
          <w:sz w:val="25"/>
          <w:szCs w:val="25"/>
        </w:rPr>
      </w:pPr>
    </w:p>
    <w:p>
      <w:pPr>
        <w:spacing w:line="966" w:lineRule="exact"/>
        <w:ind w:left="144" w:right="0" w:firstLine="0"/>
        <w:rPr>
          <w:rFonts w:ascii="宋体" w:hAnsi="宋体" w:cs="宋体" w:eastAsia="宋体" w:hint="default"/>
          <w:sz w:val="20"/>
          <w:szCs w:val="20"/>
        </w:rPr>
      </w:pPr>
      <w:r>
        <w:rPr>
          <w:rFonts w:ascii="宋体" w:hAnsi="宋体" w:cs="宋体" w:eastAsia="宋体" w:hint="default"/>
          <w:position w:val="-18"/>
          <w:sz w:val="20"/>
          <w:szCs w:val="20"/>
        </w:rPr>
        <w:pict>
          <v:group style="width:479.35pt;height:48.3pt;mso-position-horizontal-relative:char;mso-position-vertical-relative:line" coordorigin="0,0" coordsize="9587,966">
            <v:group style="position:absolute;left:14;top:640;width:2117;height:312" coordorigin="14,640" coordsize="2117,312">
              <v:shape style="position:absolute;left:14;top:640;width:2117;height:312" coordorigin="14,640" coordsize="2117,312" path="m14,952l2131,952,2131,640,14,640,14,952xe" filled="true" fillcolor="#d3d3d3" stroked="false">
                <v:path arrowok="t"/>
                <v:fill type="solid"/>
              </v:shape>
            </v:group>
            <v:group style="position:absolute;left:26;top:328;width:2;height:312" coordorigin="26,328" coordsize="2,312">
              <v:shape style="position:absolute;left:26;top:328;width:2;height:312" coordorigin="26,328" coordsize="0,312" path="m26,328l26,640e" filled="false" stroked="true" strokeweight="1.140pt" strokecolor="#d3d3d3">
                <v:path arrowok="t"/>
              </v:shape>
            </v:group>
            <v:group style="position:absolute;left:14;top:16;width:2117;height:312" coordorigin="14,16" coordsize="2117,312">
              <v:shape style="position:absolute;left:14;top:16;width:2117;height:312" coordorigin="14,16" coordsize="2117,312" path="m14,328l2131,328,2131,16,14,16,14,328xe" filled="true" fillcolor="#d3d3d3" stroked="false">
                <v:path arrowok="t"/>
                <v:fill type="solid"/>
              </v:shape>
            </v:group>
            <v:group style="position:absolute;left:2120;top:328;width:2;height:312" coordorigin="2120,328" coordsize="2,312">
              <v:shape style="position:absolute;left:2120;top:328;width:2;height:312" coordorigin="2120,328" coordsize="0,312" path="m2120,328l2120,640e" filled="false" stroked="true" strokeweight="1.140pt" strokecolor="#d3d3d3">
                <v:path arrowok="t"/>
              </v:shape>
            </v:group>
            <v:group style="position:absolute;left:37;top:328;width:2072;height:312" coordorigin="37,328" coordsize="2072,312">
              <v:shape style="position:absolute;left:37;top:328;width:2072;height:312" coordorigin="37,328" coordsize="2072,312" path="m37,640l2108,640,2108,328,37,328,37,640xe" filled="true" fillcolor="#d3d3d3" stroked="false">
                <v:path arrowok="t"/>
                <v:fill type="solid"/>
              </v:shape>
            </v:group>
            <v:group style="position:absolute;left:2153;top:16;width:2;height:936" coordorigin="2153,16" coordsize="2,936">
              <v:shape style="position:absolute;left:2153;top:16;width:2;height:936" coordorigin="2153,16" coordsize="0,936" path="m2153,16l2153,952e" filled="false" stroked="true" strokeweight="1.140pt" strokecolor="#c7edcc">
                <v:path arrowok="t"/>
              </v:shape>
            </v:group>
            <v:group style="position:absolute;left:9561;top:16;width:2;height:936" coordorigin="9561,16" coordsize="2,936">
              <v:shape style="position:absolute;left:9561;top:16;width:2;height:936" coordorigin="9561,16" coordsize="0,936" path="m9561,16l9561,952e" filled="false" stroked="true" strokeweight="1.140pt" strokecolor="#c7edcc">
                <v:path arrowok="t"/>
              </v:shape>
            </v:group>
            <v:group style="position:absolute;left:2165;top:16;width:7385;height:312" coordorigin="2165,16" coordsize="7385,312">
              <v:shape style="position:absolute;left:2165;top:16;width:7385;height:312" coordorigin="2165,16" coordsize="7385,312" path="m2165,328l9550,328,9550,16,2165,16,2165,328xe" filled="true" fillcolor="#c7edcc" stroked="false">
                <v:path arrowok="t"/>
                <v:fill type="solid"/>
              </v:shape>
            </v:group>
            <v:group style="position:absolute;left:2165;top:328;width:7385;height:312" coordorigin="2165,328" coordsize="7385,312">
              <v:shape style="position:absolute;left:2165;top:328;width:7385;height:312" coordorigin="2165,328" coordsize="7385,312" path="m2165,640l9550,640,9550,328,2165,328,2165,640xe" filled="true" fillcolor="#c7edcc" stroked="false">
                <v:path arrowok="t"/>
                <v:fill type="solid"/>
              </v:shape>
            </v:group>
            <v:group style="position:absolute;left:2165;top:640;width:7385;height:312" coordorigin="2165,640" coordsize="7385,312">
              <v:shape style="position:absolute;left:2165;top:640;width:7385;height:312" coordorigin="2165,640" coordsize="7385,312" path="m2165,952l9550,952,9550,640,2165,640,2165,952xe" filled="true" fillcolor="#c7edcc"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957" coordorigin="10,5" coordsize="2,957">
              <v:shape style="position:absolute;left:10;top:5;width:2;height:957" coordorigin="10,5" coordsize="0,957" path="m10,5l10,961e" filled="false" stroked="true" strokeweight=".48001pt" strokecolor="#000000">
                <v:path arrowok="t"/>
              </v:shape>
            </v:group>
            <v:group style="position:absolute;left:5;top:956;width:2128;height:2" coordorigin="5,956" coordsize="2128,2">
              <v:shape style="position:absolute;left:5;top:956;width:2128;height:2" coordorigin="5,956" coordsize="2128,0" path="m5,956l2132,956e" filled="false" stroked="true" strokeweight=".48001pt" strokecolor="#000000">
                <v:path arrowok="t"/>
              </v:shape>
            </v:group>
            <v:group style="position:absolute;left:2137;top:14;width:2;height:947" coordorigin="2137,14" coordsize="2,947">
              <v:shape style="position:absolute;left:2137;top:14;width:2;height:947" coordorigin="2137,14" coordsize="0,947" path="m2137,14l2137,961e" filled="false" stroked="true" strokeweight=".48001pt" strokecolor="#000000">
                <v:path arrowok="t"/>
              </v:shape>
            </v:group>
            <v:group style="position:absolute;left:2142;top:956;width:7431;height:2" coordorigin="2142,956" coordsize="7431,2">
              <v:shape style="position:absolute;left:2142;top:956;width:7431;height:2" coordorigin="2142,956" coordsize="7431,0" path="m2142,956l9572,956e" filled="false" stroked="true" strokeweight=".48001pt" strokecolor="#000000">
                <v:path arrowok="t"/>
              </v:shape>
            </v:group>
            <v:group style="position:absolute;left:9577;top:5;width:2;height:957" coordorigin="9577,5" coordsize="2,957">
              <v:shape style="position:absolute;left:9577;top:5;width:2;height:957" coordorigin="9577,5" coordsize="0,957" path="m9577,5l9577,961e" filled="false" stroked="true" strokeweight=".47998pt" strokecolor="#000000">
                <v:path arrowok="t"/>
              </v:shape>
              <v:shape style="position:absolute;left:10;top:10;width:2127;height:947" type="#_x0000_t202" filled="false" stroked="false">
                <v:textbox inset="0,0,0,0">
                  <w:txbxContent>
                    <w:p>
                      <w:pPr>
                        <w:spacing w:line="240" w:lineRule="auto" w:before="1"/>
                        <w:rPr>
                          <w:rFonts w:ascii="宋体" w:hAnsi="宋体" w:cs="宋体" w:eastAsia="宋体" w:hint="default"/>
                          <w:b/>
                          <w:bCs/>
                          <w:sz w:val="25"/>
                          <w:szCs w:val="25"/>
                        </w:rPr>
                      </w:pPr>
                    </w:p>
                    <w:p>
                      <w:pPr>
                        <w:spacing w:before="0"/>
                        <w:ind w:left="27" w:right="0" w:firstLine="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xbxContent>
                </v:textbox>
                <w10:wrap type="none"/>
              </v:shape>
              <v:shape style="position:absolute;left:2137;top:10;width:7441;height:947" type="#_x0000_t202" filled="false" stroked="false">
                <v:textbox inset="0,0,0,0">
                  <w:txbxContent>
                    <w:p>
                      <w:pPr>
                        <w:spacing w:line="316" w:lineRule="auto" w:before="16"/>
                        <w:ind w:left="28" w:right="30" w:firstLine="0"/>
                        <w:jc w:val="both"/>
                        <w:rPr>
                          <w:rFonts w:ascii="宋体" w:hAnsi="宋体" w:cs="宋体" w:eastAsia="宋体" w:hint="default"/>
                          <w:sz w:val="18"/>
                          <w:szCs w:val="18"/>
                        </w:rPr>
                      </w:pPr>
                      <w:r>
                        <w:rPr>
                          <w:rFonts w:ascii="宋体" w:hAnsi="宋体" w:cs="宋体" w:eastAsia="宋体" w:hint="default"/>
                          <w:sz w:val="18"/>
                          <w:szCs w:val="18"/>
                        </w:rPr>
                        <w:t>有客观证据表明其发生了减值的，根据其未来现金流量现值低于其账面价值的差额，确认减值 损失，计提坏账准备；与对方存在争议或涉及诉讼、仲裁的应收款项；已有明显迹象表明债务 人很可能无法履行还款义务的应收款项等</w:t>
                      </w:r>
                    </w:p>
                  </w:txbxContent>
                </v:textbox>
                <w10:wrap type="none"/>
              </v:shape>
            </v:group>
          </v:group>
        </w:pict>
      </w:r>
      <w:r>
        <w:rPr>
          <w:rFonts w:ascii="宋体" w:hAnsi="宋体" w:cs="宋体" w:eastAsia="宋体" w:hint="default"/>
          <w:position w:val="-18"/>
          <w:sz w:val="20"/>
          <w:szCs w:val="20"/>
        </w:rPr>
      </w:r>
    </w:p>
    <w:p>
      <w:pPr>
        <w:spacing w:after="0" w:line="966" w:lineRule="exact"/>
        <w:rPr>
          <w:rFonts w:ascii="宋体" w:hAnsi="宋体" w:cs="宋体" w:eastAsia="宋体" w:hint="default"/>
          <w:sz w:val="20"/>
          <w:szCs w:val="20"/>
        </w:rPr>
        <w:sectPr>
          <w:pgSz w:w="11910" w:h="16840"/>
          <w:pgMar w:header="877" w:footer="982" w:top="1100" w:bottom="1180" w:left="980" w:right="0"/>
        </w:sectPr>
      </w:pPr>
    </w:p>
    <w:p>
      <w:pPr>
        <w:spacing w:line="240" w:lineRule="auto" w:before="2"/>
        <w:rPr>
          <w:rFonts w:ascii="宋体" w:hAnsi="宋体" w:cs="宋体" w:eastAsia="宋体" w:hint="default"/>
          <w:b/>
          <w:bCs/>
          <w:sz w:val="24"/>
          <w:szCs w:val="24"/>
        </w:rPr>
      </w:pPr>
    </w:p>
    <w:p>
      <w:pPr>
        <w:spacing w:line="342" w:lineRule="exact"/>
        <w:ind w:left="144"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79.35pt;height:17.1pt;mso-position-horizontal-relative:char;mso-position-vertical-relative:line" coordorigin="0,0" coordsize="9587,342">
            <v:group style="position:absolute;left:26;top:14;width:2;height:312" coordorigin="26,14" coordsize="2,312">
              <v:shape style="position:absolute;left:26;top:14;width:2;height:312" coordorigin="26,14" coordsize="0,312" path="m26,14l26,326e" filled="false" stroked="true" strokeweight="1.140pt" strokecolor="#d3d3d3">
                <v:path arrowok="t"/>
              </v:shape>
            </v:group>
            <v:group style="position:absolute;left:2120;top:14;width:2;height:312" coordorigin="2120,14" coordsize="2,312">
              <v:shape style="position:absolute;left:2120;top:14;width:2;height:312" coordorigin="2120,14" coordsize="0,312" path="m2120,14l2120,326e" filled="false" stroked="true" strokeweight="1.140pt" strokecolor="#d3d3d3">
                <v:path arrowok="t"/>
              </v:shape>
            </v:group>
            <v:group style="position:absolute;left:37;top:14;width:2072;height:312" coordorigin="37,14" coordsize="2072,312">
              <v:shape style="position:absolute;left:37;top:14;width:2072;height:312" coordorigin="37,14" coordsize="2072,312" path="m37,326l2108,326,2108,14,37,14,37,326xe" filled="true" fillcolor="#d3d3d3" stroked="false">
                <v:path arrowok="t"/>
                <v:fill type="solid"/>
              </v:shape>
            </v:group>
            <v:group style="position:absolute;left:2153;top:14;width:2;height:312" coordorigin="2153,14" coordsize="2,312">
              <v:shape style="position:absolute;left:2153;top:14;width:2;height:312" coordorigin="2153,14" coordsize="0,312" path="m2153,14l2153,326e" filled="false" stroked="true" strokeweight="1.140pt" strokecolor="#c7edcc">
                <v:path arrowok="t"/>
              </v:shape>
            </v:group>
            <v:group style="position:absolute;left:9561;top:14;width:2;height:312" coordorigin="9561,14" coordsize="2,312">
              <v:shape style="position:absolute;left:9561;top:14;width:2;height:312" coordorigin="9561,14" coordsize="0,312" path="m9561,14l9561,326e" filled="false" stroked="true" strokeweight="1.140pt" strokecolor="#c7edcc">
                <v:path arrowok="t"/>
              </v:shape>
            </v:group>
            <v:group style="position:absolute;left:2165;top:14;width:7385;height:312" coordorigin="2165,14" coordsize="7385,312">
              <v:shape style="position:absolute;left:2165;top:14;width:7385;height:312" coordorigin="2165,14" coordsize="7385,312" path="m2165,326l9550,326,9550,14,2165,14,2165,326xe" filled="true" fillcolor="#c7edcc"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333" coordorigin="10,5" coordsize="2,333">
              <v:shape style="position:absolute;left:10;top:5;width:2;height:333" coordorigin="10,5" coordsize="0,333" path="m10,5l10,337e" filled="false" stroked="true" strokeweight=".48001pt" strokecolor="#000000">
                <v:path arrowok="t"/>
              </v:shape>
            </v:group>
            <v:group style="position:absolute;left:5;top:332;width:2128;height:2" coordorigin="5,332" coordsize="2128,2">
              <v:shape style="position:absolute;left:5;top:332;width:2128;height:2" coordorigin="5,332" coordsize="2128,0" path="m5,332l2132,332e" filled="false" stroked="true" strokeweight=".48004pt" strokecolor="#000000">
                <v:path arrowok="t"/>
              </v:shape>
            </v:group>
            <v:group style="position:absolute;left:2137;top:14;width:2;height:323" coordorigin="2137,14" coordsize="2,323">
              <v:shape style="position:absolute;left:2137;top:14;width:2;height:323" coordorigin="2137,14" coordsize="0,323" path="m2137,14l2137,337e" filled="false" stroked="true" strokeweight=".48001pt" strokecolor="#000000">
                <v:path arrowok="t"/>
              </v:shape>
            </v:group>
            <v:group style="position:absolute;left:2142;top:332;width:7431;height:2" coordorigin="2142,332" coordsize="7431,2">
              <v:shape style="position:absolute;left:2142;top:332;width:7431;height:2" coordorigin="2142,332" coordsize="7431,0" path="m2142,332l9572,332e" filled="false" stroked="true" strokeweight=".48004pt" strokecolor="#000000">
                <v:path arrowok="t"/>
              </v:shape>
            </v:group>
            <v:group style="position:absolute;left:9577;top:5;width:2;height:333" coordorigin="9577,5" coordsize="2,333">
              <v:shape style="position:absolute;left:9577;top:5;width:2;height:333" coordorigin="9577,5" coordsize="0,333" path="m9577,5l9577,337e" filled="false" stroked="true" strokeweight=".47998pt" strokecolor="#000000">
                <v:path arrowok="t"/>
              </v:shape>
              <v:shape style="position:absolute;left:10;top:10;width:2116;height:323" type="#_x0000_t202" filled="false" stroked="false">
                <v:textbox inset="0,0,0,0">
                  <w:txbxContent>
                    <w:p>
                      <w:pPr>
                        <w:spacing w:before="15"/>
                        <w:ind w:left="27" w:right="0" w:firstLine="0"/>
                        <w:jc w:val="left"/>
                        <w:rPr>
                          <w:rFonts w:ascii="宋体" w:hAnsi="宋体" w:cs="宋体" w:eastAsia="宋体" w:hint="default"/>
                          <w:sz w:val="18"/>
                          <w:szCs w:val="18"/>
                        </w:rPr>
                      </w:pPr>
                      <w:r>
                        <w:rPr>
                          <w:rFonts w:ascii="宋体" w:hAnsi="宋体" w:cs="宋体" w:eastAsia="宋体" w:hint="default"/>
                          <w:sz w:val="18"/>
                          <w:szCs w:val="18"/>
                        </w:rPr>
                        <w:t>坏账准备的计提方法</w:t>
                      </w:r>
                    </w:p>
                  </w:txbxContent>
                </v:textbox>
                <w10:wrap type="none"/>
              </v:shape>
              <v:shape style="position:absolute;left:2125;top:10;width:7452;height:323" type="#_x0000_t202" filled="false" stroked="false">
                <v:textbox inset="0,0,0,0">
                  <w:txbxContent>
                    <w:p>
                      <w:pPr>
                        <w:spacing w:before="15"/>
                        <w:ind w:left="39" w:right="0" w:firstLine="0"/>
                        <w:jc w:val="left"/>
                        <w:rPr>
                          <w:rFonts w:ascii="宋体" w:hAnsi="宋体" w:cs="宋体" w:eastAsia="宋体" w:hint="default"/>
                          <w:sz w:val="18"/>
                          <w:szCs w:val="18"/>
                        </w:rPr>
                      </w:pPr>
                      <w:r>
                        <w:rPr>
                          <w:rFonts w:ascii="宋体" w:hAnsi="宋体" w:cs="宋体" w:eastAsia="宋体" w:hint="default"/>
                          <w:sz w:val="18"/>
                          <w:szCs w:val="18"/>
                        </w:rPr>
                        <w:t>单独进行减值测试</w:t>
                      </w:r>
                    </w:p>
                  </w:txbxContent>
                </v:textbox>
                <w10:wrap type="none"/>
              </v:shape>
            </v:group>
          </v:group>
        </w:pict>
      </w:r>
      <w:r>
        <w:rPr>
          <w:rFonts w:ascii="宋体" w:hAnsi="宋体" w:cs="宋体" w:eastAsia="宋体" w:hint="default"/>
          <w:position w:val="-6"/>
          <w:sz w:val="20"/>
          <w:szCs w:val="20"/>
        </w:rPr>
      </w:r>
    </w:p>
    <w:p>
      <w:pPr>
        <w:spacing w:line="240" w:lineRule="auto" w:before="11"/>
        <w:rPr>
          <w:rFonts w:ascii="宋体" w:hAnsi="宋体" w:cs="宋体" w:eastAsia="宋体" w:hint="default"/>
          <w:b/>
          <w:bCs/>
          <w:sz w:val="18"/>
          <w:szCs w:val="18"/>
        </w:rPr>
      </w:pPr>
    </w:p>
    <w:p>
      <w:pPr>
        <w:pStyle w:val="Heading3"/>
        <w:spacing w:line="240" w:lineRule="auto" w:before="35"/>
        <w:ind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3" w:right="7691"/>
        <w:jc w:val="left"/>
      </w:pPr>
      <w:r>
        <w:rPr/>
        <w:t>公司是否需要遵守特殊行业的披露要求 否</w:t>
      </w:r>
    </w:p>
    <w:p>
      <w:pPr>
        <w:pStyle w:val="BodyText"/>
        <w:spacing w:line="300" w:lineRule="auto" w:before="26"/>
        <w:ind w:left="580" w:right="5644"/>
        <w:jc w:val="left"/>
      </w:pPr>
      <w:r>
        <w:rPr/>
        <w:t>（</w:t>
      </w:r>
      <w:r>
        <w:rPr>
          <w:rFonts w:ascii="Times New Roman" w:hAnsi="Times New Roman" w:cs="Times New Roman" w:eastAsia="Times New Roman" w:hint="default"/>
        </w:rPr>
        <w:t>1</w:t>
      </w:r>
      <w:r>
        <w:rPr/>
        <w:t>）存货的分类 存货主要包括原材料、库存商品、低值易耗品、发出商品。</w:t>
      </w:r>
    </w:p>
    <w:p>
      <w:pPr>
        <w:pStyle w:val="BodyText"/>
        <w:spacing w:line="300" w:lineRule="auto" w:before="31"/>
        <w:ind w:left="580" w:right="1324"/>
        <w:jc w:val="left"/>
      </w:pPr>
      <w:r>
        <w:rPr/>
        <w:t>（</w:t>
      </w:r>
      <w:r>
        <w:rPr>
          <w:rFonts w:ascii="Times New Roman" w:hAnsi="Times New Roman" w:cs="Times New Roman" w:eastAsia="Times New Roman" w:hint="default"/>
        </w:rPr>
        <w:t>2</w:t>
      </w:r>
      <w:r>
        <w:rPr/>
        <w:t>）存货取得和发出的计价方法 存货在取得时按实际成本计价，存货成本包括采购成本、加工成本和其他成本。领用和发出时按加权平均法计价。</w:t>
      </w:r>
    </w:p>
    <w:p>
      <w:pPr>
        <w:pStyle w:val="BodyText"/>
        <w:spacing w:line="300" w:lineRule="auto" w:before="31"/>
        <w:ind w:left="580" w:right="1144"/>
        <w:jc w:val="left"/>
      </w:pPr>
      <w:r>
        <w:rPr/>
        <w:t>（</w:t>
      </w:r>
      <w:r>
        <w:rPr>
          <w:rFonts w:ascii="Times New Roman" w:hAnsi="Times New Roman" w:cs="Times New Roman" w:eastAsia="Times New Roman" w:hint="default"/>
        </w:rPr>
        <w:t>3</w:t>
      </w:r>
      <w:r>
        <w:rPr/>
        <w:t>）存货可变现净值的确认和跌价准备的计提方法 可变现净值是指在日常活动中，存货的估计售价减去至完工时估计将要发生的成本、估计的销售费用以及相关税费后</w:t>
      </w:r>
    </w:p>
    <w:p>
      <w:pPr>
        <w:pStyle w:val="BodyText"/>
        <w:spacing w:line="316" w:lineRule="auto" w:before="31"/>
        <w:ind w:left="580" w:right="0" w:hanging="426"/>
        <w:jc w:val="left"/>
      </w:pPr>
      <w:r>
        <w:rPr>
          <w:spacing w:val="-4"/>
        </w:rPr>
        <w:t>的金额。在确定存货的可变现净值时，以取得的确凿证据为基础，同时考虑持有存货的目的以及资产负债表日后事项的影响。</w:t>
      </w:r>
      <w:r>
        <w:rPr>
          <w:spacing w:val="-44"/>
        </w:rPr>
        <w:t> </w:t>
      </w:r>
      <w:r>
        <w:rPr>
          <w:spacing w:val="-44"/>
        </w:rPr>
      </w:r>
      <w:r>
        <w:rPr/>
        <w:t>在资产负债表日，存货按照成本与可变现净值孰低计量。当其可变现净值低于成本时，提取存货跌价准备。存货跌价</w:t>
      </w:r>
    </w:p>
    <w:p>
      <w:pPr>
        <w:pStyle w:val="BodyText"/>
        <w:spacing w:line="316" w:lineRule="auto" w:before="19"/>
        <w:ind w:left="153" w:right="1129"/>
        <w:jc w:val="both"/>
      </w:pPr>
      <w:r>
        <w:rPr>
          <w:spacing w:val="-2"/>
        </w:rPr>
        <w:t>准备通常按单个存货项目的成本高于其可变现净值的差额提取。对于数量繁多、单价较低的存货，按存货类别计提存货跌价</w:t>
      </w:r>
      <w:r>
        <w:rPr>
          <w:spacing w:val="-66"/>
        </w:rPr>
        <w:t> </w:t>
      </w:r>
      <w:r>
        <w:rPr>
          <w:spacing w:val="-66"/>
        </w:rPr>
      </w:r>
      <w:r>
        <w:rPr>
          <w:spacing w:val="-2"/>
        </w:rPr>
        <w:t>准备；对在同一地区生产和销售的产品系列相关、具有相同或类似最终用途或目的，且难以与其他项目分开计量的存货，可</w:t>
      </w:r>
      <w:r>
        <w:rPr>
          <w:spacing w:val="-66"/>
        </w:rPr>
        <w:t> </w:t>
      </w:r>
      <w:r>
        <w:rPr>
          <w:spacing w:val="-66"/>
        </w:rPr>
      </w:r>
      <w:r>
        <w:rPr/>
        <w:t>合并计提存货跌价准备。</w:t>
      </w:r>
    </w:p>
    <w:p>
      <w:pPr>
        <w:pStyle w:val="BodyText"/>
        <w:spacing w:line="316" w:lineRule="auto" w:before="19"/>
        <w:ind w:left="153" w:right="1162" w:firstLine="426"/>
        <w:jc w:val="both"/>
      </w:pPr>
      <w:r>
        <w:rPr/>
        <w:t>计提存货跌价准备后，如果以前减记存货价值的影响因素已经消失，导致存货的可变现净值高于其账面价值的，在原 已计提的存货跌价准备金额内予以转回，转回的金额计入当期损益。</w:t>
      </w:r>
    </w:p>
    <w:p>
      <w:pPr>
        <w:pStyle w:val="BodyText"/>
        <w:spacing w:line="240" w:lineRule="auto" w:before="19"/>
        <w:ind w:left="580" w:right="0"/>
        <w:jc w:val="left"/>
      </w:pPr>
      <w:r>
        <w:rPr/>
        <w:t>（</w:t>
      </w:r>
      <w:r>
        <w:rPr>
          <w:rFonts w:ascii="Times New Roman" w:hAnsi="Times New Roman" w:cs="Times New Roman" w:eastAsia="Times New Roman" w:hint="default"/>
        </w:rPr>
        <w:t>4</w:t>
      </w:r>
      <w:r>
        <w:rPr/>
        <w:t>）存货的盘存制度为永续盘存制。</w:t>
      </w:r>
    </w:p>
    <w:p>
      <w:pPr>
        <w:pStyle w:val="BodyText"/>
        <w:spacing w:line="300" w:lineRule="auto" w:before="63"/>
        <w:ind w:left="580" w:right="4204"/>
        <w:jc w:val="left"/>
      </w:pPr>
      <w:r>
        <w:rPr/>
        <w:t>（</w:t>
      </w:r>
      <w:r>
        <w:rPr>
          <w:rFonts w:ascii="Times New Roman" w:hAnsi="Times New Roman" w:cs="Times New Roman" w:eastAsia="Times New Roman" w:hint="default"/>
        </w:rPr>
        <w:t>5</w:t>
      </w:r>
      <w:r>
        <w:rPr/>
        <w:t>）低值易耗品和包装物的摊销方法 低值易耗品于领用时按一次摊销法摊销；包装物于领用时按一次摊销法摊销。</w:t>
      </w:r>
    </w:p>
    <w:p>
      <w:pPr>
        <w:spacing w:line="240" w:lineRule="auto" w:before="6"/>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53" w:right="1130" w:firstLine="426"/>
        <w:jc w:val="both"/>
      </w:pPr>
      <w:r>
        <w:rPr/>
        <w:t>本部分所指的长期股权投资是指本公司对被投资单位具有控制、共同控制或重大影响的长期股权投资。本公司对被投 </w:t>
      </w:r>
      <w:r>
        <w:rPr>
          <w:spacing w:val="-2"/>
        </w:rPr>
        <w:t>资单位不具有控制、共同控制或重大影响的长期股权投资，作为可供出售金融资产或以公允价值计量且其变动计入当期损益</w:t>
      </w:r>
      <w:r>
        <w:rPr>
          <w:spacing w:val="-64"/>
        </w:rPr>
        <w:t> </w:t>
      </w:r>
      <w:r>
        <w:rPr>
          <w:spacing w:val="-64"/>
        </w:rPr>
      </w:r>
      <w:r>
        <w:rPr/>
        <w:t>的金融资产核算，其会计政策详见附注五、</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w:t>
      </w:r>
      <w:r>
        <w:rPr/>
        <w:t>。</w:t>
      </w:r>
    </w:p>
    <w:p>
      <w:pPr>
        <w:pStyle w:val="BodyText"/>
        <w:spacing w:line="316" w:lineRule="auto"/>
        <w:ind w:left="153" w:right="1131" w:firstLine="426"/>
        <w:jc w:val="both"/>
      </w:pPr>
      <w:r>
        <w:rPr/>
        <w:t>共同控制，是指本公司按照相关约定对某项安排所共有的控制，并且该安排的相关活动必须经过分享控制权的参与方 </w:t>
      </w:r>
      <w:r>
        <w:rPr>
          <w:spacing w:val="-2"/>
        </w:rPr>
        <w:t>一致同意后才能决策。重大影响，是指本公司对被投资单位的财务和经营政策有参与决策的权力，但并不能够控制或者与其</w:t>
      </w:r>
      <w:r>
        <w:rPr>
          <w:spacing w:val="-66"/>
        </w:rPr>
        <w:t> </w:t>
      </w:r>
      <w:r>
        <w:rPr>
          <w:spacing w:val="-66"/>
        </w:rPr>
      </w:r>
      <w:r>
        <w:rPr/>
        <w:t>他方一起共同控制这些政策的制定。</w:t>
      </w:r>
    </w:p>
    <w:p>
      <w:pPr>
        <w:pStyle w:val="BodyText"/>
        <w:spacing w:line="300" w:lineRule="auto" w:before="19"/>
        <w:ind w:left="580" w:right="1144"/>
        <w:jc w:val="left"/>
      </w:pPr>
      <w:r>
        <w:rPr/>
        <w:t>（</w:t>
      </w:r>
      <w:r>
        <w:rPr>
          <w:rFonts w:ascii="Times New Roman" w:hAnsi="Times New Roman" w:cs="Times New Roman" w:eastAsia="Times New Roman" w:hint="default"/>
        </w:rPr>
        <w:t>1</w:t>
      </w:r>
      <w:r>
        <w:rPr/>
        <w:t>）投资成本的确定 对于同一控制下的企业合并取得的长期股权投资，在合并日按照被合并方股东权益在最终控制方合并财务报表中的账</w:t>
      </w:r>
    </w:p>
    <w:p>
      <w:pPr>
        <w:pStyle w:val="BodyText"/>
        <w:spacing w:line="314" w:lineRule="auto" w:before="31"/>
        <w:ind w:left="153" w:right="1129"/>
        <w:jc w:val="both"/>
      </w:pPr>
      <w:r>
        <w:rPr>
          <w:spacing w:val="-2"/>
        </w:rPr>
        <w:t>面价值的份额作为长期股权投资的初始投资成本。长期股权投资初始投资成本与支付的现金、转让的非现金资产以及所承担</w:t>
      </w:r>
      <w:r>
        <w:rPr>
          <w:spacing w:val="-64"/>
        </w:rPr>
        <w:t> </w:t>
      </w:r>
      <w:r>
        <w:rPr>
          <w:spacing w:val="-64"/>
        </w:rPr>
      </w:r>
      <w:r>
        <w:rPr>
          <w:spacing w:val="-2"/>
        </w:rPr>
        <w:t>债务账面价值之间的差额，调整资本公积；资本公积不足冲减的，调整留存收益。以发行权益性证券作为合并对价的，在合</w:t>
      </w:r>
      <w:r>
        <w:rPr>
          <w:spacing w:val="-66"/>
        </w:rPr>
        <w:t> </w:t>
      </w:r>
      <w:r>
        <w:rPr>
          <w:spacing w:val="-66"/>
        </w:rPr>
      </w:r>
      <w:r>
        <w:rPr>
          <w:spacing w:val="-2"/>
        </w:rPr>
        <w:t>并日按照被合并方股东权益在最终控制方合并财务报表中的账面价值的份额作为长期股权投资的初始投资成本，按照发行股</w:t>
      </w:r>
      <w:r>
        <w:rPr>
          <w:spacing w:val="-64"/>
        </w:rPr>
        <w:t> </w:t>
      </w:r>
      <w:r>
        <w:rPr>
          <w:spacing w:val="-64"/>
        </w:rPr>
      </w:r>
      <w:r>
        <w:rPr>
          <w:spacing w:val="-2"/>
        </w:rPr>
        <w:t>份的面值总额作为股本，长期股权投资初始投资成本与所发行股份面值总额之间的差额，调整资本公积；资本公积不足冲减</w:t>
      </w:r>
      <w:r>
        <w:rPr>
          <w:spacing w:val="-66"/>
        </w:rPr>
        <w:t> </w:t>
      </w:r>
      <w:r>
        <w:rPr>
          <w:spacing w:val="-66"/>
        </w:rPr>
      </w:r>
      <w:r>
        <w:rPr>
          <w:spacing w:val="-2"/>
        </w:rPr>
        <w:t>的，调整留存收益。通过多次交易分步取得同一控制下被合并方的股权，最终形成同一控制下企业合并的，应分别是否属于</w:t>
      </w:r>
      <w:r>
        <w:rPr>
          <w:spacing w:val="-66"/>
        </w:rPr>
        <w:t> </w:t>
      </w:r>
      <w:r>
        <w:rPr>
          <w:spacing w:val="-66"/>
        </w:rPr>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进行处理：属于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的，将各项交易作为一项取得控制权的交易进行会计处理。不属于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3"/>
        </w:rPr>
        <w:t> </w:t>
      </w:r>
      <w:r>
        <w:rPr>
          <w:spacing w:val="-2"/>
        </w:rPr>
        <w:t>的，在合并日按照应享有被合并方股东权益在最终控制方合并财务报表中的账面价值的份额作为长期股权投资的初始投资成</w:t>
      </w:r>
      <w:r>
        <w:rPr>
          <w:spacing w:val="-64"/>
        </w:rPr>
        <w:t> </w:t>
      </w:r>
      <w:r>
        <w:rPr>
          <w:spacing w:val="-64"/>
        </w:rPr>
      </w:r>
      <w:r>
        <w:rPr>
          <w:spacing w:val="-2"/>
        </w:rPr>
        <w:t>本，长期股权投资初始投资成本与达到合并前的长期股权投资账面价值加上合并日进一步取得股份新支付对价的账面价值之</w:t>
      </w:r>
      <w:r>
        <w:rPr>
          <w:spacing w:val="-64"/>
        </w:rPr>
        <w:t> </w:t>
      </w:r>
      <w:r>
        <w:rPr>
          <w:spacing w:val="-64"/>
        </w:rPr>
      </w:r>
      <w:r>
        <w:rPr>
          <w:spacing w:val="-2"/>
        </w:rPr>
        <w:t>和的差额，调整资本公积；资本公积不足冲减的，调整留存收益。合并日之前持有的股权投资因采用权益法核算或为可供出</w:t>
      </w:r>
    </w:p>
    <w:p>
      <w:pPr>
        <w:spacing w:after="0" w:line="314" w:lineRule="auto"/>
        <w:jc w:val="both"/>
        <w:sectPr>
          <w:pgSz w:w="11910" w:h="16840"/>
          <w:pgMar w:header="877" w:footer="982" w:top="1100" w:bottom="1180" w:left="980" w:right="0"/>
        </w:sectPr>
      </w:pPr>
    </w:p>
    <w:p>
      <w:pPr>
        <w:spacing w:line="240" w:lineRule="auto" w:before="12"/>
        <w:rPr>
          <w:rFonts w:ascii="宋体" w:hAnsi="宋体" w:cs="宋体" w:eastAsia="宋体" w:hint="default"/>
          <w:sz w:val="21"/>
          <w:szCs w:val="21"/>
        </w:rPr>
      </w:pPr>
    </w:p>
    <w:p>
      <w:pPr>
        <w:pStyle w:val="BodyText"/>
        <w:spacing w:line="316" w:lineRule="auto" w:before="44"/>
        <w:ind w:left="579" w:right="1145" w:hanging="426"/>
        <w:jc w:val="left"/>
      </w:pPr>
      <w:r>
        <w:rPr/>
        <w:t>售金融资产而确认的其他综合收益，暂不进行会计处理。 对于非同一控制下的企业合并取得的长期股权投资，在购买日按照合并成本作为长期股权投资的初始投资成本，合并</w:t>
      </w:r>
    </w:p>
    <w:p>
      <w:pPr>
        <w:pStyle w:val="BodyText"/>
        <w:spacing w:line="312" w:lineRule="auto" w:before="19"/>
        <w:ind w:left="153" w:right="1129"/>
        <w:jc w:val="both"/>
      </w:pPr>
      <w:r>
        <w:rPr>
          <w:spacing w:val="-2"/>
        </w:rPr>
        <w:t>成本包括购买方付出的资产、发生或承担的负债、发行的权益性证券的公允价值之和。通过多次交易分步取得被购买方的股</w:t>
      </w:r>
      <w:r>
        <w:rPr>
          <w:spacing w:val="-66"/>
        </w:rPr>
        <w:t> </w:t>
      </w:r>
      <w:r>
        <w:rPr>
          <w:spacing w:val="-66"/>
        </w:rPr>
      </w:r>
      <w:r>
        <w:rPr>
          <w:spacing w:val="-1"/>
        </w:rPr>
        <w:t>权，最终形成非同一控制下的企业合并的，应分别是否属于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进行处理：属于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的，将各项交易作为</w:t>
      </w:r>
      <w:r>
        <w:rPr>
          <w:spacing w:val="-78"/>
        </w:rPr>
        <w:t> </w:t>
      </w:r>
      <w:r>
        <w:rPr>
          <w:spacing w:val="-78"/>
        </w:rPr>
      </w:r>
      <w:r>
        <w:rPr>
          <w:spacing w:val="-2"/>
        </w:rPr>
        <w:t>一项取得控制权的交易进行会计处理。不属于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的，按照原持有被购买方的股权投资账面价值加上新增投资成本</w:t>
      </w:r>
      <w:r>
        <w:rPr>
          <w:spacing w:val="-44"/>
        </w:rPr>
        <w:t> </w:t>
      </w:r>
      <w:r>
        <w:rPr>
          <w:spacing w:val="-44"/>
        </w:rPr>
      </w:r>
      <w:r>
        <w:rPr>
          <w:spacing w:val="-2"/>
        </w:rPr>
        <w:t>之和，作为改按成本法核算的长期股权投资的初始投资成本。原持有的股权采用权益法核算的，相关其他综合收益暂不进行</w:t>
      </w:r>
      <w:r>
        <w:rPr>
          <w:spacing w:val="-66"/>
        </w:rPr>
        <w:t> </w:t>
      </w:r>
      <w:r>
        <w:rPr>
          <w:spacing w:val="-66"/>
        </w:rPr>
      </w:r>
      <w:r>
        <w:rPr>
          <w:spacing w:val="-2"/>
        </w:rPr>
        <w:t>会计处理。原持有股权投资为可供出售金融资产的，其公允价值与账面价值之间的差额，以及原计入其他综合收益的累计公</w:t>
      </w:r>
      <w:r>
        <w:rPr>
          <w:spacing w:val="-66"/>
        </w:rPr>
        <w:t> </w:t>
      </w:r>
      <w:r>
        <w:rPr>
          <w:spacing w:val="-66"/>
        </w:rPr>
      </w:r>
      <w:r>
        <w:rPr/>
        <w:t>允价值变动转入当期损益。</w:t>
      </w:r>
    </w:p>
    <w:p>
      <w:pPr>
        <w:pStyle w:val="BodyText"/>
        <w:spacing w:line="316" w:lineRule="auto" w:before="22"/>
        <w:ind w:right="1162" w:firstLine="426"/>
        <w:jc w:val="both"/>
      </w:pPr>
      <w:r>
        <w:rPr/>
        <w:t>合并方或购买方为企业合并发生的审计、法律服务、评估咨询等中介费用以及其他相关管理费用，于发生时计入当期 损益。</w:t>
      </w:r>
    </w:p>
    <w:p>
      <w:pPr>
        <w:pStyle w:val="BodyText"/>
        <w:spacing w:line="314" w:lineRule="auto" w:before="19"/>
        <w:ind w:right="1129" w:firstLine="426"/>
        <w:jc w:val="both"/>
      </w:pPr>
      <w:r>
        <w:rPr/>
        <w:t>除企业合并形成的长期股权投资外的其他股权投资，按成本进行初始计量，该成本视长期股权投资取得方式的不同， </w:t>
      </w:r>
      <w:r>
        <w:rPr>
          <w:spacing w:val="-2"/>
        </w:rPr>
        <w:t>分别按照本公司实际支付的现金购买价款、本公司发行的权益性证券的公允价值、投资合同或协议约定的价值、非货币性资</w:t>
      </w:r>
      <w:r>
        <w:rPr>
          <w:spacing w:val="-66"/>
        </w:rPr>
        <w:t> </w:t>
      </w:r>
      <w:r>
        <w:rPr>
          <w:spacing w:val="-66"/>
        </w:rPr>
      </w:r>
      <w:r>
        <w:rPr>
          <w:spacing w:val="-2"/>
        </w:rPr>
        <w:t>产交换交易中换出资产的公允价值或原账面价值、该项长期股权投资自身的公允价值等方式确定。与取得长期股权投资直接</w:t>
      </w:r>
      <w:r>
        <w:rPr>
          <w:spacing w:val="-64"/>
        </w:rPr>
        <w:t> </w:t>
      </w:r>
      <w:r>
        <w:rPr>
          <w:spacing w:val="-64"/>
        </w:rPr>
      </w:r>
      <w:r>
        <w:rPr>
          <w:spacing w:val="-2"/>
        </w:rPr>
        <w:t>相关的费用、税金及其他必要支出也计入投资成本。对于因追加投资能够对被投资单位实施重大影响或实施共同控制但不构</w:t>
      </w:r>
      <w:r>
        <w:rPr>
          <w:spacing w:val="-64"/>
        </w:rPr>
        <w:t> </w:t>
      </w:r>
      <w:r>
        <w:rPr>
          <w:spacing w:val="-64"/>
        </w:rPr>
      </w:r>
      <w:r>
        <w:rPr>
          <w:spacing w:val="-2"/>
        </w:rPr>
        <w:t>成控制的，长期股权投资成本为按照《企业会计准则第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金融工具确认和计量》确定的原持有股权投资的公允价值加</w:t>
      </w:r>
      <w:r>
        <w:rPr>
          <w:spacing w:val="-64"/>
        </w:rPr>
        <w:t> </w:t>
      </w:r>
      <w:r>
        <w:rPr>
          <w:spacing w:val="-64"/>
        </w:rPr>
      </w:r>
      <w:r>
        <w:rPr/>
        <w:t>上新增投资成本之和。</w:t>
      </w:r>
    </w:p>
    <w:p>
      <w:pPr>
        <w:pStyle w:val="BodyText"/>
        <w:spacing w:line="300" w:lineRule="auto" w:before="20"/>
        <w:ind w:left="580" w:right="1144"/>
        <w:jc w:val="left"/>
      </w:pPr>
      <w:r>
        <w:rPr/>
        <w:t>（</w:t>
      </w:r>
      <w:r>
        <w:rPr>
          <w:rFonts w:ascii="Times New Roman" w:hAnsi="Times New Roman" w:cs="Times New Roman" w:eastAsia="Times New Roman" w:hint="default"/>
        </w:rPr>
        <w:t>2</w:t>
      </w:r>
      <w:r>
        <w:rPr/>
        <w:t>）后续计量及损益确认方法 对被投资单位具有共同控制（构成共同经营者除外）或重大影响的长期股权投资，采用权益法核算。此外，公司财务</w:t>
      </w:r>
    </w:p>
    <w:p>
      <w:pPr>
        <w:pStyle w:val="BodyText"/>
        <w:spacing w:line="240" w:lineRule="auto" w:before="31"/>
        <w:ind w:right="0"/>
        <w:jc w:val="both"/>
      </w:pPr>
      <w:r>
        <w:rPr/>
        <w:t>报表采用成本法核算能够对被投资单位实施控制的长期股权投资。</w:t>
      </w:r>
    </w:p>
    <w:p>
      <w:pPr>
        <w:pStyle w:val="BodyText"/>
        <w:spacing w:line="316" w:lineRule="auto" w:before="76"/>
        <w:ind w:left="580" w:right="1144"/>
        <w:jc w:val="left"/>
      </w:pPr>
      <w:r>
        <w:rPr/>
        <w:t>①成本法核算的长期股权投资 采用成本法核算时，长期股权投资按初始投资成本计价，追加或收回投资调整长期股权投资的成本。除取得投资时实</w:t>
      </w:r>
    </w:p>
    <w:p>
      <w:pPr>
        <w:pStyle w:val="BodyText"/>
        <w:spacing w:line="316" w:lineRule="auto" w:before="19"/>
        <w:ind w:right="1129"/>
        <w:jc w:val="both"/>
      </w:pPr>
      <w:r>
        <w:rPr>
          <w:spacing w:val="-2"/>
        </w:rPr>
        <w:t>际支付的价款或者对价中包含的已宣告但尚未发放的现金股利或者利润外，当期投资收益按照享有被投资单位宣告发放的现</w:t>
      </w:r>
      <w:r>
        <w:rPr>
          <w:spacing w:val="-64"/>
        </w:rPr>
        <w:t> </w:t>
      </w:r>
      <w:r>
        <w:rPr>
          <w:spacing w:val="-64"/>
        </w:rPr>
      </w:r>
      <w:r>
        <w:rPr/>
        <w:t>金股利或利润确认。</w:t>
      </w:r>
    </w:p>
    <w:p>
      <w:pPr>
        <w:pStyle w:val="BodyText"/>
        <w:spacing w:line="316" w:lineRule="auto" w:before="19"/>
        <w:ind w:left="580" w:right="1144"/>
        <w:jc w:val="left"/>
      </w:pPr>
      <w:r>
        <w:rPr/>
        <w:t>②权益法核算的长期股权投资 采用权益法核算时，长期股权投资的初始投资成本大于投资时应享有被投资单位可辨认净资产公允价值份额的，不调</w:t>
      </w:r>
    </w:p>
    <w:p>
      <w:pPr>
        <w:pStyle w:val="BodyText"/>
        <w:spacing w:line="316" w:lineRule="auto" w:before="19"/>
        <w:ind w:right="1131"/>
        <w:jc w:val="both"/>
      </w:pPr>
      <w:r>
        <w:rPr>
          <w:spacing w:val="-2"/>
        </w:rPr>
        <w:t>整长期股权投资的初始投资成本；初始投资成本小于投资时应享有被投资单位可辨认净资产公允价值份额的，其差额计入当</w:t>
      </w:r>
      <w:r>
        <w:rPr>
          <w:spacing w:val="-64"/>
        </w:rPr>
        <w:t> </w:t>
      </w:r>
      <w:r>
        <w:rPr>
          <w:spacing w:val="-64"/>
        </w:rPr>
      </w:r>
      <w:r>
        <w:rPr/>
        <w:t>期损益，同时调整长期股权投资的成本。</w:t>
      </w:r>
    </w:p>
    <w:p>
      <w:pPr>
        <w:pStyle w:val="BodyText"/>
        <w:spacing w:line="316" w:lineRule="auto" w:before="19"/>
        <w:ind w:right="1030" w:firstLine="426"/>
        <w:jc w:val="left"/>
      </w:pPr>
      <w:r>
        <w:rPr/>
        <w:t>采用权益法核算时，按照应享有或应分担的被投资单位实现的净损益和其他综合收益的份额，分别确认投资收益和其 </w:t>
      </w:r>
      <w:r>
        <w:rPr>
          <w:spacing w:val="-2"/>
        </w:rPr>
        <w:t>他综合收益，同时调整长期股权投资的账面价值；按照被投资单位宣告分派的利润或现金股利计算应享有的部分，相应减少</w:t>
      </w:r>
      <w:r>
        <w:rPr>
          <w:spacing w:val="-66"/>
        </w:rPr>
        <w:t> </w:t>
      </w:r>
      <w:r>
        <w:rPr>
          <w:spacing w:val="-66"/>
        </w:rPr>
      </w:r>
      <w:r>
        <w:rPr>
          <w:spacing w:val="-2"/>
        </w:rPr>
        <w:t>长期股权投资的账面价值；对于被投资单位除净损益、其他综合收益和利润分配以外所有者权益的其他变动，调整长期股权</w:t>
      </w:r>
      <w:r>
        <w:rPr>
          <w:spacing w:val="-66"/>
        </w:rPr>
        <w:t> </w:t>
      </w:r>
      <w:r>
        <w:rPr>
          <w:spacing w:val="-66"/>
        </w:rPr>
      </w:r>
      <w:r>
        <w:rPr>
          <w:spacing w:val="-2"/>
        </w:rPr>
        <w:t>投资的账面价值并计入资本公积。在确认应享有被投资单位净损益的份额时，以取得投资时被投资单位各项可辨认资产等的</w:t>
      </w:r>
      <w:r>
        <w:rPr>
          <w:spacing w:val="-64"/>
        </w:rPr>
        <w:t> </w:t>
      </w:r>
      <w:r>
        <w:rPr>
          <w:spacing w:val="-64"/>
        </w:rPr>
      </w:r>
      <w:r>
        <w:rPr>
          <w:spacing w:val="-2"/>
        </w:rPr>
        <w:t>公允价值为基础，对被投资单位的净利润进行调整后确认。被投资单位采用的会计政策及会计期间与本公司不一致的，按照</w:t>
      </w:r>
      <w:r>
        <w:rPr>
          <w:spacing w:val="-66"/>
        </w:rPr>
        <w:t> </w:t>
      </w:r>
      <w:r>
        <w:rPr>
          <w:spacing w:val="-66"/>
        </w:rPr>
      </w:r>
      <w:r>
        <w:rPr>
          <w:spacing w:val="-2"/>
        </w:rPr>
        <w:t>本公司的会计政策及会计期间对被投资单位的财务报表进行调整，并据以确认投资收益和其他综合收益。对于本公司与联营</w:t>
      </w:r>
      <w:r>
        <w:rPr>
          <w:spacing w:val="-64"/>
        </w:rPr>
        <w:t> </w:t>
      </w:r>
      <w:r>
        <w:rPr>
          <w:spacing w:val="-64"/>
        </w:rPr>
      </w:r>
      <w:r>
        <w:rPr>
          <w:spacing w:val="-2"/>
        </w:rPr>
        <w:t>企业及合营企业之间发生的交易，投出或出售的资产不构成业务的，未实现内部交易损益按照享有的比例计算归属于本公司</w:t>
      </w:r>
      <w:r>
        <w:rPr>
          <w:spacing w:val="-64"/>
        </w:rPr>
        <w:t> </w:t>
      </w:r>
      <w:r>
        <w:rPr>
          <w:spacing w:val="-64"/>
        </w:rPr>
      </w:r>
      <w:r>
        <w:rPr>
          <w:spacing w:val="-2"/>
        </w:rPr>
        <w:t>的部分予以抵销，在此基础上确认投资损益。但本公司与被投资单位发生的未实现内部交易损失，属于所转让资产减值损失</w:t>
      </w:r>
      <w:r>
        <w:rPr>
          <w:spacing w:val="-66"/>
        </w:rPr>
        <w:t> </w:t>
      </w:r>
      <w:r>
        <w:rPr>
          <w:spacing w:val="-66"/>
        </w:rPr>
      </w:r>
      <w:r>
        <w:rPr/>
        <w:t>的，不予以抵销。本公司向合营企业或联营企业投出的资产构成业务的，投资方因此取得长期股权投资但未取得控制权的， </w:t>
      </w:r>
      <w:r>
        <w:rPr>
          <w:spacing w:val="-2"/>
        </w:rPr>
        <w:t>以投出业务的公允价值作为新增长期股权投资的初始投资成本，初始投资成本与投出业务的账面价值之差，全额计入当期损</w:t>
      </w:r>
      <w:r>
        <w:rPr>
          <w:spacing w:val="-64"/>
        </w:rPr>
        <w:t> </w:t>
      </w:r>
      <w:r>
        <w:rPr>
          <w:spacing w:val="-64"/>
        </w:rPr>
      </w:r>
      <w:r>
        <w:rPr>
          <w:spacing w:val="-2"/>
        </w:rPr>
        <w:t>益。本公司向合营企业或联营企业出售的资产构成业务的，取得的对价与业务的账面价值之差，全额计入当期损益。本公司</w:t>
      </w:r>
      <w:r>
        <w:rPr>
          <w:spacing w:val="-66"/>
        </w:rPr>
        <w:t> </w:t>
      </w:r>
      <w:r>
        <w:rPr>
          <w:spacing w:val="-66"/>
        </w:rPr>
      </w:r>
      <w:r>
        <w:rPr>
          <w:spacing w:val="-2"/>
        </w:rPr>
        <w:t>自联营企业及合营企业购入的资产构成业务的，按《企业会计准则第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企业合并》的规定进行会计处理，全额确认与</w:t>
      </w:r>
      <w:r>
        <w:rPr>
          <w:spacing w:val="-64"/>
        </w:rPr>
        <w:t> </w:t>
      </w:r>
      <w:r>
        <w:rPr>
          <w:spacing w:val="-64"/>
        </w:rPr>
      </w:r>
      <w:r>
        <w:rPr/>
        <w:t>交易相关的利得或损失。</w:t>
      </w:r>
    </w:p>
    <w:p>
      <w:pPr>
        <w:pStyle w:val="BodyText"/>
        <w:spacing w:line="316" w:lineRule="auto" w:before="19"/>
        <w:ind w:right="1129" w:firstLine="426"/>
        <w:jc w:val="both"/>
      </w:pPr>
      <w:r>
        <w:rPr/>
        <w:t>在确认应分担被投资单位发生的净亏损时，以长期股权投资的账面价值和其他实质上构成对被投资单位净投资的长期 </w:t>
      </w:r>
      <w:r>
        <w:rPr>
          <w:spacing w:val="-2"/>
        </w:rPr>
        <w:t>权益减记至零为限。此外，如本公司对被投资单位负有承担额外损失的义务，则按预计承担的义务确认预计负债，计入当期</w:t>
      </w:r>
      <w:r>
        <w:rPr>
          <w:spacing w:val="-66"/>
        </w:rPr>
        <w:t> </w:t>
      </w:r>
      <w:r>
        <w:rPr>
          <w:spacing w:val="-66"/>
        </w:rPr>
      </w:r>
      <w:r>
        <w:rPr/>
        <w:t>投资损失。被投资单位以后期间实现净利润的，本公司在收益分享额弥补未确认的亏损分担额后，恢复确认收益分享额。</w:t>
      </w:r>
    </w:p>
    <w:p>
      <w:pPr>
        <w:pStyle w:val="BodyText"/>
        <w:spacing w:line="240" w:lineRule="auto" w:before="19"/>
        <w:ind w:left="580" w:right="0"/>
        <w:jc w:val="left"/>
      </w:pPr>
      <w:r>
        <w:rPr/>
        <w:t>对于本公司首次执行新会计准则之前已经持有的对联营企业和合营企业的长期股权投资，如存在与该投资相关的股权</w:t>
      </w:r>
    </w:p>
    <w:p>
      <w:pPr>
        <w:spacing w:after="0" w:line="240" w:lineRule="auto"/>
        <w:jc w:val="left"/>
        <w:sectPr>
          <w:pgSz w:w="11910" w:h="16840"/>
          <w:pgMar w:header="877" w:footer="982" w:top="1100" w:bottom="1180" w:left="980" w:right="0"/>
        </w:sectPr>
      </w:pPr>
    </w:p>
    <w:p>
      <w:pPr>
        <w:spacing w:line="240" w:lineRule="auto" w:before="12"/>
        <w:rPr>
          <w:rFonts w:ascii="宋体" w:hAnsi="宋体" w:cs="宋体" w:eastAsia="宋体" w:hint="default"/>
          <w:sz w:val="21"/>
          <w:szCs w:val="21"/>
        </w:rPr>
      </w:pPr>
    </w:p>
    <w:p>
      <w:pPr>
        <w:pStyle w:val="BodyText"/>
        <w:spacing w:line="240" w:lineRule="auto" w:before="44"/>
        <w:ind w:left="153" w:right="0"/>
        <w:jc w:val="left"/>
      </w:pPr>
      <w:r>
        <w:rPr/>
        <w:t>投资借方差额，按原剩余期限直线摊销的金额计入当期损益。</w:t>
      </w:r>
    </w:p>
    <w:p>
      <w:pPr>
        <w:pStyle w:val="BodyText"/>
        <w:spacing w:line="316" w:lineRule="auto" w:before="76"/>
        <w:ind w:left="579" w:right="1145"/>
        <w:jc w:val="left"/>
      </w:pPr>
      <w:r>
        <w:rPr/>
        <w:t>③收购少数股权 在编制合并财务报表时，因购买少数股权新增的长期股权投资与按照新增持股比例计算应享有子公司自购买日（或合</w:t>
      </w:r>
    </w:p>
    <w:p>
      <w:pPr>
        <w:pStyle w:val="BodyText"/>
        <w:spacing w:line="240" w:lineRule="auto" w:before="19"/>
        <w:ind w:left="153" w:right="0"/>
        <w:jc w:val="left"/>
      </w:pPr>
      <w:r>
        <w:rPr/>
        <w:t>并日）开始持续计算的净资产份额之间的差额，调整资本公积，资本公积不足冲减的，调整留存收益。</w:t>
      </w:r>
    </w:p>
    <w:p>
      <w:pPr>
        <w:pStyle w:val="BodyText"/>
        <w:spacing w:line="316" w:lineRule="auto" w:before="76"/>
        <w:ind w:left="579" w:right="1145"/>
        <w:jc w:val="left"/>
      </w:pPr>
      <w:r>
        <w:rPr/>
        <w:t>④处置长期股权投资 在合并财务报表中，母公司在不丧失控制权的情况下部分处置对子公司的长期股权投资，处置价款与处置长期股权投</w:t>
      </w:r>
    </w:p>
    <w:p>
      <w:pPr>
        <w:pStyle w:val="BodyText"/>
        <w:spacing w:line="316" w:lineRule="auto" w:before="19"/>
        <w:ind w:left="153" w:right="0"/>
        <w:jc w:val="left"/>
      </w:pPr>
      <w:r>
        <w:rPr>
          <w:spacing w:val="-2"/>
        </w:rPr>
        <w:t>资相对应享有子公司净资产的差额计入股东权益；母公司部分处置对子公司的长期股权投资导致丧失对子公司控制权的，按</w:t>
      </w:r>
      <w:r>
        <w:rPr>
          <w:spacing w:val="-64"/>
        </w:rPr>
        <w:t> </w:t>
      </w:r>
      <w:r>
        <w:rPr>
          <w:spacing w:val="-64"/>
        </w:rPr>
      </w:r>
      <w:r>
        <w:rPr/>
        <w:t>本附注五、</w:t>
      </w:r>
      <w:r>
        <w:rPr>
          <w:rFonts w:ascii="Times New Roman" w:hAnsi="Times New Roman" w:cs="Times New Roman" w:eastAsia="Times New Roman" w:hint="default"/>
        </w:rPr>
        <w:t>6“</w:t>
      </w:r>
      <w:r>
        <w:rPr/>
        <w:t>合并财务报表编制的方法</w:t>
      </w:r>
      <w:r>
        <w:rPr>
          <w:rFonts w:ascii="Times New Roman" w:hAnsi="Times New Roman" w:cs="Times New Roman" w:eastAsia="Times New Roman" w:hint="default"/>
        </w:rPr>
        <w:t>”</w:t>
      </w:r>
      <w:r>
        <w:rPr/>
        <w:t>中所述的相关会计政策处理。</w:t>
      </w:r>
    </w:p>
    <w:p>
      <w:pPr>
        <w:pStyle w:val="BodyText"/>
        <w:spacing w:line="316" w:lineRule="auto"/>
        <w:ind w:left="579" w:right="1145"/>
        <w:jc w:val="left"/>
      </w:pPr>
      <w:r>
        <w:rPr/>
        <w:t>其他情形下的长期股权投资处置，对于处置的股权，其账面价值与实际取得价款的差额，计入当期损益。 采用权益法核算的长期股权投资，处置后的剩余股权仍采用权益法核算的，在处置时将原计入股东权益的其他综合收</w:t>
      </w:r>
    </w:p>
    <w:p>
      <w:pPr>
        <w:pStyle w:val="BodyText"/>
        <w:spacing w:line="316" w:lineRule="auto" w:before="19"/>
        <w:ind w:left="153" w:right="0"/>
        <w:jc w:val="left"/>
      </w:pPr>
      <w:r>
        <w:rPr>
          <w:spacing w:val="-2"/>
        </w:rPr>
        <w:t>益部分按相应的比例采用与被投资单位直接处置相关资产或负债相同的基础进行会计处理。因被投资方除净损益、其他综合</w:t>
      </w:r>
      <w:r>
        <w:rPr>
          <w:spacing w:val="-64"/>
        </w:rPr>
        <w:t> </w:t>
      </w:r>
      <w:r>
        <w:rPr>
          <w:spacing w:val="-64"/>
        </w:rPr>
      </w:r>
      <w:r>
        <w:rPr/>
        <w:t>收益和利润分配以外的其他所有者权益变动而确认的所有者权益，按比例结转入当期损益。</w:t>
      </w:r>
    </w:p>
    <w:p>
      <w:pPr>
        <w:pStyle w:val="BodyText"/>
        <w:spacing w:line="316" w:lineRule="auto" w:before="19"/>
        <w:ind w:left="153" w:right="1130" w:firstLine="426"/>
        <w:jc w:val="both"/>
      </w:pPr>
      <w:r>
        <w:rPr/>
        <w:t>采用成本法核算的长期股权投资，处置后剩余股权仍采用成本法核算的，其在取得对被投资单位的控制之前因采用权 </w:t>
      </w:r>
      <w:r>
        <w:rPr>
          <w:spacing w:val="-2"/>
        </w:rPr>
        <w:t>益法核算或金融工具确认和计量准则核算而确认的其他综合收益，采用与被投资单位直接处置相关资产或负债相同的基础进</w:t>
      </w:r>
      <w:r>
        <w:rPr>
          <w:spacing w:val="-64"/>
        </w:rPr>
        <w:t> </w:t>
      </w:r>
      <w:r>
        <w:rPr>
          <w:spacing w:val="-64"/>
        </w:rPr>
      </w:r>
      <w:r>
        <w:rPr>
          <w:spacing w:val="-2"/>
        </w:rPr>
        <w:t>行会计处理，并按比例结转当期损益；因采用权益法核算而确认的被投资单位净资产中除净损益、其他综合收益和利润分配</w:t>
      </w:r>
      <w:r>
        <w:rPr>
          <w:spacing w:val="-66"/>
        </w:rPr>
        <w:t> </w:t>
      </w:r>
      <w:r>
        <w:rPr>
          <w:spacing w:val="-66"/>
        </w:rPr>
      </w:r>
      <w:r>
        <w:rPr/>
        <w:t>以外的其他所有者权益变动按比例结转当期损益。</w:t>
      </w:r>
    </w:p>
    <w:p>
      <w:pPr>
        <w:pStyle w:val="BodyText"/>
        <w:spacing w:line="316" w:lineRule="auto" w:before="19"/>
        <w:ind w:left="153" w:right="1130" w:firstLine="426"/>
        <w:jc w:val="both"/>
      </w:pPr>
      <w:r>
        <w:rPr/>
        <w:t>本公司因处置部分股权投资丧失了对被投资单位的控制的，在编制个别财务报表时，处置后的剩余股权能够对被投资 </w:t>
      </w:r>
      <w:r>
        <w:rPr>
          <w:spacing w:val="-2"/>
        </w:rPr>
        <w:t>单位实施共同控制或施加重大影响的，改按权益法核算，并对该剩余股权视同自取得时即采用权益法核算进行调整；处置后</w:t>
      </w:r>
      <w:r>
        <w:rPr>
          <w:spacing w:val="-66"/>
        </w:rPr>
        <w:t> </w:t>
      </w:r>
      <w:r>
        <w:rPr>
          <w:spacing w:val="-66"/>
        </w:rPr>
      </w:r>
      <w:r>
        <w:rPr>
          <w:spacing w:val="-2"/>
        </w:rPr>
        <w:t>的剩余股权不能对被投资单位实施共同控制或施加重大影响的，改按金融工具确认和计量准则的有关规定进行会计处理，其</w:t>
      </w:r>
      <w:r>
        <w:rPr>
          <w:spacing w:val="-64"/>
        </w:rPr>
        <w:t> </w:t>
      </w:r>
      <w:r>
        <w:rPr>
          <w:spacing w:val="-64"/>
        </w:rPr>
      </w:r>
      <w:r>
        <w:rPr>
          <w:spacing w:val="-2"/>
        </w:rPr>
        <w:t>在丧失控制之日的公允价值与账面价值之间的差额计入当期损益。对于本公司取得对被投资单位的控制之前，因采用权益法</w:t>
      </w:r>
      <w:r>
        <w:rPr>
          <w:spacing w:val="-64"/>
        </w:rPr>
        <w:t> </w:t>
      </w:r>
      <w:r>
        <w:rPr>
          <w:spacing w:val="-64"/>
        </w:rPr>
      </w:r>
      <w:r>
        <w:rPr>
          <w:spacing w:val="-2"/>
        </w:rPr>
        <w:t>核算或金融工具确认和计量准则核算而确认的其他综合收益，在丧失对被投资单位控制时采用与被投资单位直接处置相关资</w:t>
      </w:r>
      <w:r>
        <w:rPr>
          <w:spacing w:val="-64"/>
        </w:rPr>
        <w:t> </w:t>
      </w:r>
      <w:r>
        <w:rPr>
          <w:spacing w:val="-64"/>
        </w:rPr>
      </w:r>
      <w:r>
        <w:rPr>
          <w:spacing w:val="-2"/>
        </w:rPr>
        <w:t>产或负债相同的基础进行会计处理，因采用权益法核算而确认的被投资单位净资产中除净损益、其他综合收益和利润分配以</w:t>
      </w:r>
      <w:r>
        <w:rPr>
          <w:spacing w:val="-64"/>
        </w:rPr>
        <w:t> </w:t>
      </w:r>
      <w:r>
        <w:rPr>
          <w:spacing w:val="-64"/>
        </w:rPr>
      </w:r>
      <w:r>
        <w:rPr>
          <w:spacing w:val="-2"/>
        </w:rPr>
        <w:t>外的其他所有者权益变动在丧失对被投资单位控制时结转入当期损益。其中，处置后的剩余股权采用权益法核算的，其他综</w:t>
      </w:r>
      <w:r>
        <w:rPr>
          <w:spacing w:val="-66"/>
        </w:rPr>
        <w:t> </w:t>
      </w:r>
      <w:r>
        <w:rPr>
          <w:spacing w:val="-66"/>
        </w:rPr>
      </w:r>
      <w:r>
        <w:rPr>
          <w:spacing w:val="-2"/>
        </w:rPr>
        <w:t>合收益和其他所有者权益按比例结转；处置后的剩余股权改按金融工具确认和计量准则进行会计处理的，其他综合收益和其</w:t>
      </w:r>
      <w:r>
        <w:rPr>
          <w:spacing w:val="-64"/>
        </w:rPr>
        <w:t> </w:t>
      </w:r>
      <w:r>
        <w:rPr>
          <w:spacing w:val="-64"/>
        </w:rPr>
      </w:r>
      <w:r>
        <w:rPr/>
        <w:t>他所有者权益全部结转。</w:t>
      </w:r>
    </w:p>
    <w:p>
      <w:pPr>
        <w:pStyle w:val="BodyText"/>
        <w:spacing w:line="316" w:lineRule="auto" w:before="19"/>
        <w:ind w:left="153" w:right="0" w:firstLine="426"/>
        <w:jc w:val="left"/>
      </w:pPr>
      <w:r>
        <w:rPr/>
        <w:t>本公司因处置部分股权投资丧失了对被投资单位的共同控制或重大影响的，处置后的剩余股权改按金融工具确认和计 </w:t>
      </w:r>
      <w:r>
        <w:rPr>
          <w:spacing w:val="-2"/>
        </w:rPr>
        <w:t>量准则核算，其在丧失共同控制或重大影响之日的公允价值与账面价值之间的差额计入当期损益。原股权投资因采用权益法</w:t>
      </w:r>
      <w:r>
        <w:rPr>
          <w:spacing w:val="-64"/>
        </w:rPr>
        <w:t> </w:t>
      </w:r>
      <w:r>
        <w:rPr>
          <w:spacing w:val="-64"/>
        </w:rPr>
      </w:r>
      <w:r>
        <w:rPr/>
        <w:t>核算而确认的其他综合收益，在终止采用权益法核算时采用与被投资单位直接处置相关资产或负债相同的基础进行会计处 </w:t>
      </w:r>
      <w:r>
        <w:rPr>
          <w:spacing w:val="-2"/>
        </w:rPr>
        <w:t>理，因被投资方除净损益、其他综合收益和利润分配以外的其他所有者权益变动而确认的所有者权益，在终止采用权益法时</w:t>
      </w:r>
      <w:r>
        <w:rPr>
          <w:spacing w:val="-66"/>
        </w:rPr>
        <w:t> </w:t>
      </w:r>
      <w:r>
        <w:rPr>
          <w:spacing w:val="-66"/>
        </w:rPr>
      </w:r>
      <w:r>
        <w:rPr/>
        <w:t>全部转入当期投资收益。</w:t>
      </w:r>
    </w:p>
    <w:p>
      <w:pPr>
        <w:pStyle w:val="BodyText"/>
        <w:spacing w:line="316" w:lineRule="auto" w:before="19"/>
        <w:ind w:left="153" w:right="1130" w:firstLine="360"/>
        <w:jc w:val="both"/>
      </w:pPr>
      <w:r>
        <w:rPr>
          <w:spacing w:val="-2"/>
        </w:rPr>
        <w:t>本公司通过多次交易分步处置对子公司股权投资直至丧失控制权，如果上述交易属于一揽子交易的，将各项交易作为一</w:t>
      </w:r>
      <w:r>
        <w:rPr/>
        <w:t> </w:t>
      </w:r>
      <w:r>
        <w:rPr>
          <w:spacing w:val="-2"/>
        </w:rPr>
        <w:t>项处置子公司股权投资并丧失控制权的交易进行会计处理，在丧失控制权之前每一次处置价款与所处置的股权对应的长期股</w:t>
      </w:r>
      <w:r>
        <w:rPr>
          <w:spacing w:val="-64"/>
        </w:rPr>
        <w:t> </w:t>
      </w:r>
      <w:r>
        <w:rPr>
          <w:spacing w:val="-64"/>
        </w:rPr>
      </w:r>
      <w:r>
        <w:rPr/>
        <w:t>权投资账面价值之间的差额，先确认为其他综合收益，到丧失控制权时再一并转入丧失控制权的当期损益。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3" w:right="8951"/>
        <w:jc w:val="left"/>
      </w:pPr>
      <w:r>
        <w:rPr/>
        <w:t>投资性房地产计量模式 成本法计量 折旧或摊销方法</w:t>
      </w:r>
    </w:p>
    <w:p>
      <w:pPr>
        <w:pStyle w:val="BodyText"/>
        <w:spacing w:line="316" w:lineRule="auto" w:before="25"/>
        <w:ind w:left="153" w:right="1130" w:firstLine="360"/>
        <w:jc w:val="both"/>
      </w:pPr>
      <w:r>
        <w:rPr>
          <w:spacing w:val="-2"/>
        </w:rPr>
        <w:t>本公司采用成本模式对投资性房地产进行后续计量，并按照与房屋建筑物或土地使用权一致的政策进行折旧或摊销。投</w:t>
      </w:r>
      <w:r>
        <w:rPr/>
        <w:t> 资性房地产的减值测试方法和减值准备计提方法详见附注五、22“长期资产减值”。</w:t>
      </w:r>
    </w:p>
    <w:p>
      <w:pPr>
        <w:pStyle w:val="BodyText"/>
        <w:spacing w:line="316" w:lineRule="auto" w:before="19"/>
        <w:ind w:left="153" w:right="1131" w:firstLine="360"/>
        <w:jc w:val="both"/>
      </w:pPr>
      <w:r>
        <w:rPr>
          <w:spacing w:val="-2"/>
        </w:rPr>
        <w:t>自用房地产或存货转换为投资性房地产或投资性房地产转换为自用房地产时，按转换前的账面价值作为转换后的入账价</w:t>
      </w:r>
      <w:r>
        <w:rPr/>
        <w:t> 值。</w:t>
      </w:r>
    </w:p>
    <w:p>
      <w:pPr>
        <w:pStyle w:val="BodyText"/>
        <w:spacing w:line="240" w:lineRule="auto" w:before="19"/>
        <w:ind w:left="513" w:right="0"/>
        <w:jc w:val="left"/>
      </w:pPr>
      <w:r>
        <w:rPr/>
        <w:t>投资性房地产的用途改变为自用时，自改变之日起，将该投资性房地产转换为固定资产或无形资产。自用房地产的用途</w:t>
      </w:r>
    </w:p>
    <w:p>
      <w:pPr>
        <w:spacing w:after="0" w:line="240" w:lineRule="auto"/>
        <w:jc w:val="left"/>
        <w:sectPr>
          <w:pgSz w:w="11910" w:h="16840"/>
          <w:pgMar w:header="877" w:footer="982" w:top="1100" w:bottom="1180" w:left="980" w:right="0"/>
        </w:sectPr>
      </w:pPr>
    </w:p>
    <w:p>
      <w:pPr>
        <w:spacing w:line="240" w:lineRule="auto" w:before="12"/>
        <w:rPr>
          <w:rFonts w:ascii="宋体" w:hAnsi="宋体" w:cs="宋体" w:eastAsia="宋体" w:hint="default"/>
          <w:sz w:val="21"/>
          <w:szCs w:val="21"/>
        </w:rPr>
      </w:pPr>
    </w:p>
    <w:p>
      <w:pPr>
        <w:pStyle w:val="BodyText"/>
        <w:spacing w:line="316" w:lineRule="auto" w:before="44"/>
        <w:ind w:left="153" w:right="1031"/>
        <w:jc w:val="left"/>
      </w:pPr>
      <w:r>
        <w:rPr>
          <w:spacing w:val="-2"/>
        </w:rPr>
        <w:t>改变为赚取租金或资本增值时，自改变之日起，将固定资产或无形资产转换为投资性房地产。发生转换时，转换为采用成本</w:t>
      </w:r>
      <w:r>
        <w:rPr>
          <w:spacing w:val="-66"/>
        </w:rPr>
        <w:t> </w:t>
      </w:r>
      <w:r>
        <w:rPr>
          <w:spacing w:val="-66"/>
        </w:rPr>
      </w:r>
      <w:r>
        <w:rPr/>
        <w:t>模式计量的投资性房地产的，以转换前的账面价值作为转换后的入账价值；转换为以公允价值模式计量的投资性房地产的， 以转换日的公允价值作为转换后的入账价值。</w:t>
      </w:r>
    </w:p>
    <w:p>
      <w:pPr>
        <w:pStyle w:val="BodyText"/>
        <w:spacing w:line="316" w:lineRule="auto" w:before="19"/>
        <w:ind w:left="153" w:right="1131" w:firstLine="360"/>
        <w:jc w:val="both"/>
      </w:pPr>
      <w:r>
        <w:rPr>
          <w:spacing w:val="-2"/>
        </w:rPr>
        <w:t>当投资性房地产被处置、或者永久退出使用且预计不能从其处置中取得经济利益时，终止确认该项投资性房地产。投资</w:t>
      </w:r>
      <w:r>
        <w:rPr/>
        <w:t> 性房地产出售、转让、报废或毁损的处置收入扣除其账面价值和相关税费后计入当期损益。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29" w:firstLine="360"/>
        <w:jc w:val="both"/>
      </w:pPr>
      <w:r>
        <w:rPr>
          <w:spacing w:val="-2"/>
        </w:rPr>
        <w:t>固定资产是指为生产商品、提供劳务、出租或经营管理而持有的，使用寿命超过一个会计年度的有形资产。固定资产仅</w:t>
      </w:r>
      <w:r>
        <w:rPr/>
        <w:t> </w:t>
      </w:r>
      <w:r>
        <w:rPr>
          <w:spacing w:val="-2"/>
        </w:rPr>
        <w:t>在与其有关的经济利益很可能流入本公司，且其成本能够可靠地计量时才予以确认。固定资产按成本并考虑预计弃置费用因</w:t>
      </w:r>
      <w:r>
        <w:rPr>
          <w:spacing w:val="-64"/>
        </w:rPr>
        <w:t> </w:t>
      </w:r>
      <w:r>
        <w:rPr>
          <w:spacing w:val="-64"/>
        </w:rPr>
      </w:r>
      <w:r>
        <w:rPr/>
        <w:t>素的影响进行初始计量。</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03"/>
        <w:gridCol w:w="1925"/>
        <w:gridCol w:w="1914"/>
        <w:gridCol w:w="1914"/>
        <w:gridCol w:w="1903"/>
      </w:tblGrid>
      <w:tr>
        <w:trPr>
          <w:trHeight w:val="401" w:hRule="exact"/>
        </w:trPr>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03"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25"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10-50</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1.90-9.50</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25"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5-15</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6.33-19.00</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25"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4-10</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9.50-23.75</w:t>
            </w:r>
          </w:p>
        </w:tc>
      </w:tr>
      <w:tr>
        <w:trPr>
          <w:trHeight w:val="403" w:hRule="exact"/>
        </w:trPr>
        <w:tc>
          <w:tcPr>
            <w:tcW w:w="19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925"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19.00-31.67</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3" w:right="1131" w:firstLine="360"/>
        <w:jc w:val="both"/>
      </w:pPr>
      <w:r>
        <w:rPr>
          <w:spacing w:val="-2"/>
        </w:rPr>
        <w:t>融资租赁为实质上转移了与资产所有权有关的全部风险和报酬的租赁，其所有权最终可能转移，也可能不转移。以融资</w:t>
      </w:r>
      <w:r>
        <w:rPr/>
        <w:t> </w:t>
      </w:r>
      <w:r>
        <w:rPr>
          <w:spacing w:val="-2"/>
        </w:rPr>
        <w:t>租赁方式租入的固定资产采用与自有固定资产一致的政策计提租赁资产折旧。能够合理确定租赁期届满时取得租赁资产所有</w:t>
      </w:r>
      <w:r>
        <w:rPr>
          <w:spacing w:val="-64"/>
        </w:rPr>
        <w:t> </w:t>
      </w:r>
      <w:r>
        <w:rPr>
          <w:spacing w:val="-64"/>
        </w:rPr>
      </w:r>
      <w:r>
        <w:rPr>
          <w:spacing w:val="-2"/>
        </w:rPr>
        <w:t>权的，在租赁资产使用寿命内计提折旧；无法合理确定租赁期届满能够取得租赁资产所有权的，在租赁期与租赁资产使用寿</w:t>
      </w:r>
      <w:r>
        <w:rPr>
          <w:spacing w:val="-66"/>
        </w:rPr>
        <w:t> </w:t>
      </w:r>
      <w:r>
        <w:rPr>
          <w:spacing w:val="-66"/>
        </w:rPr>
      </w:r>
      <w:r>
        <w:rPr/>
        <w:t>命两者中较短的期间内计提折旧。</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7691"/>
        <w:jc w:val="left"/>
      </w:pPr>
      <w:r>
        <w:rPr/>
        <w:t>公司是否需要遵守特殊行业的披露要求 否</w:t>
      </w:r>
    </w:p>
    <w:p>
      <w:pPr>
        <w:pStyle w:val="BodyText"/>
        <w:spacing w:line="316" w:lineRule="auto" w:before="26"/>
        <w:ind w:left="153" w:right="0" w:firstLine="307"/>
        <w:jc w:val="left"/>
      </w:pPr>
      <w:r>
        <w:rPr>
          <w:spacing w:val="-1"/>
        </w:rPr>
        <w:t>在建工程成本按实际工程支出确定，包括在建期间发生的各项工程支出以及其他相关费用等。在建工程在达到预定可使</w:t>
      </w:r>
      <w:r>
        <w:rPr/>
        <w:t> 用状态后结转为固定资产。</w:t>
      </w:r>
    </w:p>
    <w:p>
      <w:pPr>
        <w:pStyle w:val="BodyText"/>
        <w:spacing w:line="240" w:lineRule="auto" w:before="19"/>
        <w:ind w:left="461" w:right="0"/>
        <w:jc w:val="left"/>
      </w:pPr>
      <w:r>
        <w:rPr/>
        <w:t>在建工程的减值测试方法和减值准备计提方法详见附注五、</w:t>
      </w:r>
      <w:r>
        <w:rPr>
          <w:rFonts w:ascii="Times New Roman" w:hAnsi="Times New Roman" w:cs="Times New Roman" w:eastAsia="Times New Roman" w:hint="default"/>
        </w:rPr>
        <w:t>22“</w:t>
      </w:r>
      <w:r>
        <w:rPr/>
        <w:t>长期资产减值</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130" w:firstLine="426"/>
        <w:jc w:val="both"/>
      </w:pPr>
      <w:r>
        <w:rPr/>
        <w:t>借款费用包括借款利息、折价或溢价的摊销、辅助费用以及因外币借款而发生的汇兑差额等。可直接归属于符合资本 </w:t>
      </w:r>
      <w:r>
        <w:rPr>
          <w:spacing w:val="-2"/>
        </w:rPr>
        <w:t>化条件的资产的购建或者生产的借款费用，在资产支出已经发生、借款费用已经发生、为使资产达到预定可使用或可销售状</w:t>
      </w:r>
      <w:r>
        <w:rPr>
          <w:spacing w:val="-66"/>
        </w:rPr>
        <w:t> </w:t>
      </w:r>
      <w:r>
        <w:rPr>
          <w:spacing w:val="-66"/>
        </w:rPr>
      </w:r>
      <w:r>
        <w:rPr>
          <w:spacing w:val="-2"/>
        </w:rPr>
        <w:t>态所必要的购建或生产活动已经开始时，开始资本化；构建或者生产的符合资本化条件的资产达到预定可使用状态或者可销</w:t>
      </w:r>
      <w:r>
        <w:rPr>
          <w:spacing w:val="-64"/>
        </w:rPr>
        <w:t> </w:t>
      </w:r>
      <w:r>
        <w:rPr>
          <w:spacing w:val="-64"/>
        </w:rPr>
      </w:r>
      <w:r>
        <w:rPr/>
        <w:t>售状态时，停止资本化。其余借款费用在发生当期确认为费用。</w:t>
      </w:r>
    </w:p>
    <w:p>
      <w:pPr>
        <w:spacing w:after="0" w:line="316" w:lineRule="auto"/>
        <w:jc w:val="both"/>
        <w:sectPr>
          <w:pgSz w:w="11910" w:h="16840"/>
          <w:pgMar w:header="877" w:footer="982" w:top="1100" w:bottom="1180" w:left="980" w:right="0"/>
        </w:sectPr>
      </w:pPr>
    </w:p>
    <w:p>
      <w:pPr>
        <w:spacing w:line="240" w:lineRule="auto" w:before="12"/>
        <w:rPr>
          <w:rFonts w:ascii="宋体" w:hAnsi="宋体" w:cs="宋体" w:eastAsia="宋体" w:hint="default"/>
          <w:sz w:val="21"/>
          <w:szCs w:val="21"/>
        </w:rPr>
      </w:pPr>
    </w:p>
    <w:p>
      <w:pPr>
        <w:pStyle w:val="BodyText"/>
        <w:spacing w:line="316" w:lineRule="auto" w:before="44"/>
        <w:ind w:left="153" w:right="1130" w:firstLine="426"/>
        <w:jc w:val="both"/>
      </w:pPr>
      <w:r>
        <w:rPr/>
        <w:t>专门借款当期实际发生的利息费用，减去尚未动用的借款资金存入银行取得的利息收入或进行暂时性投资取得的投资 </w:t>
      </w:r>
      <w:r>
        <w:rPr>
          <w:spacing w:val="-2"/>
        </w:rPr>
        <w:t>收益后的金额予以资本化；一般借款根据累计资产支出超过专门借款部分的资产支出加权平均数乘以所占用一般借款的资本</w:t>
      </w:r>
      <w:r>
        <w:rPr>
          <w:spacing w:val="-64"/>
        </w:rPr>
        <w:t> </w:t>
      </w:r>
      <w:r>
        <w:rPr>
          <w:spacing w:val="-64"/>
        </w:rPr>
      </w:r>
      <w:r>
        <w:rPr/>
        <w:t>化率，确定资本化金额。资本化率根据一般借款的加权平均利率计算确定。</w:t>
      </w:r>
    </w:p>
    <w:p>
      <w:pPr>
        <w:pStyle w:val="BodyText"/>
        <w:spacing w:line="316" w:lineRule="auto" w:before="19"/>
        <w:ind w:left="579" w:right="1145"/>
        <w:jc w:val="left"/>
      </w:pPr>
      <w:r>
        <w:rPr/>
        <w:t>资本化期间内，外币专门借款的汇兑差额全部予以资本化；外币一般借款的汇兑差额计入当期损益。 符合资本化条件的资产指需要经过相当长时间的购建或者生产活动才能达到预定可使用或可销售状态的固定资产、投</w:t>
      </w:r>
    </w:p>
    <w:p>
      <w:pPr>
        <w:pStyle w:val="BodyText"/>
        <w:spacing w:line="316" w:lineRule="auto" w:before="19"/>
        <w:ind w:left="579" w:right="0" w:hanging="426"/>
        <w:jc w:val="left"/>
      </w:pPr>
      <w:r>
        <w:rPr/>
        <w:t>资性房地产和存货等资产。 </w:t>
      </w:r>
      <w:r>
        <w:rPr>
          <w:spacing w:val="-2"/>
        </w:rPr>
        <w:t>如果符合资本化条件的资产在购建或生产过程中发生非正常中断、并且中断时间连续超过</w:t>
      </w:r>
      <w:r>
        <w:rPr>
          <w:rFonts w:ascii="Times New Roman" w:hAnsi="Times New Roman" w:cs="Times New Roman" w:eastAsia="Times New Roman" w:hint="default"/>
          <w:spacing w:val="-2"/>
        </w:rPr>
        <w:t>3</w:t>
      </w:r>
      <w:r>
        <w:rPr>
          <w:spacing w:val="-2"/>
        </w:rPr>
        <w:t>个月的，暂停借款费用的资</w:t>
      </w:r>
    </w:p>
    <w:p>
      <w:pPr>
        <w:pStyle w:val="BodyText"/>
        <w:spacing w:line="235" w:lineRule="exact"/>
        <w:ind w:left="153" w:right="0"/>
        <w:jc w:val="left"/>
      </w:pPr>
      <w:r>
        <w:rPr/>
        <w:t>本化，直至资产的购建或生产活动重新开始。</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162" w:firstLine="426"/>
        <w:jc w:val="both"/>
      </w:pPr>
      <w:r>
        <w:rPr/>
        <w:t>无形资产按成本进行初始计量。与无形资产有关的支出，如果相关的经济利益很可能流入本公司且其成本能可靠地计 量，则计入无形资产成本。除此以外的其他项目的支出，在发生时计入当期损益。</w:t>
      </w:r>
    </w:p>
    <w:p>
      <w:pPr>
        <w:pStyle w:val="BodyText"/>
        <w:spacing w:line="316" w:lineRule="auto" w:before="19"/>
        <w:ind w:left="153" w:right="1131" w:firstLine="426"/>
        <w:jc w:val="both"/>
      </w:pPr>
      <w:r>
        <w:rPr/>
        <w:t>取得的土地使用权通常作为无形资产核算。自行开发建造厂房等建筑物，相关的土地使用权支出和建筑物建造成本则 </w:t>
      </w:r>
      <w:r>
        <w:rPr>
          <w:spacing w:val="-2"/>
        </w:rPr>
        <w:t>分别作为无形资产和固定资产核算。如为外购的房屋及建筑物，则将有关价款在土地使用权和建筑物之间进行分配，难以合</w:t>
      </w:r>
      <w:r>
        <w:rPr>
          <w:spacing w:val="-66"/>
        </w:rPr>
        <w:t> </w:t>
      </w:r>
      <w:r>
        <w:rPr>
          <w:spacing w:val="-66"/>
        </w:rPr>
      </w:r>
      <w:r>
        <w:rPr/>
        <w:t>理分配的，全部作为固定资产处理。</w:t>
      </w:r>
    </w:p>
    <w:p>
      <w:pPr>
        <w:pStyle w:val="BodyText"/>
        <w:spacing w:line="316" w:lineRule="auto" w:before="19"/>
        <w:ind w:right="1198" w:firstLine="426"/>
        <w:jc w:val="both"/>
      </w:pPr>
      <w:r>
        <w:rPr/>
        <w:t>使用寿命有限的无形资产自可供使用时起，对其</w:t>
      </w:r>
      <w:r>
        <w:rPr>
          <w:spacing w:val="53"/>
        </w:rPr>
        <w:t> </w:t>
      </w:r>
      <w:r>
        <w:rPr/>
        <w:t>原值减去预计净残值和已计提的减值准备累计金额在其预计使用寿</w:t>
      </w:r>
      <w:r>
        <w:rPr/>
        <w:t> 命内采用直线法分期平均</w:t>
      </w:r>
      <w:r>
        <w:rPr>
          <w:rFonts w:ascii="Times New Roman" w:hAnsi="Times New Roman" w:cs="Times New Roman" w:eastAsia="Times New Roman" w:hint="default"/>
        </w:rPr>
        <w:t>/</w:t>
      </w:r>
      <w:r>
        <w:rPr/>
        <w:t>产量法摊销。使用寿命不确定的无形资产不予摊销。</w:t>
      </w:r>
    </w:p>
    <w:p>
      <w:pPr>
        <w:pStyle w:val="BodyText"/>
        <w:spacing w:line="316" w:lineRule="auto"/>
        <w:ind w:right="1131" w:firstLine="426"/>
        <w:jc w:val="both"/>
      </w:pPr>
      <w:r>
        <w:rPr/>
        <w:t>期末，对使用寿命有限的无形资产的使用寿命和摊销方法进行复核，如发生变更则作为会计估计变更处理。此外，还 </w:t>
      </w:r>
      <w:r>
        <w:rPr>
          <w:spacing w:val="-2"/>
        </w:rPr>
        <w:t>对使用寿命不确定的无形资产的使用寿命进行复核，如果有证据表明该无形资产为企业带来经济利益的期限是可预见的，则</w:t>
      </w:r>
      <w:r>
        <w:rPr>
          <w:spacing w:val="-64"/>
        </w:rPr>
        <w:t> </w:t>
      </w:r>
      <w:r>
        <w:rPr>
          <w:spacing w:val="-64"/>
        </w:rPr>
      </w:r>
      <w:r>
        <w:rPr/>
        <w:t>估计其使用寿命并按照使用寿命有限的无形资产的摊销政策进行摊销。</w:t>
      </w:r>
    </w:p>
    <w:p>
      <w:pPr>
        <w:pStyle w:val="BodyText"/>
        <w:spacing w:line="240" w:lineRule="auto" w:before="19"/>
        <w:ind w:left="580" w:right="0"/>
        <w:jc w:val="left"/>
      </w:pPr>
      <w:r>
        <w:rPr/>
        <w:t>无形资产的减值测试方法和减值准备计提方法详见附注五、</w:t>
      </w:r>
      <w:r>
        <w:rPr>
          <w:rFonts w:ascii="Times New Roman" w:hAnsi="Times New Roman" w:cs="Times New Roman" w:eastAsia="Times New Roman" w:hint="default"/>
        </w:rPr>
        <w:t>22“</w:t>
      </w:r>
      <w:r>
        <w:rPr/>
        <w:t>长期资产减值</w:t>
      </w:r>
      <w:r>
        <w:rPr>
          <w:rFonts w:ascii="Times New Roman" w:hAnsi="Times New Roman" w:cs="Times New Roman" w:eastAsia="Times New Roman" w:hint="default"/>
        </w:rPr>
        <w:t>”</w:t>
      </w:r>
      <w:r>
        <w:rPr/>
        <w:t>。</w:t>
      </w:r>
    </w:p>
    <w:p>
      <w:pPr>
        <w:spacing w:line="240" w:lineRule="auto" w:before="12"/>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633" w:right="1631"/>
        <w:jc w:val="left"/>
      </w:pPr>
      <w:r>
        <w:rPr/>
        <w:t>本公司内部研究开发项目的支出分为研究阶段支出与开发阶段支出。 研究阶段的支出，于发生时计入当期损益。 开发阶段的支出同时满足下列条件的，确认为无形资产，不能满足下述条件的开发阶段的支出计入当期损益：</w:t>
      </w:r>
    </w:p>
    <w:p>
      <w:pPr>
        <w:pStyle w:val="BodyText"/>
        <w:spacing w:line="240" w:lineRule="auto" w:before="19"/>
        <w:ind w:left="634" w:right="0"/>
        <w:jc w:val="left"/>
      </w:pPr>
      <w:r>
        <w:rPr/>
        <w:t>①完成该无形资产以使其能够使用或出售在技术上具有可行性；</w:t>
      </w:r>
    </w:p>
    <w:p>
      <w:pPr>
        <w:pStyle w:val="BodyText"/>
        <w:spacing w:line="240" w:lineRule="auto" w:before="76"/>
        <w:ind w:left="634" w:right="0"/>
        <w:jc w:val="left"/>
      </w:pPr>
      <w:r>
        <w:rPr/>
        <w:t>②具有完成该无形资产并使用或出售的意图；</w:t>
      </w:r>
    </w:p>
    <w:p>
      <w:pPr>
        <w:pStyle w:val="BodyText"/>
        <w:spacing w:line="316" w:lineRule="auto" w:before="76"/>
        <w:ind w:left="153" w:right="1131" w:firstLine="480"/>
        <w:jc w:val="both"/>
      </w:pPr>
      <w:r>
        <w:rPr>
          <w:spacing w:val="-1"/>
        </w:rPr>
        <w:t>③无形资产产生经济利益的方式，包括能够证明运用该无形资产生产的产品存在市场或无形资产自身存在市场，无形</w:t>
      </w:r>
      <w:r>
        <w:rPr/>
        <w:t> 资产将在内部使用的，能够证明其有用性；</w:t>
      </w:r>
    </w:p>
    <w:p>
      <w:pPr>
        <w:pStyle w:val="BodyText"/>
        <w:spacing w:line="240" w:lineRule="auto" w:before="19"/>
        <w:ind w:left="634" w:right="0"/>
        <w:jc w:val="left"/>
      </w:pPr>
      <w:r>
        <w:rPr/>
        <w:t>④有足够的技术、财务资源和其他资源支持，以完成该无形资产的开发，并有能力使用或出售该无形资产；</w:t>
      </w:r>
    </w:p>
    <w:p>
      <w:pPr>
        <w:pStyle w:val="BodyText"/>
        <w:spacing w:line="316" w:lineRule="auto" w:before="76"/>
        <w:ind w:left="634" w:right="3790"/>
        <w:jc w:val="left"/>
      </w:pPr>
      <w:r>
        <w:rPr/>
        <w:t>⑤归属于该无形资产开发阶段的支出能够可靠地计量。 无法区分研究阶段支出和开发阶段支出的，将发生的研发支出全部计入当期损益。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80" w:right="0"/>
        <w:jc w:val="left"/>
      </w:pPr>
      <w:r>
        <w:rPr/>
        <w:t>对于固定资产、在建工程、使用寿命有限的无形资产、对子公司、合营企业、联营企业的长期股权投资等非流动非金</w:t>
      </w:r>
    </w:p>
    <w:p>
      <w:pPr>
        <w:spacing w:after="0" w:line="240" w:lineRule="auto"/>
        <w:jc w:val="left"/>
        <w:sectPr>
          <w:pgSz w:w="11910" w:h="16840"/>
          <w:pgMar w:header="877" w:footer="982" w:top="1100" w:bottom="1180" w:left="980" w:right="0"/>
        </w:sectPr>
      </w:pPr>
    </w:p>
    <w:p>
      <w:pPr>
        <w:spacing w:line="240" w:lineRule="auto" w:before="12"/>
        <w:rPr>
          <w:rFonts w:ascii="宋体" w:hAnsi="宋体" w:cs="宋体" w:eastAsia="宋体" w:hint="default"/>
          <w:sz w:val="21"/>
          <w:szCs w:val="21"/>
        </w:rPr>
      </w:pPr>
    </w:p>
    <w:p>
      <w:pPr>
        <w:pStyle w:val="BodyText"/>
        <w:spacing w:line="316" w:lineRule="auto" w:before="44"/>
        <w:ind w:left="153" w:right="1031"/>
        <w:jc w:val="left"/>
      </w:pPr>
      <w:r>
        <w:rPr/>
        <w:t>融资产，本公司于资产负债表日判断是否存在减值迹象。如存在减值迹象的，则估计其可收回金额，进行减值测试。商誉、 使用寿命不确定的无形资产和尚未达到可使用状态的无形资产，无论是否存在减值迹象，每年均进行减值测试。</w:t>
      </w:r>
    </w:p>
    <w:p>
      <w:pPr>
        <w:pStyle w:val="BodyText"/>
        <w:spacing w:line="316" w:lineRule="auto" w:before="19"/>
        <w:ind w:left="153" w:right="1129" w:firstLine="426"/>
        <w:jc w:val="both"/>
      </w:pPr>
      <w:r>
        <w:rPr/>
        <w:t>减值测试结果表明资产的可收回金额低于其账面价值的，按其差额计提减值准备并计入减值损失。可收回金额为资产 </w:t>
      </w:r>
      <w:r>
        <w:rPr>
          <w:spacing w:val="-2"/>
        </w:rPr>
        <w:t>的公允价值减去处置费用后的净额与资产预计未来现金流量的现值两者之间的较高者。资产的公允价值根据公平交易中销售</w:t>
      </w:r>
      <w:r>
        <w:rPr>
          <w:spacing w:val="-64"/>
        </w:rPr>
        <w:t> </w:t>
      </w:r>
      <w:r>
        <w:rPr>
          <w:spacing w:val="-64"/>
        </w:rPr>
      </w:r>
      <w:r>
        <w:rPr>
          <w:spacing w:val="-2"/>
        </w:rPr>
        <w:t>协议价格确定；不存在销售协议但存在资产活跃市场的，公允价值按照该资产的买方出价确定；不存在销售协议和资产活跃</w:t>
      </w:r>
      <w:r>
        <w:rPr>
          <w:spacing w:val="-66"/>
        </w:rPr>
        <w:t> </w:t>
      </w:r>
      <w:r>
        <w:rPr>
          <w:spacing w:val="-66"/>
        </w:rPr>
      </w:r>
      <w:r>
        <w:rPr>
          <w:spacing w:val="-2"/>
        </w:rPr>
        <w:t>市场的，则以可获取的最佳信息为基础估计资产的公允价值。处置费用包括与资产处置有关的法律费用、相关税费、搬运费</w:t>
      </w:r>
      <w:r>
        <w:rPr>
          <w:spacing w:val="-66"/>
        </w:rPr>
        <w:t> </w:t>
      </w:r>
      <w:r>
        <w:rPr>
          <w:spacing w:val="-66"/>
        </w:rPr>
      </w:r>
      <w:r>
        <w:rPr>
          <w:spacing w:val="-2"/>
        </w:rPr>
        <w:t>以及为使资产达到可销售状态所发生的直接费用。资产预计未来现金流量的现值，按照资产在持续使用过程中和最终处置时</w:t>
      </w:r>
      <w:r>
        <w:rPr>
          <w:spacing w:val="-64"/>
        </w:rPr>
        <w:t> </w:t>
      </w:r>
      <w:r>
        <w:rPr>
          <w:spacing w:val="-64"/>
        </w:rPr>
      </w:r>
      <w:r>
        <w:rPr>
          <w:spacing w:val="-2"/>
        </w:rPr>
        <w:t>所产生的预计未来现金流量，选择恰当的折现率对其进行折现后的金额加以确定。资产减值准备按单项资产为基础计算并确</w:t>
      </w:r>
      <w:r>
        <w:rPr>
          <w:spacing w:val="-64"/>
        </w:rPr>
        <w:t> </w:t>
      </w:r>
      <w:r>
        <w:rPr>
          <w:spacing w:val="-64"/>
        </w:rPr>
      </w:r>
      <w:r>
        <w:rPr>
          <w:spacing w:val="-2"/>
        </w:rPr>
        <w:t>认，如果难以对单项资产的可收回金额进行估计的，以该资产所属的资产组确定资产组的可收回金额。资产组是能够独立产</w:t>
      </w:r>
      <w:r>
        <w:rPr>
          <w:spacing w:val="-66"/>
        </w:rPr>
        <w:t> </w:t>
      </w:r>
      <w:r>
        <w:rPr>
          <w:spacing w:val="-66"/>
        </w:rPr>
      </w:r>
      <w:r>
        <w:rPr/>
        <w:t>生现金流入的最小资产组合。</w:t>
      </w:r>
    </w:p>
    <w:p>
      <w:pPr>
        <w:pStyle w:val="BodyText"/>
        <w:spacing w:line="316" w:lineRule="auto" w:before="19"/>
        <w:ind w:left="153" w:right="1129" w:firstLine="426"/>
        <w:jc w:val="both"/>
      </w:pPr>
      <w:r>
        <w:rPr/>
        <w:t>在财务报表中单独列示的商誉，在进行减值测试时，将商誉的账面价值分摊至预期从企业合并的协同效应中受益的资 </w:t>
      </w:r>
      <w:r>
        <w:rPr>
          <w:spacing w:val="-2"/>
        </w:rPr>
        <w:t>产组或资产组组合。测试结果表明包含分摊的商誉的资产组或资产组组合的可收回金额低于其账面价值的，确认相应的减值</w:t>
      </w:r>
      <w:r>
        <w:rPr>
          <w:spacing w:val="-64"/>
        </w:rPr>
        <w:t> </w:t>
      </w:r>
      <w:r>
        <w:rPr>
          <w:spacing w:val="-64"/>
        </w:rPr>
      </w:r>
      <w:r>
        <w:rPr>
          <w:spacing w:val="-2"/>
        </w:rPr>
        <w:t>损失。减值损失金额先抵减分摊至该资产组或资产组组合的商誉的账面价值，再根据资产组或资产组组合中除商誉以外的其</w:t>
      </w:r>
      <w:r>
        <w:rPr>
          <w:spacing w:val="-64"/>
        </w:rPr>
        <w:t> </w:t>
      </w:r>
      <w:r>
        <w:rPr>
          <w:spacing w:val="-64"/>
        </w:rPr>
      </w:r>
      <w:r>
        <w:rPr/>
        <w:t>他各项资产的账面价值所占比重，按比例抵减其他各项资产的账面价值。</w:t>
      </w:r>
    </w:p>
    <w:p>
      <w:pPr>
        <w:pStyle w:val="BodyText"/>
        <w:spacing w:line="240" w:lineRule="auto" w:before="19"/>
        <w:ind w:left="579" w:right="0"/>
        <w:jc w:val="left"/>
      </w:pPr>
      <w:r>
        <w:rPr/>
        <w:t>上述资产减值损失一经确认，以后期间不予转回价值得以恢复的部分。</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0" w:firstLine="360"/>
        <w:jc w:val="left"/>
      </w:pPr>
      <w:r>
        <w:rPr>
          <w:spacing w:val="-2"/>
        </w:rPr>
        <w:t>长期待摊费用为已经发生但应由报告期和以后各期负担的分摊期限在一年以上的各项费用。长期待摊费用在预计受益期</w:t>
      </w:r>
      <w:r>
        <w:rPr/>
        <w:t> 间按直线法摊销。</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短期薪酬主要包括工资、奖金、津贴和补贴、职工福利费、医疗保险费、生育保险费、工伤保险费、住房公积金、工会</w:t>
      </w:r>
      <w:r>
        <w:rPr/>
        <w:t> </w:t>
      </w:r>
      <w:r>
        <w:rPr>
          <w:spacing w:val="-4"/>
        </w:rPr>
        <w:t>经费和职工教育经费、非货币性福利等。本公司在职工为本公司提供服务的会计期间将实际发生的短期职工薪酬确认为负债，</w:t>
      </w:r>
      <w:r>
        <w:rPr>
          <w:spacing w:val="-44"/>
        </w:rPr>
        <w:t> </w:t>
      </w:r>
      <w:r>
        <w:rPr>
          <w:spacing w:val="-44"/>
        </w:rPr>
      </w:r>
      <w:r>
        <w:rPr/>
        <w:t>并计入当期损益或相关资产成本。其中非货币性福利按公允价值计量。</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290"/>
        <w:jc w:val="left"/>
      </w:pPr>
      <w:r>
        <w:rPr>
          <w:spacing w:val="-1"/>
        </w:rPr>
        <w:t>离职后福利主要包括设定提存计划。设定提存计划主要包括基本养老保险、失业保险以及年金等，相应的应缴存金额于</w:t>
      </w:r>
      <w:r>
        <w:rPr/>
        <w:t> 发生时计入相关资产成本或当期损益。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0" w:firstLine="360"/>
        <w:jc w:val="left"/>
      </w:pPr>
      <w:r>
        <w:rPr>
          <w:spacing w:val="-2"/>
        </w:rPr>
        <w:t>在职工劳动合同到期之前解除与职工的劳动关系，或为鼓励职工自愿接受裁减而提出给予补偿的建议，在本公司不能单</w:t>
      </w:r>
      <w:r>
        <w:rPr/>
        <w:t> </w:t>
      </w:r>
      <w:r>
        <w:rPr>
          <w:spacing w:val="-2"/>
        </w:rPr>
        <w:t>方面撤回因解除劳动关系计划或裁减建议所提供的辞退福利时，和本公司确认与涉及支付辞退福利的重组相关的成本两者孰</w:t>
      </w:r>
      <w:r>
        <w:rPr>
          <w:spacing w:val="-64"/>
        </w:rPr>
        <w:t> </w:t>
      </w:r>
      <w:r>
        <w:rPr>
          <w:spacing w:val="-64"/>
        </w:rPr>
      </w:r>
      <w:r>
        <w:rPr>
          <w:spacing w:val="-4"/>
        </w:rPr>
        <w:t>早日，确认辞退福利产生的职工薪酬负债，并计入当期损益。但辞退福利预期在年度报告期结束后十二个月不能完全支付的，</w:t>
      </w:r>
      <w:r>
        <w:rPr>
          <w:spacing w:val="-44"/>
        </w:rPr>
        <w:t> </w:t>
      </w:r>
      <w:r>
        <w:rPr>
          <w:spacing w:val="-44"/>
        </w:rPr>
      </w:r>
      <w:r>
        <w:rPr/>
        <w:t>按照其他长期职工薪酬处理。</w:t>
      </w:r>
    </w:p>
    <w:p>
      <w:pPr>
        <w:pStyle w:val="BodyText"/>
        <w:spacing w:line="316" w:lineRule="auto" w:before="19"/>
        <w:ind w:right="0" w:firstLine="360"/>
        <w:jc w:val="left"/>
      </w:pPr>
      <w:r>
        <w:rPr>
          <w:spacing w:val="-2"/>
        </w:rPr>
        <w:t>职工内部退休计划采用与上述辞退福利相同的原则处理。本公司将自职工停止提供服务日至正常退休日的期间拟支付的</w:t>
      </w:r>
      <w:r>
        <w:rPr/>
        <w:t> 内退人员工资和缴纳的社会保险费等，在符合预计负债确认条件时，计入当期损益（辞退福利）。</w:t>
      </w:r>
    </w:p>
    <w:p>
      <w:pPr>
        <w:spacing w:after="0" w:line="316" w:lineRule="auto"/>
        <w:jc w:val="left"/>
        <w:sectPr>
          <w:pgSz w:w="11910" w:h="16840"/>
          <w:pgMar w:header="877" w:footer="982" w:top="1100" w:bottom="11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290"/>
        <w:jc w:val="left"/>
      </w:pPr>
      <w:r>
        <w:rPr>
          <w:spacing w:val="-1"/>
        </w:rPr>
        <w:t>本公司向职工提供的其他长期职工福利，符合设定提存计划的，按照设定提存计划进行会计处理，除此之外按照设定受</w:t>
      </w:r>
      <w:r>
        <w:rPr/>
        <w:t> 益计划进行会计处理。</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145" w:firstLine="426"/>
        <w:jc w:val="left"/>
      </w:pPr>
      <w:r>
        <w:rPr/>
        <w:t>当与或有事项相关的义务同时符合以下条件，确认为预计负债：（</w:t>
      </w:r>
      <w:r>
        <w:rPr>
          <w:rFonts w:ascii="Times New Roman" w:hAnsi="Times New Roman" w:cs="Times New Roman" w:eastAsia="Times New Roman" w:hint="default"/>
        </w:rPr>
        <w:t>1</w:t>
      </w:r>
      <w:r>
        <w:rPr/>
        <w:t>）该义务是本公司承担的现时义务；（</w:t>
      </w:r>
      <w:r>
        <w:rPr>
          <w:rFonts w:ascii="Times New Roman" w:hAnsi="Times New Roman" w:cs="Times New Roman" w:eastAsia="Times New Roman" w:hint="default"/>
        </w:rPr>
        <w:t>2</w:t>
      </w:r>
      <w:r>
        <w:rPr/>
        <w:t>）履行该 义务很可能导致经济利益流出；（</w:t>
      </w:r>
      <w:r>
        <w:rPr>
          <w:rFonts w:ascii="Times New Roman" w:hAnsi="Times New Roman" w:cs="Times New Roman" w:eastAsia="Times New Roman" w:hint="default"/>
        </w:rPr>
        <w:t>3</w:t>
      </w:r>
      <w:r>
        <w:rPr/>
        <w:t>）该义务的金额能够可靠地计量。</w:t>
      </w:r>
    </w:p>
    <w:p>
      <w:pPr>
        <w:pStyle w:val="BodyText"/>
        <w:spacing w:line="316" w:lineRule="auto" w:before="13"/>
        <w:ind w:left="153" w:right="1145" w:firstLine="426"/>
        <w:jc w:val="left"/>
      </w:pPr>
      <w:r>
        <w:rPr/>
        <w:t>在资产负债表日，考虑与或有事项有关的风险、不确定性和货币时间价值等因素，按照履行相关现时义务所需支出的 最佳估计数对预计负债进行计量。</w:t>
      </w:r>
    </w:p>
    <w:p>
      <w:pPr>
        <w:pStyle w:val="BodyText"/>
        <w:spacing w:line="316" w:lineRule="auto" w:before="19"/>
        <w:ind w:left="153" w:right="1145" w:firstLine="426"/>
        <w:jc w:val="left"/>
      </w:pPr>
      <w:r>
        <w:rPr/>
        <w:t>如果清偿预计负债所需支出全部或部分预期由第三方补偿的，补偿金额在基本确定能够收到时，作为资产单独确认， 且确认的补偿金额不超过预计负债的账面价值。</w:t>
      </w:r>
    </w:p>
    <w:p>
      <w:pPr>
        <w:pStyle w:val="BodyText"/>
        <w:spacing w:line="300" w:lineRule="auto" w:before="19"/>
        <w:ind w:left="580" w:right="1144"/>
        <w:jc w:val="left"/>
      </w:pPr>
      <w:r>
        <w:rPr/>
        <w:t>（</w:t>
      </w:r>
      <w:r>
        <w:rPr>
          <w:rFonts w:ascii="Times New Roman" w:hAnsi="Times New Roman" w:cs="Times New Roman" w:eastAsia="Times New Roman" w:hint="default"/>
        </w:rPr>
        <w:t>1</w:t>
      </w:r>
      <w:r>
        <w:rPr/>
        <w:t>）亏损合同 亏损合同是履行合同义务不可避免会发生的成本超过预期经济利益的合同。待执行合同变成亏损合同，且该亏损合同</w:t>
      </w:r>
    </w:p>
    <w:p>
      <w:pPr>
        <w:pStyle w:val="BodyText"/>
        <w:spacing w:line="316" w:lineRule="auto" w:before="31"/>
        <w:ind w:left="153" w:right="1117"/>
        <w:jc w:val="left"/>
      </w:pPr>
      <w:r>
        <w:rPr>
          <w:spacing w:val="-2"/>
        </w:rPr>
        <w:t>产生的义务满足上述预计负债的确认条件的，将合同预计损失超过合同标的资产已确认的减值损失（如有）的部分，确认为</w:t>
      </w:r>
      <w:r>
        <w:rPr>
          <w:spacing w:val="-66"/>
        </w:rPr>
        <w:t> </w:t>
      </w:r>
      <w:r>
        <w:rPr>
          <w:spacing w:val="-66"/>
        </w:rPr>
      </w:r>
      <w:r>
        <w:rPr/>
        <w:t>预计负债。</w:t>
      </w:r>
    </w:p>
    <w:p>
      <w:pPr>
        <w:pStyle w:val="BodyText"/>
        <w:spacing w:line="300" w:lineRule="auto" w:before="19"/>
        <w:ind w:left="580" w:right="1117"/>
        <w:jc w:val="left"/>
      </w:pPr>
      <w:r>
        <w:rPr/>
        <w:t>（</w:t>
      </w:r>
      <w:r>
        <w:rPr>
          <w:rFonts w:ascii="Times New Roman" w:hAnsi="Times New Roman" w:cs="Times New Roman" w:eastAsia="Times New Roman" w:hint="default"/>
        </w:rPr>
        <w:t>2</w:t>
      </w:r>
      <w:r>
        <w:rPr/>
        <w:t>）重组义务 对于有详细、正式并且已经对外公告的重组计划，在满足前述预计负债的确认条件的情况下，按照与重组有关的直接</w:t>
      </w:r>
    </w:p>
    <w:p>
      <w:pPr>
        <w:pStyle w:val="BodyText"/>
        <w:spacing w:line="316" w:lineRule="auto" w:before="31"/>
        <w:ind w:left="153" w:right="1031"/>
        <w:jc w:val="left"/>
      </w:pPr>
      <w:r>
        <w:rPr/>
        <w:t>支出确定预计负债金额。对于出售部分业务的重组义务，只有在本公司承诺出售部分业务（即签订了约束性出售协议时）， 才确认与重组相关的义务。</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3" w:right="7691"/>
        <w:jc w:val="left"/>
      </w:pPr>
      <w:r>
        <w:rPr/>
        <w:t>公司是否需要遵守特殊行业的披露要求 否</w:t>
      </w:r>
    </w:p>
    <w:p>
      <w:pPr>
        <w:pStyle w:val="BodyText"/>
        <w:spacing w:line="300" w:lineRule="auto" w:before="25"/>
        <w:ind w:left="580" w:right="1144"/>
        <w:jc w:val="left"/>
      </w:pPr>
      <w:r>
        <w:rPr/>
        <w:t>（</w:t>
      </w:r>
      <w:r>
        <w:rPr>
          <w:rFonts w:ascii="Times New Roman" w:hAnsi="Times New Roman" w:cs="Times New Roman" w:eastAsia="Times New Roman" w:hint="default"/>
        </w:rPr>
        <w:t>1</w:t>
      </w:r>
      <w:r>
        <w:rPr/>
        <w:t>）商品销售收入 在已将商品所有权上的主要风险和报酬转移给买方，既没有保留通常与所有权相联系的继续管理权，也没有对已售商</w:t>
      </w:r>
    </w:p>
    <w:p>
      <w:pPr>
        <w:pStyle w:val="BodyText"/>
        <w:spacing w:line="316" w:lineRule="auto" w:before="31"/>
        <w:ind w:left="153" w:right="0"/>
        <w:jc w:val="left"/>
      </w:pPr>
      <w:r>
        <w:rPr>
          <w:spacing w:val="-2"/>
        </w:rPr>
        <w:t>品实施有效控制，收入的金额能够可靠地计量，相关的经济利益很可能流入企业，相关的已发生或将发生的成本能够可靠地</w:t>
      </w:r>
      <w:r>
        <w:rPr>
          <w:spacing w:val="-66"/>
        </w:rPr>
        <w:t> </w:t>
      </w:r>
      <w:r>
        <w:rPr>
          <w:spacing w:val="-66"/>
        </w:rPr>
      </w:r>
      <w:r>
        <w:rPr/>
        <w:t>计量时，确认商品销售收入的实现。</w:t>
      </w:r>
    </w:p>
    <w:p>
      <w:pPr>
        <w:pStyle w:val="BodyText"/>
        <w:spacing w:line="300" w:lineRule="auto" w:before="19"/>
        <w:ind w:left="580" w:right="1144"/>
        <w:jc w:val="left"/>
      </w:pPr>
      <w:r>
        <w:rPr/>
        <w:t>（</w:t>
      </w:r>
      <w:r>
        <w:rPr>
          <w:rFonts w:ascii="Times New Roman" w:hAnsi="Times New Roman" w:cs="Times New Roman" w:eastAsia="Times New Roman" w:hint="default"/>
        </w:rPr>
        <w:t>2</w:t>
      </w:r>
      <w:r>
        <w:rPr/>
        <w:t>）提供劳务收入 在提供劳务交易的结果能够可靠估计的情况下，于资产负债表日按照完工百分比法确认提供的劳务收入。劳务交易的</w:t>
      </w:r>
    </w:p>
    <w:p>
      <w:pPr>
        <w:pStyle w:val="BodyText"/>
        <w:spacing w:line="316" w:lineRule="auto" w:before="31"/>
        <w:ind w:left="580" w:right="0" w:hanging="426"/>
        <w:jc w:val="left"/>
      </w:pPr>
      <w:r>
        <w:rPr/>
        <w:t>完工进度按已经发生的劳务成本占估计总成本的比例确定。 </w:t>
      </w:r>
      <w:r>
        <w:rPr>
          <w:spacing w:val="-2"/>
        </w:rPr>
        <w:t>提供劳务交易的结果能够可靠估计是指同时满足：①收入的金额能够可靠地计量；②相关的经济利益很可能流入企业；</w:t>
      </w:r>
    </w:p>
    <w:p>
      <w:pPr>
        <w:pStyle w:val="BodyText"/>
        <w:spacing w:line="316" w:lineRule="auto" w:before="19"/>
        <w:ind w:left="580" w:right="1144" w:hanging="426"/>
        <w:jc w:val="left"/>
      </w:pPr>
      <w:r>
        <w:rPr/>
        <w:t>③交易的完工程度能够可靠地确定；④交易中已发生和将发生的成本能够可靠地计量。 如果提供劳务交易的结果不能够可靠估计，则按已经发生并预计能够得到补偿的劳务成本金额确认提供的劳务收入，</w:t>
      </w:r>
    </w:p>
    <w:p>
      <w:pPr>
        <w:pStyle w:val="BodyText"/>
        <w:spacing w:line="316" w:lineRule="auto" w:before="19"/>
        <w:ind w:left="580" w:right="1144" w:hanging="426"/>
        <w:jc w:val="left"/>
      </w:pPr>
      <w:r>
        <w:rPr/>
        <w:t>并将已发生的劳务成本作为当期费用。已经发生的劳务成本如预计不能得到补偿的，则不确认收入。 本公司与其他企业签订的合同或协议包括销售商品和提供劳务时，如销售商品部分和提供劳务部分能够区分并单独计</w:t>
      </w:r>
    </w:p>
    <w:p>
      <w:pPr>
        <w:pStyle w:val="BodyText"/>
        <w:spacing w:line="316" w:lineRule="auto" w:before="19"/>
        <w:ind w:left="153" w:right="0"/>
        <w:jc w:val="left"/>
      </w:pPr>
      <w:r>
        <w:rPr>
          <w:spacing w:val="-2"/>
        </w:rPr>
        <w:t>量的，将销售商品部分和提供劳务部分分别处理；如销售商品部分和提供劳务部分不能够区分，或虽能区分但不能够单独计</w:t>
      </w:r>
      <w:r>
        <w:rPr>
          <w:spacing w:val="-66"/>
        </w:rPr>
        <w:t> </w:t>
      </w:r>
      <w:r>
        <w:rPr>
          <w:spacing w:val="-66"/>
        </w:rPr>
      </w:r>
      <w:r>
        <w:rPr/>
        <w:t>量的，将该合同全部作为销售商品处理。</w:t>
      </w:r>
    </w:p>
    <w:p>
      <w:pPr>
        <w:spacing w:after="0" w:line="316" w:lineRule="auto"/>
        <w:jc w:val="left"/>
        <w:sectPr>
          <w:pgSz w:w="11910" w:h="16840"/>
          <w:pgMar w:header="877" w:footer="982" w:top="1100" w:bottom="1180" w:left="980" w:right="0"/>
        </w:sectPr>
      </w:pPr>
    </w:p>
    <w:p>
      <w:pPr>
        <w:spacing w:line="240" w:lineRule="auto" w:before="12"/>
        <w:rPr>
          <w:rFonts w:ascii="宋体" w:hAnsi="宋体" w:cs="宋体" w:eastAsia="宋体" w:hint="default"/>
          <w:sz w:val="21"/>
          <w:szCs w:val="21"/>
        </w:rPr>
      </w:pPr>
    </w:p>
    <w:p>
      <w:pPr>
        <w:pStyle w:val="BodyText"/>
        <w:spacing w:line="300" w:lineRule="auto" w:before="44"/>
        <w:ind w:left="579" w:right="6545"/>
        <w:jc w:val="left"/>
      </w:pPr>
      <w:r>
        <w:rPr/>
        <w:t>（</w:t>
      </w:r>
      <w:r>
        <w:rPr>
          <w:rFonts w:ascii="Times New Roman" w:hAnsi="Times New Roman" w:cs="Times New Roman" w:eastAsia="Times New Roman" w:hint="default"/>
        </w:rPr>
        <w:t>3</w:t>
      </w:r>
      <w:r>
        <w:rPr/>
        <w:t>）使用费收入 根据有关合同或协议，按权责发生制确认收入。</w:t>
      </w:r>
    </w:p>
    <w:p>
      <w:pPr>
        <w:pStyle w:val="BodyText"/>
        <w:spacing w:line="300" w:lineRule="auto" w:before="31"/>
        <w:ind w:left="579" w:right="5825"/>
        <w:jc w:val="left"/>
      </w:pPr>
      <w:r>
        <w:rPr/>
        <w:t>（</w:t>
      </w:r>
      <w:r>
        <w:rPr>
          <w:rFonts w:ascii="Times New Roman" w:hAnsi="Times New Roman" w:cs="Times New Roman" w:eastAsia="Times New Roman" w:hint="default"/>
        </w:rPr>
        <w:t>4</w:t>
      </w:r>
      <w:r>
        <w:rPr/>
        <w:t>）利息收入 按照他人使用本公司货币资金的时间和实际利率计算确定</w:t>
      </w:r>
    </w:p>
    <w:p>
      <w:pPr>
        <w:pStyle w:val="BodyText"/>
        <w:spacing w:line="309" w:lineRule="auto" w:before="31"/>
        <w:ind w:left="579" w:right="4745"/>
        <w:jc w:val="left"/>
      </w:pPr>
      <w:r>
        <w:rPr/>
        <w:t>（</w:t>
      </w:r>
      <w:r>
        <w:rPr>
          <w:rFonts w:ascii="Times New Roman" w:hAnsi="Times New Roman" w:cs="Times New Roman" w:eastAsia="Times New Roman" w:hint="default"/>
        </w:rPr>
        <w:t>5</w:t>
      </w:r>
      <w:r>
        <w:rPr/>
        <w:t>）收入确认的具体方法 据本公司的业务情况，对广告及策划、报刊发行、印刷具体收入原则： </w:t>
      </w:r>
      <w:r>
        <w:rPr>
          <w:rFonts w:ascii="Times New Roman" w:hAnsi="Times New Roman" w:cs="Times New Roman" w:eastAsia="Times New Roman" w:hint="default"/>
        </w:rPr>
        <w:t>1</w:t>
      </w:r>
      <w:r>
        <w:rPr/>
        <w:t>）广告及策划收入</w:t>
      </w:r>
    </w:p>
    <w:p>
      <w:pPr>
        <w:pStyle w:val="BodyText"/>
        <w:spacing w:line="316" w:lineRule="auto" w:before="5"/>
        <w:ind w:left="153" w:right="1162" w:firstLine="426"/>
        <w:jc w:val="both"/>
      </w:pPr>
      <w:r>
        <w:rPr/>
        <w:t>广告及策划收入在同时满足下列条件时予以确认：①广告或商业行为开始出现于公众面前；②收入的金额能够可靠地 计量；③相关的经济利益很可能流入；④相关的已发生或将发生的成本能够可靠地计量。</w:t>
      </w:r>
    </w:p>
    <w:p>
      <w:pPr>
        <w:pStyle w:val="BodyText"/>
        <w:spacing w:line="300" w:lineRule="auto" w:before="19"/>
        <w:ind w:left="579" w:right="1145"/>
        <w:jc w:val="left"/>
      </w:pPr>
      <w:r>
        <w:rPr>
          <w:rFonts w:ascii="Times New Roman" w:hAnsi="Times New Roman" w:cs="Times New Roman" w:eastAsia="Times New Roman" w:hint="default"/>
        </w:rPr>
        <w:t>2</w:t>
      </w:r>
      <w:r>
        <w:rPr/>
        <w:t>）报刊发行收入 报刊发行收入在同时满足下列条件时予以确认：①报刊已实际投递；②收入的金额能够可靠地计量；③相关的经济利</w:t>
      </w:r>
    </w:p>
    <w:p>
      <w:pPr>
        <w:pStyle w:val="BodyText"/>
        <w:spacing w:line="240" w:lineRule="auto" w:before="31"/>
        <w:ind w:left="153" w:right="0"/>
        <w:jc w:val="left"/>
      </w:pPr>
      <w:r>
        <w:rPr/>
        <w:t>益很可能流入；④相关的已发生或将发生的成本能够可靠地计量。</w:t>
      </w:r>
    </w:p>
    <w:p>
      <w:pPr>
        <w:pStyle w:val="BodyText"/>
        <w:spacing w:line="300" w:lineRule="auto" w:before="76"/>
        <w:ind w:left="579" w:right="1145"/>
        <w:jc w:val="left"/>
      </w:pPr>
      <w:r>
        <w:rPr>
          <w:rFonts w:ascii="Times New Roman" w:hAnsi="Times New Roman" w:cs="Times New Roman" w:eastAsia="Times New Roman" w:hint="default"/>
        </w:rPr>
        <w:t>3</w:t>
      </w:r>
      <w:r>
        <w:rPr/>
        <w:t>）印刷收入 印刷收入在同时满足下列条件时予以确认：①产品完工交付订货单位；②收入的金额能够可靠地计量；③相关的经济</w:t>
      </w:r>
    </w:p>
    <w:p>
      <w:pPr>
        <w:pStyle w:val="BodyText"/>
        <w:spacing w:line="240" w:lineRule="auto" w:before="31"/>
        <w:ind w:left="153" w:right="0"/>
        <w:jc w:val="left"/>
      </w:pPr>
      <w:r>
        <w:rPr/>
        <w:t>利益很可能流入；④相关的已发生或将发生的成本能够可靠地计量。</w:t>
      </w:r>
    </w:p>
    <w:p>
      <w:pPr>
        <w:pStyle w:val="BodyText"/>
        <w:spacing w:line="300" w:lineRule="auto" w:before="76"/>
        <w:ind w:left="579" w:right="0"/>
        <w:jc w:val="left"/>
      </w:pPr>
      <w:r>
        <w:rPr>
          <w:rFonts w:ascii="Times New Roman" w:hAnsi="Times New Roman" w:cs="Times New Roman" w:eastAsia="Times New Roman" w:hint="default"/>
        </w:rPr>
        <w:t>4</w:t>
      </w:r>
      <w:r>
        <w:rPr/>
        <w:t>）教育培训收入 教育培训收入在同时满足下列条件时予以确认：①公司已根据约定提供教育服务或教育培训；②收入的金额能够可靠</w:t>
      </w:r>
    </w:p>
    <w:p>
      <w:pPr>
        <w:pStyle w:val="BodyText"/>
        <w:spacing w:line="240" w:lineRule="auto" w:before="31"/>
        <w:ind w:left="153" w:right="0"/>
        <w:jc w:val="left"/>
      </w:pPr>
      <w:r>
        <w:rPr/>
        <w:t>地计量；③相关的经济利益很可能流入；④相关的已发生或将发生的成本能够可靠地计量。</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left="153" w:right="1131" w:firstLine="426"/>
        <w:jc w:val="right"/>
      </w:pPr>
      <w:r>
        <w:rPr/>
        <w:t>政府补助是指本公司从政府无偿取得货币性资产和非货币性资产，不包括政府作为所有者投入的资本。政府补助分为 </w:t>
      </w:r>
      <w:r>
        <w:rPr>
          <w:spacing w:val="-2"/>
        </w:rPr>
        <w:t>与资产相关的政府补助和与收益相关的政府补助。本公司将所取得的用于购建或以其他方式形成长期资产的政府补助界定为</w:t>
      </w:r>
      <w:r>
        <w:rPr>
          <w:spacing w:val="-72"/>
        </w:rPr>
        <w:t> </w:t>
      </w:r>
      <w:r>
        <w:rPr>
          <w:spacing w:val="-72"/>
        </w:rPr>
      </w:r>
      <w:r>
        <w:rPr>
          <w:spacing w:val="-2"/>
        </w:rPr>
        <w:t>与资产相关的政府补助；其余政府补助界定为与收益相关的政府补助。若政府文件未明确规定补助对象，则采用以下方式将</w:t>
      </w:r>
      <w:r>
        <w:rPr>
          <w:spacing w:val="-76"/>
        </w:rPr>
        <w:t> </w:t>
      </w:r>
      <w:r>
        <w:rPr>
          <w:spacing w:val="-76"/>
        </w:rPr>
      </w:r>
      <w:r>
        <w:rPr/>
        <w:t>补助款划分为与收益相关的政府补助和与资产相关的政府补助：（</w:t>
      </w:r>
      <w:r>
        <w:rPr>
          <w:rFonts w:ascii="Times New Roman" w:hAnsi="Times New Roman" w:cs="Times New Roman" w:eastAsia="Times New Roman" w:hint="default"/>
        </w:rPr>
        <w:t>1</w:t>
      </w:r>
      <w:r>
        <w:rPr/>
        <w:t>）政府文件明确了补助所针对的特定项目的，根据该特 </w:t>
      </w:r>
      <w:r>
        <w:rPr>
          <w:spacing w:val="-2"/>
        </w:rPr>
        <w:t>定项目的预算中将形成资产的支出金额和计入费用的支出金额的相对比例进行划分，对该划分比例需在每个资产负债表日进</w:t>
      </w:r>
      <w:r>
        <w:rPr>
          <w:spacing w:val="-72"/>
        </w:rPr>
        <w:t> </w:t>
      </w:r>
      <w:r>
        <w:rPr>
          <w:spacing w:val="-72"/>
        </w:rPr>
      </w:r>
      <w:r>
        <w:rPr/>
        <w:t>行复核，必要时进行变更；（</w:t>
      </w:r>
      <w:r>
        <w:rPr>
          <w:rFonts w:ascii="Times New Roman" w:hAnsi="Times New Roman" w:cs="Times New Roman" w:eastAsia="Times New Roman" w:hint="default"/>
        </w:rPr>
        <w:t>2</w:t>
      </w:r>
      <w:r>
        <w:rPr/>
        <w:t>）政府文件中对用途仅作一般性表述，没有指明特定项目的，作为与收益相关的政府补助。 政府补助为货币性资产的，按照收到或应收的金额计量。政府补助为非货币性资产的，按照公允价值计量；公允价值</w:t>
      </w:r>
    </w:p>
    <w:p>
      <w:pPr>
        <w:pStyle w:val="BodyText"/>
        <w:spacing w:line="316" w:lineRule="auto" w:before="22"/>
        <w:ind w:left="580" w:right="1144" w:hanging="426"/>
        <w:jc w:val="left"/>
      </w:pPr>
      <w:r>
        <w:rPr/>
        <w:t>不能够可靠取得的，按照名义金额计量。按照名义金额计量的政府补助，直接计入当期损益。 本公司对于政府补助通常在实际收到时，按照实收金额予以确认和计量。但对于期末有确凿证据表明能够符合财政扶</w:t>
      </w:r>
    </w:p>
    <w:p>
      <w:pPr>
        <w:pStyle w:val="BodyText"/>
        <w:spacing w:line="307" w:lineRule="auto" w:before="19"/>
        <w:ind w:left="153" w:right="1031"/>
        <w:jc w:val="left"/>
      </w:pPr>
      <w:r>
        <w:rPr>
          <w:spacing w:val="-2"/>
        </w:rPr>
        <w:t>持政策规定的相关条件预计能够收到财政扶持资金，按照应收的金额计量。按照应收金额计量的政府补助应同时符合以下条</w:t>
      </w:r>
      <w:r>
        <w:rPr>
          <w:spacing w:val="-64"/>
        </w:rPr>
        <w:t> </w:t>
      </w:r>
      <w:r>
        <w:rPr>
          <w:spacing w:val="-64"/>
        </w:rPr>
      </w:r>
      <w:r>
        <w:rPr/>
        <w:t>件：（</w:t>
      </w:r>
      <w:r>
        <w:rPr>
          <w:rFonts w:ascii="Times New Roman" w:hAnsi="Times New Roman" w:cs="Times New Roman" w:eastAsia="Times New Roman" w:hint="default"/>
        </w:rPr>
        <w:t>1</w:t>
      </w:r>
      <w:r>
        <w:rPr/>
        <w:t>）应收补助款的金额已经过有权政府部门发文确认，或者可根据正式发布的财政资金管理办法的有关规定自行合理 测算，且预计其金额不存在重大不确定性；（</w:t>
      </w:r>
      <w:r>
        <w:rPr>
          <w:rFonts w:ascii="Times New Roman" w:hAnsi="Times New Roman" w:cs="Times New Roman" w:eastAsia="Times New Roman" w:hint="default"/>
        </w:rPr>
        <w:t>2</w:t>
      </w:r>
      <w:r>
        <w:rPr/>
        <w:t>）所依据的是当地财政部门正式发布并按照《政府信息公开条例》的规定予 以主动公开的财政扶持项目及其财政资金管理办法，且该管理办法应当是普惠性的（任何符合规定条件的企业均可申请）， 而不是专门针对特定企业制定的；（</w:t>
      </w:r>
      <w:r>
        <w:rPr>
          <w:rFonts w:ascii="Times New Roman" w:hAnsi="Times New Roman" w:cs="Times New Roman" w:eastAsia="Times New Roman" w:hint="default"/>
        </w:rPr>
        <w:t>3</w:t>
      </w:r>
      <w:r>
        <w:rPr/>
        <w:t>）相关的补助款批文中已明确承诺了拨付期限，且该款项的拨付是有相应财政预算作 为保障的，因而可以合理保证其可在规定期限内收到；（</w:t>
      </w:r>
      <w:r>
        <w:rPr>
          <w:rFonts w:ascii="Times New Roman" w:hAnsi="Times New Roman" w:cs="Times New Roman" w:eastAsia="Times New Roman" w:hint="default"/>
        </w:rPr>
        <w:t>4</w:t>
      </w:r>
      <w:r>
        <w:rPr/>
        <w:t>）根据本公司和该补助事项的具体情况，应满足的其他相关条件</w:t>
      </w:r>
    </w:p>
    <w:p>
      <w:pPr>
        <w:pStyle w:val="BodyText"/>
        <w:spacing w:line="240" w:lineRule="auto" w:before="7"/>
        <w:ind w:left="153" w:right="0"/>
        <w:jc w:val="left"/>
      </w:pPr>
      <w:r>
        <w:rPr/>
        <w:t>（如有）。</w:t>
      </w:r>
    </w:p>
    <w:p>
      <w:pPr>
        <w:pStyle w:val="BodyText"/>
        <w:spacing w:line="316" w:lineRule="auto" w:before="76"/>
        <w:ind w:left="153" w:right="1131" w:firstLine="426"/>
        <w:jc w:val="both"/>
      </w:pPr>
      <w:r>
        <w:rPr/>
        <w:t>与资产相关的政府补助，确认为递延收益，并在相关资产的使用寿命内平均分配计入当期损益。与收益相关的政府补 </w:t>
      </w:r>
      <w:r>
        <w:rPr>
          <w:spacing w:val="-2"/>
        </w:rPr>
        <w:t>助，用于补偿以后期间的相关费用和损失的，确认为递延收益，并在确认相关费用的期间计入当期损益；用于补偿已经发生</w:t>
      </w:r>
      <w:r>
        <w:rPr>
          <w:spacing w:val="-66"/>
        </w:rPr>
        <w:t> </w:t>
      </w:r>
      <w:r>
        <w:rPr>
          <w:spacing w:val="-66"/>
        </w:rPr>
      </w:r>
      <w:r>
        <w:rPr/>
        <w:t>的相关费用和损失的，直接计入当期损益。</w:t>
      </w:r>
    </w:p>
    <w:p>
      <w:pPr>
        <w:pStyle w:val="BodyText"/>
        <w:spacing w:line="316" w:lineRule="auto" w:before="19"/>
        <w:ind w:left="153" w:right="1162" w:firstLine="426"/>
        <w:jc w:val="both"/>
      </w:pPr>
      <w:r>
        <w:rPr/>
        <w:t>同时包含与资产相关部分和与收益相关部分的政府补助，区分不同部分分别进行会计处理；难以区分的，将其整体归 类为与收益相关的政府补助。</w:t>
      </w:r>
    </w:p>
    <w:p>
      <w:pPr>
        <w:pStyle w:val="BodyText"/>
        <w:spacing w:line="316" w:lineRule="auto" w:before="19"/>
        <w:ind w:left="153" w:right="1162" w:firstLine="426"/>
        <w:jc w:val="both"/>
      </w:pPr>
      <w:r>
        <w:rPr/>
        <w:t>与本公司日常活动相关的政府补助，按照经济业务的实质，计入其他收益；与日常活动无关的政府补助，计入营业外 收支。</w:t>
      </w:r>
    </w:p>
    <w:p>
      <w:pPr>
        <w:spacing w:after="0" w:line="316" w:lineRule="auto"/>
        <w:jc w:val="both"/>
        <w:sectPr>
          <w:pgSz w:w="11910" w:h="16840"/>
          <w:pgMar w:header="877" w:footer="982" w:top="1100" w:bottom="1180" w:left="980" w:right="0"/>
        </w:sectPr>
      </w:pPr>
    </w:p>
    <w:p>
      <w:pPr>
        <w:spacing w:line="240" w:lineRule="auto" w:before="12"/>
        <w:rPr>
          <w:rFonts w:ascii="宋体" w:hAnsi="宋体" w:cs="宋体" w:eastAsia="宋体" w:hint="default"/>
          <w:sz w:val="21"/>
          <w:szCs w:val="21"/>
        </w:rPr>
      </w:pPr>
    </w:p>
    <w:p>
      <w:pPr>
        <w:pStyle w:val="BodyText"/>
        <w:spacing w:line="316" w:lineRule="auto" w:before="44"/>
        <w:ind w:left="153" w:right="1129" w:firstLine="426"/>
        <w:jc w:val="both"/>
      </w:pPr>
      <w:r>
        <w:rPr/>
        <w:t>已确认的政府补助需要退回时，存在相关递延收益余额的，冲减相关递延收益账面余额，超出部分计入当期损益；属 于其他情况的，直接计入当期损益。</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80" w:right="0"/>
        <w:jc w:val="left"/>
      </w:pPr>
      <w:r>
        <w:rPr/>
        <w:t>（</w:t>
      </w:r>
      <w:r>
        <w:rPr>
          <w:rFonts w:ascii="Times New Roman" w:hAnsi="Times New Roman" w:cs="Times New Roman" w:eastAsia="Times New Roman" w:hint="default"/>
        </w:rPr>
        <w:t>1</w:t>
      </w:r>
      <w:r>
        <w:rPr/>
        <w:t>）当期所得税 </w:t>
      </w:r>
      <w:r>
        <w:rPr>
          <w:spacing w:val="-2"/>
        </w:rPr>
        <w:t>资产负债表日，对于当期和以前期间形成的当期所得税负债（或资产），以按照税法规定计算的预期应交纳（或返还）</w:t>
      </w:r>
    </w:p>
    <w:p>
      <w:pPr>
        <w:pStyle w:val="BodyText"/>
        <w:spacing w:line="316" w:lineRule="auto" w:before="31"/>
        <w:ind w:left="153" w:right="1131"/>
        <w:jc w:val="both"/>
      </w:pPr>
      <w:r>
        <w:rPr>
          <w:spacing w:val="-2"/>
        </w:rPr>
        <w:t>的所得税金额计量。计算当期所得税费用所依据的应纳税所得额系根据有关税法规定对本年度税前会计利润作相应调整后计</w:t>
      </w:r>
      <w:r>
        <w:rPr>
          <w:spacing w:val="-64"/>
        </w:rPr>
        <w:t> </w:t>
      </w:r>
      <w:r>
        <w:rPr>
          <w:spacing w:val="-64"/>
        </w:rPr>
      </w:r>
      <w:r>
        <w:rPr/>
        <w:t>算得出。</w:t>
      </w:r>
    </w:p>
    <w:p>
      <w:pPr>
        <w:pStyle w:val="BodyText"/>
        <w:spacing w:line="300" w:lineRule="auto" w:before="19"/>
        <w:ind w:left="580" w:right="1144"/>
        <w:jc w:val="left"/>
      </w:pPr>
      <w:r>
        <w:rPr/>
        <w:t>（</w:t>
      </w:r>
      <w:r>
        <w:rPr>
          <w:rFonts w:ascii="Times New Roman" w:hAnsi="Times New Roman" w:cs="Times New Roman" w:eastAsia="Times New Roman" w:hint="default"/>
        </w:rPr>
        <w:t>2</w:t>
      </w:r>
      <w:r>
        <w:rPr/>
        <w:t>）递延所得税资产及递延所得税负债 某些资产、负债项目的账面价值与其计税基础之间的差额，以及未作为资产和负债确认但按照税法规定可以确定其计</w:t>
      </w:r>
    </w:p>
    <w:p>
      <w:pPr>
        <w:pStyle w:val="BodyText"/>
        <w:spacing w:line="316" w:lineRule="auto" w:before="31"/>
        <w:ind w:left="153" w:right="1131"/>
        <w:jc w:val="both"/>
      </w:pPr>
      <w:r>
        <w:rPr>
          <w:spacing w:val="-2"/>
        </w:rPr>
        <w:t>税基础的项目的账面价值与计税基础之间的差额产生的暂时性差异，采用资产负债表债务法确认递延所得税资产及递延所得</w:t>
      </w:r>
      <w:r>
        <w:rPr>
          <w:spacing w:val="-64"/>
        </w:rPr>
        <w:t> </w:t>
      </w:r>
      <w:r>
        <w:rPr>
          <w:spacing w:val="-64"/>
        </w:rPr>
      </w:r>
      <w:r>
        <w:rPr/>
        <w:t>税负债。</w:t>
      </w:r>
    </w:p>
    <w:p>
      <w:pPr>
        <w:pStyle w:val="BodyText"/>
        <w:spacing w:line="316" w:lineRule="auto" w:before="19"/>
        <w:ind w:left="153" w:right="1131" w:firstLine="426"/>
        <w:jc w:val="both"/>
      </w:pPr>
      <w:r>
        <w:rPr/>
        <w:t>与商誉的初始确认有关，以及与既不是企业合并、发生时也不影响会计利润和应纳税所得额（或可抵扣亏损）的交易 </w:t>
      </w:r>
      <w:r>
        <w:rPr>
          <w:spacing w:val="-2"/>
        </w:rPr>
        <w:t>中产生的资产或负债的初始确认有关的应纳税暂时性差异，不予确认有关的递延所得税负债。此外，对与子公司、联营企业</w:t>
      </w:r>
      <w:r>
        <w:rPr>
          <w:spacing w:val="-66"/>
        </w:rPr>
        <w:t> </w:t>
      </w:r>
      <w:r>
        <w:rPr>
          <w:spacing w:val="-66"/>
        </w:rPr>
      </w:r>
      <w:r>
        <w:rPr>
          <w:spacing w:val="-2"/>
        </w:rPr>
        <w:t>及合营企业投资相关的应纳税暂时性差异，如果本公司能够控制暂时性差异转回的时间，而且该暂时性差异在可预见的未来</w:t>
      </w:r>
      <w:r>
        <w:rPr>
          <w:spacing w:val="-64"/>
        </w:rPr>
        <w:t> </w:t>
      </w:r>
      <w:r>
        <w:rPr>
          <w:spacing w:val="-64"/>
        </w:rPr>
      </w:r>
      <w:r>
        <w:rPr>
          <w:spacing w:val="-2"/>
        </w:rPr>
        <w:t>很可能不会转回，也不予确认有关的递延所得税负债。除上述例外情况，本公司确认其他所有应纳税暂时性差异产生的递延</w:t>
      </w:r>
      <w:r>
        <w:rPr>
          <w:spacing w:val="-66"/>
        </w:rPr>
        <w:t> </w:t>
      </w:r>
      <w:r>
        <w:rPr>
          <w:spacing w:val="-66"/>
        </w:rPr>
      </w:r>
      <w:r>
        <w:rPr/>
        <w:t>所得税负债。</w:t>
      </w:r>
    </w:p>
    <w:p>
      <w:pPr>
        <w:pStyle w:val="BodyText"/>
        <w:spacing w:line="316" w:lineRule="auto" w:before="19"/>
        <w:ind w:left="153" w:right="1131" w:firstLine="426"/>
        <w:jc w:val="both"/>
      </w:pPr>
      <w:r>
        <w:rPr/>
        <w:t>与既不是企业合并、发生时也不影响会计利润和应纳税所得额（或可抵扣亏损）的交易中产生的资产或负债的初始确 </w:t>
      </w:r>
      <w:r>
        <w:rPr>
          <w:spacing w:val="-2"/>
        </w:rPr>
        <w:t>认有关的可抵扣暂时性差异，不予确认有关的递延所得税资产。此外，对与子公司、联营企业及合营企业投资相关的可抵扣</w:t>
      </w:r>
      <w:r>
        <w:rPr>
          <w:spacing w:val="-66"/>
        </w:rPr>
        <w:t> </w:t>
      </w:r>
      <w:r>
        <w:rPr>
          <w:spacing w:val="-66"/>
        </w:rPr>
      </w:r>
      <w:r>
        <w:rPr>
          <w:spacing w:val="-2"/>
        </w:rPr>
        <w:t>暂时性差异，如果暂时性差异在可预见的未来不是很可能转回，或者未来不是很可能获得用来抵扣可抵扣暂时性差异的应纳</w:t>
      </w:r>
      <w:r>
        <w:rPr>
          <w:spacing w:val="-64"/>
        </w:rPr>
        <w:t> </w:t>
      </w:r>
      <w:r>
        <w:rPr>
          <w:spacing w:val="-64"/>
        </w:rPr>
      </w:r>
      <w:r>
        <w:rPr>
          <w:spacing w:val="-2"/>
        </w:rPr>
        <w:t>税所得额，不予确认有关的递延所得税资产。除上述例外情况，本公司以很可能取得用来抵扣可抵扣暂时性差异的应纳税所</w:t>
      </w:r>
      <w:r>
        <w:rPr>
          <w:spacing w:val="-66"/>
        </w:rPr>
        <w:t> </w:t>
      </w:r>
      <w:r>
        <w:rPr>
          <w:spacing w:val="-66"/>
        </w:rPr>
      </w:r>
      <w:r>
        <w:rPr/>
        <w:t>得额为限，确认其他可抵扣暂时性差异产生的递延所得税资产。</w:t>
      </w:r>
    </w:p>
    <w:p>
      <w:pPr>
        <w:pStyle w:val="BodyText"/>
        <w:spacing w:line="316" w:lineRule="auto" w:before="19"/>
        <w:ind w:left="153" w:right="1162" w:firstLine="426"/>
        <w:jc w:val="both"/>
      </w:pPr>
      <w:r>
        <w:rPr/>
        <w:t>对于能够结转以后年度的可抵扣亏损和税款抵减，以很可能获得用来抵扣可抵扣亏损和税款抵减的未来应纳税所得额 为限，确认相应的递延所得税资产。</w:t>
      </w:r>
    </w:p>
    <w:p>
      <w:pPr>
        <w:pStyle w:val="BodyText"/>
        <w:spacing w:line="316" w:lineRule="auto" w:before="19"/>
        <w:ind w:left="153" w:right="1162" w:firstLine="426"/>
        <w:jc w:val="both"/>
      </w:pPr>
      <w:r>
        <w:rPr/>
        <w:t>资产负债表日，对于递延所得税资产和递延所得税负债，根据税法规定，按照预期收回相关资产或清偿相关负债期间 的适用税率计量。</w:t>
      </w:r>
    </w:p>
    <w:p>
      <w:pPr>
        <w:pStyle w:val="BodyText"/>
        <w:spacing w:line="316" w:lineRule="auto" w:before="19"/>
        <w:ind w:left="153" w:right="1162" w:firstLine="426"/>
        <w:jc w:val="both"/>
      </w:pPr>
      <w:r>
        <w:rPr/>
        <w:t>于资产负债表日，对递延所得税资产的账面价值进行复核，如果未来很可能无法获得足够的应纳税所得额用以抵扣递 延所得税资产的利益，则减记递延所得税资产的账面价值。在很可能获得足够的应纳税所得额时，减记的金额予以转回。</w:t>
      </w:r>
    </w:p>
    <w:p>
      <w:pPr>
        <w:pStyle w:val="BodyText"/>
        <w:spacing w:line="300" w:lineRule="auto" w:before="19"/>
        <w:ind w:left="580" w:right="6904"/>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316" w:lineRule="auto" w:before="31"/>
        <w:ind w:left="153" w:right="1162" w:firstLine="426"/>
        <w:jc w:val="both"/>
      </w:pPr>
      <w:r>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BodyText"/>
        <w:spacing w:line="300" w:lineRule="auto" w:before="19"/>
        <w:ind w:left="580" w:right="1144"/>
        <w:jc w:val="left"/>
      </w:pPr>
      <w:r>
        <w:rPr/>
        <w:t>（</w:t>
      </w:r>
      <w:r>
        <w:rPr>
          <w:rFonts w:ascii="Times New Roman" w:hAnsi="Times New Roman" w:cs="Times New Roman" w:eastAsia="Times New Roman" w:hint="default"/>
        </w:rPr>
        <w:t>4</w:t>
      </w:r>
      <w:r>
        <w:rPr/>
        <w:t>）所得税的抵销 当拥有以净额结算的法定权利，且意图以净额结算或取得资产、清偿负债同时进行时，本公司当期所得税资产及当期</w:t>
      </w:r>
    </w:p>
    <w:p>
      <w:pPr>
        <w:pStyle w:val="BodyText"/>
        <w:spacing w:line="316" w:lineRule="auto" w:before="31"/>
        <w:ind w:left="580" w:right="0" w:hanging="426"/>
        <w:jc w:val="left"/>
      </w:pPr>
      <w:r>
        <w:rPr/>
        <w:t>所得税负债以抵销后的净额列报。 当拥有以净额结算当期所得税资产及当期所得税负债的法定权利，且递延所得税资产及递延所得税负债是与同一税收</w:t>
      </w:r>
    </w:p>
    <w:p>
      <w:pPr>
        <w:pStyle w:val="BodyText"/>
        <w:spacing w:line="316" w:lineRule="auto" w:before="19"/>
        <w:ind w:left="153" w:right="1131"/>
        <w:jc w:val="both"/>
      </w:pPr>
      <w:r>
        <w:rPr>
          <w:spacing w:val="-2"/>
        </w:rPr>
        <w:t>征管部门对同一纳税主体征收的所得税相关或者是对不同的纳税主体相关，但在未来每一具有重要性的递延所得税资产及负</w:t>
      </w:r>
      <w:r>
        <w:rPr>
          <w:spacing w:val="-64"/>
        </w:rPr>
        <w:t> </w:t>
      </w:r>
      <w:r>
        <w:rPr>
          <w:spacing w:val="-64"/>
        </w:rPr>
      </w:r>
      <w:r>
        <w:rPr>
          <w:spacing w:val="-2"/>
        </w:rPr>
        <w:t>债转回的期间内，涉及的纳税主体意图以净额结算当期所得税资产和负债或是同时取得资产、清偿负债时，本公司递延所得</w:t>
      </w:r>
      <w:r>
        <w:rPr>
          <w:spacing w:val="-66"/>
        </w:rPr>
        <w:t> </w:t>
      </w:r>
      <w:r>
        <w:rPr>
          <w:spacing w:val="-66"/>
        </w:rPr>
      </w:r>
      <w:r>
        <w:rPr/>
        <w:t>税资产及递延所得税负债以抵销后的净额列报。</w:t>
      </w:r>
    </w:p>
    <w:p>
      <w:pPr>
        <w:spacing w:after="0" w:line="316" w:lineRule="auto"/>
        <w:jc w:val="both"/>
        <w:sectPr>
          <w:pgSz w:w="11910" w:h="16840"/>
          <w:pgMar w:header="877" w:footer="982" w:top="1100" w:bottom="11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both"/>
        <w:rPr>
          <w:b w:val="0"/>
          <w:bCs w:val="0"/>
        </w:rPr>
      </w:pP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0"/>
        <w:jc w:val="left"/>
      </w:pPr>
      <w:r>
        <w:rPr>
          <w:rFonts w:ascii="Times New Roman" w:hAnsi="Times New Roman" w:cs="Times New Roman" w:eastAsia="Times New Roman" w:hint="default"/>
        </w:rPr>
        <w:t>1</w:t>
      </w:r>
      <w:r>
        <w:rPr/>
        <w:t>）本公司作为承租人记录经营租赁业务 </w:t>
      </w:r>
      <w:r>
        <w:rPr>
          <w:spacing w:val="-2"/>
        </w:rPr>
        <w:t>经营租赁的租金支出在租赁期内的各个期间按直线法计入相关资产成本或当期损益。初始直接费用计入当期损益。或有</w:t>
      </w:r>
    </w:p>
    <w:p>
      <w:pPr>
        <w:pStyle w:val="BodyText"/>
        <w:spacing w:line="240" w:lineRule="auto" w:before="31"/>
        <w:ind w:left="153" w:right="0"/>
        <w:jc w:val="both"/>
      </w:pPr>
      <w:r>
        <w:rPr/>
        <w:t>租金于实际发生时计入当期损益。</w:t>
      </w:r>
    </w:p>
    <w:p>
      <w:pPr>
        <w:pStyle w:val="BodyText"/>
        <w:spacing w:line="300" w:lineRule="auto" w:before="76"/>
        <w:ind w:left="443" w:right="0" w:firstLine="70"/>
        <w:jc w:val="left"/>
      </w:pPr>
      <w:r>
        <w:rPr>
          <w:rFonts w:ascii="Times New Roman" w:hAnsi="Times New Roman" w:cs="Times New Roman" w:eastAsia="Times New Roman" w:hint="default"/>
        </w:rPr>
        <w:t>2</w:t>
      </w:r>
      <w:r>
        <w:rPr/>
        <w:t>）本公司作为出租人记录经营租赁业务 </w:t>
      </w:r>
      <w:r>
        <w:rPr>
          <w:spacing w:val="2"/>
        </w:rPr>
        <w:t>经营租赁的租金收入在租赁期内的各个期间按直线法确认为当期损益。对金额较大的初始直接费用于发生时予以资本</w:t>
      </w:r>
      <w:r>
        <w:rPr/>
      </w:r>
    </w:p>
    <w:p>
      <w:pPr>
        <w:pStyle w:val="BodyText"/>
        <w:spacing w:line="316" w:lineRule="auto" w:before="31"/>
        <w:ind w:left="153" w:right="0"/>
        <w:jc w:val="left"/>
      </w:pPr>
      <w:r>
        <w:rPr>
          <w:spacing w:val="-2"/>
        </w:rPr>
        <w:t>化，在整个租赁期间内按照与确认租金收入相同的基础分期计入当期损益；其他金额较小的初始直接费用于发生时计入当期</w:t>
      </w:r>
      <w:r>
        <w:rPr>
          <w:spacing w:val="-64"/>
        </w:rPr>
        <w:t> </w:t>
      </w:r>
      <w:r>
        <w:rPr>
          <w:spacing w:val="-64"/>
        </w:rPr>
      </w:r>
      <w:r>
        <w:rPr/>
        <w:t>损益。或有租金于实际发生时计入当期损益。</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028" w:firstLine="426"/>
        <w:jc w:val="left"/>
      </w:pPr>
      <w:r>
        <w:rPr/>
        <w:t>本公司在运用会计政策过程中，由于经营活动内在的不确定性，本公司需要对无法准确计量的报表项目的账面价值进 </w:t>
      </w:r>
      <w:r>
        <w:rPr>
          <w:spacing w:val="-4"/>
        </w:rPr>
        <w:t>行判断、估计和假设。这些判断、估计和假设是基于本公司管理层过去的历史经验，并在考虑其他相关因素的基础上做出的。</w:t>
      </w:r>
      <w:r>
        <w:rPr>
          <w:spacing w:val="-46"/>
        </w:rPr>
        <w:t> </w:t>
      </w:r>
      <w:r>
        <w:rPr>
          <w:spacing w:val="-46"/>
        </w:rPr>
      </w:r>
      <w:r>
        <w:rPr>
          <w:spacing w:val="-2"/>
        </w:rPr>
        <w:t>这些判断、估计和假设会影响收入、费用、资产和负债的报告金额以及资产负债表日或有负债的披露。然而，这些估计的不</w:t>
      </w:r>
      <w:r>
        <w:rPr>
          <w:spacing w:val="-65"/>
        </w:rPr>
        <w:t> </w:t>
      </w:r>
      <w:r>
        <w:rPr>
          <w:spacing w:val="-65"/>
        </w:rPr>
      </w:r>
      <w:r>
        <w:rPr>
          <w:spacing w:val="-2"/>
        </w:rPr>
        <w:t>确定性所导致的实际结果可能与本公司管理层当前的估计存在差异，进而造成对未来受影响的资产或负债的账面金额进行重</w:t>
      </w:r>
      <w:r>
        <w:rPr>
          <w:spacing w:val="-64"/>
        </w:rPr>
        <w:t> </w:t>
      </w:r>
      <w:r>
        <w:rPr>
          <w:spacing w:val="-64"/>
        </w:rPr>
      </w:r>
      <w:r>
        <w:rPr/>
        <w:t>大调整。</w:t>
      </w:r>
    </w:p>
    <w:p>
      <w:pPr>
        <w:pStyle w:val="BodyText"/>
        <w:spacing w:line="316" w:lineRule="auto" w:before="19"/>
        <w:ind w:left="153" w:right="0" w:firstLine="426"/>
        <w:jc w:val="left"/>
      </w:pPr>
      <w:r>
        <w:rPr/>
        <w:t>本公司对前述判断、估计和假设在持续经营的基础上进行定期复核，会计估计的变更仅影响变更当期的，其影响数在 变更当期予以确认；既影响变更当期又影响未来期间的，其影响数在变更当期和未来期间予以确认。</w:t>
      </w:r>
    </w:p>
    <w:p>
      <w:pPr>
        <w:pStyle w:val="BodyText"/>
        <w:spacing w:line="240" w:lineRule="auto" w:before="19"/>
        <w:ind w:left="580" w:right="0"/>
        <w:jc w:val="left"/>
      </w:pPr>
      <w:r>
        <w:rPr/>
        <w:t>于资产负债表日，本公司需对财务报表项目金额进行判断、估计和假设的重要领域如下：</w:t>
      </w:r>
    </w:p>
    <w:p>
      <w:pPr>
        <w:pStyle w:val="BodyText"/>
        <w:spacing w:line="300" w:lineRule="auto" w:before="76"/>
        <w:ind w:left="580" w:right="0"/>
        <w:jc w:val="left"/>
      </w:pPr>
      <w:r>
        <w:rPr/>
        <w:t>（</w:t>
      </w:r>
      <w:r>
        <w:rPr>
          <w:rFonts w:ascii="Times New Roman" w:hAnsi="Times New Roman" w:cs="Times New Roman" w:eastAsia="Times New Roman" w:hint="default"/>
        </w:rPr>
        <w:t>1</w:t>
      </w:r>
      <w:r>
        <w:rPr/>
        <w:t>）租赁的归类 本公司根据《企业会计准则第</w:t>
      </w:r>
      <w:r>
        <w:rPr>
          <w:rFonts w:ascii="Times New Roman" w:hAnsi="Times New Roman" w:cs="Times New Roman" w:eastAsia="Times New Roman" w:hint="default"/>
        </w:rPr>
        <w:t>21</w:t>
      </w:r>
      <w:r>
        <w:rPr/>
        <w:t>号</w:t>
      </w:r>
      <w:r>
        <w:rPr>
          <w:rFonts w:ascii="Times New Roman" w:hAnsi="Times New Roman" w:cs="Times New Roman" w:eastAsia="Times New Roman" w:hint="default"/>
        </w:rPr>
        <w:t>——</w:t>
      </w:r>
      <w:r>
        <w:rPr/>
        <w:t>租赁》的规定，将租赁归类为经营租赁和融资租赁，在进行归类时，管理层需</w:t>
      </w:r>
    </w:p>
    <w:p>
      <w:pPr>
        <w:pStyle w:val="BodyText"/>
        <w:spacing w:line="316" w:lineRule="auto" w:before="13"/>
        <w:ind w:right="0"/>
        <w:jc w:val="left"/>
      </w:pPr>
      <w:r>
        <w:rPr>
          <w:spacing w:val="-2"/>
        </w:rPr>
        <w:t>要对是否已将与租出资产所有权有关的全部风险和报酬实质上转移给承租人，或者本公司是否已经实质上承担与租入资产所</w:t>
      </w:r>
      <w:r>
        <w:rPr>
          <w:spacing w:val="-64"/>
        </w:rPr>
        <w:t> </w:t>
      </w:r>
      <w:r>
        <w:rPr>
          <w:spacing w:val="-64"/>
        </w:rPr>
      </w:r>
      <w:r>
        <w:rPr/>
        <w:t>有权有关的全部风险和报酬，作出分析和判断。</w:t>
      </w:r>
    </w:p>
    <w:p>
      <w:pPr>
        <w:pStyle w:val="BodyText"/>
        <w:spacing w:line="300" w:lineRule="auto" w:before="19"/>
        <w:ind w:left="580" w:right="0"/>
        <w:jc w:val="left"/>
      </w:pPr>
      <w:r>
        <w:rPr/>
        <w:t>（</w:t>
      </w:r>
      <w:r>
        <w:rPr>
          <w:rFonts w:ascii="Times New Roman" w:hAnsi="Times New Roman" w:cs="Times New Roman" w:eastAsia="Times New Roman" w:hint="default"/>
        </w:rPr>
        <w:t>2</w:t>
      </w:r>
      <w:r>
        <w:rPr/>
        <w:t>）坏账准备计提 本公司根据应收款项的会计政策，采用备抵法核算坏账损失。应收款项减值是基于评估应收款项的可收回性。鉴定应</w:t>
      </w:r>
    </w:p>
    <w:p>
      <w:pPr>
        <w:pStyle w:val="BodyText"/>
        <w:spacing w:line="316" w:lineRule="auto" w:before="31"/>
        <w:ind w:right="0"/>
        <w:jc w:val="left"/>
      </w:pPr>
      <w:r>
        <w:rPr>
          <w:spacing w:val="-2"/>
        </w:rPr>
        <w:t>收款项减值要求管理层的判断和估计。实际的结果与原先估计的差异将在估计被改变的期间影响应收款项的账面价值及应收</w:t>
      </w:r>
      <w:r>
        <w:rPr>
          <w:spacing w:val="-64"/>
        </w:rPr>
        <w:t> </w:t>
      </w:r>
      <w:r>
        <w:rPr>
          <w:spacing w:val="-64"/>
        </w:rPr>
      </w:r>
      <w:r>
        <w:rPr/>
        <w:t>款项坏账准备的计提或转回。</w:t>
      </w:r>
    </w:p>
    <w:p>
      <w:pPr>
        <w:pStyle w:val="BodyText"/>
        <w:spacing w:line="300" w:lineRule="auto" w:before="19"/>
        <w:ind w:left="580" w:right="0"/>
        <w:jc w:val="left"/>
      </w:pPr>
      <w:r>
        <w:rPr/>
        <w:t>（</w:t>
      </w:r>
      <w:r>
        <w:rPr>
          <w:rFonts w:ascii="Times New Roman" w:hAnsi="Times New Roman" w:cs="Times New Roman" w:eastAsia="Times New Roman" w:hint="default"/>
        </w:rPr>
        <w:t>3</w:t>
      </w:r>
      <w:r>
        <w:rPr/>
        <w:t>）存货跌价准备 本公司根据存货会计政策，按照成本与可变现净值孰低计量，对成本高于可变现净值及陈旧和滞销的存货，计提存货</w:t>
      </w:r>
    </w:p>
    <w:p>
      <w:pPr>
        <w:pStyle w:val="BodyText"/>
        <w:spacing w:line="316" w:lineRule="auto" w:before="31"/>
        <w:ind w:right="1131"/>
        <w:jc w:val="both"/>
      </w:pPr>
      <w:r>
        <w:rPr>
          <w:spacing w:val="-2"/>
        </w:rPr>
        <w:t>跌价准备。存货减值至可变现净值是基于评估存货的可售性及其可变现净值。鉴定存货减值要求管理层在取得确凿证据，并</w:t>
      </w:r>
      <w:r>
        <w:rPr>
          <w:spacing w:val="-66"/>
        </w:rPr>
        <w:t> </w:t>
      </w:r>
      <w:r>
        <w:rPr>
          <w:spacing w:val="-66"/>
        </w:rPr>
      </w:r>
      <w:r>
        <w:rPr>
          <w:spacing w:val="-2"/>
        </w:rPr>
        <w:t>且考虑持有存货的目的、资产负债表日后事项的影响等因素的基础上作出判断和估计。实际的结果与原先估计的差异将在估</w:t>
      </w:r>
      <w:r>
        <w:rPr>
          <w:spacing w:val="-64"/>
        </w:rPr>
        <w:t> </w:t>
      </w:r>
      <w:r>
        <w:rPr>
          <w:spacing w:val="-64"/>
        </w:rPr>
      </w:r>
      <w:r>
        <w:rPr/>
        <w:t>计被改变的期间影响存货的账面价值及存货跌价准备的计提或转回。</w:t>
      </w:r>
    </w:p>
    <w:p>
      <w:pPr>
        <w:pStyle w:val="BodyText"/>
        <w:spacing w:line="300" w:lineRule="auto" w:before="19"/>
        <w:ind w:left="580" w:right="0"/>
        <w:jc w:val="left"/>
      </w:pPr>
      <w:r>
        <w:rPr/>
        <w:t>（</w:t>
      </w:r>
      <w:r>
        <w:rPr>
          <w:rFonts w:ascii="Times New Roman" w:hAnsi="Times New Roman" w:cs="Times New Roman" w:eastAsia="Times New Roman" w:hint="default"/>
        </w:rPr>
        <w:t>4</w:t>
      </w:r>
      <w:r>
        <w:rPr/>
        <w:t>）金融工具公允价值 对不存在活跃交易市场的金融工具，本公司通过各种估值方法确定其公允价值。这些估值方法包括贴现现金流模型分</w:t>
      </w:r>
    </w:p>
    <w:p>
      <w:pPr>
        <w:pStyle w:val="BodyText"/>
        <w:spacing w:line="316" w:lineRule="auto" w:before="31"/>
        <w:ind w:right="0"/>
        <w:jc w:val="left"/>
      </w:pPr>
      <w:r>
        <w:rPr>
          <w:spacing w:val="-2"/>
        </w:rPr>
        <w:t>析等。估值时本公司需对未来现金流量、信用风险、市场波动率和相关性等方面进行估计，并选择适当的折现率。这些相关</w:t>
      </w:r>
      <w:r>
        <w:rPr>
          <w:spacing w:val="-66"/>
        </w:rPr>
        <w:t> </w:t>
      </w:r>
      <w:r>
        <w:rPr>
          <w:spacing w:val="-66"/>
        </w:rPr>
      </w:r>
      <w:r>
        <w:rPr/>
        <w:t>假设具有不确定性，其变化会对金融工具的公允价值产生影响。</w:t>
      </w:r>
    </w:p>
    <w:p>
      <w:pPr>
        <w:pStyle w:val="BodyText"/>
        <w:spacing w:line="300" w:lineRule="auto" w:before="19"/>
        <w:ind w:left="580" w:right="0"/>
        <w:jc w:val="left"/>
      </w:pPr>
      <w:r>
        <w:rPr/>
        <w:t>（</w:t>
      </w:r>
      <w:r>
        <w:rPr>
          <w:rFonts w:ascii="Times New Roman" w:hAnsi="Times New Roman" w:cs="Times New Roman" w:eastAsia="Times New Roman" w:hint="default"/>
        </w:rPr>
        <w:t>5</w:t>
      </w:r>
      <w:r>
        <w:rPr/>
        <w:t>）可供出售金融资产减值 本公司确定可供出售金融资产是否减值在很大程度上依赖于管理层的判断和假设，以确定是否需要在利润表中确认其</w:t>
      </w:r>
    </w:p>
    <w:p>
      <w:pPr>
        <w:pStyle w:val="BodyText"/>
        <w:spacing w:line="316" w:lineRule="auto" w:before="31"/>
        <w:ind w:right="0"/>
        <w:jc w:val="left"/>
      </w:pPr>
      <w:r>
        <w:rPr>
          <w:spacing w:val="-2"/>
        </w:rPr>
        <w:t>减值损失。在进行判断和作出假设的过程中，本公司需评估该项投资的公允价值低于成本的程度和持续期间，以及被投资对</w:t>
      </w:r>
      <w:r>
        <w:rPr>
          <w:spacing w:val="-66"/>
        </w:rPr>
        <w:t> </w:t>
      </w:r>
      <w:r>
        <w:rPr>
          <w:spacing w:val="-66"/>
        </w:rPr>
      </w:r>
      <w:r>
        <w:rPr/>
        <w:t>象的财务状况和短期业务展望，包括行业状况、技术变革、信用评级、违约率和对手方的风险。</w:t>
      </w:r>
    </w:p>
    <w:p>
      <w:pPr>
        <w:spacing w:after="0" w:line="316" w:lineRule="auto"/>
        <w:jc w:val="left"/>
        <w:sectPr>
          <w:pgSz w:w="11910" w:h="16840"/>
          <w:pgMar w:header="877" w:footer="982" w:top="1100" w:bottom="1180" w:left="980" w:right="0"/>
        </w:sectPr>
      </w:pPr>
    </w:p>
    <w:p>
      <w:pPr>
        <w:spacing w:line="240" w:lineRule="auto" w:before="12"/>
        <w:rPr>
          <w:rFonts w:ascii="宋体" w:hAnsi="宋体" w:cs="宋体" w:eastAsia="宋体" w:hint="default"/>
          <w:sz w:val="21"/>
          <w:szCs w:val="21"/>
        </w:rPr>
      </w:pPr>
    </w:p>
    <w:p>
      <w:pPr>
        <w:pStyle w:val="BodyText"/>
        <w:spacing w:line="300" w:lineRule="auto" w:before="44"/>
        <w:ind w:left="579" w:right="0"/>
        <w:jc w:val="left"/>
      </w:pPr>
      <w:r>
        <w:rPr/>
        <w:t>（</w:t>
      </w:r>
      <w:r>
        <w:rPr>
          <w:rFonts w:ascii="Times New Roman" w:hAnsi="Times New Roman" w:cs="Times New Roman" w:eastAsia="Times New Roman" w:hint="default"/>
        </w:rPr>
        <w:t>6</w:t>
      </w:r>
      <w:r>
        <w:rPr/>
        <w:t>）长期资产减值准备 本公司于资产负债表日对除金融资产之外的非流动资产判断是否存在可能发生减值的迹象。对使用寿命不确定的无形</w:t>
      </w:r>
    </w:p>
    <w:p>
      <w:pPr>
        <w:pStyle w:val="BodyText"/>
        <w:spacing w:line="316" w:lineRule="auto" w:before="31"/>
        <w:ind w:left="153" w:right="1131"/>
        <w:jc w:val="both"/>
      </w:pPr>
      <w:r>
        <w:rPr>
          <w:spacing w:val="-2"/>
        </w:rPr>
        <w:t>资产，除每年进行的减值测试外，当其存在减值迹象时，也进行减值测试。其他除金融资产之外的非流动资产，当存在迹象</w:t>
      </w:r>
      <w:r>
        <w:rPr>
          <w:spacing w:val="-66"/>
        </w:rPr>
        <w:t> </w:t>
      </w:r>
      <w:r>
        <w:rPr>
          <w:spacing w:val="-66"/>
        </w:rPr>
      </w:r>
      <w:r>
        <w:rPr/>
        <w:t>表明其账面金额不可收回时，进行减值测试。</w:t>
      </w:r>
    </w:p>
    <w:p>
      <w:pPr>
        <w:pStyle w:val="BodyText"/>
        <w:spacing w:line="316" w:lineRule="auto" w:before="19"/>
        <w:ind w:left="153" w:right="1129" w:firstLine="426"/>
        <w:jc w:val="both"/>
      </w:pPr>
      <w:r>
        <w:rPr/>
        <w:t>当资产或资产组的账面价值高于可收回金额，即公允价值减去处置费用后的净额和预计未来现金流量的现值中的较高 者，表明发生了减值。</w:t>
      </w:r>
    </w:p>
    <w:p>
      <w:pPr>
        <w:pStyle w:val="BodyText"/>
        <w:spacing w:line="316" w:lineRule="auto" w:before="19"/>
        <w:ind w:left="153" w:right="1129" w:firstLine="426"/>
        <w:jc w:val="both"/>
      </w:pPr>
      <w:r>
        <w:rPr/>
        <w:t>公允价值减去处置费用后的净额，参考公平交易中类似资产的销售协议价格或可观察到的市场价格，减去可直接归属 于该资产处置的增量成本确定。</w:t>
      </w:r>
    </w:p>
    <w:p>
      <w:pPr>
        <w:pStyle w:val="BodyText"/>
        <w:spacing w:line="316" w:lineRule="auto" w:before="19"/>
        <w:ind w:left="153" w:right="1129" w:firstLine="426"/>
        <w:jc w:val="both"/>
      </w:pPr>
      <w:r>
        <w:rPr/>
        <w:t>在预计未来现金流量现值时，需要对该资产（或资产组）的产量、售价、相关经营成本以及计算现值时使用的折现率 </w:t>
      </w:r>
      <w:r>
        <w:rPr>
          <w:spacing w:val="-2"/>
        </w:rPr>
        <w:t>等作出重大判断。本公司在估计可收回金额时会采用所有能够获得的相关资料，包括根据合理和可支持的假设所作出有关产</w:t>
      </w:r>
      <w:r>
        <w:rPr>
          <w:spacing w:val="-64"/>
        </w:rPr>
        <w:t> </w:t>
      </w:r>
      <w:r>
        <w:rPr>
          <w:spacing w:val="-64"/>
        </w:rPr>
      </w:r>
      <w:r>
        <w:rPr/>
        <w:t>量、售价和相关经营成本的预测。</w:t>
      </w:r>
    </w:p>
    <w:p>
      <w:pPr>
        <w:pStyle w:val="BodyText"/>
        <w:spacing w:line="316" w:lineRule="auto" w:before="19"/>
        <w:ind w:left="153" w:right="1129" w:firstLine="426"/>
        <w:jc w:val="both"/>
      </w:pPr>
      <w:r>
        <w:rPr/>
        <w:t>本公司至少每年测试商誉是否发生减值。这要求对分配了商誉的资产组或者资产组组合的未来现金流量的现值进行预 </w:t>
      </w:r>
      <w:r>
        <w:rPr>
          <w:spacing w:val="-2"/>
        </w:rPr>
        <w:t>计。对未来现金流量的现值进行预计时，本公司需要预计未来资产组或者资产组组合产生的现金流量，同时选择恰当的折现</w:t>
      </w:r>
      <w:r>
        <w:rPr>
          <w:spacing w:val="-66"/>
        </w:rPr>
        <w:t> </w:t>
      </w:r>
      <w:r>
        <w:rPr>
          <w:spacing w:val="-66"/>
        </w:rPr>
      </w:r>
      <w:r>
        <w:rPr/>
        <w:t>率确定未来现金流量的现值。</w:t>
      </w:r>
    </w:p>
    <w:p>
      <w:pPr>
        <w:pStyle w:val="BodyText"/>
        <w:spacing w:line="300" w:lineRule="auto" w:before="19"/>
        <w:ind w:left="579" w:right="0"/>
        <w:jc w:val="left"/>
      </w:pPr>
      <w:r>
        <w:rPr/>
        <w:t>（</w:t>
      </w:r>
      <w:r>
        <w:rPr>
          <w:rFonts w:ascii="Times New Roman" w:hAnsi="Times New Roman" w:cs="Times New Roman" w:eastAsia="Times New Roman" w:hint="default"/>
        </w:rPr>
        <w:t>7</w:t>
      </w:r>
      <w:r>
        <w:rPr/>
        <w:t>）折旧和摊销 本公司对投资性房地产、固定资产和无形资产在考虑其残值后，在使用寿命内按直线法计提折旧和摊销。本公司定期</w:t>
      </w:r>
    </w:p>
    <w:p>
      <w:pPr>
        <w:pStyle w:val="BodyText"/>
        <w:spacing w:line="316" w:lineRule="auto" w:before="31"/>
        <w:ind w:left="153" w:right="1130"/>
        <w:jc w:val="both"/>
      </w:pPr>
      <w:r>
        <w:rPr>
          <w:spacing w:val="-2"/>
        </w:rPr>
        <w:t>复核使用寿命，以决定将计入每个报告期的折旧和摊销费用数额。使用寿命是本公司根据对同类资产的以往经验并结合预期</w:t>
      </w:r>
      <w:r>
        <w:rPr>
          <w:spacing w:val="-64"/>
        </w:rPr>
        <w:t> </w:t>
      </w:r>
      <w:r>
        <w:rPr>
          <w:spacing w:val="-64"/>
        </w:rPr>
      </w:r>
      <w:r>
        <w:rPr/>
        <w:t>的技术更新而确定的。如果以前的估计发生重大变化，则会在未来期间对折旧和摊销费用进行调整。</w:t>
      </w:r>
    </w:p>
    <w:p>
      <w:pPr>
        <w:pStyle w:val="BodyText"/>
        <w:spacing w:line="300" w:lineRule="auto" w:before="19"/>
        <w:ind w:left="579" w:right="0"/>
        <w:jc w:val="left"/>
      </w:pPr>
      <w:r>
        <w:rPr/>
        <w:t>（</w:t>
      </w:r>
      <w:r>
        <w:rPr>
          <w:rFonts w:ascii="Times New Roman" w:hAnsi="Times New Roman" w:cs="Times New Roman" w:eastAsia="Times New Roman" w:hint="default"/>
        </w:rPr>
        <w:t>8</w:t>
      </w:r>
      <w:r>
        <w:rPr/>
        <w:t>）递延所得税资产 在很有可能有足够的应纳税利润来抵扣亏损的限度内，本公司就所有未利用的税务亏损确认递延所得税资产。这需要</w:t>
      </w:r>
    </w:p>
    <w:p>
      <w:pPr>
        <w:pStyle w:val="BodyText"/>
        <w:spacing w:line="316" w:lineRule="auto" w:before="31"/>
        <w:ind w:left="153" w:right="1130"/>
        <w:jc w:val="both"/>
      </w:pPr>
      <w:r>
        <w:rPr>
          <w:spacing w:val="-2"/>
        </w:rPr>
        <w:t>本公司管理层运用大量的判断来估计未来应纳税利润发生的时间和金额，结合纳税筹划策略，以决定应确认的递延所得税资</w:t>
      </w:r>
      <w:r>
        <w:rPr>
          <w:spacing w:val="-64"/>
        </w:rPr>
        <w:t> </w:t>
      </w:r>
      <w:r>
        <w:rPr>
          <w:spacing w:val="-64"/>
        </w:rPr>
      </w:r>
      <w:r>
        <w:rPr/>
        <w:t>产的金额。</w:t>
      </w:r>
    </w:p>
    <w:p>
      <w:pPr>
        <w:pStyle w:val="BodyText"/>
        <w:spacing w:line="300" w:lineRule="auto" w:before="19"/>
        <w:ind w:left="579" w:right="1117"/>
        <w:jc w:val="left"/>
      </w:pPr>
      <w:r>
        <w:rPr/>
        <w:t>（</w:t>
      </w:r>
      <w:r>
        <w:rPr>
          <w:rFonts w:ascii="Times New Roman" w:hAnsi="Times New Roman" w:cs="Times New Roman" w:eastAsia="Times New Roman" w:hint="default"/>
        </w:rPr>
        <w:t>9</w:t>
      </w:r>
      <w:r>
        <w:rPr/>
        <w:t>）所得税 本公司在正常的经营活动中，有部分交易其最终的税务处理和计算存在一定的不确定性。部分项目是否能够在税前列</w:t>
      </w:r>
    </w:p>
    <w:p>
      <w:pPr>
        <w:pStyle w:val="BodyText"/>
        <w:spacing w:line="316" w:lineRule="auto" w:before="31"/>
        <w:ind w:left="153" w:right="1130"/>
        <w:jc w:val="both"/>
      </w:pPr>
      <w:r>
        <w:rPr>
          <w:spacing w:val="-2"/>
        </w:rPr>
        <w:t>支需要税收主管机关的审批。如果这些税务事项的最终认定结果同最初估计的金额存在差异，则该差异将对其最终认定期间</w:t>
      </w:r>
      <w:r>
        <w:rPr>
          <w:spacing w:val="-64"/>
        </w:rPr>
        <w:t> </w:t>
      </w:r>
      <w:r>
        <w:rPr>
          <w:spacing w:val="-64"/>
        </w:rPr>
      </w:r>
      <w:r>
        <w:rPr/>
        <w:t>的当期所得税和递延所得税产生影响。</w:t>
      </w:r>
    </w:p>
    <w:p>
      <w:pPr>
        <w:pStyle w:val="BodyText"/>
        <w:spacing w:line="309" w:lineRule="auto" w:before="19"/>
        <w:ind w:left="579" w:right="0"/>
        <w:jc w:val="left"/>
      </w:pPr>
      <w:r>
        <w:rPr/>
        <w:t>（</w:t>
      </w:r>
      <w:r>
        <w:rPr>
          <w:rFonts w:ascii="Times New Roman" w:hAnsi="Times New Roman" w:cs="Times New Roman" w:eastAsia="Times New Roman" w:hint="default"/>
        </w:rPr>
        <w:t>10</w:t>
      </w:r>
      <w:r>
        <w:rPr/>
        <w:t>）开发支出 </w:t>
      </w:r>
      <w:r>
        <w:rPr>
          <w:spacing w:val="-2"/>
        </w:rPr>
        <w:t>确定资本化的金额时，本公司管理层需要作出有关资产的预计未来现金流量、适用的折现率以及预计受益期间的假设。</w:t>
      </w:r>
      <w:r>
        <w:rPr>
          <w:spacing w:val="-44"/>
        </w:rPr>
        <w:t> </w:t>
      </w:r>
      <w:r>
        <w:rPr>
          <w:spacing w:val="-44"/>
        </w:rPr>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日本公司自行开发的无形资产在资产负债表中的余额为人民币</w:t>
      </w:r>
      <w:r>
        <w:rPr>
          <w:rFonts w:ascii="Times New Roman" w:hAnsi="Times New Roman" w:cs="Times New Roman" w:eastAsia="Times New Roman" w:hint="default"/>
        </w:rPr>
        <w:t>13,870,471.71</w:t>
      </w:r>
      <w:r>
        <w:rPr/>
        <w:t>元。详见附注五、</w:t>
      </w:r>
      <w:r>
        <w:rPr>
          <w:rFonts w:ascii="Times New Roman" w:hAnsi="Times New Roman" w:cs="Times New Roman" w:eastAsia="Times New Roman" w:hint="default"/>
        </w:rPr>
        <w:t>21“</w:t>
      </w:r>
      <w:r>
        <w:rPr/>
        <w:t>无形资</w:t>
      </w:r>
    </w:p>
    <w:p>
      <w:pPr>
        <w:pStyle w:val="BodyText"/>
        <w:spacing w:line="312" w:lineRule="auto" w:before="5"/>
        <w:ind w:left="153" w:right="1048"/>
        <w:jc w:val="both"/>
      </w:pPr>
      <w:r>
        <w:rPr/>
        <w:t>产</w:t>
      </w:r>
      <w:r>
        <w:rPr>
          <w:rFonts w:ascii="Times New Roman" w:hAnsi="Times New Roman" w:cs="Times New Roman" w:eastAsia="Times New Roman" w:hint="default"/>
        </w:rPr>
        <w:t>”</w:t>
      </w:r>
      <w:r>
        <w:rPr/>
        <w:t>。本公司管理层认为该业务的前景和目前的发展良好，市场对以该无形资产生产的产品的反应也证实了管理层之前对这</w:t>
      </w:r>
      <w:r>
        <w:rPr>
          <w:spacing w:val="-77"/>
        </w:rPr>
        <w:t> </w:t>
      </w:r>
      <w:r>
        <w:rPr>
          <w:spacing w:val="-77"/>
        </w:rPr>
      </w:r>
      <w:r>
        <w:rPr>
          <w:spacing w:val="-2"/>
        </w:rPr>
        <w:t>一项目预期收入的估计。但是日益增加的竞争也使得管理层重新考虑对市场份额和有关产品的预计毛利等方面的假设。经过</w:t>
      </w:r>
      <w:r>
        <w:rPr>
          <w:spacing w:val="-64"/>
        </w:rPr>
        <w:t> </w:t>
      </w:r>
      <w:r>
        <w:rPr>
          <w:spacing w:val="-64"/>
        </w:rPr>
      </w:r>
      <w:r>
        <w:rPr>
          <w:spacing w:val="-2"/>
        </w:rPr>
        <w:t>全面的检视后，本公司管理层认为即使在产品回报率出现下调的情况下，仍可以全额收回自行开发的无形资产账面价值。本</w:t>
      </w:r>
      <w:r>
        <w:rPr>
          <w:spacing w:val="-66"/>
        </w:rPr>
        <w:t> </w:t>
      </w:r>
      <w:r>
        <w:rPr>
          <w:spacing w:val="-66"/>
        </w:rPr>
      </w:r>
      <w:r>
        <w:rPr/>
        <w:t>公司将继续密切检视有关情况，一旦有迹象表明需要调整相关会计估计的假设，本公司将在有关迹象发生的期间作出调整。</w:t>
      </w:r>
    </w:p>
    <w:p>
      <w:pPr>
        <w:spacing w:line="240" w:lineRule="auto" w:before="11"/>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6274"/>
        <w:gridCol w:w="799"/>
        <w:gridCol w:w="2593"/>
      </w:tblGrid>
      <w:tr>
        <w:trPr>
          <w:trHeight w:val="244" w:hRule="exact"/>
        </w:trPr>
        <w:tc>
          <w:tcPr>
            <w:tcW w:w="6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6" w:lineRule="exact"/>
              <w:ind w:left="205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6" w:lineRule="exact"/>
              <w:ind w:left="34"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25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411" w:hRule="exact"/>
        </w:trPr>
        <w:tc>
          <w:tcPr>
            <w:tcW w:w="62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11" w:lineRule="exact"/>
              <w:ind w:left="22" w:right="0"/>
              <w:jc w:val="left"/>
              <w:rPr>
                <w:rFonts w:ascii="宋体" w:hAnsi="宋体" w:cs="宋体" w:eastAsia="宋体" w:hint="default"/>
                <w:sz w:val="18"/>
                <w:szCs w:val="18"/>
              </w:rPr>
            </w:pPr>
            <w:r>
              <w:rPr>
                <w:rFonts w:ascii="宋体" w:hAnsi="宋体" w:cs="宋体" w:eastAsia="宋体" w:hint="default"/>
                <w:sz w:val="18"/>
                <w:szCs w:val="18"/>
              </w:rPr>
              <w:t>根据财政部《关于修订印发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年度一般企业财务报表格式的通知</w:t>
            </w:r>
            <w:r>
              <w:rPr>
                <w:rFonts w:ascii="宋体" w:hAnsi="宋体" w:cs="宋体" w:eastAsia="宋体" w:hint="default"/>
                <w:spacing w:val="-90"/>
                <w:sz w:val="18"/>
                <w:szCs w:val="18"/>
              </w:rPr>
              <w:t>》</w:t>
            </w:r>
            <w:r>
              <w:rPr>
                <w:rFonts w:ascii="宋体" w:hAnsi="宋体" w:cs="宋体" w:eastAsia="宋体" w:hint="default"/>
                <w:sz w:val="18"/>
                <w:szCs w:val="18"/>
              </w:rPr>
              <w:t>（财会</w:t>
            </w:r>
          </w:p>
          <w:p>
            <w:pPr>
              <w:pStyle w:val="TableParagraph"/>
              <w:spacing w:line="225" w:lineRule="auto" w:before="4"/>
              <w:ind w:left="22" w:right="2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号）的相关规定，本公司调整以下财务报表的列报，并对可比会计 </w:t>
            </w:r>
            <w:r>
              <w:rPr>
                <w:rFonts w:ascii="宋体" w:hAnsi="宋体" w:cs="宋体" w:eastAsia="宋体" w:hint="default"/>
                <w:spacing w:val="-1"/>
                <w:sz w:val="18"/>
                <w:szCs w:val="18"/>
              </w:rPr>
              <w:t>期间的比较数据进行相应调整：</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应收利息</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及</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应收股利</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项目归并至</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其他应</w:t>
            </w:r>
            <w:r>
              <w:rPr>
                <w:rFonts w:ascii="宋体" w:hAnsi="宋体" w:cs="宋体" w:eastAsia="宋体" w:hint="default"/>
                <w:spacing w:val="-88"/>
                <w:sz w:val="18"/>
                <w:szCs w:val="18"/>
              </w:rPr>
              <w:t> </w:t>
            </w:r>
            <w:r>
              <w:rPr>
                <w:rFonts w:ascii="宋体" w:hAnsi="宋体" w:cs="宋体" w:eastAsia="宋体" w:hint="default"/>
                <w:sz w:val="18"/>
                <w:szCs w:val="18"/>
              </w:rPr>
              <w:t>收款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应付利息</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应付股利</w:t>
            </w:r>
            <w:r>
              <w:rPr>
                <w:rFonts w:ascii="Times New Roman" w:hAnsi="Times New Roman" w:cs="Times New Roman" w:eastAsia="Times New Roman" w:hint="default"/>
                <w:sz w:val="18"/>
                <w:szCs w:val="18"/>
              </w:rPr>
              <w:t>”</w:t>
            </w:r>
            <w:r>
              <w:rPr>
                <w:rFonts w:ascii="宋体" w:hAnsi="宋体" w:cs="宋体" w:eastAsia="宋体" w:hint="default"/>
                <w:sz w:val="18"/>
                <w:szCs w:val="18"/>
              </w:rPr>
              <w:t>项目归并至</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r>
              <w:rPr>
                <w:rFonts w:ascii="Times New Roman" w:hAnsi="Times New Roman" w:cs="Times New Roman" w:eastAsia="Times New Roman" w:hint="default"/>
                <w:sz w:val="18"/>
                <w:szCs w:val="18"/>
              </w:rPr>
              <w:t>3</w:t>
            </w:r>
            <w:r>
              <w:rPr>
                <w:rFonts w:ascii="宋体" w:hAnsi="宋体" w:cs="宋体" w:eastAsia="宋体" w:hint="default"/>
                <w:sz w:val="18"/>
                <w:szCs w:val="18"/>
              </w:rPr>
              <w:t>）新 </w:t>
            </w:r>
            <w:r>
              <w:rPr>
                <w:rFonts w:ascii="宋体" w:hAnsi="宋体" w:cs="宋体" w:eastAsia="宋体" w:hint="default"/>
                <w:spacing w:val="-1"/>
                <w:sz w:val="18"/>
                <w:szCs w:val="18"/>
              </w:rPr>
              <w:t>增</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研发费用</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项目，从原</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管理费用</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项目中分拆出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研发费用</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项目；</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）在</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财务</w:t>
            </w:r>
            <w:r>
              <w:rPr>
                <w:rFonts w:ascii="宋体" w:hAnsi="宋体" w:cs="宋体" w:eastAsia="宋体" w:hint="default"/>
                <w:spacing w:val="-67"/>
                <w:sz w:val="18"/>
                <w:szCs w:val="18"/>
              </w:rPr>
              <w:t> </w:t>
            </w:r>
            <w:r>
              <w:rPr>
                <w:rFonts w:ascii="宋体" w:hAnsi="宋体" w:cs="宋体" w:eastAsia="宋体" w:hint="default"/>
                <w:sz w:val="18"/>
                <w:szCs w:val="18"/>
              </w:rPr>
              <w:t>费用</w:t>
            </w:r>
            <w:r>
              <w:rPr>
                <w:rFonts w:ascii="Times New Roman" w:hAnsi="Times New Roman" w:cs="Times New Roman" w:eastAsia="Times New Roman" w:hint="default"/>
                <w:sz w:val="18"/>
                <w:szCs w:val="18"/>
              </w:rPr>
              <w:t>”</w:t>
            </w:r>
            <w:r>
              <w:rPr>
                <w:rFonts w:ascii="宋体" w:hAnsi="宋体" w:cs="宋体" w:eastAsia="宋体" w:hint="default"/>
                <w:sz w:val="18"/>
                <w:szCs w:val="18"/>
              </w:rPr>
              <w:t>项目下分拆</w:t>
            </w:r>
            <w:r>
              <w:rPr>
                <w:rFonts w:ascii="Times New Roman" w:hAnsi="Times New Roman" w:cs="Times New Roman" w:eastAsia="Times New Roman" w:hint="default"/>
                <w:sz w:val="18"/>
                <w:szCs w:val="18"/>
              </w:rPr>
              <w:t>“</w:t>
            </w:r>
            <w:r>
              <w:rPr>
                <w:rFonts w:ascii="宋体" w:hAnsi="宋体" w:cs="宋体" w:eastAsia="宋体" w:hint="default"/>
                <w:sz w:val="18"/>
                <w:szCs w:val="18"/>
              </w:rPr>
              <w:t>利息费用</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明细项目。</w:t>
            </w:r>
          </w:p>
        </w:tc>
        <w:tc>
          <w:tcPr>
            <w:tcW w:w="7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15"/>
                <w:szCs w:val="15"/>
              </w:rPr>
            </w:pPr>
          </w:p>
          <w:p>
            <w:pPr>
              <w:pStyle w:val="TableParagraph"/>
              <w:spacing w:line="237" w:lineRule="auto"/>
              <w:ind w:left="22" w:right="44"/>
              <w:jc w:val="both"/>
              <w:rPr>
                <w:rFonts w:ascii="宋体" w:hAnsi="宋体" w:cs="宋体" w:eastAsia="宋体" w:hint="default"/>
                <w:sz w:val="18"/>
                <w:szCs w:val="18"/>
              </w:rPr>
            </w:pPr>
            <w:r>
              <w:rPr>
                <w:rFonts w:ascii="宋体" w:hAnsi="宋体" w:cs="宋体" w:eastAsia="宋体" w:hint="default"/>
                <w:sz w:val="18"/>
                <w:szCs w:val="18"/>
              </w:rPr>
              <w:t>本公司董 事会、监 事会审议 通过</w:t>
            </w:r>
          </w:p>
        </w:tc>
        <w:tc>
          <w:tcPr>
            <w:tcW w:w="25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37" w:lineRule="auto" w:before="89"/>
              <w:ind w:left="22" w:right="38"/>
              <w:jc w:val="both"/>
              <w:rPr>
                <w:rFonts w:ascii="宋体" w:hAnsi="宋体" w:cs="宋体" w:eastAsia="宋体" w:hint="default"/>
                <w:sz w:val="18"/>
                <w:szCs w:val="18"/>
              </w:rPr>
            </w:pPr>
            <w:r>
              <w:rPr>
                <w:rFonts w:ascii="宋体" w:hAnsi="宋体" w:cs="宋体" w:eastAsia="宋体" w:hint="default"/>
                <w:sz w:val="18"/>
                <w:szCs w:val="18"/>
              </w:rPr>
              <w:t>本次会计政策变更不涉及对公司 以前年度的追溯调整，本次会计 政策的变更不会对当期和会计政 策变更之前公司总资产、负债总 额、净资产及净利润产生影响。</w:t>
            </w:r>
          </w:p>
        </w:tc>
      </w:tr>
    </w:tbl>
    <w:p>
      <w:pPr>
        <w:spacing w:after="0" w:line="237" w:lineRule="auto"/>
        <w:jc w:val="both"/>
        <w:rPr>
          <w:rFonts w:ascii="宋体" w:hAnsi="宋体" w:cs="宋体" w:eastAsia="宋体" w:hint="default"/>
          <w:sz w:val="18"/>
          <w:szCs w:val="18"/>
        </w:rPr>
        <w:sectPr>
          <w:pgSz w:w="11910" w:h="16840"/>
          <w:pgMar w:header="877" w:footer="982" w:top="1100" w:bottom="11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5130"/>
        <w:gridCol w:w="1277"/>
        <w:gridCol w:w="1539"/>
        <w:gridCol w:w="1747"/>
      </w:tblGrid>
      <w:tr>
        <w:trPr>
          <w:trHeight w:val="402" w:hRule="exact"/>
        </w:trPr>
        <w:tc>
          <w:tcPr>
            <w:tcW w:w="51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79" w:right="0"/>
              <w:jc w:val="left"/>
              <w:rPr>
                <w:rFonts w:ascii="宋体" w:hAnsi="宋体" w:cs="宋体" w:eastAsia="宋体" w:hint="default"/>
                <w:sz w:val="18"/>
                <w:szCs w:val="18"/>
              </w:rPr>
            </w:pPr>
            <w:r>
              <w:rPr>
                <w:rFonts w:ascii="宋体" w:hAnsi="宋体" w:cs="宋体" w:eastAsia="宋体" w:hint="default"/>
                <w:sz w:val="18"/>
                <w:szCs w:val="18"/>
              </w:rPr>
              <w:t>会计估计变更的内容和原因</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73"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15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开始适用的时点</w:t>
            </w:r>
          </w:p>
        </w:tc>
        <w:tc>
          <w:tcPr>
            <w:tcW w:w="17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026" w:hRule="exact"/>
        </w:trPr>
        <w:tc>
          <w:tcPr>
            <w:tcW w:w="51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55"/>
              <w:jc w:val="both"/>
              <w:rPr>
                <w:rFonts w:ascii="宋体" w:hAnsi="宋体" w:cs="宋体" w:eastAsia="宋体" w:hint="default"/>
                <w:sz w:val="18"/>
                <w:szCs w:val="18"/>
              </w:rPr>
            </w:pPr>
            <w:r>
              <w:rPr>
                <w:rFonts w:ascii="宋体" w:hAnsi="宋体" w:cs="宋体" w:eastAsia="宋体" w:hint="default"/>
                <w:sz w:val="18"/>
                <w:szCs w:val="18"/>
              </w:rPr>
              <w:t>为进一步完善公司应收款项的风险管控制度和措施，客观公允地 反映公司财务状况和经营成果，结合行业情况和公司实际经营情 况，公司拟变更应收款项坏账准备计提无风险组合的确定依据。</w:t>
            </w:r>
          </w:p>
        </w:tc>
        <w:tc>
          <w:tcPr>
            <w:tcW w:w="12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64"/>
              <w:jc w:val="left"/>
              <w:rPr>
                <w:rFonts w:ascii="宋体" w:hAnsi="宋体" w:cs="宋体" w:eastAsia="宋体" w:hint="default"/>
                <w:sz w:val="18"/>
                <w:szCs w:val="18"/>
              </w:rPr>
            </w:pPr>
            <w:r>
              <w:rPr>
                <w:rFonts w:ascii="宋体" w:hAnsi="宋体" w:cs="宋体" w:eastAsia="宋体" w:hint="default"/>
                <w:sz w:val="18"/>
                <w:szCs w:val="18"/>
              </w:rPr>
              <w:t>子公司董事会 决议通过</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92"/>
              <w:jc w:val="left"/>
              <w:rPr>
                <w:rFonts w:ascii="宋体" w:hAnsi="宋体" w:cs="宋体" w:eastAsia="宋体" w:hint="default"/>
                <w:sz w:val="18"/>
                <w:szCs w:val="18"/>
              </w:rPr>
            </w:pPr>
            <w:r>
              <w:rPr>
                <w:rFonts w:ascii="宋体" w:hAnsi="宋体" w:cs="宋体" w:eastAsia="宋体" w:hint="default"/>
                <w:sz w:val="18"/>
                <w:szCs w:val="18"/>
              </w:rPr>
              <w:t>影响本期资产减值损 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491,886.00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spacing w:line="240" w:lineRule="auto" w:before="3"/>
        <w:rPr>
          <w:rFonts w:ascii="宋体" w:hAnsi="宋体" w:cs="宋体" w:eastAsia="宋体" w:hint="default"/>
          <w:sz w:val="19"/>
          <w:szCs w:val="19"/>
        </w:rPr>
      </w:pPr>
    </w:p>
    <w:p>
      <w:pPr>
        <w:spacing w:line="487" w:lineRule="auto" w:before="35"/>
        <w:ind w:left="154" w:right="896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60" w:type="dxa"/>
        <w:tblLayout w:type="fixed"/>
        <w:tblCellMar>
          <w:top w:w="0" w:type="dxa"/>
          <w:left w:w="0" w:type="dxa"/>
          <w:bottom w:w="0" w:type="dxa"/>
          <w:right w:w="0" w:type="dxa"/>
        </w:tblCellMar>
        <w:tblLook w:val="01E0"/>
      </w:tblPr>
      <w:tblGrid>
        <w:gridCol w:w="1395"/>
        <w:gridCol w:w="4690"/>
        <w:gridCol w:w="3461"/>
      </w:tblGrid>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46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0" w:hRule="exact"/>
        </w:trPr>
        <w:tc>
          <w:tcPr>
            <w:tcW w:w="1395" w:type="dxa"/>
            <w:vMerge w:val="restart"/>
            <w:tcBorders>
              <w:top w:val="single" w:sz="4" w:space="0" w:color="000000"/>
              <w:left w:val="single" w:sz="4" w:space="0" w:color="000000"/>
              <w:right w:val="single" w:sz="9" w:space="0" w:color="C7EDCC"/>
            </w:tcBorders>
            <w:shd w:val="clear" w:color="auto" w:fill="D3D3D3"/>
          </w:tcPr>
          <w:p>
            <w:pPr/>
          </w:p>
        </w:tc>
        <w:tc>
          <w:tcPr>
            <w:tcW w:w="4690" w:type="dxa"/>
            <w:tcBorders>
              <w:top w:val="single" w:sz="4" w:space="0" w:color="000000"/>
              <w:left w:val="single" w:sz="4" w:space="0" w:color="000000"/>
              <w:bottom w:val="nil" w:sz="6" w:space="0" w:color="auto"/>
              <w:right w:val="single" w:sz="4" w:space="0" w:color="000000"/>
            </w:tcBorders>
            <w:shd w:val="clear" w:color="auto" w:fill="C7EDCC"/>
          </w:tcPr>
          <w:p>
            <w:pPr/>
          </w:p>
        </w:tc>
        <w:tc>
          <w:tcPr>
            <w:tcW w:w="3461" w:type="dxa"/>
            <w:vMerge w:val="restart"/>
            <w:tcBorders>
              <w:top w:val="single" w:sz="4" w:space="0" w:color="000000"/>
              <w:left w:val="single" w:sz="4" w:space="0" w:color="000000"/>
              <w:right w:val="single" w:sz="4" w:space="0" w:color="000000"/>
            </w:tcBorders>
            <w:shd w:val="clear" w:color="auto" w:fill="C7EDCC"/>
          </w:tcPr>
          <w:p>
            <w:pPr>
              <w:pStyle w:val="TableParagraph"/>
              <w:spacing w:line="312" w:lineRule="auto" w:before="51"/>
              <w:ind w:left="22" w:right="9"/>
              <w:jc w:val="both"/>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31"/>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16%</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17%</w:t>
            </w:r>
            <w:r>
              <w:rPr>
                <w:rFonts w:ascii="宋体" w:hAnsi="宋体" w:cs="宋体" w:eastAsia="宋体" w:hint="default"/>
                <w:spacing w:val="-3"/>
                <w:sz w:val="18"/>
                <w:szCs w:val="18"/>
              </w:rPr>
              <w:t>的税率</w:t>
            </w:r>
            <w:r>
              <w:rPr>
                <w:rFonts w:ascii="宋体" w:hAnsi="宋体" w:cs="宋体" w:eastAsia="宋体" w:hint="default"/>
                <w:spacing w:val="-84"/>
                <w:sz w:val="18"/>
                <w:szCs w:val="18"/>
              </w:rPr>
              <w:t> </w:t>
            </w:r>
            <w:r>
              <w:rPr>
                <w:rFonts w:ascii="宋体" w:hAnsi="宋体" w:cs="宋体" w:eastAsia="宋体" w:hint="default"/>
                <w:sz w:val="18"/>
                <w:szCs w:val="18"/>
              </w:rPr>
              <w:t>计算销项税，并按扣除当期允许抵扣的进项</w:t>
            </w:r>
            <w:r>
              <w:rPr>
                <w:rFonts w:ascii="宋体" w:hAnsi="宋体" w:cs="宋体" w:eastAsia="宋体" w:hint="default"/>
                <w:sz w:val="18"/>
                <w:szCs w:val="18"/>
              </w:rPr>
              <w:t> 税额后的差额计缴增值税。小规模纳税人按 </w:t>
            </w:r>
            <w:r>
              <w:rPr>
                <w:rFonts w:ascii="Times New Roman" w:hAnsi="Times New Roman" w:cs="Times New Roman" w:eastAsia="Times New Roman" w:hint="default"/>
                <w:sz w:val="18"/>
                <w:szCs w:val="18"/>
              </w:rPr>
              <w:t>3%</w:t>
            </w:r>
            <w:r>
              <w:rPr>
                <w:rFonts w:ascii="宋体" w:hAnsi="宋体" w:cs="宋体" w:eastAsia="宋体" w:hint="default"/>
                <w:sz w:val="18"/>
                <w:szCs w:val="18"/>
              </w:rPr>
              <w:t>的征收率计缴增值税。</w:t>
            </w:r>
          </w:p>
        </w:tc>
      </w:tr>
      <w:tr>
        <w:trPr>
          <w:trHeight w:val="312" w:hRule="exact"/>
        </w:trPr>
        <w:tc>
          <w:tcPr>
            <w:tcW w:w="1395" w:type="dxa"/>
            <w:vMerge/>
            <w:tcBorders>
              <w:left w:val="single" w:sz="4" w:space="0" w:color="000000"/>
              <w:bottom w:val="nil" w:sz="6" w:space="0" w:color="auto"/>
              <w:right w:val="single" w:sz="9" w:space="0" w:color="C7EDCC"/>
            </w:tcBorders>
            <w:shd w:val="clear" w:color="auto" w:fill="D3D3D3"/>
          </w:tcPr>
          <w:p>
            <w:pPr/>
          </w:p>
        </w:tc>
        <w:tc>
          <w:tcPr>
            <w:tcW w:w="4690" w:type="dxa"/>
            <w:vMerge w:val="restart"/>
            <w:tcBorders>
              <w:top w:val="nil" w:sz="6" w:space="0" w:color="auto"/>
              <w:left w:val="single" w:sz="9" w:space="0" w:color="D3D3D3"/>
              <w:right w:val="single" w:sz="4" w:space="0" w:color="000000"/>
            </w:tcBorders>
            <w:shd w:val="clear" w:color="auto" w:fill="C7EDCC"/>
          </w:tcPr>
          <w:p>
            <w:pPr>
              <w:pStyle w:val="TableParagraph"/>
              <w:spacing w:line="309" w:lineRule="auto" w:before="51"/>
              <w:ind w:left="28" w:right="20"/>
              <w:jc w:val="left"/>
              <w:rPr>
                <w:rFonts w:ascii="宋体" w:hAnsi="宋体" w:cs="宋体" w:eastAsia="宋体" w:hint="default"/>
                <w:sz w:val="18"/>
                <w:szCs w:val="18"/>
              </w:rPr>
            </w:pPr>
            <w:r>
              <w:rPr>
                <w:rFonts w:ascii="宋体" w:hAnsi="宋体" w:cs="宋体" w:eastAsia="宋体" w:hint="default"/>
                <w:sz w:val="18"/>
                <w:szCs w:val="18"/>
              </w:rPr>
              <w:t>应税收入按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的税率计算 </w:t>
            </w:r>
            <w:r>
              <w:rPr>
                <w:rFonts w:ascii="宋体" w:hAnsi="宋体" w:cs="宋体" w:eastAsia="宋体" w:hint="default"/>
                <w:spacing w:val="-3"/>
                <w:sz w:val="18"/>
                <w:szCs w:val="18"/>
              </w:rPr>
              <w:t>销项税，并按扣除当期允许抵扣的进项税额后的差额计缴增</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值税。小规模纳税人按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的征收率计缴增值税。</w:t>
            </w:r>
          </w:p>
        </w:tc>
        <w:tc>
          <w:tcPr>
            <w:tcW w:w="3461" w:type="dxa"/>
            <w:vMerge/>
            <w:tcBorders>
              <w:left w:val="single" w:sz="4" w:space="0" w:color="000000"/>
              <w:right w:val="single" w:sz="4" w:space="0" w:color="000000"/>
            </w:tcBorders>
            <w:shd w:val="clear" w:color="auto" w:fill="C7EDCC"/>
          </w:tcPr>
          <w:p>
            <w:pPr/>
          </w:p>
        </w:tc>
      </w:tr>
      <w:tr>
        <w:trPr>
          <w:trHeight w:val="393" w:hRule="exact"/>
        </w:trPr>
        <w:tc>
          <w:tcPr>
            <w:tcW w:w="1395" w:type="dxa"/>
            <w:tcBorders>
              <w:top w:val="nil" w:sz="6" w:space="0" w:color="auto"/>
              <w:left w:val="single" w:sz="4" w:space="0" w:color="000000"/>
              <w:bottom w:val="nil" w:sz="6" w:space="0" w:color="auto"/>
              <w:right w:val="single" w:sz="9" w:space="0" w:color="C7EDCC"/>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690" w:type="dxa"/>
            <w:vMerge/>
            <w:tcBorders>
              <w:left w:val="single" w:sz="9" w:space="0" w:color="D3D3D3"/>
              <w:right w:val="single" w:sz="4" w:space="0" w:color="000000"/>
            </w:tcBorders>
            <w:shd w:val="clear" w:color="auto" w:fill="C7EDCC"/>
          </w:tcPr>
          <w:p>
            <w:pPr/>
          </w:p>
        </w:tc>
        <w:tc>
          <w:tcPr>
            <w:tcW w:w="3461" w:type="dxa"/>
            <w:vMerge/>
            <w:tcBorders>
              <w:left w:val="single" w:sz="4" w:space="0" w:color="000000"/>
              <w:right w:val="single" w:sz="4" w:space="0" w:color="000000"/>
            </w:tcBorders>
            <w:shd w:val="clear" w:color="auto" w:fill="C7EDCC"/>
          </w:tcPr>
          <w:p>
            <w:pPr/>
          </w:p>
        </w:tc>
      </w:tr>
      <w:tr>
        <w:trPr>
          <w:trHeight w:val="312" w:hRule="exact"/>
        </w:trPr>
        <w:tc>
          <w:tcPr>
            <w:tcW w:w="1395" w:type="dxa"/>
            <w:vMerge w:val="restart"/>
            <w:tcBorders>
              <w:top w:val="nil" w:sz="6" w:space="0" w:color="auto"/>
              <w:left w:val="single" w:sz="4" w:space="0" w:color="000000"/>
              <w:right w:val="single" w:sz="9" w:space="0" w:color="C7EDCC"/>
            </w:tcBorders>
            <w:shd w:val="clear" w:color="auto" w:fill="D3D3D3"/>
          </w:tcPr>
          <w:p>
            <w:pPr/>
          </w:p>
        </w:tc>
        <w:tc>
          <w:tcPr>
            <w:tcW w:w="4690" w:type="dxa"/>
            <w:vMerge/>
            <w:tcBorders>
              <w:left w:val="single" w:sz="9" w:space="0" w:color="D3D3D3"/>
              <w:bottom w:val="nil" w:sz="6" w:space="0" w:color="auto"/>
              <w:right w:val="single" w:sz="4" w:space="0" w:color="000000"/>
            </w:tcBorders>
            <w:shd w:val="clear" w:color="auto" w:fill="C7EDCC"/>
          </w:tcPr>
          <w:p>
            <w:pPr/>
          </w:p>
        </w:tc>
        <w:tc>
          <w:tcPr>
            <w:tcW w:w="3461" w:type="dxa"/>
            <w:vMerge/>
            <w:tcBorders>
              <w:left w:val="single" w:sz="4" w:space="0" w:color="000000"/>
              <w:right w:val="single" w:sz="4" w:space="0" w:color="000000"/>
            </w:tcBorders>
            <w:shd w:val="clear" w:color="auto" w:fill="C7EDCC"/>
          </w:tcPr>
          <w:p>
            <w:pPr/>
          </w:p>
        </w:tc>
      </w:tr>
      <w:tr>
        <w:trPr>
          <w:trHeight w:val="160" w:hRule="exact"/>
        </w:trPr>
        <w:tc>
          <w:tcPr>
            <w:tcW w:w="1395" w:type="dxa"/>
            <w:vMerge/>
            <w:tcBorders>
              <w:left w:val="single" w:sz="4" w:space="0" w:color="000000"/>
              <w:bottom w:val="single" w:sz="4" w:space="0" w:color="000000"/>
              <w:right w:val="single" w:sz="9" w:space="0" w:color="C7EDCC"/>
            </w:tcBorders>
            <w:shd w:val="clear" w:color="auto" w:fill="D3D3D3"/>
          </w:tcPr>
          <w:p>
            <w:pPr/>
          </w:p>
        </w:tc>
        <w:tc>
          <w:tcPr>
            <w:tcW w:w="4690" w:type="dxa"/>
            <w:tcBorders>
              <w:top w:val="nil" w:sz="6" w:space="0" w:color="auto"/>
              <w:left w:val="single" w:sz="4" w:space="0" w:color="000000"/>
              <w:bottom w:val="single" w:sz="4" w:space="0" w:color="000000"/>
              <w:right w:val="single" w:sz="4" w:space="0" w:color="000000"/>
            </w:tcBorders>
            <w:shd w:val="clear" w:color="auto" w:fill="C7EDCC"/>
          </w:tcPr>
          <w:p>
            <w:pPr/>
          </w:p>
        </w:tc>
        <w:tc>
          <w:tcPr>
            <w:tcW w:w="3461" w:type="dxa"/>
            <w:vMerge/>
            <w:tcBorders>
              <w:left w:val="single" w:sz="4" w:space="0" w:color="000000"/>
              <w:bottom w:val="single" w:sz="4" w:space="0" w:color="000000"/>
              <w:right w:val="single" w:sz="4" w:space="0" w:color="000000"/>
            </w:tcBorders>
            <w:shd w:val="clear" w:color="auto" w:fill="C7EDCC"/>
          </w:tcPr>
          <w:p>
            <w:pPr/>
          </w:p>
        </w:tc>
      </w:tr>
      <w:tr>
        <w:trPr>
          <w:trHeight w:val="402" w:hRule="exact"/>
        </w:trPr>
        <w:tc>
          <w:tcPr>
            <w:tcW w:w="1395" w:type="dxa"/>
            <w:tcBorders>
              <w:top w:val="single" w:sz="4" w:space="0" w:color="000000"/>
              <w:left w:val="single" w:sz="4" w:space="0" w:color="000000"/>
              <w:bottom w:val="single" w:sz="4" w:space="0" w:color="000000"/>
              <w:right w:val="single" w:sz="13" w:space="0" w:color="C7EDCC"/>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469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3461"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395" w:type="dxa"/>
            <w:tcBorders>
              <w:top w:val="single" w:sz="4" w:space="0" w:color="000000"/>
              <w:left w:val="single" w:sz="4" w:space="0" w:color="000000"/>
              <w:bottom w:val="single" w:sz="4" w:space="0" w:color="000000"/>
              <w:right w:val="single" w:sz="13" w:space="0" w:color="C7EDCC"/>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69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按应缴纳的流转税计缴。</w:t>
            </w:r>
          </w:p>
        </w:tc>
        <w:tc>
          <w:tcPr>
            <w:tcW w:w="34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1395" w:type="dxa"/>
            <w:tcBorders>
              <w:top w:val="single" w:sz="4" w:space="0" w:color="000000"/>
              <w:left w:val="single" w:sz="4" w:space="0" w:color="000000"/>
              <w:bottom w:val="single" w:sz="4" w:space="0" w:color="000000"/>
              <w:right w:val="single" w:sz="13" w:space="0" w:color="C7EDCC"/>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69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详见下表。</w:t>
            </w:r>
          </w:p>
        </w:tc>
        <w:tc>
          <w:tcPr>
            <w:tcW w:w="34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详见下表。</w:t>
            </w:r>
          </w:p>
        </w:tc>
      </w:tr>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46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按应缴纳的流转税计缴。</w:t>
            </w:r>
          </w:p>
        </w:tc>
        <w:tc>
          <w:tcPr>
            <w:tcW w:w="34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46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按应缴纳的流转税计缴。</w:t>
            </w:r>
          </w:p>
        </w:tc>
        <w:tc>
          <w:tcPr>
            <w:tcW w:w="34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46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按应纳税营业额计缴。</w:t>
            </w:r>
          </w:p>
        </w:tc>
        <w:tc>
          <w:tcPr>
            <w:tcW w:w="34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51"/>
        <w:ind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浙江华媒控股股份有限公司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浙江华媒教育科技有限公司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杭州华媒企业管理有限公司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福州风盛传媒有限公司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杭州中韩德蔓特科技有限公司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上海盛元第高数码图文影像有限公司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杭州华泰一媒文化传媒有限公司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浙江华媒信息传播有限公司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北京星干线文化传播有限公司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励耘行知教育科技（北京）有限公司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中教未来（北京）文化传播有限公司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云科未来科技（北京）有限公司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浙江华媒投资有限公司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宁波华杭投资有限公司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浙江华媒实业有限公司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杭州好声音风尚传媒有限公司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浙江华媒优培资产管理有限公司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杭州市拱墅区华媒维翰幼儿园</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浙江都市快报控股有限公司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杭州都健网络科技有限公司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杭州快房传媒有限公司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杭州大快文化创意有限公司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杭州网络传媒有限公司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杭州休闲文化传媒有限公司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杭州风景名胜传媒有限公司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杭州房产传媒有限公司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杭州日报品牌策划有限公司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杭州富阳日报传媒有限公司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杭州富阳网络传媒有限公司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杭州萧山日报传媒有限公司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杭州萧滨每日送发行有限公司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杭州萧山网络传媒有限公司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浙江风盛传媒股份有限公司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杭州朗盛传媒有限公司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杭州每日传媒有限公司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杭州日报报业集团每日送电子商务有限公司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杭州日报报业集团盛元印务有限公司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杭州盛友广告设计有限公司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杭州余杭晨报传媒有限公司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杭州都市周报传媒有限公司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杭州萧山萧报教育咨询有限公司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杭州都市快报研学文化传播有限公司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杭州悦报传媒有限公司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云南求知教育信息咨询有限公司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、②</w:t>
            </w:r>
          </w:p>
        </w:tc>
      </w:tr>
    </w:tbl>
    <w:p>
      <w:pPr>
        <w:spacing w:after="0" w:line="240" w:lineRule="auto"/>
        <w:jc w:val="left"/>
        <w:rPr>
          <w:rFonts w:ascii="宋体" w:hAnsi="宋体" w:cs="宋体" w:eastAsia="宋体" w:hint="default"/>
          <w:sz w:val="18"/>
          <w:szCs w:val="18"/>
        </w:rPr>
        <w:sectPr>
          <w:footerReference w:type="default" r:id="rId56"/>
          <w:pgSz w:w="11910" w:h="16840"/>
          <w:pgMar w:footer="982" w:header="877"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北京文教英才科贸有限公司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中网世纪教育科技（北京）有限公司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贵州雅致思语教育科技有限公司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杭州今日大江东传媒有限公司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浙江智骊文化传媒有限公司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北京星干线艺术教育科技有限公司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贵州星干线新思维文化传播有限公司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艾特嘉信息技术（北京）有限公司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北京教培英才人力资源管理有限责任公司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北京青友联教育科技有限公司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中教未来科技（北京）有限公司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北京加美环球教育咨询有限公司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广州正索教育咨询有限公司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北京领域兄弟教育咨询有限公司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北京产学研教育科技有限公司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智云未来教育科技（北京）有限公司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苏州中育教育科技有限公司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北京未名环球教育科技有限公司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北京红舞星文化传播有限公司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南京博彦教育科技有限公司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合肥中教正远教育科技有限公司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中教知本教育科技（北京）有限公司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杭州华媒教育科技有限公司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贵州中教未来教育科技有限公司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广州励耘教育科技有限公司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昆明市五华区云师未来培训中心</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杭州日报华知投资有限公司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杭州知政网络科技有限公司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浙江融艺典当有限公司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景宁启文教育科技有限公司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中教远大教育科技（北京）有限公司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北京未来大业教育科技有限公司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哈尔滨哈报未来教育科技有限公司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珠海市励耘自学考试辅导中心</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、②</w:t>
            </w:r>
          </w:p>
        </w:tc>
      </w:tr>
    </w:tbl>
    <w:p>
      <w:pPr>
        <w:spacing w:after="0" w:line="240" w:lineRule="auto"/>
        <w:jc w:val="left"/>
        <w:rPr>
          <w:rFonts w:ascii="宋体" w:hAnsi="宋体" w:cs="宋体" w:eastAsia="宋体" w:hint="default"/>
          <w:sz w:val="18"/>
          <w:szCs w:val="18"/>
        </w:rPr>
        <w:sectPr>
          <w:footerReference w:type="default" r:id="rId57"/>
          <w:pgSz w:w="11910" w:h="16840"/>
          <w:pgMar w:footer="982" w:header="877" w:top="1100" w:bottom="1180" w:left="980" w:right="0"/>
          <w:pgNumType w:start="101"/>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北京朋智博信教育科技有限公司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杭州云瞰科技有限公司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杭州咏芝元中医诊所有限公司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杭州余杭晨报文化创意有限公司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杭州都快投资管理有限公司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北京翻译研修学院</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、③</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霍尔果斯中教未来教育咨询有限公司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、④</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霍尔果斯东昂信息科技有限公司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、⑤</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中教未来国际教育科技（北京）有限公司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智明远扬教育科技（北京）有限公司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、⑦</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京师教培教育科技（北京）有限公司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、⑧</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80" w:right="0"/>
        <w:jc w:val="left"/>
      </w:pPr>
      <w:r>
        <w:rPr/>
        <w:t>（</w:t>
      </w:r>
      <w:r>
        <w:rPr>
          <w:rFonts w:ascii="Times New Roman" w:hAnsi="Times New Roman" w:cs="Times New Roman" w:eastAsia="Times New Roman" w:hint="default"/>
        </w:rPr>
        <w:t>1</w:t>
      </w:r>
      <w:r>
        <w:rPr/>
        <w:t>）所得税优惠</w:t>
      </w:r>
    </w:p>
    <w:p>
      <w:pPr>
        <w:pStyle w:val="BodyText"/>
        <w:spacing w:line="300" w:lineRule="auto" w:before="63"/>
        <w:ind w:right="1129" w:firstLine="426"/>
        <w:jc w:val="both"/>
      </w:pPr>
      <w:r>
        <w:rPr/>
        <w:t>①根据</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日国务院办公厅出台的《关于印发文化体制改革中经营性文化事业单位转制为企业和进一步支持文 </w:t>
      </w:r>
      <w:r>
        <w:rPr>
          <w:spacing w:val="-1"/>
        </w:rPr>
        <w:t>化企业发展两个规定的通知》（国办发</w:t>
      </w:r>
      <w:r>
        <w:rPr>
          <w:rFonts w:ascii="Times New Roman" w:hAnsi="Times New Roman" w:cs="Times New Roman" w:eastAsia="Times New Roman" w:hint="default"/>
          <w:spacing w:val="-1"/>
        </w:rPr>
        <w:t>[2014]15</w:t>
      </w:r>
      <w:r>
        <w:rPr>
          <w:spacing w:val="-1"/>
        </w:rPr>
        <w:t>号），根据《关于继续实施文化体制改革中经营性文化事业单位转制为企业</w:t>
      </w:r>
      <w:r>
        <w:rPr>
          <w:spacing w:val="-56"/>
        </w:rPr>
        <w:t> </w:t>
      </w:r>
      <w:r>
        <w:rPr>
          <w:spacing w:val="-56"/>
        </w:rPr>
      </w:r>
      <w:r>
        <w:rPr>
          <w:spacing w:val="-1"/>
        </w:rPr>
        <w:t>若干税收政策的通知》财税</w:t>
      </w:r>
      <w:r>
        <w:rPr>
          <w:rFonts w:ascii="Times New Roman" w:hAnsi="Times New Roman" w:cs="Times New Roman" w:eastAsia="Times New Roman" w:hint="default"/>
          <w:spacing w:val="-1"/>
        </w:rPr>
        <w:t>[2014]84</w:t>
      </w:r>
      <w:r>
        <w:rPr>
          <w:spacing w:val="-1"/>
        </w:rPr>
        <w:t>号，根据杭州市财政局、杭州市国家税务局、杭州市地方税务局、中共杭州市宣传部发</w:t>
      </w:r>
      <w:r>
        <w:rPr>
          <w:spacing w:val="-57"/>
        </w:rPr>
        <w:t> </w:t>
      </w:r>
      <w:r>
        <w:rPr>
          <w:spacing w:val="-57"/>
        </w:rPr>
      </w:r>
      <w:r>
        <w:rPr>
          <w:spacing w:val="-1"/>
        </w:rPr>
        <w:t>布的《关于明确杭州日报传媒有限公司等</w:t>
      </w:r>
      <w:r>
        <w:rPr>
          <w:rFonts w:ascii="Times New Roman" w:hAnsi="Times New Roman" w:cs="Times New Roman" w:eastAsia="Times New Roman" w:hint="default"/>
          <w:spacing w:val="-1"/>
        </w:rPr>
        <w:t>20</w:t>
      </w:r>
      <w:r>
        <w:rPr>
          <w:spacing w:val="-1"/>
        </w:rPr>
        <w:t>家企业可继续享受文化体制改革税收优惠政策的通知》市宣通</w:t>
      </w:r>
      <w:r>
        <w:rPr>
          <w:rFonts w:ascii="Times New Roman" w:hAnsi="Times New Roman" w:cs="Times New Roman" w:eastAsia="Times New Roman" w:hint="default"/>
          <w:spacing w:val="-1"/>
        </w:rPr>
        <w:t>[2014]59</w:t>
      </w:r>
      <w:r>
        <w:rPr>
          <w:spacing w:val="-1"/>
        </w:rPr>
        <w:t>号和市宣</w:t>
      </w:r>
      <w:r>
        <w:rPr>
          <w:spacing w:val="-54"/>
        </w:rPr>
        <w:t> </w:t>
      </w:r>
      <w:r>
        <w:rPr>
          <w:spacing w:val="-1"/>
        </w:rPr>
        <w:t>通</w:t>
      </w:r>
      <w:r>
        <w:rPr>
          <w:rFonts w:ascii="Times New Roman" w:hAnsi="Times New Roman" w:cs="Times New Roman" w:eastAsia="Times New Roman" w:hint="default"/>
          <w:spacing w:val="-1"/>
        </w:rPr>
        <w:t>[2014]85</w:t>
      </w:r>
      <w:r>
        <w:rPr>
          <w:spacing w:val="-1"/>
        </w:rPr>
        <w:t>号文：经营性文化事业单位转制为企业后，免征企业所得税；上述政策适用于开展文化体制改革的地区和转制企</w:t>
      </w:r>
      <w:r>
        <w:rPr>
          <w:spacing w:val="-57"/>
        </w:rPr>
        <w:t> </w:t>
      </w:r>
      <w:r>
        <w:rPr>
          <w:spacing w:val="-57"/>
        </w:rPr>
      </w:r>
      <w:r>
        <w:rPr/>
        <w:t>业；执行期限为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pStyle w:val="BodyText"/>
        <w:spacing w:line="316" w:lineRule="auto" w:before="13"/>
        <w:ind w:right="1028" w:firstLine="426"/>
        <w:jc w:val="left"/>
      </w:pPr>
      <w:r>
        <w:rPr/>
        <w:t>子公司杭州日报传媒有限公司、浙江都市快报控股有限公司、杭州每日传媒有限公司、杭州网络传媒有限公司、杭州 </w:t>
      </w:r>
      <w:r>
        <w:rPr>
          <w:spacing w:val="-2"/>
        </w:rPr>
        <w:t>萧山日报传媒有限公司、杭州富阳日报传媒有限公司、杭州余杭晨报传媒有限公司、杭州日报报业集团每日送电子商务有限</w:t>
      </w:r>
      <w:r>
        <w:rPr>
          <w:spacing w:val="-66"/>
        </w:rPr>
        <w:t> </w:t>
      </w:r>
      <w:r>
        <w:rPr>
          <w:spacing w:val="-66"/>
        </w:rPr>
      </w:r>
      <w:r>
        <w:rPr>
          <w:spacing w:val="-2"/>
        </w:rPr>
        <w:t>公司、杭州日报报业集团盛元印务有限公司、杭州都市周报传媒有限公司、杭州休闲文化传媒有限公司、杭州风景名胜传媒</w:t>
      </w:r>
      <w:r>
        <w:rPr>
          <w:spacing w:val="-66"/>
        </w:rPr>
        <w:t> </w:t>
      </w:r>
      <w:r>
        <w:rPr>
          <w:spacing w:val="-66"/>
        </w:rPr>
      </w:r>
      <w:r>
        <w:rPr>
          <w:spacing w:val="-4"/>
        </w:rPr>
        <w:t>有限公司、杭州房产传媒有限公司、浙江风盛传媒股份有限公司、杭州萧山网络传媒有限公司、杭州富阳网络传媒有限公司、</w:t>
      </w:r>
      <w:r>
        <w:rPr>
          <w:spacing w:val="-46"/>
        </w:rPr>
        <w:t> </w:t>
      </w:r>
      <w:r>
        <w:rPr>
          <w:spacing w:val="-46"/>
        </w:rPr>
      </w:r>
      <w:r>
        <w:rPr>
          <w:spacing w:val="-2"/>
        </w:rPr>
        <w:t>杭州萧滨每日送发行有限公司、杭州朗盛传媒有限公司、杭州萧山萧报教育咨询有限公司、杭州快房传媒有限公司、杭州大</w:t>
      </w:r>
      <w:r>
        <w:rPr>
          <w:spacing w:val="-66"/>
        </w:rPr>
        <w:t> </w:t>
      </w:r>
      <w:r>
        <w:rPr>
          <w:spacing w:val="-66"/>
        </w:rPr>
      </w:r>
      <w:r>
        <w:rPr>
          <w:spacing w:val="-2"/>
        </w:rPr>
        <w:t>快文化创意有限公司、杭州都健网络科技有限公司、杭州日报品牌策划有限公司、杭州盛友广告设计有限公司均享受上述优</w:t>
      </w:r>
      <w:r>
        <w:rPr>
          <w:spacing w:val="-66"/>
        </w:rPr>
        <w:t> </w:t>
      </w:r>
      <w:r>
        <w:rPr>
          <w:spacing w:val="-66"/>
        </w:rPr>
      </w:r>
      <w:r>
        <w:rPr/>
        <w:t>惠政策。</w:t>
      </w:r>
    </w:p>
    <w:p>
      <w:pPr>
        <w:pStyle w:val="BodyText"/>
        <w:spacing w:line="314" w:lineRule="auto" w:before="19"/>
        <w:ind w:right="1030" w:firstLine="426"/>
        <w:jc w:val="left"/>
      </w:pPr>
      <w:r>
        <w:rPr/>
        <w:t>②根据《财政部国家税务总局关于扩大小型微利企业所得税优惠政策范围的通知》财税（</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77</w:t>
      </w:r>
      <w:r>
        <w:rPr/>
        <w:t>号，自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 </w:t>
      </w:r>
      <w:r>
        <w:rPr>
          <w:spacing w:val="-2"/>
        </w:rPr>
        <w:t>日至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日，将小型微利企业的年应纳税所得额上限由</w:t>
      </w:r>
      <w:r>
        <w:rPr>
          <w:rFonts w:ascii="Times New Roman" w:hAnsi="Times New Roman" w:cs="Times New Roman" w:eastAsia="Times New Roman" w:hint="default"/>
          <w:spacing w:val="-2"/>
        </w:rPr>
        <w:t>50</w:t>
      </w:r>
      <w:r>
        <w:rPr>
          <w:spacing w:val="-2"/>
        </w:rPr>
        <w:t>万元提高至</w:t>
      </w:r>
      <w:r>
        <w:rPr>
          <w:rFonts w:ascii="Times New Roman" w:hAnsi="Times New Roman" w:cs="Times New Roman" w:eastAsia="Times New Roman" w:hint="default"/>
          <w:spacing w:val="-2"/>
        </w:rPr>
        <w:t>100</w:t>
      </w:r>
      <w:r>
        <w:rPr>
          <w:spacing w:val="-2"/>
        </w:rPr>
        <w:t>万元，对年应纳税所得额低于</w:t>
      </w:r>
      <w:r>
        <w:rPr>
          <w:rFonts w:ascii="Times New Roman" w:hAnsi="Times New Roman" w:cs="Times New Roman" w:eastAsia="Times New Roman" w:hint="default"/>
          <w:spacing w:val="-2"/>
        </w:rPr>
        <w:t>100</w:t>
      </w:r>
      <w:r>
        <w:rPr>
          <w:spacing w:val="-2"/>
        </w:rPr>
        <w:t>万元（含</w:t>
      </w:r>
      <w:r>
        <w:rPr>
          <w:spacing w:val="-50"/>
        </w:rPr>
        <w:t> </w:t>
      </w:r>
      <w:r>
        <w:rPr>
          <w:spacing w:val="-50"/>
        </w:rPr>
      </w:r>
      <w:r>
        <w:rPr>
          <w:rFonts w:ascii="Times New Roman" w:hAnsi="Times New Roman" w:cs="Times New Roman" w:eastAsia="Times New Roman" w:hint="default"/>
        </w:rPr>
        <w:t>100</w:t>
      </w:r>
      <w:r>
        <w:rPr/>
        <w:t>万元）的小型微利企业，其所得减按</w:t>
      </w:r>
      <w:r>
        <w:rPr>
          <w:rFonts w:ascii="Times New Roman" w:hAnsi="Times New Roman" w:cs="Times New Roman" w:eastAsia="Times New Roman" w:hint="default"/>
        </w:rPr>
        <w:t>50%</w:t>
      </w:r>
      <w:r>
        <w:rPr/>
        <w:t>计入应纳税所得额，按</w:t>
      </w:r>
      <w:r>
        <w:rPr>
          <w:rFonts w:ascii="Times New Roman" w:hAnsi="Times New Roman" w:cs="Times New Roman" w:eastAsia="Times New Roman" w:hint="default"/>
        </w:rPr>
        <w:t>20%</w:t>
      </w:r>
      <w:r>
        <w:rPr/>
        <w:t>的税率缴纳企业所得税。子公司杭州都市快报研学</w:t>
      </w:r>
      <w:r>
        <w:rPr>
          <w:spacing w:val="-34"/>
        </w:rPr>
        <w:t> </w:t>
      </w:r>
      <w:r>
        <w:rPr>
          <w:spacing w:val="-34"/>
        </w:rPr>
      </w:r>
      <w:r>
        <w:rPr>
          <w:spacing w:val="-2"/>
        </w:rPr>
        <w:t>文化传播有限公司、杭州悦报传媒有限公司、杭州今日大江东传媒有限公司、浙江智骊文化传媒有限公司、北京文教英才科</w:t>
      </w:r>
      <w:r>
        <w:rPr>
          <w:spacing w:val="-66"/>
        </w:rPr>
        <w:t> </w:t>
      </w:r>
      <w:r>
        <w:rPr>
          <w:spacing w:val="-66"/>
        </w:rPr>
      </w:r>
      <w:r>
        <w:rPr>
          <w:spacing w:val="-2"/>
        </w:rPr>
        <w:t>贸有限公司、云南求知教育信息咨询有限公司、中网世纪教育科技（北京）有限公司、贵州雅致思语教育科技有限公司、北</w:t>
      </w:r>
      <w:r>
        <w:rPr>
          <w:spacing w:val="-67"/>
        </w:rPr>
        <w:t> </w:t>
      </w:r>
      <w:r>
        <w:rPr>
          <w:spacing w:val="-67"/>
        </w:rPr>
      </w:r>
      <w:r>
        <w:rPr>
          <w:spacing w:val="-2"/>
        </w:rPr>
        <w:t>京星干线艺术教育科技有限公司、贵州星干线新思维文化传播有限公司、艾特嘉信息技术（北京）有限公司、北京教培英才</w:t>
      </w:r>
      <w:r>
        <w:rPr>
          <w:spacing w:val="-66"/>
        </w:rPr>
        <w:t> </w:t>
      </w:r>
      <w:r>
        <w:rPr>
          <w:spacing w:val="-66"/>
        </w:rPr>
      </w:r>
      <w:r>
        <w:rPr>
          <w:spacing w:val="-2"/>
        </w:rPr>
        <w:t>人力资源管理有限责任公司、北京青友联教育科技有限公司、中教未来科技（北京）有限公司、北京加美环球教育咨询有限</w:t>
      </w:r>
      <w:r>
        <w:rPr>
          <w:spacing w:val="-66"/>
        </w:rPr>
        <w:t> </w:t>
      </w:r>
      <w:r>
        <w:rPr>
          <w:spacing w:val="-66"/>
        </w:rPr>
      </w:r>
      <w:r>
        <w:rPr>
          <w:spacing w:val="-5"/>
        </w:rPr>
        <w:t>公司、广州正索教育咨询有限公司、北京领域兄弟教育咨询有限公司、北京产学研教育科技有限公司、智云未来教育科技（北</w:t>
      </w:r>
      <w:r>
        <w:rPr>
          <w:spacing w:val="-78"/>
        </w:rPr>
        <w:t> </w:t>
      </w:r>
      <w:r>
        <w:rPr>
          <w:spacing w:val="-78"/>
        </w:rPr>
      </w:r>
      <w:r>
        <w:rPr>
          <w:spacing w:val="-2"/>
        </w:rPr>
        <w:t>京）有限公司、苏州中育教育科技有限公司、北京未名环球教育科技有限公司、北京红舞星文化传播有限公司、南京博彦教</w:t>
      </w:r>
      <w:r>
        <w:rPr>
          <w:spacing w:val="-66"/>
        </w:rPr>
        <w:t> </w:t>
      </w:r>
      <w:r>
        <w:rPr>
          <w:spacing w:val="-66"/>
        </w:rPr>
      </w:r>
      <w:r>
        <w:rPr>
          <w:spacing w:val="-2"/>
        </w:rPr>
        <w:t>育科技有限公司、合肥中教正远教育科技有限公司、中教知本教育科技（北京）有限公司、杭州华媒教育科技有限公司、贵</w:t>
      </w:r>
      <w:r>
        <w:rPr>
          <w:spacing w:val="-68"/>
        </w:rPr>
        <w:t> </w:t>
      </w:r>
      <w:r>
        <w:rPr>
          <w:spacing w:val="-68"/>
        </w:rPr>
      </w:r>
      <w:r>
        <w:rPr>
          <w:spacing w:val="-4"/>
        </w:rPr>
        <w:t>州中教未来教育科技有限公司、广州励耘教育科技有限公司、昆明市五华区云师未来培训中心、杭州日报华知投资有限公司、</w:t>
      </w:r>
      <w:r>
        <w:rPr>
          <w:spacing w:val="-44"/>
        </w:rPr>
        <w:t> </w:t>
      </w:r>
      <w:r>
        <w:rPr>
          <w:spacing w:val="-44"/>
        </w:rPr>
      </w:r>
      <w:r>
        <w:rPr/>
        <w:t>杭州知政网络科技有限公司、浙江融艺典当有限公司、景宁启文教育科技有限公司、中教远大教育科技（北京）有限公司、 </w:t>
      </w:r>
      <w:r>
        <w:rPr>
          <w:spacing w:val="-2"/>
        </w:rPr>
        <w:t>北京未来大业教育科技有限公司、哈尔滨哈报未来教育科技有限公司、珠海市励耘自学考试辅导中心、北京朋智博信教育科</w:t>
      </w:r>
    </w:p>
    <w:p>
      <w:pPr>
        <w:spacing w:after="0" w:line="314" w:lineRule="auto"/>
        <w:jc w:val="left"/>
        <w:sectPr>
          <w:pgSz w:w="11910" w:h="16840"/>
          <w:pgMar w:header="877" w:footer="982" w:top="1100" w:bottom="1180" w:left="980" w:right="0"/>
        </w:sectPr>
      </w:pPr>
    </w:p>
    <w:p>
      <w:pPr>
        <w:spacing w:line="240" w:lineRule="auto" w:before="12"/>
        <w:rPr>
          <w:rFonts w:ascii="宋体" w:hAnsi="宋体" w:cs="宋体" w:eastAsia="宋体" w:hint="default"/>
          <w:sz w:val="21"/>
          <w:szCs w:val="21"/>
        </w:rPr>
      </w:pPr>
    </w:p>
    <w:p>
      <w:pPr>
        <w:pStyle w:val="BodyText"/>
        <w:spacing w:line="316" w:lineRule="auto" w:before="44"/>
        <w:ind w:left="153" w:right="0"/>
        <w:jc w:val="left"/>
      </w:pPr>
      <w:r>
        <w:rPr>
          <w:spacing w:val="-2"/>
        </w:rPr>
        <w:t>技有限公司、杭州云瞰科技有限公司、杭州咏芝元中医诊所有限公司、杭州余杭晨报文化创意有限公司、杭州都快投资管理</w:t>
      </w:r>
      <w:r>
        <w:rPr>
          <w:spacing w:val="-66"/>
        </w:rPr>
        <w:t> </w:t>
      </w:r>
      <w:r>
        <w:rPr>
          <w:spacing w:val="-66"/>
        </w:rPr>
      </w:r>
      <w:r>
        <w:rPr/>
        <w:t>有限公司均享受上述优惠政策。</w:t>
      </w:r>
    </w:p>
    <w:p>
      <w:pPr>
        <w:pStyle w:val="BodyText"/>
        <w:spacing w:line="300" w:lineRule="auto" w:before="19"/>
        <w:ind w:left="153" w:right="1130" w:firstLine="426"/>
        <w:jc w:val="both"/>
      </w:pPr>
      <w:r>
        <w:rPr>
          <w:spacing w:val="-2"/>
        </w:rPr>
        <w:t>③根据国家税务总局关于校办企业征免所得税问题的批复</w:t>
      </w:r>
      <w:r>
        <w:rPr>
          <w:rFonts w:ascii="Times New Roman" w:hAnsi="Times New Roman" w:cs="Times New Roman" w:eastAsia="Times New Roman" w:hint="default"/>
          <w:spacing w:val="-2"/>
        </w:rPr>
        <w:t>——</w:t>
      </w:r>
      <w:r>
        <w:rPr>
          <w:spacing w:val="-2"/>
        </w:rPr>
        <w:t>国税函（</w:t>
      </w:r>
      <w:r>
        <w:rPr>
          <w:rFonts w:ascii="Times New Roman" w:hAnsi="Times New Roman" w:cs="Times New Roman" w:eastAsia="Times New Roman" w:hint="default"/>
          <w:spacing w:val="-2"/>
        </w:rPr>
        <w:t>1996</w:t>
      </w:r>
      <w:r>
        <w:rPr>
          <w:spacing w:val="-2"/>
        </w:rPr>
        <w:t>）</w:t>
      </w:r>
      <w:r>
        <w:rPr>
          <w:rFonts w:ascii="Times New Roman" w:hAnsi="Times New Roman" w:cs="Times New Roman" w:eastAsia="Times New Roman" w:hint="default"/>
          <w:spacing w:val="-2"/>
        </w:rPr>
        <w:t>138</w:t>
      </w:r>
      <w:r>
        <w:rPr>
          <w:spacing w:val="-2"/>
        </w:rPr>
        <w:t>号，北京翻译研修学院属于非营利性</w:t>
      </w:r>
      <w:r>
        <w:rPr/>
        <w:t> 高等教育机构，免征企业所得税。</w:t>
      </w:r>
    </w:p>
    <w:p>
      <w:pPr>
        <w:pStyle w:val="BodyText"/>
        <w:spacing w:line="300" w:lineRule="auto" w:before="31"/>
        <w:ind w:right="1131" w:firstLine="426"/>
        <w:jc w:val="both"/>
      </w:pPr>
      <w:r>
        <w:rPr/>
        <w:t>④根据《财政部国家税务总局关于新疆喀什霍尔果斯两个特殊经济开发区企业所得税优惠政策的通知》财税（</w:t>
      </w:r>
      <w:r>
        <w:rPr>
          <w:rFonts w:ascii="Times New Roman" w:hAnsi="Times New Roman" w:cs="Times New Roman" w:eastAsia="Times New Roman" w:hint="default"/>
        </w:rPr>
        <w:t>2011</w:t>
      </w:r>
      <w:r>
        <w:rPr/>
        <w:t>） </w:t>
      </w:r>
      <w:r>
        <w:rPr>
          <w:rFonts w:ascii="Times New Roman" w:hAnsi="Times New Roman" w:cs="Times New Roman" w:eastAsia="Times New Roman" w:hint="default"/>
          <w:spacing w:val="-3"/>
        </w:rPr>
        <w:t>112</w:t>
      </w:r>
      <w:r>
        <w:rPr>
          <w:spacing w:val="-3"/>
        </w:rPr>
        <w:t>号第一条，新疆喀什、霍尔果斯特殊经济开发区新办企业定期免征企业所得税，享受税收优惠期间自</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w:t>
      </w:r>
      <w:r>
        <w:rPr>
          <w:spacing w:val="-3"/>
        </w:rPr>
        <w:t>日至</w:t>
      </w:r>
      <w:r>
        <w:rPr>
          <w:rFonts w:ascii="Times New Roman" w:hAnsi="Times New Roman" w:cs="Times New Roman" w:eastAsia="Times New Roman" w:hint="default"/>
          <w:spacing w:val="-3"/>
        </w:rPr>
        <w:t>2020</w:t>
      </w:r>
      <w:r>
        <w:rPr>
          <w:rFonts w:ascii="Times New Roman" w:hAnsi="Times New Roman" w:cs="Times New Roman" w:eastAsia="Times New Roman" w:hint="default"/>
          <w:spacing w:val="-36"/>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日。霍尔果斯中教未来教育咨询有限公司享受上述优惠政策。</w:t>
      </w:r>
    </w:p>
    <w:p>
      <w:pPr>
        <w:pStyle w:val="BodyText"/>
        <w:spacing w:line="316" w:lineRule="auto" w:before="13"/>
        <w:ind w:right="1129" w:firstLine="426"/>
        <w:jc w:val="both"/>
      </w:pPr>
      <w:r>
        <w:rPr/>
        <w:t>⑤根据《新疆困难地区重点鼓励发展产业企业所得税优惠目录》，符合政策扶持的新注册企业，自取得第一笔生产经 </w:t>
      </w:r>
      <w:r>
        <w:rPr>
          <w:spacing w:val="-2"/>
        </w:rPr>
        <w:t>营收入起，可享受企业所得税五免五减半的优惠政策（前五年免征企业所得税，后五年采取先征后返的方式，返还地方财政</w:t>
      </w:r>
      <w:r>
        <w:rPr>
          <w:spacing w:val="-66"/>
        </w:rPr>
        <w:t> </w:t>
      </w:r>
      <w:r>
        <w:rPr>
          <w:spacing w:val="-66"/>
        </w:rPr>
      </w:r>
      <w:r>
        <w:rPr/>
        <w:t>留存部分给企业）。霍尔果斯东昂信息科技有限公司享受上述优惠政策。</w:t>
      </w:r>
    </w:p>
    <w:p>
      <w:pPr>
        <w:pStyle w:val="BodyText"/>
        <w:spacing w:line="309" w:lineRule="auto" w:before="19"/>
        <w:ind w:left="153" w:right="1041" w:firstLine="426"/>
        <w:jc w:val="both"/>
      </w:pPr>
      <w:r>
        <w:rPr/>
        <w:t>⑥中教未来国际教育科技（北京）有限公司被认定为高新技术企业，取得北京市科学技术委员会、北京市财政局、北 </w:t>
      </w:r>
      <w:r>
        <w:rPr>
          <w:spacing w:val="-4"/>
        </w:rPr>
        <w:t>京市国家税务局、北京市地方税务局于</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1</w:t>
      </w:r>
      <w:r>
        <w:rPr>
          <w:spacing w:val="-4"/>
        </w:rPr>
        <w:t>日联合颁发的编号为</w:t>
      </w:r>
      <w:r>
        <w:rPr>
          <w:rFonts w:ascii="Times New Roman" w:hAnsi="Times New Roman" w:cs="Times New Roman" w:eastAsia="Times New Roman" w:hint="default"/>
          <w:spacing w:val="-4"/>
        </w:rPr>
        <w:t>GR201611000592</w:t>
      </w:r>
      <w:r>
        <w:rPr>
          <w:spacing w:val="-4"/>
        </w:rPr>
        <w:t>的《高新技术企业证书》，根据《中</w:t>
      </w:r>
      <w:r>
        <w:rPr>
          <w:spacing w:val="-85"/>
        </w:rPr>
        <w:t> </w:t>
      </w:r>
      <w:r>
        <w:rPr>
          <w:spacing w:val="-85"/>
        </w:rPr>
      </w:r>
      <w:r>
        <w:rPr>
          <w:spacing w:val="-3"/>
        </w:rPr>
        <w:t>华人民共和国企业所得税法》规定，本公司企业所得税享受高新技术企业税收优惠政策，减按</w:t>
      </w:r>
      <w:r>
        <w:rPr>
          <w:rFonts w:ascii="Times New Roman" w:hAnsi="Times New Roman" w:cs="Times New Roman" w:eastAsia="Times New Roman" w:hint="default"/>
          <w:spacing w:val="-3"/>
        </w:rPr>
        <w:t>15%</w:t>
      </w:r>
      <w:r>
        <w:rPr>
          <w:spacing w:val="-3"/>
        </w:rPr>
        <w:t>的税率计缴，有效期三年。</w:t>
      </w:r>
    </w:p>
    <w:p>
      <w:pPr>
        <w:pStyle w:val="BodyText"/>
        <w:spacing w:line="309" w:lineRule="auto" w:before="5"/>
        <w:ind w:left="153" w:right="1041" w:firstLine="426"/>
        <w:jc w:val="both"/>
      </w:pPr>
      <w:r>
        <w:rPr/>
        <w:t>⑦智明远扬教育科技（北京）有限公司被认定为高新技术企业，取得北京市科学技术委员会、北京市财政局、北京市 国家税务局、北京市地方税务局于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日联合颁发的编号为</w:t>
      </w:r>
      <w:r>
        <w:rPr>
          <w:rFonts w:ascii="Times New Roman" w:hAnsi="Times New Roman" w:cs="Times New Roman" w:eastAsia="Times New Roman" w:hint="default"/>
        </w:rPr>
        <w:t>GR201611002107</w:t>
      </w:r>
      <w:r>
        <w:rPr/>
        <w:t>的《高新技术企业证书》，根据《中</w:t>
      </w:r>
      <w:r>
        <w:rPr>
          <w:spacing w:val="-80"/>
        </w:rPr>
        <w:t> </w:t>
      </w:r>
      <w:r>
        <w:rPr>
          <w:spacing w:val="-80"/>
        </w:rPr>
      </w:r>
      <w:r>
        <w:rPr>
          <w:spacing w:val="-3"/>
        </w:rPr>
        <w:t>华人民共和国企业所得税法》规定，本公司企业所得税享受高新技术企业税收优惠政策，减按</w:t>
      </w:r>
      <w:r>
        <w:rPr>
          <w:rFonts w:ascii="Times New Roman" w:hAnsi="Times New Roman" w:cs="Times New Roman" w:eastAsia="Times New Roman" w:hint="default"/>
          <w:spacing w:val="-3"/>
        </w:rPr>
        <w:t>15%</w:t>
      </w:r>
      <w:r>
        <w:rPr>
          <w:spacing w:val="-3"/>
        </w:rPr>
        <w:t>的税率计缴，有效期三年。</w:t>
      </w:r>
    </w:p>
    <w:p>
      <w:pPr>
        <w:pStyle w:val="BodyText"/>
        <w:spacing w:line="309" w:lineRule="auto" w:before="5"/>
        <w:ind w:left="153" w:right="1041" w:firstLine="426"/>
        <w:jc w:val="both"/>
      </w:pPr>
      <w:r>
        <w:rPr/>
        <w:t>⑧京师教培教育科技（北京）有限公司被认定为高新技术企业，取得北京市科学技术委员会、北京市财政局、北京市 国家税务局、北京市地方税务局于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日联合颁发的编号为</w:t>
      </w:r>
      <w:r>
        <w:rPr>
          <w:rFonts w:ascii="Times New Roman" w:hAnsi="Times New Roman" w:cs="Times New Roman" w:eastAsia="Times New Roman" w:hint="default"/>
        </w:rPr>
        <w:t>GR201811004427</w:t>
      </w:r>
      <w:r>
        <w:rPr/>
        <w:t>的《高新技术企业证书》，根据《中</w:t>
      </w:r>
      <w:r>
        <w:rPr>
          <w:spacing w:val="-80"/>
        </w:rPr>
        <w:t> </w:t>
      </w:r>
      <w:r>
        <w:rPr>
          <w:spacing w:val="-80"/>
        </w:rPr>
      </w:r>
      <w:r>
        <w:rPr>
          <w:spacing w:val="-3"/>
        </w:rPr>
        <w:t>华人民共和国企业所得税法》规定，本公司企业所得税享受高新技术企业税收优惠政策，减按</w:t>
      </w:r>
      <w:r>
        <w:rPr>
          <w:rFonts w:ascii="Times New Roman" w:hAnsi="Times New Roman" w:cs="Times New Roman" w:eastAsia="Times New Roman" w:hint="default"/>
          <w:spacing w:val="-3"/>
        </w:rPr>
        <w:t>15%</w:t>
      </w:r>
      <w:r>
        <w:rPr>
          <w:spacing w:val="-3"/>
        </w:rPr>
        <w:t>的税率计缴，有效期三年。</w:t>
      </w:r>
    </w:p>
    <w:p>
      <w:pPr>
        <w:pStyle w:val="BodyText"/>
        <w:spacing w:line="309" w:lineRule="auto" w:before="5"/>
        <w:ind w:left="153" w:right="1041" w:firstLine="426"/>
        <w:jc w:val="both"/>
      </w:pPr>
      <w:r>
        <w:rPr/>
        <w:t>⑧京师教培教育科技（北京）有限公司被认定为高新技术企业，取得北京市科学技术委员会、北京市财政局、北京市 国家税务局、北京市地方税务局于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日联合颁发的编号为</w:t>
      </w:r>
      <w:r>
        <w:rPr>
          <w:rFonts w:ascii="Times New Roman" w:hAnsi="Times New Roman" w:cs="Times New Roman" w:eastAsia="Times New Roman" w:hint="default"/>
        </w:rPr>
        <w:t>GR201811004427</w:t>
      </w:r>
      <w:r>
        <w:rPr/>
        <w:t>的《高新技术企业证书》，根据《中</w:t>
      </w:r>
      <w:r>
        <w:rPr>
          <w:spacing w:val="-80"/>
        </w:rPr>
        <w:t> </w:t>
      </w:r>
      <w:r>
        <w:rPr>
          <w:spacing w:val="-80"/>
        </w:rPr>
      </w:r>
      <w:r>
        <w:rPr>
          <w:spacing w:val="-3"/>
        </w:rPr>
        <w:t>华人民共和国企业所得税法》规定，本公司企业所得税享受高新技术企业税收优惠政策，减按</w:t>
      </w:r>
      <w:r>
        <w:rPr>
          <w:rFonts w:ascii="Times New Roman" w:hAnsi="Times New Roman" w:cs="Times New Roman" w:eastAsia="Times New Roman" w:hint="default"/>
          <w:spacing w:val="-3"/>
        </w:rPr>
        <w:t>15%</w:t>
      </w:r>
      <w:r>
        <w:rPr>
          <w:spacing w:val="-3"/>
        </w:rPr>
        <w:t>的税率计缴，有效期三年。</w:t>
      </w:r>
    </w:p>
    <w:p>
      <w:pPr>
        <w:pStyle w:val="BodyText"/>
        <w:spacing w:line="240" w:lineRule="auto" w:before="5"/>
        <w:ind w:left="579" w:right="0"/>
        <w:jc w:val="left"/>
      </w:pPr>
      <w:r>
        <w:rPr/>
        <w:t>（</w:t>
      </w:r>
      <w:r>
        <w:rPr>
          <w:rFonts w:ascii="Times New Roman" w:hAnsi="Times New Roman" w:cs="Times New Roman" w:eastAsia="Times New Roman" w:hint="default"/>
        </w:rPr>
        <w:t>2</w:t>
      </w:r>
      <w:r>
        <w:rPr/>
        <w:t>）增值税优惠</w:t>
      </w:r>
    </w:p>
    <w:p>
      <w:pPr>
        <w:pStyle w:val="BodyText"/>
        <w:spacing w:line="309" w:lineRule="auto" w:before="63"/>
        <w:ind w:left="153" w:right="1127" w:firstLine="426"/>
        <w:jc w:val="both"/>
      </w:pPr>
      <w:r>
        <w:rPr>
          <w:spacing w:val="-2"/>
        </w:rPr>
        <w:t>①按照财政部、国家税务总局财税</w:t>
      </w:r>
      <w:r>
        <w:rPr>
          <w:rFonts w:ascii="Times New Roman" w:hAnsi="Times New Roman" w:cs="Times New Roman" w:eastAsia="Times New Roman" w:hint="default"/>
          <w:spacing w:val="-2"/>
        </w:rPr>
        <w:t>[2016]68</w:t>
      </w:r>
      <w:r>
        <w:rPr>
          <w:spacing w:val="-2"/>
        </w:rPr>
        <w:t>号文件要求：一般纳税人提供非学历教育服务，可以选择适用简易计税方法</w:t>
      </w:r>
      <w:r>
        <w:rPr/>
        <w:t> 按照</w:t>
      </w:r>
      <w:r>
        <w:rPr>
          <w:rFonts w:ascii="Times New Roman" w:hAnsi="Times New Roman" w:cs="Times New Roman" w:eastAsia="Times New Roman" w:hint="default"/>
        </w:rPr>
        <w:t>3%</w:t>
      </w:r>
      <w:r>
        <w:rPr/>
        <w:t>征收率计算应纳税额。中教未来国际教育科技（北京）有限公司、北京星干线文化传播有限公司、北京星干线艺术</w:t>
      </w:r>
      <w:r>
        <w:rPr>
          <w:spacing w:val="-57"/>
        </w:rPr>
        <w:t> </w:t>
      </w:r>
      <w:r>
        <w:rPr>
          <w:spacing w:val="-57"/>
        </w:rPr>
      </w:r>
      <w:r>
        <w:rPr>
          <w:spacing w:val="-2"/>
        </w:rPr>
        <w:t>教育科技有限公司、贵州星干线新思维文化传播有限公司、励耘行知教育科技（北京）有限公司、云科未来科技（北京）有</w:t>
      </w:r>
      <w:r>
        <w:rPr>
          <w:spacing w:val="-65"/>
        </w:rPr>
        <w:t> </w:t>
      </w:r>
      <w:r>
        <w:rPr>
          <w:spacing w:val="-65"/>
        </w:rPr>
      </w:r>
      <w:r>
        <w:rPr>
          <w:spacing w:val="-2"/>
        </w:rPr>
        <w:t>限公司、中教未来（北京）文化传播有限公司、霍尔果斯中教未来教育咨询有限公司、智明远扬教育科技（北京）有限公司</w:t>
      </w:r>
      <w:r>
        <w:rPr>
          <w:spacing w:val="-65"/>
        </w:rPr>
        <w:t> </w:t>
      </w:r>
      <w:r>
        <w:rPr>
          <w:spacing w:val="-65"/>
        </w:rPr>
      </w:r>
      <w:r>
        <w:rPr/>
        <w:t>享受上述优惠政策。</w:t>
      </w:r>
    </w:p>
    <w:p>
      <w:pPr>
        <w:pStyle w:val="BodyText"/>
        <w:spacing w:line="300" w:lineRule="auto" w:before="24"/>
        <w:ind w:right="1128" w:firstLine="426"/>
        <w:jc w:val="both"/>
      </w:pPr>
      <w:r>
        <w:rPr/>
        <w:t>②根据财政部、国家税务总局《关于延续宣传文化增值税和营业税优惠政策的通知》（财税〔</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53</w:t>
      </w:r>
      <w:r>
        <w:rPr/>
        <w:t>号）规定，自</w:t>
      </w:r>
      <w:r>
        <w:rPr>
          <w:spacing w:val="1"/>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日，免征图书批发、零售环节增值税。北京文教英才科贸有限公司已于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日在北</w:t>
      </w:r>
      <w:r>
        <w:rPr>
          <w:spacing w:val="-84"/>
        </w:rPr>
        <w:t> </w:t>
      </w:r>
      <w:r>
        <w:rPr/>
        <w:t>京市昌平区国家税务局办理了备案登记手续。</w:t>
      </w:r>
    </w:p>
    <w:p>
      <w:pPr>
        <w:pStyle w:val="BodyText"/>
        <w:spacing w:line="307" w:lineRule="auto" w:before="31"/>
        <w:ind w:right="1127" w:firstLine="426"/>
        <w:jc w:val="both"/>
      </w:pPr>
      <w:r>
        <w:rPr/>
        <w:t>③按照《财政部、国家税务总局关于全面推开营业税改征增值税试点的通知》（财税〔</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36</w:t>
      </w:r>
      <w:r>
        <w:rPr/>
        <w:t>号）的有关规定，劳 </w:t>
      </w:r>
      <w:r>
        <w:rPr>
          <w:spacing w:val="-2"/>
        </w:rPr>
        <w:t>务派遣服务可以以取得的全部价款和价外费用，扣除代用工单位支付给劳务派遣员工的工资、福利和为其办理社会保险及住</w:t>
      </w:r>
      <w:r>
        <w:rPr>
          <w:spacing w:val="-64"/>
        </w:rPr>
        <w:t> </w:t>
      </w:r>
      <w:r>
        <w:rPr>
          <w:spacing w:val="-64"/>
        </w:rPr>
      </w:r>
      <w:r>
        <w:rPr/>
        <w:t>房公积金后的余额为销售额，按照简易计税方法依</w:t>
      </w:r>
      <w:r>
        <w:rPr>
          <w:rFonts w:ascii="Times New Roman" w:hAnsi="Times New Roman" w:cs="Times New Roman" w:eastAsia="Times New Roman" w:hint="default"/>
        </w:rPr>
        <w:t>5%</w:t>
      </w:r>
      <w:r>
        <w:rPr/>
        <w:t>的征收率缴纳增值税。北京教培英才人力资源管理有限责任公司享受</w:t>
      </w:r>
      <w:r>
        <w:rPr>
          <w:spacing w:val="-57"/>
        </w:rPr>
        <w:t> </w:t>
      </w:r>
      <w:r>
        <w:rPr>
          <w:spacing w:val="-57"/>
        </w:rPr>
      </w:r>
      <w:r>
        <w:rPr/>
        <w:t>上述优惠政策。</w:t>
      </w:r>
    </w:p>
    <w:p>
      <w:pPr>
        <w:pStyle w:val="BodyText"/>
        <w:spacing w:line="300" w:lineRule="auto" w:before="26"/>
        <w:ind w:right="1128" w:firstLine="426"/>
        <w:jc w:val="both"/>
      </w:pPr>
      <w:r>
        <w:rPr>
          <w:spacing w:val="-2"/>
        </w:rPr>
        <w:t>④根据《财政部、国家税务总局关于全面推开营业税改征增值税试点的通知》（财税</w:t>
      </w:r>
      <w:r>
        <w:rPr>
          <w:rFonts w:ascii="Times New Roman" w:hAnsi="Times New Roman" w:cs="Times New Roman" w:eastAsia="Times New Roman" w:hint="default"/>
          <w:spacing w:val="-2"/>
        </w:rPr>
        <w:t>[2016]36</w:t>
      </w:r>
      <w:r>
        <w:rPr>
          <w:spacing w:val="-2"/>
        </w:rPr>
        <w:t>号）相关规定，从事学历</w:t>
      </w:r>
      <w:r>
        <w:rPr/>
        <w:t> </w:t>
      </w:r>
      <w:r>
        <w:rPr>
          <w:spacing w:val="-2"/>
        </w:rPr>
        <w:t>教育的学校提供的教育服务收入免征增值税。北京翻译研修学院已于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4</w:t>
      </w:r>
      <w:r>
        <w:rPr>
          <w:spacing w:val="-2"/>
        </w:rPr>
        <w:t>日在北京市昌平区国家税务局办理了备案登</w:t>
      </w:r>
      <w:r>
        <w:rPr>
          <w:spacing w:val="-58"/>
        </w:rPr>
        <w:t> </w:t>
      </w:r>
      <w:r>
        <w:rPr/>
        <w:t>记手续。</w:t>
      </w:r>
    </w:p>
    <w:p>
      <w:pPr>
        <w:pStyle w:val="BodyText"/>
        <w:spacing w:line="307" w:lineRule="auto" w:before="31"/>
        <w:ind w:right="1024" w:firstLine="426"/>
        <w:jc w:val="left"/>
      </w:pPr>
      <w:r>
        <w:rPr/>
        <w:t>⑤根据《关于继续实施文化体制改革中经营性文化事业单位转制为企业若干税收政策的通知》财税</w:t>
      </w:r>
      <w:r>
        <w:rPr>
          <w:rFonts w:ascii="Times New Roman" w:hAnsi="Times New Roman" w:cs="Times New Roman" w:eastAsia="Times New Roman" w:hint="default"/>
        </w:rPr>
        <w:t>[2014]84</w:t>
      </w:r>
      <w:r>
        <w:rPr/>
        <w:t>号，党报、 </w:t>
      </w:r>
      <w:r>
        <w:rPr>
          <w:spacing w:val="-2"/>
        </w:rPr>
        <w:t>党刊将其发行、印刷业务及相应的经营性资产剥离组建的文化企业，自注册之日起所取得的党报、党刊发行收入和印刷收入</w:t>
      </w:r>
      <w:r>
        <w:rPr>
          <w:spacing w:val="-66"/>
        </w:rPr>
        <w:t> </w:t>
      </w:r>
      <w:r>
        <w:rPr>
          <w:spacing w:val="-66"/>
        </w:rPr>
      </w:r>
      <w:r>
        <w:rPr>
          <w:spacing w:val="-2"/>
        </w:rPr>
        <w:t>免征增值税，执行期限为</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日。杭州日报传媒有限公司、杭州萧山日报传媒有限公司、杭州富阳</w:t>
      </w:r>
      <w:r>
        <w:rPr>
          <w:spacing w:val="-52"/>
        </w:rPr>
        <w:t> </w:t>
      </w:r>
      <w:r>
        <w:rPr>
          <w:spacing w:val="-52"/>
        </w:rPr>
      </w:r>
      <w:r>
        <w:rPr/>
        <w:t>日报传媒有限公司、杭州余杭晨报传媒有限公司享受上述优惠政策。</w:t>
      </w:r>
    </w:p>
    <w:p>
      <w:pPr>
        <w:spacing w:after="0" w:line="307" w:lineRule="auto"/>
        <w:jc w:val="left"/>
        <w:sectPr>
          <w:pgSz w:w="11910" w:h="16840"/>
          <w:pgMar w:header="877" w:footer="982" w:top="1100" w:bottom="1180" w:left="980" w:right="0"/>
        </w:sectPr>
      </w:pPr>
    </w:p>
    <w:p>
      <w:pPr>
        <w:spacing w:line="240" w:lineRule="auto" w:before="10"/>
        <w:rPr>
          <w:rFonts w:ascii="宋体" w:hAnsi="宋体" w:cs="宋体" w:eastAsia="宋体" w:hint="default"/>
          <w:sz w:val="20"/>
          <w:szCs w:val="20"/>
        </w:rPr>
      </w:pPr>
    </w:p>
    <w:p>
      <w:pPr>
        <w:spacing w:line="487" w:lineRule="auto" w:before="35"/>
        <w:ind w:left="154" w:right="785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706,930.11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902,439.69</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862,812,450.65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808,298,836.27</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25,562,174.79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22,351,614.67</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889,081,555.55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831,552,890.63</w:t>
            </w:r>
          </w:p>
        </w:tc>
      </w:tr>
    </w:tbl>
    <w:p>
      <w:pPr>
        <w:pStyle w:val="BodyText"/>
        <w:spacing w:line="240" w:lineRule="auto" w:before="51"/>
        <w:ind w:right="0"/>
        <w:jc w:val="left"/>
      </w:pPr>
      <w:r>
        <w:rPr/>
        <w:t>其他说明</w:t>
      </w:r>
    </w:p>
    <w:p>
      <w:pPr>
        <w:pStyle w:val="BodyText"/>
        <w:spacing w:line="300" w:lineRule="auto" w:before="116"/>
        <w:ind w:left="153" w:right="1031" w:firstLine="290"/>
        <w:jc w:val="left"/>
      </w:pPr>
      <w:r>
        <w:rPr/>
        <w:t>银行存款年末余额中</w:t>
      </w:r>
      <w:r>
        <w:rPr>
          <w:rFonts w:ascii="Times New Roman" w:hAnsi="Times New Roman" w:cs="Times New Roman" w:eastAsia="Times New Roman" w:hint="default"/>
        </w:rPr>
        <w:t>70,000,000.00</w:t>
      </w:r>
      <w:r>
        <w:rPr/>
        <w:t>元系本公司向银行购买的不能提前终止的结构性存款，</w:t>
      </w:r>
      <w:r>
        <w:rPr>
          <w:rFonts w:ascii="Times New Roman" w:hAnsi="Times New Roman" w:cs="Times New Roman" w:eastAsia="Times New Roman" w:hint="default"/>
        </w:rPr>
        <w:t>50,000,000.00</w:t>
      </w:r>
      <w:r>
        <w:rPr/>
        <w:t>元系本公司不能 随时支取的定期存款；其他货币资金年末余额中</w:t>
      </w:r>
      <w:r>
        <w:rPr>
          <w:rFonts w:ascii="Times New Roman" w:hAnsi="Times New Roman" w:cs="Times New Roman" w:eastAsia="Times New Roman" w:hint="default"/>
        </w:rPr>
        <w:t>20,893,910.80</w:t>
      </w:r>
      <w:r>
        <w:rPr/>
        <w:t>元系银行承兑汇票保证金存款，</w:t>
      </w:r>
      <w:r>
        <w:rPr>
          <w:rFonts w:ascii="Times New Roman" w:hAnsi="Times New Roman" w:cs="Times New Roman" w:eastAsia="Times New Roman" w:hint="default"/>
        </w:rPr>
        <w:t>3,000,000.00</w:t>
      </w:r>
      <w:r>
        <w:rPr/>
        <w:t>元系保函保证金， 使用受限。</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2,011,267.77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1,744,298.06</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1,782,318.00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1,651,435.04</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228,949.77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92,863.02</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2,011,267.77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1,744,298.06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、应收票据及应收账款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7,204,008.80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4,610,000.00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371,732,276.99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363,372,009.84</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378,936,285.79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367,982,009.84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7,204,008.80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1,810,000.00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3D3D3"/>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2,800,000.00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7,204,008.80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pStyle w:val="BodyText"/>
        <w:spacing w:line="240" w:lineRule="auto" w:before="51"/>
        <w:ind w:right="-20"/>
        <w:jc w:val="left"/>
      </w:pPr>
      <w:r>
        <w:rPr>
          <w:rFonts w:ascii="Times New Roman" w:hAnsi="Times New Roman" w:cs="Times New Roman" w:eastAsia="Times New Roman" w:hint="default"/>
        </w:rPr>
        <w:t>2)</w:t>
      </w:r>
      <w:r>
        <w:rPr/>
        <w:t>期末公司已质押的应收票据：无</w:t>
      </w:r>
    </w:p>
    <w:p>
      <w:pPr>
        <w:pStyle w:val="BodyText"/>
        <w:spacing w:line="240" w:lineRule="auto" w:before="103"/>
        <w:ind w:right="-20"/>
        <w:jc w:val="left"/>
      </w:pPr>
      <w:r>
        <w:rPr>
          <w:rFonts w:ascii="Times New Roman" w:hAnsi="Times New Roman" w:cs="Times New Roman" w:eastAsia="Times New Roman" w:hint="default"/>
        </w:rPr>
        <w:t>3)</w:t>
      </w:r>
      <w:r>
        <w:rPr/>
        <w:t>期末公司已背书或贴现且在资产负债表日尚未到期的应收票据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0"/>
          <w:cols w:num="2" w:equalWidth="0">
            <w:col w:w="5164" w:space="3664"/>
            <w:col w:w="2102"/>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8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37,158,195.63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37,158,195.63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rFonts w:ascii="Times New Roman" w:hAnsi="Times New Roman" w:cs="Times New Roman" w:eastAsia="Times New Roman" w:hint="default"/>
        </w:rPr>
        <w:t>4)</w:t>
      </w:r>
      <w:r>
        <w:rPr/>
        <w:t>期末公司因出票人未履约而将其转应收账款的票据</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17"/>
        <w:gridCol w:w="1067"/>
        <w:gridCol w:w="630"/>
        <w:gridCol w:w="977"/>
        <w:gridCol w:w="644"/>
        <w:gridCol w:w="1056"/>
        <w:gridCol w:w="1056"/>
        <w:gridCol w:w="630"/>
        <w:gridCol w:w="977"/>
        <w:gridCol w:w="644"/>
        <w:gridCol w:w="1056"/>
      </w:tblGrid>
      <w:tr>
        <w:trPr>
          <w:trHeight w:val="402" w:hRule="exact"/>
        </w:trPr>
        <w:tc>
          <w:tcPr>
            <w:tcW w:w="917" w:type="dxa"/>
            <w:vMerge w:val="restart"/>
            <w:tcBorders>
              <w:top w:val="single" w:sz="4" w:space="0" w:color="000000"/>
              <w:left w:val="single" w:sz="4" w:space="0" w:color="000000"/>
              <w:right w:val="single" w:sz="4" w:space="0" w:color="000000"/>
            </w:tcBorders>
            <w:shd w:val="clear" w:color="auto" w:fill="D3D3D3"/>
          </w:tcPr>
          <w:p>
            <w:pPr/>
          </w:p>
        </w:tc>
        <w:tc>
          <w:tcPr>
            <w:tcW w:w="4375"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6"/>
              <w:ind w:left="11"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436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6"/>
              <w:ind w:right="0"/>
              <w:jc w:val="center"/>
              <w:rPr>
                <w:rFonts w:ascii="宋体" w:hAnsi="宋体" w:cs="宋体" w:eastAsia="宋体" w:hint="default"/>
                <w:sz w:val="16"/>
                <w:szCs w:val="16"/>
              </w:rPr>
            </w:pPr>
            <w:r>
              <w:rPr>
                <w:rFonts w:ascii="宋体" w:hAnsi="宋体" w:cs="宋体" w:eastAsia="宋体" w:hint="default"/>
                <w:sz w:val="16"/>
                <w:szCs w:val="16"/>
              </w:rPr>
              <w:t>期初余额</w:t>
            </w:r>
          </w:p>
        </w:tc>
      </w:tr>
      <w:tr>
        <w:trPr>
          <w:trHeight w:val="161" w:hRule="exact"/>
        </w:trPr>
        <w:tc>
          <w:tcPr>
            <w:tcW w:w="917" w:type="dxa"/>
            <w:vMerge/>
            <w:tcBorders>
              <w:left w:val="single" w:sz="4" w:space="0" w:color="000000"/>
              <w:bottom w:val="nil" w:sz="6" w:space="0" w:color="auto"/>
              <w:right w:val="single" w:sz="4" w:space="0" w:color="000000"/>
            </w:tcBorders>
            <w:shd w:val="clear" w:color="auto" w:fill="D3D3D3"/>
          </w:tcPr>
          <w:p>
            <w:pPr/>
          </w:p>
        </w:tc>
        <w:tc>
          <w:tcPr>
            <w:tcW w:w="169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6"/>
              <w:ind w:left="529"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162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6"/>
              <w:ind w:left="485" w:right="0"/>
              <w:jc w:val="left"/>
              <w:rPr>
                <w:rFonts w:ascii="宋体" w:hAnsi="宋体" w:cs="宋体" w:eastAsia="宋体" w:hint="default"/>
                <w:sz w:val="16"/>
                <w:szCs w:val="16"/>
              </w:rPr>
            </w:pPr>
            <w:r>
              <w:rPr>
                <w:rFonts w:ascii="宋体" w:hAnsi="宋体" w:cs="宋体" w:eastAsia="宋体" w:hint="default"/>
                <w:sz w:val="16"/>
                <w:szCs w:val="16"/>
              </w:rPr>
              <w:t>坏账准备</w:t>
            </w:r>
          </w:p>
        </w:tc>
        <w:tc>
          <w:tcPr>
            <w:tcW w:w="1056" w:type="dxa"/>
            <w:vMerge w:val="restart"/>
            <w:tcBorders>
              <w:top w:val="single" w:sz="4" w:space="0" w:color="000000"/>
              <w:left w:val="single" w:sz="4" w:space="0" w:color="000000"/>
              <w:right w:val="single" w:sz="4" w:space="0" w:color="000000"/>
            </w:tcBorders>
            <w:shd w:val="clear" w:color="auto" w:fill="D3D3D3"/>
          </w:tcPr>
          <w:p>
            <w:pPr/>
          </w:p>
        </w:tc>
        <w:tc>
          <w:tcPr>
            <w:tcW w:w="168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6"/>
              <w:ind w:left="517"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162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6"/>
              <w:ind w:left="484" w:right="0"/>
              <w:jc w:val="left"/>
              <w:rPr>
                <w:rFonts w:ascii="宋体" w:hAnsi="宋体" w:cs="宋体" w:eastAsia="宋体" w:hint="default"/>
                <w:sz w:val="16"/>
                <w:szCs w:val="16"/>
              </w:rPr>
            </w:pPr>
            <w:r>
              <w:rPr>
                <w:rFonts w:ascii="宋体" w:hAnsi="宋体" w:cs="宋体" w:eastAsia="宋体" w:hint="default"/>
                <w:sz w:val="16"/>
                <w:szCs w:val="16"/>
              </w:rPr>
              <w:t>坏账准备</w:t>
            </w:r>
          </w:p>
        </w:tc>
        <w:tc>
          <w:tcPr>
            <w:tcW w:w="1056" w:type="dxa"/>
            <w:vMerge w:val="restart"/>
            <w:tcBorders>
              <w:top w:val="single" w:sz="4" w:space="0" w:color="000000"/>
              <w:left w:val="single" w:sz="4" w:space="0" w:color="000000"/>
              <w:right w:val="single" w:sz="4" w:space="0" w:color="000000"/>
            </w:tcBorders>
            <w:shd w:val="clear" w:color="auto" w:fill="D3D3D3"/>
          </w:tcPr>
          <w:p>
            <w:pPr/>
          </w:p>
        </w:tc>
      </w:tr>
      <w:tr>
        <w:trPr>
          <w:trHeight w:val="241" w:hRule="exact"/>
        </w:trPr>
        <w:tc>
          <w:tcPr>
            <w:tcW w:w="91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66"/>
              <w:ind w:left="293" w:right="0"/>
              <w:jc w:val="left"/>
              <w:rPr>
                <w:rFonts w:ascii="宋体" w:hAnsi="宋体" w:cs="宋体" w:eastAsia="宋体" w:hint="default"/>
                <w:sz w:val="16"/>
                <w:szCs w:val="16"/>
              </w:rPr>
            </w:pPr>
            <w:r>
              <w:rPr>
                <w:rFonts w:ascii="宋体" w:hAnsi="宋体" w:cs="宋体" w:eastAsia="宋体" w:hint="default"/>
                <w:sz w:val="16"/>
                <w:szCs w:val="16"/>
              </w:rPr>
              <w:t>类别</w:t>
            </w:r>
          </w:p>
        </w:tc>
        <w:tc>
          <w:tcPr>
            <w:tcW w:w="1697" w:type="dxa"/>
            <w:gridSpan w:val="2"/>
            <w:vMerge/>
            <w:tcBorders>
              <w:left w:val="single" w:sz="4" w:space="0" w:color="000000"/>
              <w:bottom w:val="single" w:sz="4" w:space="0" w:color="000000"/>
              <w:right w:val="single" w:sz="4" w:space="0" w:color="000000"/>
            </w:tcBorders>
            <w:shd w:val="clear" w:color="auto" w:fill="D3D3D3"/>
          </w:tcPr>
          <w:p>
            <w:pPr/>
          </w:p>
        </w:tc>
        <w:tc>
          <w:tcPr>
            <w:tcW w:w="1621" w:type="dxa"/>
            <w:gridSpan w:val="2"/>
            <w:vMerge/>
            <w:tcBorders>
              <w:left w:val="single" w:sz="4" w:space="0" w:color="000000"/>
              <w:bottom w:val="single" w:sz="4" w:space="0" w:color="000000"/>
              <w:right w:val="single" w:sz="4" w:space="0" w:color="000000"/>
            </w:tcBorders>
            <w:shd w:val="clear" w:color="auto" w:fill="D3D3D3"/>
          </w:tcPr>
          <w:p>
            <w:pPr/>
          </w:p>
        </w:tc>
        <w:tc>
          <w:tcPr>
            <w:tcW w:w="1056" w:type="dxa"/>
            <w:vMerge/>
            <w:tcBorders>
              <w:left w:val="single" w:sz="4" w:space="0" w:color="000000"/>
              <w:bottom w:val="nil" w:sz="6" w:space="0" w:color="auto"/>
              <w:right w:val="single" w:sz="4" w:space="0" w:color="000000"/>
            </w:tcBorders>
            <w:shd w:val="clear" w:color="auto" w:fill="D3D3D3"/>
          </w:tcPr>
          <w:p>
            <w:pPr/>
          </w:p>
        </w:tc>
        <w:tc>
          <w:tcPr>
            <w:tcW w:w="1686" w:type="dxa"/>
            <w:gridSpan w:val="2"/>
            <w:vMerge/>
            <w:tcBorders>
              <w:left w:val="single" w:sz="4" w:space="0" w:color="000000"/>
              <w:bottom w:val="single" w:sz="4" w:space="0" w:color="000000"/>
              <w:right w:val="single" w:sz="4" w:space="0" w:color="000000"/>
            </w:tcBorders>
            <w:shd w:val="clear" w:color="auto" w:fill="D3D3D3"/>
          </w:tcPr>
          <w:p>
            <w:pPr/>
          </w:p>
        </w:tc>
        <w:tc>
          <w:tcPr>
            <w:tcW w:w="1621" w:type="dxa"/>
            <w:gridSpan w:val="2"/>
            <w:vMerge/>
            <w:tcBorders>
              <w:left w:val="single" w:sz="4" w:space="0" w:color="000000"/>
              <w:bottom w:val="single" w:sz="4" w:space="0" w:color="000000"/>
              <w:right w:val="single" w:sz="4" w:space="0" w:color="000000"/>
            </w:tcBorders>
            <w:shd w:val="clear" w:color="auto" w:fill="D3D3D3"/>
          </w:tcPr>
          <w:p>
            <w:pPr/>
          </w:p>
        </w:tc>
        <w:tc>
          <w:tcPr>
            <w:tcW w:w="1056" w:type="dxa"/>
            <w:vMerge/>
            <w:tcBorders>
              <w:left w:val="single" w:sz="4" w:space="0" w:color="000000"/>
              <w:bottom w:val="nil" w:sz="6" w:space="0" w:color="auto"/>
              <w:right w:val="single" w:sz="4" w:space="0" w:color="000000"/>
            </w:tcBorders>
            <w:shd w:val="clear" w:color="auto" w:fill="D3D3D3"/>
          </w:tcPr>
          <w:p>
            <w:pPr/>
          </w:p>
        </w:tc>
      </w:tr>
      <w:tr>
        <w:trPr>
          <w:trHeight w:val="160" w:hRule="exact"/>
        </w:trPr>
        <w:tc>
          <w:tcPr>
            <w:tcW w:w="917" w:type="dxa"/>
            <w:vMerge/>
            <w:tcBorders>
              <w:left w:val="single" w:sz="4" w:space="0" w:color="000000"/>
              <w:bottom w:val="nil" w:sz="6" w:space="0" w:color="auto"/>
              <w:right w:val="single" w:sz="4" w:space="0" w:color="000000"/>
            </w:tcBorders>
            <w:shd w:val="clear" w:color="auto" w:fill="D3D3D3"/>
          </w:tcPr>
          <w:p>
            <w:pPr/>
          </w:p>
        </w:tc>
        <w:tc>
          <w:tcPr>
            <w:tcW w:w="1067" w:type="dxa"/>
            <w:tcBorders>
              <w:top w:val="single" w:sz="4" w:space="0" w:color="000000"/>
              <w:left w:val="single" w:sz="4" w:space="0" w:color="000000"/>
              <w:bottom w:val="nil" w:sz="6" w:space="0" w:color="auto"/>
              <w:right w:val="single" w:sz="4" w:space="0" w:color="000000"/>
            </w:tcBorders>
            <w:shd w:val="clear" w:color="auto" w:fill="D3D3D3"/>
          </w:tcPr>
          <w:p>
            <w:pPr/>
          </w:p>
        </w:tc>
        <w:tc>
          <w:tcPr>
            <w:tcW w:w="630" w:type="dxa"/>
            <w:tcBorders>
              <w:top w:val="single" w:sz="4" w:space="0" w:color="000000"/>
              <w:left w:val="single" w:sz="4" w:space="0" w:color="000000"/>
              <w:bottom w:val="nil" w:sz="6" w:space="0" w:color="auto"/>
              <w:right w:val="single" w:sz="4" w:space="0" w:color="000000"/>
            </w:tcBorders>
            <w:shd w:val="clear" w:color="auto" w:fill="D3D3D3"/>
          </w:tcPr>
          <w:p>
            <w:pPr/>
          </w:p>
        </w:tc>
        <w:tc>
          <w:tcPr>
            <w:tcW w:w="977" w:type="dxa"/>
            <w:tcBorders>
              <w:top w:val="single" w:sz="4" w:space="0" w:color="000000"/>
              <w:left w:val="single" w:sz="4" w:space="0" w:color="000000"/>
              <w:bottom w:val="nil" w:sz="6" w:space="0" w:color="auto"/>
              <w:right w:val="single" w:sz="4" w:space="0" w:color="000000"/>
            </w:tcBorders>
            <w:shd w:val="clear" w:color="auto" w:fill="D3D3D3"/>
          </w:tcPr>
          <w:p>
            <w:pPr/>
          </w:p>
        </w:tc>
        <w:tc>
          <w:tcPr>
            <w:tcW w:w="644" w:type="dxa"/>
            <w:vMerge w:val="restart"/>
            <w:tcBorders>
              <w:top w:val="single" w:sz="4" w:space="0" w:color="000000"/>
              <w:left w:val="single" w:sz="4" w:space="0" w:color="000000"/>
              <w:right w:val="single" w:sz="4" w:space="0" w:color="000000"/>
            </w:tcBorders>
            <w:shd w:val="clear" w:color="auto" w:fill="D3D3D3"/>
          </w:tcPr>
          <w:p>
            <w:pPr>
              <w:pStyle w:val="TableParagraph"/>
              <w:spacing w:line="357" w:lineRule="auto" w:before="66"/>
              <w:ind w:left="237" w:right="77" w:hanging="161"/>
              <w:jc w:val="left"/>
              <w:rPr>
                <w:rFonts w:ascii="宋体" w:hAnsi="宋体" w:cs="宋体" w:eastAsia="宋体" w:hint="default"/>
                <w:sz w:val="16"/>
                <w:szCs w:val="16"/>
              </w:rPr>
            </w:pPr>
            <w:r>
              <w:rPr>
                <w:rFonts w:ascii="宋体" w:hAnsi="宋体" w:cs="宋体" w:eastAsia="宋体" w:hint="default"/>
                <w:sz w:val="16"/>
                <w:szCs w:val="16"/>
              </w:rPr>
              <w:t>计提比</w:t>
            </w:r>
            <w:r>
              <w:rPr>
                <w:rFonts w:ascii="宋体" w:hAnsi="宋体" w:cs="宋体" w:eastAsia="宋体" w:hint="default"/>
                <w:w w:val="99"/>
                <w:sz w:val="16"/>
                <w:szCs w:val="16"/>
              </w:rPr>
              <w:t> </w:t>
            </w:r>
            <w:r>
              <w:rPr>
                <w:rFonts w:ascii="宋体" w:hAnsi="宋体" w:cs="宋体" w:eastAsia="宋体" w:hint="default"/>
                <w:sz w:val="16"/>
                <w:szCs w:val="16"/>
              </w:rPr>
              <w:t>例</w:t>
            </w:r>
          </w:p>
        </w:tc>
        <w:tc>
          <w:tcPr>
            <w:tcW w:w="105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6"/>
              <w:ind w:left="202" w:right="0"/>
              <w:jc w:val="left"/>
              <w:rPr>
                <w:rFonts w:ascii="宋体" w:hAnsi="宋体" w:cs="宋体" w:eastAsia="宋体" w:hint="default"/>
                <w:sz w:val="16"/>
                <w:szCs w:val="16"/>
              </w:rPr>
            </w:pPr>
            <w:r>
              <w:rPr>
                <w:rFonts w:ascii="宋体" w:hAnsi="宋体" w:cs="宋体" w:eastAsia="宋体" w:hint="default"/>
                <w:sz w:val="16"/>
                <w:szCs w:val="16"/>
              </w:rPr>
              <w:t>账面价值</w:t>
            </w:r>
          </w:p>
        </w:tc>
        <w:tc>
          <w:tcPr>
            <w:tcW w:w="10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30" w:type="dxa"/>
            <w:tcBorders>
              <w:top w:val="single" w:sz="4" w:space="0" w:color="000000"/>
              <w:left w:val="single" w:sz="4" w:space="0" w:color="000000"/>
              <w:bottom w:val="nil" w:sz="6" w:space="0" w:color="auto"/>
              <w:right w:val="single" w:sz="4" w:space="0" w:color="000000"/>
            </w:tcBorders>
            <w:shd w:val="clear" w:color="auto" w:fill="D3D3D3"/>
          </w:tcPr>
          <w:p>
            <w:pPr/>
          </w:p>
        </w:tc>
        <w:tc>
          <w:tcPr>
            <w:tcW w:w="977" w:type="dxa"/>
            <w:tcBorders>
              <w:top w:val="single" w:sz="4" w:space="0" w:color="000000"/>
              <w:left w:val="single" w:sz="4" w:space="0" w:color="000000"/>
              <w:bottom w:val="nil" w:sz="6" w:space="0" w:color="auto"/>
              <w:right w:val="single" w:sz="4" w:space="0" w:color="000000"/>
            </w:tcBorders>
            <w:shd w:val="clear" w:color="auto" w:fill="D3D3D3"/>
          </w:tcPr>
          <w:p>
            <w:pPr/>
          </w:p>
        </w:tc>
        <w:tc>
          <w:tcPr>
            <w:tcW w:w="644" w:type="dxa"/>
            <w:vMerge w:val="restart"/>
            <w:tcBorders>
              <w:top w:val="single" w:sz="4" w:space="0" w:color="000000"/>
              <w:left w:val="single" w:sz="4" w:space="0" w:color="000000"/>
              <w:right w:val="single" w:sz="4" w:space="0" w:color="000000"/>
            </w:tcBorders>
            <w:shd w:val="clear" w:color="auto" w:fill="D3D3D3"/>
          </w:tcPr>
          <w:p>
            <w:pPr>
              <w:pStyle w:val="TableParagraph"/>
              <w:spacing w:line="357" w:lineRule="auto" w:before="66"/>
              <w:ind w:left="237" w:right="77" w:hanging="161"/>
              <w:jc w:val="left"/>
              <w:rPr>
                <w:rFonts w:ascii="宋体" w:hAnsi="宋体" w:cs="宋体" w:eastAsia="宋体" w:hint="default"/>
                <w:sz w:val="16"/>
                <w:szCs w:val="16"/>
              </w:rPr>
            </w:pPr>
            <w:r>
              <w:rPr>
                <w:rFonts w:ascii="宋体" w:hAnsi="宋体" w:cs="宋体" w:eastAsia="宋体" w:hint="default"/>
                <w:sz w:val="16"/>
                <w:szCs w:val="16"/>
              </w:rPr>
              <w:t>计提比</w:t>
            </w:r>
            <w:r>
              <w:rPr>
                <w:rFonts w:ascii="宋体" w:hAnsi="宋体" w:cs="宋体" w:eastAsia="宋体" w:hint="default"/>
                <w:w w:val="99"/>
                <w:sz w:val="16"/>
                <w:szCs w:val="16"/>
              </w:rPr>
              <w:t> </w:t>
            </w:r>
            <w:r>
              <w:rPr>
                <w:rFonts w:ascii="宋体" w:hAnsi="宋体" w:cs="宋体" w:eastAsia="宋体" w:hint="default"/>
                <w:sz w:val="16"/>
                <w:szCs w:val="16"/>
              </w:rPr>
              <w:t>例</w:t>
            </w:r>
          </w:p>
        </w:tc>
        <w:tc>
          <w:tcPr>
            <w:tcW w:w="105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6"/>
              <w:ind w:left="202" w:right="0"/>
              <w:jc w:val="left"/>
              <w:rPr>
                <w:rFonts w:ascii="宋体" w:hAnsi="宋体" w:cs="宋体" w:eastAsia="宋体" w:hint="default"/>
                <w:sz w:val="16"/>
                <w:szCs w:val="16"/>
              </w:rPr>
            </w:pPr>
            <w:r>
              <w:rPr>
                <w:rFonts w:ascii="宋体" w:hAnsi="宋体" w:cs="宋体" w:eastAsia="宋体" w:hint="default"/>
                <w:sz w:val="16"/>
                <w:szCs w:val="16"/>
              </w:rPr>
              <w:t>账面价值</w:t>
            </w:r>
          </w:p>
        </w:tc>
      </w:tr>
      <w:tr>
        <w:trPr>
          <w:trHeight w:val="192" w:hRule="exact"/>
        </w:trPr>
        <w:tc>
          <w:tcPr>
            <w:tcW w:w="917" w:type="dxa"/>
            <w:vMerge w:val="restart"/>
            <w:tcBorders>
              <w:top w:val="nil" w:sz="6" w:space="0" w:color="auto"/>
              <w:left w:val="single" w:sz="4" w:space="0" w:color="000000"/>
              <w:right w:val="single" w:sz="4" w:space="0" w:color="000000"/>
            </w:tcBorders>
            <w:shd w:val="clear" w:color="auto" w:fill="D3D3D3"/>
          </w:tcPr>
          <w:p>
            <w:pPr/>
          </w:p>
        </w:tc>
        <w:tc>
          <w:tcPr>
            <w:tcW w:w="106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66"/>
              <w:ind w:left="11"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63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66"/>
              <w:ind w:left="149" w:right="0"/>
              <w:jc w:val="left"/>
              <w:rPr>
                <w:rFonts w:ascii="宋体" w:hAnsi="宋体" w:cs="宋体" w:eastAsia="宋体" w:hint="default"/>
                <w:sz w:val="16"/>
                <w:szCs w:val="16"/>
              </w:rPr>
            </w:pPr>
            <w:r>
              <w:rPr>
                <w:rFonts w:ascii="宋体" w:hAnsi="宋体" w:cs="宋体" w:eastAsia="宋体" w:hint="default"/>
                <w:sz w:val="16"/>
                <w:szCs w:val="16"/>
              </w:rPr>
              <w:t>比例</w:t>
            </w:r>
          </w:p>
        </w:tc>
        <w:tc>
          <w:tcPr>
            <w:tcW w:w="97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66"/>
              <w:ind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644" w:type="dxa"/>
            <w:vMerge/>
            <w:tcBorders>
              <w:left w:val="single" w:sz="4" w:space="0" w:color="000000"/>
              <w:right w:val="single" w:sz="4" w:space="0" w:color="000000"/>
            </w:tcBorders>
            <w:shd w:val="clear" w:color="auto" w:fill="D3D3D3"/>
          </w:tcPr>
          <w:p>
            <w:pPr/>
          </w:p>
        </w:tc>
        <w:tc>
          <w:tcPr>
            <w:tcW w:w="1056" w:type="dxa"/>
            <w:vMerge/>
            <w:tcBorders>
              <w:left w:val="single" w:sz="4" w:space="0" w:color="000000"/>
              <w:bottom w:val="nil" w:sz="6" w:space="0" w:color="auto"/>
              <w:right w:val="single" w:sz="4" w:space="0" w:color="000000"/>
            </w:tcBorders>
            <w:shd w:val="clear" w:color="auto" w:fill="D3D3D3"/>
          </w:tcPr>
          <w:p>
            <w:pPr/>
          </w:p>
        </w:tc>
        <w:tc>
          <w:tcPr>
            <w:tcW w:w="105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66"/>
              <w:ind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63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66"/>
              <w:ind w:left="148" w:right="0"/>
              <w:jc w:val="left"/>
              <w:rPr>
                <w:rFonts w:ascii="宋体" w:hAnsi="宋体" w:cs="宋体" w:eastAsia="宋体" w:hint="default"/>
                <w:sz w:val="16"/>
                <w:szCs w:val="16"/>
              </w:rPr>
            </w:pPr>
            <w:r>
              <w:rPr>
                <w:rFonts w:ascii="宋体" w:hAnsi="宋体" w:cs="宋体" w:eastAsia="宋体" w:hint="default"/>
                <w:sz w:val="16"/>
                <w:szCs w:val="16"/>
              </w:rPr>
              <w:t>比例</w:t>
            </w:r>
          </w:p>
        </w:tc>
        <w:tc>
          <w:tcPr>
            <w:tcW w:w="97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66"/>
              <w:ind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644" w:type="dxa"/>
            <w:vMerge/>
            <w:tcBorders>
              <w:left w:val="single" w:sz="4" w:space="0" w:color="000000"/>
              <w:right w:val="single" w:sz="4" w:space="0" w:color="000000"/>
            </w:tcBorders>
            <w:shd w:val="clear" w:color="auto" w:fill="D3D3D3"/>
          </w:tcPr>
          <w:p>
            <w:pPr/>
          </w:p>
        </w:tc>
        <w:tc>
          <w:tcPr>
            <w:tcW w:w="1056" w:type="dxa"/>
            <w:vMerge/>
            <w:tcBorders>
              <w:left w:val="single" w:sz="4" w:space="0" w:color="000000"/>
              <w:bottom w:val="nil" w:sz="6" w:space="0" w:color="auto"/>
              <w:right w:val="single" w:sz="4" w:space="0" w:color="000000"/>
            </w:tcBorders>
            <w:shd w:val="clear" w:color="auto" w:fill="D3D3D3"/>
          </w:tcPr>
          <w:p>
            <w:pPr/>
          </w:p>
        </w:tc>
      </w:tr>
      <w:tr>
        <w:trPr>
          <w:trHeight w:val="200" w:hRule="exact"/>
        </w:trPr>
        <w:tc>
          <w:tcPr>
            <w:tcW w:w="917" w:type="dxa"/>
            <w:vMerge/>
            <w:tcBorders>
              <w:left w:val="single" w:sz="4" w:space="0" w:color="000000"/>
              <w:right w:val="single" w:sz="4" w:space="0" w:color="000000"/>
            </w:tcBorders>
            <w:shd w:val="clear" w:color="auto" w:fill="D3D3D3"/>
          </w:tcPr>
          <w:p>
            <w:pPr/>
          </w:p>
        </w:tc>
        <w:tc>
          <w:tcPr>
            <w:tcW w:w="1067" w:type="dxa"/>
            <w:vMerge/>
            <w:tcBorders>
              <w:left w:val="single" w:sz="4" w:space="0" w:color="000000"/>
              <w:bottom w:val="nil" w:sz="6" w:space="0" w:color="auto"/>
              <w:right w:val="single" w:sz="4" w:space="0" w:color="000000"/>
            </w:tcBorders>
            <w:shd w:val="clear" w:color="auto" w:fill="D3D3D3"/>
          </w:tcPr>
          <w:p>
            <w:pPr/>
          </w:p>
        </w:tc>
        <w:tc>
          <w:tcPr>
            <w:tcW w:w="630" w:type="dxa"/>
            <w:vMerge/>
            <w:tcBorders>
              <w:left w:val="single" w:sz="4" w:space="0" w:color="000000"/>
              <w:bottom w:val="nil" w:sz="6" w:space="0" w:color="auto"/>
              <w:right w:val="single" w:sz="4" w:space="0" w:color="000000"/>
            </w:tcBorders>
            <w:shd w:val="clear" w:color="auto" w:fill="D3D3D3"/>
          </w:tcPr>
          <w:p>
            <w:pPr/>
          </w:p>
        </w:tc>
        <w:tc>
          <w:tcPr>
            <w:tcW w:w="977" w:type="dxa"/>
            <w:vMerge/>
            <w:tcBorders>
              <w:left w:val="single" w:sz="4" w:space="0" w:color="000000"/>
              <w:bottom w:val="nil" w:sz="6" w:space="0" w:color="auto"/>
              <w:right w:val="single" w:sz="4" w:space="0" w:color="000000"/>
            </w:tcBorders>
            <w:shd w:val="clear" w:color="auto" w:fill="D3D3D3"/>
          </w:tcPr>
          <w:p>
            <w:pPr/>
          </w:p>
        </w:tc>
        <w:tc>
          <w:tcPr>
            <w:tcW w:w="644" w:type="dxa"/>
            <w:vMerge/>
            <w:tcBorders>
              <w:left w:val="single" w:sz="4" w:space="0" w:color="000000"/>
              <w:right w:val="single" w:sz="4" w:space="0" w:color="000000"/>
            </w:tcBorders>
            <w:shd w:val="clear" w:color="auto" w:fill="D3D3D3"/>
          </w:tcPr>
          <w:p>
            <w:pPr/>
          </w:p>
        </w:tc>
        <w:tc>
          <w:tcPr>
            <w:tcW w:w="1056" w:type="dxa"/>
            <w:vMerge w:val="restart"/>
            <w:tcBorders>
              <w:top w:val="nil" w:sz="6" w:space="0" w:color="auto"/>
              <w:left w:val="single" w:sz="4" w:space="0" w:color="000000"/>
              <w:right w:val="single" w:sz="4" w:space="0" w:color="000000"/>
            </w:tcBorders>
            <w:shd w:val="clear" w:color="auto" w:fill="D3D3D3"/>
          </w:tcPr>
          <w:p>
            <w:pPr/>
          </w:p>
        </w:tc>
        <w:tc>
          <w:tcPr>
            <w:tcW w:w="1056" w:type="dxa"/>
            <w:vMerge/>
            <w:tcBorders>
              <w:left w:val="single" w:sz="4" w:space="0" w:color="000000"/>
              <w:bottom w:val="nil" w:sz="6" w:space="0" w:color="auto"/>
              <w:right w:val="single" w:sz="4" w:space="0" w:color="000000"/>
            </w:tcBorders>
            <w:shd w:val="clear" w:color="auto" w:fill="D3D3D3"/>
          </w:tcPr>
          <w:p>
            <w:pPr/>
          </w:p>
        </w:tc>
        <w:tc>
          <w:tcPr>
            <w:tcW w:w="630" w:type="dxa"/>
            <w:vMerge/>
            <w:tcBorders>
              <w:left w:val="single" w:sz="4" w:space="0" w:color="000000"/>
              <w:bottom w:val="nil" w:sz="6" w:space="0" w:color="auto"/>
              <w:right w:val="single" w:sz="4" w:space="0" w:color="000000"/>
            </w:tcBorders>
            <w:shd w:val="clear" w:color="auto" w:fill="D3D3D3"/>
          </w:tcPr>
          <w:p>
            <w:pPr/>
          </w:p>
        </w:tc>
        <w:tc>
          <w:tcPr>
            <w:tcW w:w="977" w:type="dxa"/>
            <w:vMerge/>
            <w:tcBorders>
              <w:left w:val="single" w:sz="4" w:space="0" w:color="000000"/>
              <w:bottom w:val="nil" w:sz="6" w:space="0" w:color="auto"/>
              <w:right w:val="single" w:sz="4" w:space="0" w:color="000000"/>
            </w:tcBorders>
            <w:shd w:val="clear" w:color="auto" w:fill="D3D3D3"/>
          </w:tcPr>
          <w:p>
            <w:pPr/>
          </w:p>
        </w:tc>
        <w:tc>
          <w:tcPr>
            <w:tcW w:w="644" w:type="dxa"/>
            <w:vMerge/>
            <w:tcBorders>
              <w:left w:val="single" w:sz="4" w:space="0" w:color="000000"/>
              <w:right w:val="single" w:sz="4" w:space="0" w:color="000000"/>
            </w:tcBorders>
            <w:shd w:val="clear" w:color="auto" w:fill="D3D3D3"/>
          </w:tcPr>
          <w:p>
            <w:pPr/>
          </w:p>
        </w:tc>
        <w:tc>
          <w:tcPr>
            <w:tcW w:w="1056" w:type="dxa"/>
            <w:vMerge w:val="restart"/>
            <w:tcBorders>
              <w:top w:val="nil" w:sz="6" w:space="0" w:color="auto"/>
              <w:left w:val="single" w:sz="4" w:space="0" w:color="000000"/>
              <w:right w:val="single" w:sz="4" w:space="0" w:color="000000"/>
            </w:tcBorders>
            <w:shd w:val="clear" w:color="auto" w:fill="D3D3D3"/>
          </w:tcPr>
          <w:p>
            <w:pPr/>
          </w:p>
        </w:tc>
      </w:tr>
      <w:tr>
        <w:trPr>
          <w:trHeight w:val="162" w:hRule="exact"/>
        </w:trPr>
        <w:tc>
          <w:tcPr>
            <w:tcW w:w="917" w:type="dxa"/>
            <w:vMerge/>
            <w:tcBorders>
              <w:left w:val="single" w:sz="4" w:space="0" w:color="000000"/>
              <w:bottom w:val="single" w:sz="4" w:space="0" w:color="000000"/>
              <w:right w:val="single" w:sz="4" w:space="0" w:color="000000"/>
            </w:tcBorders>
            <w:shd w:val="clear" w:color="auto" w:fill="D3D3D3"/>
          </w:tcPr>
          <w:p>
            <w:pPr/>
          </w:p>
        </w:tc>
        <w:tc>
          <w:tcPr>
            <w:tcW w:w="1067" w:type="dxa"/>
            <w:tcBorders>
              <w:top w:val="nil" w:sz="6" w:space="0" w:color="auto"/>
              <w:left w:val="single" w:sz="4" w:space="0" w:color="000000"/>
              <w:bottom w:val="single" w:sz="4" w:space="0" w:color="000000"/>
              <w:right w:val="single" w:sz="4" w:space="0" w:color="000000"/>
            </w:tcBorders>
            <w:shd w:val="clear" w:color="auto" w:fill="D3D3D3"/>
          </w:tcPr>
          <w:p>
            <w:pPr/>
          </w:p>
        </w:tc>
        <w:tc>
          <w:tcPr>
            <w:tcW w:w="630" w:type="dxa"/>
            <w:tcBorders>
              <w:top w:val="nil" w:sz="6" w:space="0" w:color="auto"/>
              <w:left w:val="single" w:sz="4" w:space="0" w:color="000000"/>
              <w:bottom w:val="single" w:sz="4" w:space="0" w:color="000000"/>
              <w:right w:val="single" w:sz="4" w:space="0" w:color="000000"/>
            </w:tcBorders>
            <w:shd w:val="clear" w:color="auto" w:fill="D3D3D3"/>
          </w:tcPr>
          <w:p>
            <w:pPr/>
          </w:p>
        </w:tc>
        <w:tc>
          <w:tcPr>
            <w:tcW w:w="977" w:type="dxa"/>
            <w:tcBorders>
              <w:top w:val="nil" w:sz="6" w:space="0" w:color="auto"/>
              <w:left w:val="single" w:sz="4" w:space="0" w:color="000000"/>
              <w:bottom w:val="single" w:sz="4" w:space="0" w:color="000000"/>
              <w:right w:val="single" w:sz="4" w:space="0" w:color="000000"/>
            </w:tcBorders>
            <w:shd w:val="clear" w:color="auto" w:fill="D3D3D3"/>
          </w:tcPr>
          <w:p>
            <w:pPr/>
          </w:p>
        </w:tc>
        <w:tc>
          <w:tcPr>
            <w:tcW w:w="644" w:type="dxa"/>
            <w:vMerge/>
            <w:tcBorders>
              <w:left w:val="single" w:sz="4" w:space="0" w:color="000000"/>
              <w:bottom w:val="single" w:sz="4" w:space="0" w:color="000000"/>
              <w:right w:val="single" w:sz="4" w:space="0" w:color="000000"/>
            </w:tcBorders>
            <w:shd w:val="clear" w:color="auto" w:fill="D3D3D3"/>
          </w:tcPr>
          <w:p>
            <w:pPr/>
          </w:p>
        </w:tc>
        <w:tc>
          <w:tcPr>
            <w:tcW w:w="1056" w:type="dxa"/>
            <w:vMerge/>
            <w:tcBorders>
              <w:left w:val="single" w:sz="4" w:space="0" w:color="000000"/>
              <w:bottom w:val="single" w:sz="4" w:space="0" w:color="000000"/>
              <w:right w:val="single" w:sz="4" w:space="0" w:color="000000"/>
            </w:tcBorders>
            <w:shd w:val="clear" w:color="auto" w:fill="D3D3D3"/>
          </w:tcPr>
          <w:p>
            <w:pPr/>
          </w:p>
        </w:tc>
        <w:tc>
          <w:tcPr>
            <w:tcW w:w="10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30" w:type="dxa"/>
            <w:tcBorders>
              <w:top w:val="nil" w:sz="6" w:space="0" w:color="auto"/>
              <w:left w:val="single" w:sz="4" w:space="0" w:color="000000"/>
              <w:bottom w:val="single" w:sz="4" w:space="0" w:color="000000"/>
              <w:right w:val="single" w:sz="4" w:space="0" w:color="000000"/>
            </w:tcBorders>
            <w:shd w:val="clear" w:color="auto" w:fill="D3D3D3"/>
          </w:tcPr>
          <w:p>
            <w:pPr/>
          </w:p>
        </w:tc>
        <w:tc>
          <w:tcPr>
            <w:tcW w:w="977" w:type="dxa"/>
            <w:tcBorders>
              <w:top w:val="nil" w:sz="6" w:space="0" w:color="auto"/>
              <w:left w:val="single" w:sz="4" w:space="0" w:color="000000"/>
              <w:bottom w:val="single" w:sz="4" w:space="0" w:color="000000"/>
              <w:right w:val="single" w:sz="4" w:space="0" w:color="000000"/>
            </w:tcBorders>
            <w:shd w:val="clear" w:color="auto" w:fill="D3D3D3"/>
          </w:tcPr>
          <w:p>
            <w:pPr/>
          </w:p>
        </w:tc>
        <w:tc>
          <w:tcPr>
            <w:tcW w:w="644" w:type="dxa"/>
            <w:vMerge/>
            <w:tcBorders>
              <w:left w:val="single" w:sz="4" w:space="0" w:color="000000"/>
              <w:bottom w:val="single" w:sz="4" w:space="0" w:color="000000"/>
              <w:right w:val="single" w:sz="4" w:space="0" w:color="000000"/>
            </w:tcBorders>
            <w:shd w:val="clear" w:color="auto" w:fill="D3D3D3"/>
          </w:tcPr>
          <w:p>
            <w:pPr/>
          </w:p>
        </w:tc>
        <w:tc>
          <w:tcPr>
            <w:tcW w:w="1056" w:type="dxa"/>
            <w:vMerge/>
            <w:tcBorders>
              <w:left w:val="single" w:sz="4" w:space="0" w:color="000000"/>
              <w:bottom w:val="single" w:sz="4" w:space="0" w:color="000000"/>
              <w:right w:val="single" w:sz="4" w:space="0" w:color="000000"/>
            </w:tcBorders>
            <w:shd w:val="clear" w:color="auto" w:fill="D3D3D3"/>
          </w:tcPr>
          <w:p>
            <w:pPr/>
          </w:p>
        </w:tc>
      </w:tr>
      <w:tr>
        <w:trPr>
          <w:trHeight w:val="1338" w:hRule="exact"/>
        </w:trPr>
        <w:tc>
          <w:tcPr>
            <w:tcW w:w="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57" w:lineRule="auto" w:before="66"/>
              <w:ind w:left="11" w:right="94"/>
              <w:jc w:val="both"/>
              <w:rPr>
                <w:rFonts w:ascii="宋体" w:hAnsi="宋体" w:cs="宋体" w:eastAsia="宋体" w:hint="default"/>
                <w:sz w:val="16"/>
                <w:szCs w:val="16"/>
              </w:rPr>
            </w:pPr>
            <w:r>
              <w:rPr>
                <w:rFonts w:ascii="宋体" w:hAnsi="宋体" w:cs="宋体" w:eastAsia="宋体" w:hint="default"/>
                <w:sz w:val="16"/>
                <w:szCs w:val="16"/>
              </w:rPr>
              <w:t>单项金额重</w:t>
            </w:r>
            <w:r>
              <w:rPr>
                <w:rFonts w:ascii="宋体" w:hAnsi="宋体" w:cs="宋体" w:eastAsia="宋体" w:hint="default"/>
                <w:w w:val="99"/>
                <w:sz w:val="16"/>
                <w:szCs w:val="16"/>
              </w:rPr>
              <w:t> </w:t>
            </w:r>
            <w:r>
              <w:rPr>
                <w:rFonts w:ascii="宋体" w:hAnsi="宋体" w:cs="宋体" w:eastAsia="宋体" w:hint="default"/>
                <w:sz w:val="16"/>
                <w:szCs w:val="16"/>
              </w:rPr>
              <w:t>大并单独计</w:t>
            </w:r>
            <w:r>
              <w:rPr>
                <w:rFonts w:ascii="宋体" w:hAnsi="宋体" w:cs="宋体" w:eastAsia="宋体" w:hint="default"/>
                <w:w w:val="99"/>
                <w:sz w:val="16"/>
                <w:szCs w:val="16"/>
              </w:rPr>
              <w:t> </w:t>
            </w:r>
            <w:r>
              <w:rPr>
                <w:rFonts w:ascii="宋体" w:hAnsi="宋体" w:cs="宋体" w:eastAsia="宋体" w:hint="default"/>
                <w:sz w:val="16"/>
                <w:szCs w:val="16"/>
              </w:rPr>
              <w:t>提坏账准备</w:t>
            </w:r>
            <w:r>
              <w:rPr>
                <w:rFonts w:ascii="宋体" w:hAnsi="宋体" w:cs="宋体" w:eastAsia="宋体" w:hint="default"/>
                <w:w w:val="99"/>
                <w:sz w:val="16"/>
                <w:szCs w:val="16"/>
              </w:rPr>
              <w:t> </w:t>
            </w:r>
            <w:r>
              <w:rPr>
                <w:rFonts w:ascii="宋体" w:hAnsi="宋体" w:cs="宋体" w:eastAsia="宋体" w:hint="default"/>
                <w:sz w:val="16"/>
                <w:szCs w:val="16"/>
              </w:rPr>
              <w:t>的应收账款</w:t>
            </w:r>
          </w:p>
        </w:tc>
        <w:tc>
          <w:tcPr>
            <w:tcW w:w="10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81" w:right="0"/>
              <w:jc w:val="center"/>
              <w:rPr>
                <w:rFonts w:ascii="Times New Roman" w:hAnsi="Times New Roman" w:cs="Times New Roman" w:eastAsia="Times New Roman" w:hint="default"/>
                <w:sz w:val="16"/>
                <w:szCs w:val="16"/>
              </w:rPr>
            </w:pPr>
            <w:r>
              <w:rPr>
                <w:rFonts w:ascii="Times New Roman"/>
                <w:sz w:val="16"/>
              </w:rPr>
              <w:t>22,596,780.87</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4.99%</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2" w:right="0"/>
              <w:jc w:val="center"/>
              <w:rPr>
                <w:rFonts w:ascii="Times New Roman" w:hAnsi="Times New Roman" w:cs="Times New Roman" w:eastAsia="Times New Roman" w:hint="default"/>
                <w:sz w:val="16"/>
                <w:szCs w:val="16"/>
              </w:rPr>
            </w:pPr>
            <w:r>
              <w:rPr>
                <w:rFonts w:ascii="Times New Roman"/>
                <w:sz w:val="16"/>
              </w:rPr>
              <w:t>18,474,702.63</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81.76%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4,122,078.24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14,452,624.39</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3.40%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14,452,624.39</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100.00%</w:t>
            </w: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57" w:lineRule="auto" w:before="66"/>
              <w:ind w:left="11" w:right="94"/>
              <w:jc w:val="both"/>
              <w:rPr>
                <w:rFonts w:ascii="宋体" w:hAnsi="宋体" w:cs="宋体" w:eastAsia="宋体" w:hint="default"/>
                <w:sz w:val="16"/>
                <w:szCs w:val="16"/>
              </w:rPr>
            </w:pPr>
            <w:r>
              <w:rPr>
                <w:rFonts w:ascii="宋体" w:hAnsi="宋体" w:cs="宋体" w:eastAsia="宋体" w:hint="default"/>
                <w:sz w:val="16"/>
                <w:szCs w:val="16"/>
              </w:rPr>
              <w:t>按信用风险</w:t>
            </w:r>
            <w:r>
              <w:rPr>
                <w:rFonts w:ascii="宋体" w:hAnsi="宋体" w:cs="宋体" w:eastAsia="宋体" w:hint="default"/>
                <w:w w:val="99"/>
                <w:sz w:val="16"/>
                <w:szCs w:val="16"/>
              </w:rPr>
              <w:t> </w:t>
            </w:r>
            <w:r>
              <w:rPr>
                <w:rFonts w:ascii="宋体" w:hAnsi="宋体" w:cs="宋体" w:eastAsia="宋体" w:hint="default"/>
                <w:sz w:val="16"/>
                <w:szCs w:val="16"/>
              </w:rPr>
              <w:t>特征组合计</w:t>
            </w:r>
            <w:r>
              <w:rPr>
                <w:rFonts w:ascii="宋体" w:hAnsi="宋体" w:cs="宋体" w:eastAsia="宋体" w:hint="default"/>
                <w:w w:val="99"/>
                <w:sz w:val="16"/>
                <w:szCs w:val="16"/>
              </w:rPr>
              <w:t> </w:t>
            </w:r>
            <w:r>
              <w:rPr>
                <w:rFonts w:ascii="宋体" w:hAnsi="宋体" w:cs="宋体" w:eastAsia="宋体" w:hint="default"/>
                <w:sz w:val="16"/>
                <w:szCs w:val="16"/>
              </w:rPr>
              <w:t>提坏账准备</w:t>
            </w:r>
            <w:r>
              <w:rPr>
                <w:rFonts w:ascii="宋体" w:hAnsi="宋体" w:cs="宋体" w:eastAsia="宋体" w:hint="default"/>
                <w:w w:val="99"/>
                <w:sz w:val="16"/>
                <w:szCs w:val="16"/>
              </w:rPr>
              <w:t> </w:t>
            </w:r>
            <w:r>
              <w:rPr>
                <w:rFonts w:ascii="宋体" w:hAnsi="宋体" w:cs="宋体" w:eastAsia="宋体" w:hint="default"/>
                <w:sz w:val="16"/>
                <w:szCs w:val="16"/>
              </w:rPr>
              <w:t>的应收账款</w:t>
            </w:r>
          </w:p>
        </w:tc>
        <w:tc>
          <w:tcPr>
            <w:tcW w:w="10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 w:right="0"/>
              <w:jc w:val="center"/>
              <w:rPr>
                <w:rFonts w:ascii="Times New Roman" w:hAnsi="Times New Roman" w:cs="Times New Roman" w:eastAsia="Times New Roman" w:hint="default"/>
                <w:sz w:val="16"/>
                <w:szCs w:val="16"/>
              </w:rPr>
            </w:pPr>
            <w:r>
              <w:rPr>
                <w:rFonts w:ascii="Times New Roman"/>
                <w:sz w:val="16"/>
              </w:rPr>
              <w:t>424,436,433.88</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93.65%</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2" w:right="0"/>
              <w:jc w:val="center"/>
              <w:rPr>
                <w:rFonts w:ascii="Times New Roman" w:hAnsi="Times New Roman" w:cs="Times New Roman" w:eastAsia="Times New Roman" w:hint="default"/>
                <w:sz w:val="16"/>
                <w:szCs w:val="16"/>
              </w:rPr>
            </w:pPr>
            <w:r>
              <w:rPr>
                <w:rFonts w:ascii="Times New Roman"/>
                <w:sz w:val="16"/>
              </w:rPr>
              <w:t>56,826,235.13</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13.39%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1"/>
                <w:sz w:val="16"/>
              </w:rPr>
              <w:t>367,610,198.75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1"/>
                <w:sz w:val="16"/>
              </w:rPr>
              <w:t>405,594,913.57</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95.30%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42,222,903.73</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10.41%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sz w:val="16"/>
              </w:rPr>
              <w:t>363,372,009.84</w:t>
            </w:r>
          </w:p>
        </w:tc>
      </w:tr>
      <w:tr>
        <w:trPr>
          <w:trHeight w:val="1650" w:hRule="exact"/>
        </w:trPr>
        <w:tc>
          <w:tcPr>
            <w:tcW w:w="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57" w:lineRule="auto" w:before="66"/>
              <w:ind w:left="11" w:right="94"/>
              <w:jc w:val="both"/>
              <w:rPr>
                <w:rFonts w:ascii="宋体" w:hAnsi="宋体" w:cs="宋体" w:eastAsia="宋体" w:hint="default"/>
                <w:sz w:val="16"/>
                <w:szCs w:val="16"/>
              </w:rPr>
            </w:pPr>
            <w:r>
              <w:rPr>
                <w:rFonts w:ascii="宋体" w:hAnsi="宋体" w:cs="宋体" w:eastAsia="宋体" w:hint="default"/>
                <w:sz w:val="16"/>
                <w:szCs w:val="16"/>
              </w:rPr>
              <w:t>单项金额不</w:t>
            </w:r>
            <w:r>
              <w:rPr>
                <w:rFonts w:ascii="宋体" w:hAnsi="宋体" w:cs="宋体" w:eastAsia="宋体" w:hint="default"/>
                <w:w w:val="99"/>
                <w:sz w:val="16"/>
                <w:szCs w:val="16"/>
              </w:rPr>
              <w:t> </w:t>
            </w:r>
            <w:r>
              <w:rPr>
                <w:rFonts w:ascii="宋体" w:hAnsi="宋体" w:cs="宋体" w:eastAsia="宋体" w:hint="default"/>
                <w:sz w:val="16"/>
                <w:szCs w:val="16"/>
              </w:rPr>
              <w:t>重大但单独</w:t>
            </w:r>
            <w:r>
              <w:rPr>
                <w:rFonts w:ascii="宋体" w:hAnsi="宋体" w:cs="宋体" w:eastAsia="宋体" w:hint="default"/>
                <w:w w:val="99"/>
                <w:sz w:val="16"/>
                <w:szCs w:val="16"/>
              </w:rPr>
              <w:t> </w:t>
            </w:r>
            <w:r>
              <w:rPr>
                <w:rFonts w:ascii="宋体" w:hAnsi="宋体" w:cs="宋体" w:eastAsia="宋体" w:hint="default"/>
                <w:sz w:val="16"/>
                <w:szCs w:val="16"/>
              </w:rPr>
              <w:t>计提坏账准</w:t>
            </w:r>
            <w:r>
              <w:rPr>
                <w:rFonts w:ascii="宋体" w:hAnsi="宋体" w:cs="宋体" w:eastAsia="宋体" w:hint="default"/>
                <w:w w:val="99"/>
                <w:sz w:val="16"/>
                <w:szCs w:val="16"/>
              </w:rPr>
              <w:t> </w:t>
            </w:r>
            <w:r>
              <w:rPr>
                <w:rFonts w:ascii="宋体" w:hAnsi="宋体" w:cs="宋体" w:eastAsia="宋体" w:hint="default"/>
                <w:sz w:val="16"/>
                <w:szCs w:val="16"/>
              </w:rPr>
              <w:t>备的应收账</w:t>
            </w:r>
            <w:r>
              <w:rPr>
                <w:rFonts w:ascii="宋体" w:hAnsi="宋体" w:cs="宋体" w:eastAsia="宋体" w:hint="default"/>
                <w:w w:val="99"/>
                <w:sz w:val="16"/>
                <w:szCs w:val="16"/>
              </w:rPr>
              <w:t> </w:t>
            </w:r>
            <w:r>
              <w:rPr>
                <w:rFonts w:ascii="宋体" w:hAnsi="宋体" w:cs="宋体" w:eastAsia="宋体" w:hint="default"/>
                <w:sz w:val="16"/>
                <w:szCs w:val="16"/>
              </w:rPr>
              <w:t>款</w:t>
            </w:r>
          </w:p>
        </w:tc>
        <w:tc>
          <w:tcPr>
            <w:tcW w:w="10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62" w:right="0"/>
              <w:jc w:val="center"/>
              <w:rPr>
                <w:rFonts w:ascii="Times New Roman" w:hAnsi="Times New Roman" w:cs="Times New Roman" w:eastAsia="Times New Roman" w:hint="default"/>
                <w:sz w:val="16"/>
                <w:szCs w:val="16"/>
              </w:rPr>
            </w:pPr>
            <w:r>
              <w:rPr>
                <w:rFonts w:ascii="Times New Roman"/>
                <w:sz w:val="16"/>
              </w:rPr>
              <w:t>6,152,900.01</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1.36%</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82" w:right="0"/>
              <w:jc w:val="center"/>
              <w:rPr>
                <w:rFonts w:ascii="Times New Roman" w:hAnsi="Times New Roman" w:cs="Times New Roman" w:eastAsia="Times New Roman" w:hint="default"/>
                <w:sz w:val="16"/>
                <w:szCs w:val="16"/>
              </w:rPr>
            </w:pPr>
            <w:r>
              <w:rPr>
                <w:rFonts w:ascii="Times New Roman"/>
                <w:sz w:val="16"/>
              </w:rPr>
              <w:t>6,152,900.01</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100.00%</w:t>
            </w:r>
          </w:p>
        </w:tc>
        <w:tc>
          <w:tcPr>
            <w:tcW w:w="105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5,517,071.39</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1.30%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5,517,071.39</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100.00%</w:t>
            </w: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6"/>
              <w:ind w:left="11"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10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2"/>
              <w:ind w:left="7" w:right="0"/>
              <w:jc w:val="center"/>
              <w:rPr>
                <w:rFonts w:ascii="Times New Roman" w:hAnsi="Times New Roman" w:cs="Times New Roman" w:eastAsia="Times New Roman" w:hint="default"/>
                <w:sz w:val="16"/>
                <w:szCs w:val="16"/>
              </w:rPr>
            </w:pPr>
            <w:r>
              <w:rPr>
                <w:rFonts w:ascii="Times New Roman"/>
                <w:sz w:val="16"/>
              </w:rPr>
              <w:t>453,186,114.76</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100.00%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Times New Roman" w:hAnsi="Times New Roman" w:cs="Times New Roman" w:eastAsia="Times New Roman" w:hint="default"/>
                <w:sz w:val="16"/>
                <w:szCs w:val="16"/>
              </w:rPr>
            </w:pPr>
            <w:r>
              <w:rPr>
                <w:rFonts w:ascii="Times New Roman"/>
                <w:sz w:val="16"/>
              </w:rPr>
              <w:t>81,453,837.77</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17.97%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6"/>
                <w:szCs w:val="16"/>
              </w:rPr>
            </w:pPr>
            <w:r>
              <w:rPr>
                <w:rFonts w:ascii="Times New Roman"/>
                <w:spacing w:val="-1"/>
                <w:sz w:val="16"/>
              </w:rPr>
              <w:t>371,732,276.99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6"/>
                <w:szCs w:val="16"/>
              </w:rPr>
            </w:pPr>
            <w:r>
              <w:rPr>
                <w:rFonts w:ascii="Times New Roman"/>
                <w:spacing w:val="-1"/>
                <w:sz w:val="16"/>
              </w:rPr>
              <w:t>425,564,609.35</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spacing w:val="-1"/>
                <w:sz w:val="16"/>
              </w:rPr>
              <w:t>100.00%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spacing w:val="-1"/>
                <w:sz w:val="16"/>
              </w:rPr>
              <w:t>62,192,599.51</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14.61%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6"/>
                <w:szCs w:val="16"/>
              </w:rPr>
            </w:pPr>
            <w:r>
              <w:rPr>
                <w:rFonts w:ascii="Times New Roman"/>
                <w:sz w:val="16"/>
              </w:rPr>
              <w:t>363,372,009.84</w:t>
            </w:r>
          </w:p>
        </w:tc>
      </w:tr>
    </w:tbl>
    <w:p>
      <w:pPr>
        <w:pStyle w:val="BodyText"/>
        <w:spacing w:line="240" w:lineRule="auto" w:before="51"/>
        <w:ind w:right="0"/>
        <w:jc w:val="left"/>
      </w:pPr>
      <w:r>
        <w:rPr/>
        <w:t>期末单项金额重大并单项计提坏账准备的应收账款：</w:t>
      </w:r>
    </w:p>
    <w:p>
      <w:pPr>
        <w:spacing w:after="0" w:line="240" w:lineRule="auto"/>
        <w:jc w:val="left"/>
        <w:sectPr>
          <w:type w:val="continuous"/>
          <w:pgSz w:w="11910" w:h="16840"/>
          <w:pgMar w:top="1060" w:bottom="1180" w:left="980" w:right="0"/>
        </w:sectPr>
      </w:pPr>
    </w:p>
    <w:p>
      <w:pPr>
        <w:spacing w:line="240" w:lineRule="auto" w:before="13"/>
        <w:rPr>
          <w:rFonts w:ascii="宋体" w:hAnsi="宋体" w:cs="宋体" w:eastAsia="宋体" w:hint="default"/>
          <w:sz w:val="21"/>
          <w:szCs w:val="21"/>
        </w:rPr>
      </w:pPr>
    </w:p>
    <w:p>
      <w:pPr>
        <w:pStyle w:val="BodyText"/>
        <w:spacing w:line="240" w:lineRule="auto" w:before="44"/>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3577"/>
        <w:gridCol w:w="1632"/>
        <w:gridCol w:w="1631"/>
        <w:gridCol w:w="1159"/>
        <w:gridCol w:w="1683"/>
      </w:tblGrid>
      <w:tr>
        <w:trPr>
          <w:trHeight w:val="402" w:hRule="exact"/>
        </w:trPr>
        <w:tc>
          <w:tcPr>
            <w:tcW w:w="35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73"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610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577" w:type="dxa"/>
            <w:vMerge/>
            <w:tcBorders>
              <w:left w:val="single" w:sz="4" w:space="0" w:color="000000"/>
              <w:bottom w:val="single" w:sz="4" w:space="0" w:color="000000"/>
              <w:right w:val="single" w:sz="4" w:space="0" w:color="000000"/>
            </w:tcBorders>
            <w:shd w:val="clear" w:color="auto" w:fill="D3D3D3"/>
          </w:tcPr>
          <w:p>
            <w:pPr/>
          </w:p>
        </w:tc>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2"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35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昆山永丰余广告印务有限公司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10,839,490.06</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10,839,490.06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6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35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上海永丰余印务有限公司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983,890.80</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983,890.80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6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35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上海富行文化传播有限公司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1,245,279.80</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1,245,279.80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6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35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上海逸领电子商务有限公司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1,283,963.73</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1,283,963.73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6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35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上海靓讯工贸有限公司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8,244,156.48</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4,122,078.24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w:t>
            </w:r>
          </w:p>
        </w:tc>
        <w:tc>
          <w:tcPr>
            <w:tcW w:w="16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35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22,596,780.87</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18,474,702.63</w:t>
            </w:r>
          </w:p>
        </w:tc>
        <w:tc>
          <w:tcPr>
            <w:tcW w:w="11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980" w:right="0"/>
        </w:sectPr>
      </w:pPr>
    </w:p>
    <w:p>
      <w:pPr>
        <w:pStyle w:val="BodyText"/>
        <w:spacing w:line="240" w:lineRule="auto" w:before="51"/>
        <w:ind w:right="-20"/>
        <w:jc w:val="left"/>
      </w:pPr>
      <w:r>
        <w:rPr/>
        <w:t>组合中，按账龄分析法计提坏账准备的应收账款：</w:t>
      </w:r>
    </w:p>
    <w:p>
      <w:pPr>
        <w:pStyle w:val="BodyText"/>
        <w:spacing w:line="240" w:lineRule="auto" w:before="117"/>
        <w:ind w:left="153"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0"/>
          <w:cols w:num="2" w:equalWidth="0">
            <w:col w:w="4115" w:space="4714"/>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6"/>
        <w:gridCol w:w="2399"/>
        <w:gridCol w:w="2392"/>
        <w:gridCol w:w="2392"/>
      </w:tblGrid>
      <w:tr>
        <w:trPr>
          <w:trHeight w:val="402" w:hRule="exact"/>
        </w:trPr>
        <w:tc>
          <w:tcPr>
            <w:tcW w:w="23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86" w:type="dxa"/>
            <w:vMerge/>
            <w:tcBorders>
              <w:left w:val="single" w:sz="4" w:space="0" w:color="000000"/>
              <w:bottom w:val="single" w:sz="4" w:space="0" w:color="000000"/>
              <w:right w:val="single" w:sz="4" w:space="0" w:color="000000"/>
            </w:tcBorders>
            <w:shd w:val="clear" w:color="auto" w:fill="D3D3D3"/>
          </w:tcPr>
          <w:p>
            <w:pPr/>
          </w:p>
        </w:tc>
        <w:tc>
          <w:tcPr>
            <w:tcW w:w="23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其中：</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r>
              <w:rPr>
                <w:rFonts w:ascii="Times New Roman" w:hAnsi="Times New Roman" w:cs="Times New Roman" w:eastAsia="Times New Roman" w:hint="default"/>
                <w:sz w:val="18"/>
                <w:szCs w:val="18"/>
              </w:rPr>
              <w:t>]</w:t>
            </w:r>
          </w:p>
        </w:tc>
        <w:tc>
          <w:tcPr>
            <w:tcW w:w="2399"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244,631,078.77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w:t>
            </w:r>
          </w:p>
        </w:tc>
        <w:tc>
          <w:tcPr>
            <w:tcW w:w="2399"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34,734,575.36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1,736,728.75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279,365,654.13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1,736,728.75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0.62%</w:t>
            </w: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57,664,790.91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5,766,479.10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28,485,257.76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5,697,051.56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10,812,657.85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5,406,328.93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13,616,752.02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10,893,401.61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27,326,245.18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27,326,245.18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417,271,357.85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56,826,235.13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13.62%</w:t>
            </w:r>
          </w:p>
        </w:tc>
      </w:tr>
    </w:tbl>
    <w:p>
      <w:pPr>
        <w:pStyle w:val="BodyText"/>
        <w:spacing w:line="357" w:lineRule="auto" w:before="51"/>
        <w:ind w:left="634" w:right="0" w:hanging="480"/>
        <w:jc w:val="left"/>
      </w:pPr>
      <w:r>
        <w:rPr/>
        <w:t>确定该组合依据的说明： </w:t>
      </w:r>
      <w:r>
        <w:rPr>
          <w:spacing w:val="-1"/>
        </w:rPr>
        <w:t>除已单独计提减值准备的应收账款外，公司根据以前年度与之相同或相类似的、按账龄段划分的具有类似信用风险特</w:t>
      </w:r>
    </w:p>
    <w:p>
      <w:pPr>
        <w:pStyle w:val="BodyText"/>
        <w:spacing w:line="224" w:lineRule="exact"/>
        <w:ind w:right="0"/>
        <w:jc w:val="left"/>
      </w:pPr>
      <w:r>
        <w:rPr/>
        <w:t>征的应收账款组合的实际损失率为基础，结合现时情况分析法确定坏账准备计提的比例。</w:t>
      </w:r>
    </w:p>
    <w:p>
      <w:pPr>
        <w:pStyle w:val="BodyText"/>
        <w:spacing w:line="240" w:lineRule="auto" w:before="117"/>
        <w:ind w:left="153" w:right="0"/>
        <w:jc w:val="left"/>
      </w:pPr>
      <w:r>
        <w:rPr/>
        <w:t>组合中，采用余额百分比法计提坏账准备的应收账款：</w:t>
      </w:r>
    </w:p>
    <w:p>
      <w:pPr>
        <w:pStyle w:val="BodyText"/>
        <w:spacing w:line="348" w:lineRule="auto" w:before="117"/>
        <w:ind w:right="66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组合中，采用其他方法计提坏账准备的应收账款：无 </w:t>
      </w:r>
      <w:r>
        <w:rPr>
          <w:rFonts w:ascii="Times New Roman" w:hAnsi="Times New Roman" w:cs="Times New Roman" w:eastAsia="Times New Roman" w:hint="default"/>
        </w:rPr>
        <w:t>2)</w:t>
      </w:r>
      <w:r>
        <w:rPr/>
        <w:t>本期计提、收回或转回的坏账准备情况</w:t>
      </w:r>
    </w:p>
    <w:p>
      <w:pPr>
        <w:pStyle w:val="BodyText"/>
        <w:spacing w:line="338" w:lineRule="auto" w:before="12"/>
        <w:ind w:right="4368"/>
        <w:jc w:val="left"/>
      </w:pPr>
      <w:r>
        <w:rPr/>
        <w:t>本期计提坏账准备金额</w:t>
      </w:r>
      <w:r>
        <w:rPr>
          <w:spacing w:val="-47"/>
        </w:rPr>
        <w:t> </w:t>
      </w:r>
      <w:r>
        <w:rPr>
          <w:rFonts w:ascii="Times New Roman" w:hAnsi="Times New Roman" w:cs="Times New Roman" w:eastAsia="Times New Roman" w:hint="default"/>
        </w:rPr>
        <w:t>19,416,307.57</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其中本期坏账准备收回或转回金额重要的：无</w:t>
      </w:r>
    </w:p>
    <w:p>
      <w:pPr>
        <w:pStyle w:val="BodyText"/>
        <w:spacing w:line="338" w:lineRule="auto" w:before="43"/>
        <w:ind w:right="8050"/>
        <w:jc w:val="left"/>
      </w:pPr>
      <w:r>
        <w:rPr>
          <w:rFonts w:ascii="Times New Roman" w:hAnsi="Times New Roman" w:cs="Times New Roman" w:eastAsia="Times New Roman" w:hint="default"/>
        </w:rPr>
        <w:t>3)</w:t>
      </w:r>
      <w:r>
        <w:rPr/>
        <w:t>本期实际核销的应收账款情况 其中重要的应收账款核销情况：无</w:t>
      </w:r>
    </w:p>
    <w:p>
      <w:pPr>
        <w:spacing w:after="0" w:line="338" w:lineRule="auto"/>
        <w:jc w:val="left"/>
        <w:sectPr>
          <w:type w:val="continuous"/>
          <w:pgSz w:w="11910" w:h="16840"/>
          <w:pgMar w:top="1060" w:bottom="1180" w:left="980" w:right="0"/>
        </w:sectPr>
      </w:pPr>
    </w:p>
    <w:p>
      <w:pPr>
        <w:spacing w:line="240" w:lineRule="auto" w:before="13"/>
        <w:rPr>
          <w:rFonts w:ascii="宋体" w:hAnsi="宋体" w:cs="宋体" w:eastAsia="宋体" w:hint="default"/>
          <w:sz w:val="21"/>
          <w:szCs w:val="21"/>
        </w:rPr>
      </w:pPr>
    </w:p>
    <w:p>
      <w:pPr>
        <w:pStyle w:val="BodyText"/>
        <w:spacing w:line="240" w:lineRule="auto" w:before="44"/>
        <w:ind w:left="153" w:right="0"/>
        <w:jc w:val="left"/>
      </w:pPr>
      <w:r>
        <w:rPr/>
        <w:t>应收账款核销说明：无</w:t>
      </w:r>
    </w:p>
    <w:p>
      <w:pPr>
        <w:pStyle w:val="BodyText"/>
        <w:spacing w:line="338" w:lineRule="auto" w:before="116"/>
        <w:ind w:left="660" w:right="1199" w:hanging="507"/>
        <w:jc w:val="left"/>
      </w:pPr>
      <w:r>
        <w:rPr>
          <w:rFonts w:ascii="Times New Roman" w:hAnsi="Times New Roman" w:cs="Times New Roman" w:eastAsia="Times New Roman" w:hint="default"/>
        </w:rPr>
        <w:t>4)</w:t>
      </w:r>
      <w:r>
        <w:rPr/>
        <w:t>按欠款方归集的期末余额前五名的应收账款情况 本公司本年按欠款方归集的年末余额前五名应收账款汇总金额为</w:t>
      </w:r>
      <w:r>
        <w:rPr>
          <w:rFonts w:ascii="Times New Roman" w:hAnsi="Times New Roman" w:cs="Times New Roman" w:eastAsia="Times New Roman" w:hint="default"/>
        </w:rPr>
        <w:t>107,923,552.32</w:t>
      </w:r>
      <w:r>
        <w:rPr/>
        <w:t>元，占应收账款年末余额合计数的比</w:t>
      </w:r>
    </w:p>
    <w:p>
      <w:pPr>
        <w:pStyle w:val="BodyText"/>
        <w:spacing w:line="230" w:lineRule="exact"/>
        <w:ind w:left="153" w:right="0"/>
        <w:jc w:val="left"/>
      </w:pPr>
      <w:r>
        <w:rPr/>
        <w:t>例为</w:t>
      </w:r>
      <w:r>
        <w:rPr>
          <w:rFonts w:ascii="Times New Roman" w:hAnsi="Times New Roman" w:cs="Times New Roman" w:eastAsia="Times New Roman" w:hint="default"/>
        </w:rPr>
        <w:t>23.81%</w:t>
      </w:r>
      <w:r>
        <w:rPr/>
        <w:t>，相应计提的坏账准备年末余额汇总金额为</w:t>
      </w:r>
      <w:r>
        <w:rPr>
          <w:rFonts w:ascii="Times New Roman" w:hAnsi="Times New Roman" w:cs="Times New Roman" w:eastAsia="Times New Roman" w:hint="default"/>
        </w:rPr>
        <w:t>17,355,453.49</w:t>
      </w:r>
      <w:r>
        <w:rPr/>
        <w:t>元。</w:t>
      </w:r>
    </w:p>
    <w:p>
      <w:pPr>
        <w:pStyle w:val="BodyText"/>
        <w:spacing w:line="240" w:lineRule="auto" w:before="103"/>
        <w:ind w:left="153" w:right="0"/>
        <w:jc w:val="left"/>
      </w:pPr>
      <w:r>
        <w:rPr>
          <w:rFonts w:ascii="Times New Roman" w:hAnsi="Times New Roman" w:cs="Times New Roman" w:eastAsia="Times New Roman" w:hint="default"/>
        </w:rPr>
        <w:t>5)</w:t>
      </w:r>
      <w:r>
        <w:rPr/>
        <w:t>因金融资产转移而终止确认的应收账款：无</w:t>
      </w:r>
    </w:p>
    <w:p>
      <w:pPr>
        <w:pStyle w:val="BodyText"/>
        <w:spacing w:line="240" w:lineRule="auto" w:before="102"/>
        <w:ind w:left="153" w:right="0"/>
        <w:jc w:val="left"/>
      </w:pPr>
      <w:r>
        <w:rPr>
          <w:rFonts w:ascii="Times New Roman" w:hAnsi="Times New Roman" w:cs="Times New Roman" w:eastAsia="Times New Roman" w:hint="default"/>
        </w:rPr>
        <w:t>6)</w:t>
      </w:r>
      <w:r>
        <w:rPr/>
        <w:t>转移应收账款且继续涉入形成的资产、负债金额：无</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3D3D3"/>
          </w:tcPr>
          <w:p>
            <w:pPr/>
          </w:p>
        </w:tc>
        <w:tc>
          <w:tcPr>
            <w:tcW w:w="384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3D3D3"/>
          </w:tcPr>
          <w:p>
            <w:pPr/>
          </w:p>
        </w:tc>
        <w:tc>
          <w:tcPr>
            <w:tcW w:w="3829"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3D3D3"/>
          </w:tcPr>
          <w:p>
            <w:pPr/>
          </w:p>
        </w:tc>
        <w:tc>
          <w:tcPr>
            <w:tcW w:w="19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3D3D3"/>
          </w:tcPr>
          <w:p>
            <w:pPr/>
          </w:p>
        </w:tc>
        <w:tc>
          <w:tcPr>
            <w:tcW w:w="1927"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15,333,251.05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36,647,136.24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89.66%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4,985,493.57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138,754.73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46,970.00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4,000,498.00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2,084,629.50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84,629.50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9" w:space="0" w:color="D3D3D3"/>
              <w:bottom w:val="single" w:sz="4" w:space="0" w:color="000000"/>
              <w:right w:val="single" w:sz="9"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22,450,344.12</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40,871,018.47</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年且金额重要的预付款项未及时结算原因的说明：无</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444" w:right="0"/>
        <w:jc w:val="left"/>
      </w:pPr>
      <w:r>
        <w:rPr/>
        <w:t>本公司按预付对象归集的期末余额前五名预付账款汇总金额为</w:t>
      </w:r>
      <w:r>
        <w:rPr>
          <w:rFonts w:ascii="Times New Roman" w:hAnsi="Times New Roman" w:cs="Times New Roman" w:eastAsia="Times New Roman" w:hint="default"/>
        </w:rPr>
        <w:t>15,707,805.81</w:t>
      </w:r>
      <w:r>
        <w:rPr/>
        <w:t>元，占预付账款年末余额合计数的比例为</w:t>
      </w:r>
    </w:p>
    <w:p>
      <w:pPr>
        <w:pStyle w:val="BodyText"/>
        <w:spacing w:line="240" w:lineRule="auto" w:before="63"/>
        <w:ind w:left="153" w:right="0"/>
        <w:jc w:val="left"/>
      </w:pPr>
      <w:r>
        <w:rPr>
          <w:rFonts w:ascii="Times New Roman" w:hAnsi="Times New Roman" w:cs="Times New Roman" w:eastAsia="Times New Roman" w:hint="default"/>
        </w:rPr>
        <w:t>69.97%</w:t>
      </w:r>
      <w:r>
        <w:rPr/>
        <w:t>。</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523,888.90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74,055.56</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82,040,914.67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206,258,311.42</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82,564,803.57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206,332,366.98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应收利息分类</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5" w:type="dxa"/>
        <w:tblLayout w:type="fixed"/>
        <w:tblCellMar>
          <w:top w:w="0" w:type="dxa"/>
          <w:left w:w="0" w:type="dxa"/>
          <w:bottom w:w="0" w:type="dxa"/>
          <w:right w:w="0" w:type="dxa"/>
        </w:tblCellMar>
        <w:tblLook w:val="01E0"/>
      </w:tblPr>
      <w:tblGrid>
        <w:gridCol w:w="3157"/>
        <w:gridCol w:w="3218"/>
        <w:gridCol w:w="3166"/>
      </w:tblGrid>
      <w:tr>
        <w:trPr>
          <w:trHeight w:val="402" w:hRule="exact"/>
        </w:trPr>
        <w:tc>
          <w:tcPr>
            <w:tcW w:w="31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1"/>
              <w:jc w:val="right"/>
              <w:rPr>
                <w:rFonts w:ascii="Times New Roman" w:hAnsi="Times New Roman" w:cs="Times New Roman" w:eastAsia="Times New Roman" w:hint="default"/>
                <w:sz w:val="18"/>
                <w:szCs w:val="18"/>
              </w:rPr>
            </w:pPr>
            <w:r>
              <w:rPr>
                <w:rFonts w:ascii="Times New Roman"/>
                <w:sz w:val="18"/>
              </w:rPr>
              <w:t>23,888.89</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74,055.56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借款利息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500,000.01</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523,888.90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74,055.56</w:t>
            </w:r>
          </w:p>
        </w:tc>
      </w:tr>
    </w:tbl>
    <w:p>
      <w:pPr>
        <w:pStyle w:val="BodyText"/>
        <w:spacing w:line="240" w:lineRule="auto" w:before="51"/>
        <w:ind w:right="0"/>
        <w:jc w:val="left"/>
      </w:pPr>
      <w:r>
        <w:rPr>
          <w:rFonts w:ascii="Times New Roman" w:hAnsi="Times New Roman" w:cs="Times New Roman" w:eastAsia="Times New Roman" w:hint="default"/>
        </w:rPr>
        <w:t>2)</w:t>
      </w:r>
      <w:r>
        <w:rPr/>
        <w:t>重要逾期利息：无</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32"/>
        <w:gridCol w:w="988"/>
        <w:gridCol w:w="630"/>
        <w:gridCol w:w="896"/>
        <w:gridCol w:w="650"/>
        <w:gridCol w:w="976"/>
        <w:gridCol w:w="1056"/>
        <w:gridCol w:w="630"/>
        <w:gridCol w:w="896"/>
        <w:gridCol w:w="649"/>
        <w:gridCol w:w="1051"/>
      </w:tblGrid>
      <w:tr>
        <w:trPr>
          <w:trHeight w:val="402" w:hRule="exact"/>
        </w:trPr>
        <w:tc>
          <w:tcPr>
            <w:tcW w:w="1232" w:type="dxa"/>
            <w:vMerge w:val="restart"/>
            <w:tcBorders>
              <w:top w:val="single" w:sz="4" w:space="0" w:color="000000"/>
              <w:left w:val="single" w:sz="4" w:space="0" w:color="000000"/>
              <w:right w:val="single" w:sz="4" w:space="0" w:color="000000"/>
            </w:tcBorders>
            <w:shd w:val="clear" w:color="auto" w:fill="D3D3D3"/>
          </w:tcPr>
          <w:p>
            <w:pPr/>
          </w:p>
        </w:tc>
        <w:tc>
          <w:tcPr>
            <w:tcW w:w="414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7"/>
              <w:ind w:left="9"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428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7"/>
              <w:ind w:right="1"/>
              <w:jc w:val="center"/>
              <w:rPr>
                <w:rFonts w:ascii="宋体" w:hAnsi="宋体" w:cs="宋体" w:eastAsia="宋体" w:hint="default"/>
                <w:sz w:val="16"/>
                <w:szCs w:val="16"/>
              </w:rPr>
            </w:pPr>
            <w:r>
              <w:rPr>
                <w:rFonts w:ascii="宋体" w:hAnsi="宋体" w:cs="宋体" w:eastAsia="宋体" w:hint="default"/>
                <w:sz w:val="16"/>
                <w:szCs w:val="16"/>
              </w:rPr>
              <w:t>期初余额</w:t>
            </w:r>
          </w:p>
        </w:tc>
      </w:tr>
      <w:tr>
        <w:trPr>
          <w:trHeight w:val="162" w:hRule="exact"/>
        </w:trPr>
        <w:tc>
          <w:tcPr>
            <w:tcW w:w="1232" w:type="dxa"/>
            <w:vMerge/>
            <w:tcBorders>
              <w:left w:val="single" w:sz="4" w:space="0" w:color="000000"/>
              <w:bottom w:val="nil" w:sz="6" w:space="0" w:color="auto"/>
              <w:right w:val="single" w:sz="4" w:space="0" w:color="000000"/>
            </w:tcBorders>
            <w:shd w:val="clear" w:color="auto" w:fill="D3D3D3"/>
          </w:tcPr>
          <w:p>
            <w:pPr/>
          </w:p>
        </w:tc>
        <w:tc>
          <w:tcPr>
            <w:tcW w:w="161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7"/>
              <w:ind w:left="489"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154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7"/>
              <w:ind w:left="447" w:right="0"/>
              <w:jc w:val="left"/>
              <w:rPr>
                <w:rFonts w:ascii="宋体" w:hAnsi="宋体" w:cs="宋体" w:eastAsia="宋体" w:hint="default"/>
                <w:sz w:val="16"/>
                <w:szCs w:val="16"/>
              </w:rPr>
            </w:pPr>
            <w:r>
              <w:rPr>
                <w:rFonts w:ascii="宋体" w:hAnsi="宋体" w:cs="宋体" w:eastAsia="宋体" w:hint="default"/>
                <w:sz w:val="16"/>
                <w:szCs w:val="16"/>
              </w:rPr>
              <w:t>坏账准备</w:t>
            </w:r>
          </w:p>
        </w:tc>
        <w:tc>
          <w:tcPr>
            <w:tcW w:w="976" w:type="dxa"/>
            <w:vMerge w:val="restart"/>
            <w:tcBorders>
              <w:top w:val="single" w:sz="4" w:space="0" w:color="000000"/>
              <w:left w:val="single" w:sz="4" w:space="0" w:color="000000"/>
              <w:right w:val="single" w:sz="4" w:space="0" w:color="000000"/>
            </w:tcBorders>
            <w:shd w:val="clear" w:color="auto" w:fill="D3D3D3"/>
          </w:tcPr>
          <w:p>
            <w:pPr/>
          </w:p>
        </w:tc>
        <w:tc>
          <w:tcPr>
            <w:tcW w:w="168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7"/>
              <w:ind w:left="517"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154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7"/>
              <w:ind w:left="447" w:right="0"/>
              <w:jc w:val="left"/>
              <w:rPr>
                <w:rFonts w:ascii="宋体" w:hAnsi="宋体" w:cs="宋体" w:eastAsia="宋体" w:hint="default"/>
                <w:sz w:val="16"/>
                <w:szCs w:val="16"/>
              </w:rPr>
            </w:pPr>
            <w:r>
              <w:rPr>
                <w:rFonts w:ascii="宋体" w:hAnsi="宋体" w:cs="宋体" w:eastAsia="宋体" w:hint="default"/>
                <w:sz w:val="16"/>
                <w:szCs w:val="16"/>
              </w:rPr>
              <w:t>坏账准备</w:t>
            </w:r>
          </w:p>
        </w:tc>
        <w:tc>
          <w:tcPr>
            <w:tcW w:w="1051" w:type="dxa"/>
            <w:vMerge w:val="restart"/>
            <w:tcBorders>
              <w:top w:val="single" w:sz="4" w:space="0" w:color="000000"/>
              <w:left w:val="single" w:sz="4" w:space="0" w:color="000000"/>
              <w:right w:val="single" w:sz="4" w:space="0" w:color="000000"/>
            </w:tcBorders>
            <w:shd w:val="clear" w:color="auto" w:fill="D3D3D3"/>
          </w:tcPr>
          <w:p>
            <w:pPr/>
          </w:p>
        </w:tc>
      </w:tr>
      <w:tr>
        <w:trPr>
          <w:trHeight w:val="241" w:hRule="exact"/>
        </w:trPr>
        <w:tc>
          <w:tcPr>
            <w:tcW w:w="12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66"/>
              <w:ind w:right="1"/>
              <w:jc w:val="center"/>
              <w:rPr>
                <w:rFonts w:ascii="宋体" w:hAnsi="宋体" w:cs="宋体" w:eastAsia="宋体" w:hint="default"/>
                <w:sz w:val="16"/>
                <w:szCs w:val="16"/>
              </w:rPr>
            </w:pPr>
            <w:r>
              <w:rPr>
                <w:rFonts w:ascii="宋体" w:hAnsi="宋体" w:cs="宋体" w:eastAsia="宋体" w:hint="default"/>
                <w:sz w:val="16"/>
                <w:szCs w:val="16"/>
              </w:rPr>
              <w:t>类别</w:t>
            </w:r>
          </w:p>
        </w:tc>
        <w:tc>
          <w:tcPr>
            <w:tcW w:w="1618" w:type="dxa"/>
            <w:gridSpan w:val="2"/>
            <w:vMerge/>
            <w:tcBorders>
              <w:left w:val="single" w:sz="4" w:space="0" w:color="000000"/>
              <w:bottom w:val="single" w:sz="4" w:space="0" w:color="000000"/>
              <w:right w:val="single" w:sz="4" w:space="0" w:color="000000"/>
            </w:tcBorders>
            <w:shd w:val="clear" w:color="auto" w:fill="D3D3D3"/>
          </w:tcPr>
          <w:p>
            <w:pPr/>
          </w:p>
        </w:tc>
        <w:tc>
          <w:tcPr>
            <w:tcW w:w="1547" w:type="dxa"/>
            <w:gridSpan w:val="2"/>
            <w:vMerge/>
            <w:tcBorders>
              <w:left w:val="single" w:sz="4" w:space="0" w:color="000000"/>
              <w:bottom w:val="single" w:sz="4" w:space="0" w:color="000000"/>
              <w:right w:val="single" w:sz="4" w:space="0" w:color="000000"/>
            </w:tcBorders>
            <w:shd w:val="clear" w:color="auto" w:fill="D3D3D3"/>
          </w:tcPr>
          <w:p>
            <w:pPr/>
          </w:p>
        </w:tc>
        <w:tc>
          <w:tcPr>
            <w:tcW w:w="976" w:type="dxa"/>
            <w:vMerge/>
            <w:tcBorders>
              <w:left w:val="single" w:sz="4" w:space="0" w:color="000000"/>
              <w:bottom w:val="nil" w:sz="6" w:space="0" w:color="auto"/>
              <w:right w:val="single" w:sz="4" w:space="0" w:color="000000"/>
            </w:tcBorders>
            <w:shd w:val="clear" w:color="auto" w:fill="D3D3D3"/>
          </w:tcPr>
          <w:p>
            <w:pPr/>
          </w:p>
        </w:tc>
        <w:tc>
          <w:tcPr>
            <w:tcW w:w="1686" w:type="dxa"/>
            <w:gridSpan w:val="2"/>
            <w:vMerge/>
            <w:tcBorders>
              <w:left w:val="single" w:sz="4" w:space="0" w:color="000000"/>
              <w:bottom w:val="single" w:sz="4" w:space="0" w:color="000000"/>
              <w:right w:val="single" w:sz="4" w:space="0" w:color="000000"/>
            </w:tcBorders>
            <w:shd w:val="clear" w:color="auto" w:fill="D3D3D3"/>
          </w:tcPr>
          <w:p>
            <w:pPr/>
          </w:p>
        </w:tc>
        <w:tc>
          <w:tcPr>
            <w:tcW w:w="1546" w:type="dxa"/>
            <w:gridSpan w:val="2"/>
            <w:vMerge/>
            <w:tcBorders>
              <w:left w:val="single" w:sz="4" w:space="0" w:color="000000"/>
              <w:bottom w:val="single" w:sz="4" w:space="0" w:color="000000"/>
              <w:right w:val="single" w:sz="4" w:space="0" w:color="000000"/>
            </w:tcBorders>
            <w:shd w:val="clear" w:color="auto" w:fill="D3D3D3"/>
          </w:tcPr>
          <w:p>
            <w:pPr/>
          </w:p>
        </w:tc>
        <w:tc>
          <w:tcPr>
            <w:tcW w:w="1051" w:type="dxa"/>
            <w:vMerge/>
            <w:tcBorders>
              <w:left w:val="single" w:sz="4" w:space="0" w:color="000000"/>
              <w:bottom w:val="nil" w:sz="6" w:space="0" w:color="auto"/>
              <w:right w:val="single" w:sz="4" w:space="0" w:color="000000"/>
            </w:tcBorders>
            <w:shd w:val="clear" w:color="auto" w:fill="D3D3D3"/>
          </w:tcPr>
          <w:p>
            <w:pPr/>
          </w:p>
        </w:tc>
      </w:tr>
      <w:tr>
        <w:trPr>
          <w:trHeight w:val="161" w:hRule="exact"/>
        </w:trPr>
        <w:tc>
          <w:tcPr>
            <w:tcW w:w="1232" w:type="dxa"/>
            <w:vMerge/>
            <w:tcBorders>
              <w:left w:val="single" w:sz="4" w:space="0" w:color="000000"/>
              <w:bottom w:val="nil" w:sz="6" w:space="0" w:color="auto"/>
              <w:right w:val="single" w:sz="4" w:space="0" w:color="000000"/>
            </w:tcBorders>
            <w:shd w:val="clear" w:color="auto" w:fill="D3D3D3"/>
          </w:tcPr>
          <w:p>
            <w:pPr/>
          </w:p>
        </w:tc>
        <w:tc>
          <w:tcPr>
            <w:tcW w:w="988" w:type="dxa"/>
            <w:tcBorders>
              <w:top w:val="single" w:sz="4" w:space="0" w:color="000000"/>
              <w:left w:val="single" w:sz="4" w:space="0" w:color="000000"/>
              <w:bottom w:val="nil" w:sz="6" w:space="0" w:color="auto"/>
              <w:right w:val="single" w:sz="4" w:space="0" w:color="000000"/>
            </w:tcBorders>
            <w:shd w:val="clear" w:color="auto" w:fill="D3D3D3"/>
          </w:tcPr>
          <w:p>
            <w:pPr/>
          </w:p>
        </w:tc>
        <w:tc>
          <w:tcPr>
            <w:tcW w:w="630" w:type="dxa"/>
            <w:tcBorders>
              <w:top w:val="single" w:sz="4" w:space="0" w:color="000000"/>
              <w:left w:val="single" w:sz="4" w:space="0" w:color="000000"/>
              <w:bottom w:val="nil" w:sz="6" w:space="0" w:color="auto"/>
              <w:right w:val="single" w:sz="4" w:space="0" w:color="000000"/>
            </w:tcBorders>
            <w:shd w:val="clear" w:color="auto" w:fill="D3D3D3"/>
          </w:tcPr>
          <w:p>
            <w:pPr/>
          </w:p>
        </w:tc>
        <w:tc>
          <w:tcPr>
            <w:tcW w:w="896" w:type="dxa"/>
            <w:tcBorders>
              <w:top w:val="single" w:sz="4" w:space="0" w:color="000000"/>
              <w:left w:val="single" w:sz="4" w:space="0" w:color="000000"/>
              <w:bottom w:val="nil" w:sz="6" w:space="0" w:color="auto"/>
              <w:right w:val="single" w:sz="4" w:space="0" w:color="000000"/>
            </w:tcBorders>
            <w:shd w:val="clear" w:color="auto" w:fill="D3D3D3"/>
          </w:tcPr>
          <w:p>
            <w:pPr/>
          </w:p>
        </w:tc>
        <w:tc>
          <w:tcPr>
            <w:tcW w:w="650" w:type="dxa"/>
            <w:vMerge w:val="restart"/>
            <w:tcBorders>
              <w:top w:val="single" w:sz="4" w:space="0" w:color="000000"/>
              <w:left w:val="single" w:sz="4" w:space="0" w:color="000000"/>
              <w:right w:val="single" w:sz="4" w:space="0" w:color="000000"/>
            </w:tcBorders>
            <w:shd w:val="clear" w:color="auto" w:fill="D3D3D3"/>
          </w:tcPr>
          <w:p>
            <w:pPr>
              <w:pStyle w:val="TableParagraph"/>
              <w:spacing w:line="357" w:lineRule="auto" w:before="67"/>
              <w:ind w:left="240" w:right="80" w:hanging="161"/>
              <w:jc w:val="left"/>
              <w:rPr>
                <w:rFonts w:ascii="宋体" w:hAnsi="宋体" w:cs="宋体" w:eastAsia="宋体" w:hint="default"/>
                <w:sz w:val="16"/>
                <w:szCs w:val="16"/>
              </w:rPr>
            </w:pPr>
            <w:r>
              <w:rPr>
                <w:rFonts w:ascii="宋体" w:hAnsi="宋体" w:cs="宋体" w:eastAsia="宋体" w:hint="default"/>
                <w:sz w:val="16"/>
                <w:szCs w:val="16"/>
              </w:rPr>
              <w:t>计提比</w:t>
            </w:r>
            <w:r>
              <w:rPr>
                <w:rFonts w:ascii="宋体" w:hAnsi="宋体" w:cs="宋体" w:eastAsia="宋体" w:hint="default"/>
                <w:w w:val="99"/>
                <w:sz w:val="16"/>
                <w:szCs w:val="16"/>
              </w:rPr>
              <w:t> </w:t>
            </w:r>
            <w:r>
              <w:rPr>
                <w:rFonts w:ascii="宋体" w:hAnsi="宋体" w:cs="宋体" w:eastAsia="宋体" w:hint="default"/>
                <w:sz w:val="16"/>
                <w:szCs w:val="16"/>
              </w:rPr>
              <w:t>例</w:t>
            </w:r>
          </w:p>
        </w:tc>
        <w:tc>
          <w:tcPr>
            <w:tcW w:w="97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6"/>
              <w:ind w:left="163" w:right="0"/>
              <w:jc w:val="left"/>
              <w:rPr>
                <w:rFonts w:ascii="宋体" w:hAnsi="宋体" w:cs="宋体" w:eastAsia="宋体" w:hint="default"/>
                <w:sz w:val="16"/>
                <w:szCs w:val="16"/>
              </w:rPr>
            </w:pPr>
            <w:r>
              <w:rPr>
                <w:rFonts w:ascii="宋体" w:hAnsi="宋体" w:cs="宋体" w:eastAsia="宋体" w:hint="default"/>
                <w:sz w:val="16"/>
                <w:szCs w:val="16"/>
              </w:rPr>
              <w:t>账面价值</w:t>
            </w:r>
          </w:p>
        </w:tc>
        <w:tc>
          <w:tcPr>
            <w:tcW w:w="10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30" w:type="dxa"/>
            <w:tcBorders>
              <w:top w:val="single" w:sz="4" w:space="0" w:color="000000"/>
              <w:left w:val="single" w:sz="4" w:space="0" w:color="000000"/>
              <w:bottom w:val="nil" w:sz="6" w:space="0" w:color="auto"/>
              <w:right w:val="single" w:sz="4" w:space="0" w:color="000000"/>
            </w:tcBorders>
            <w:shd w:val="clear" w:color="auto" w:fill="D3D3D3"/>
          </w:tcPr>
          <w:p>
            <w:pPr/>
          </w:p>
        </w:tc>
        <w:tc>
          <w:tcPr>
            <w:tcW w:w="896" w:type="dxa"/>
            <w:tcBorders>
              <w:top w:val="single" w:sz="4" w:space="0" w:color="000000"/>
              <w:left w:val="single" w:sz="4" w:space="0" w:color="000000"/>
              <w:bottom w:val="nil" w:sz="6" w:space="0" w:color="auto"/>
              <w:right w:val="single" w:sz="4" w:space="0" w:color="000000"/>
            </w:tcBorders>
            <w:shd w:val="clear" w:color="auto" w:fill="D3D3D3"/>
          </w:tcPr>
          <w:p>
            <w:pPr/>
          </w:p>
        </w:tc>
        <w:tc>
          <w:tcPr>
            <w:tcW w:w="649" w:type="dxa"/>
            <w:vMerge w:val="restart"/>
            <w:tcBorders>
              <w:top w:val="single" w:sz="4" w:space="0" w:color="000000"/>
              <w:left w:val="single" w:sz="4" w:space="0" w:color="000000"/>
              <w:right w:val="single" w:sz="4" w:space="0" w:color="000000"/>
            </w:tcBorders>
            <w:shd w:val="clear" w:color="auto" w:fill="D3D3D3"/>
          </w:tcPr>
          <w:p>
            <w:pPr>
              <w:pStyle w:val="TableParagraph"/>
              <w:spacing w:line="357" w:lineRule="auto" w:before="67"/>
              <w:ind w:left="240" w:right="79" w:hanging="161"/>
              <w:jc w:val="left"/>
              <w:rPr>
                <w:rFonts w:ascii="宋体" w:hAnsi="宋体" w:cs="宋体" w:eastAsia="宋体" w:hint="default"/>
                <w:sz w:val="16"/>
                <w:szCs w:val="16"/>
              </w:rPr>
            </w:pPr>
            <w:r>
              <w:rPr>
                <w:rFonts w:ascii="宋体" w:hAnsi="宋体" w:cs="宋体" w:eastAsia="宋体" w:hint="default"/>
                <w:sz w:val="16"/>
                <w:szCs w:val="16"/>
              </w:rPr>
              <w:t>计提比</w:t>
            </w:r>
            <w:r>
              <w:rPr>
                <w:rFonts w:ascii="宋体" w:hAnsi="宋体" w:cs="宋体" w:eastAsia="宋体" w:hint="default"/>
                <w:w w:val="99"/>
                <w:sz w:val="16"/>
                <w:szCs w:val="16"/>
              </w:rPr>
              <w:t> </w:t>
            </w:r>
            <w:r>
              <w:rPr>
                <w:rFonts w:ascii="宋体" w:hAnsi="宋体" w:cs="宋体" w:eastAsia="宋体" w:hint="default"/>
                <w:sz w:val="16"/>
                <w:szCs w:val="16"/>
              </w:rPr>
              <w:t>例</w:t>
            </w:r>
          </w:p>
        </w:tc>
        <w:tc>
          <w:tcPr>
            <w:tcW w:w="105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6"/>
              <w:ind w:left="200" w:right="0"/>
              <w:jc w:val="left"/>
              <w:rPr>
                <w:rFonts w:ascii="宋体" w:hAnsi="宋体" w:cs="宋体" w:eastAsia="宋体" w:hint="default"/>
                <w:sz w:val="16"/>
                <w:szCs w:val="16"/>
              </w:rPr>
            </w:pPr>
            <w:r>
              <w:rPr>
                <w:rFonts w:ascii="宋体" w:hAnsi="宋体" w:cs="宋体" w:eastAsia="宋体" w:hint="default"/>
                <w:sz w:val="16"/>
                <w:szCs w:val="16"/>
              </w:rPr>
              <w:t>账面价值</w:t>
            </w:r>
          </w:p>
        </w:tc>
      </w:tr>
      <w:tr>
        <w:trPr>
          <w:trHeight w:val="192" w:hRule="exact"/>
        </w:trPr>
        <w:tc>
          <w:tcPr>
            <w:tcW w:w="1232" w:type="dxa"/>
            <w:vMerge w:val="restart"/>
            <w:tcBorders>
              <w:top w:val="nil" w:sz="6" w:space="0" w:color="auto"/>
              <w:left w:val="single" w:sz="4" w:space="0" w:color="000000"/>
              <w:right w:val="single" w:sz="4" w:space="0" w:color="000000"/>
            </w:tcBorders>
            <w:shd w:val="clear" w:color="auto" w:fill="D3D3D3"/>
          </w:tcPr>
          <w:p>
            <w:pPr/>
          </w:p>
        </w:tc>
        <w:tc>
          <w:tcPr>
            <w:tcW w:w="98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67"/>
              <w:ind w:left="334" w:right="0"/>
              <w:jc w:val="left"/>
              <w:rPr>
                <w:rFonts w:ascii="宋体" w:hAnsi="宋体" w:cs="宋体" w:eastAsia="宋体" w:hint="default"/>
                <w:sz w:val="16"/>
                <w:szCs w:val="16"/>
              </w:rPr>
            </w:pPr>
            <w:r>
              <w:rPr>
                <w:rFonts w:ascii="宋体" w:hAnsi="宋体" w:cs="宋体" w:eastAsia="宋体" w:hint="default"/>
                <w:sz w:val="16"/>
                <w:szCs w:val="16"/>
              </w:rPr>
              <w:t>金额</w:t>
            </w:r>
          </w:p>
        </w:tc>
        <w:tc>
          <w:tcPr>
            <w:tcW w:w="63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67"/>
              <w:ind w:left="148" w:right="0"/>
              <w:jc w:val="left"/>
              <w:rPr>
                <w:rFonts w:ascii="宋体" w:hAnsi="宋体" w:cs="宋体" w:eastAsia="宋体" w:hint="default"/>
                <w:sz w:val="16"/>
                <w:szCs w:val="16"/>
              </w:rPr>
            </w:pPr>
            <w:r>
              <w:rPr>
                <w:rFonts w:ascii="宋体" w:hAnsi="宋体" w:cs="宋体" w:eastAsia="宋体" w:hint="default"/>
                <w:sz w:val="16"/>
                <w:szCs w:val="16"/>
              </w:rPr>
              <w:t>比例</w:t>
            </w:r>
          </w:p>
        </w:tc>
        <w:tc>
          <w:tcPr>
            <w:tcW w:w="89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67"/>
              <w:ind w:left="281" w:right="0"/>
              <w:jc w:val="left"/>
              <w:rPr>
                <w:rFonts w:ascii="宋体" w:hAnsi="宋体" w:cs="宋体" w:eastAsia="宋体" w:hint="default"/>
                <w:sz w:val="16"/>
                <w:szCs w:val="16"/>
              </w:rPr>
            </w:pPr>
            <w:r>
              <w:rPr>
                <w:rFonts w:ascii="宋体" w:hAnsi="宋体" w:cs="宋体" w:eastAsia="宋体" w:hint="default"/>
                <w:sz w:val="16"/>
                <w:szCs w:val="16"/>
              </w:rPr>
              <w:t>金额</w:t>
            </w:r>
          </w:p>
        </w:tc>
        <w:tc>
          <w:tcPr>
            <w:tcW w:w="650" w:type="dxa"/>
            <w:vMerge/>
            <w:tcBorders>
              <w:left w:val="single" w:sz="4" w:space="0" w:color="000000"/>
              <w:right w:val="single" w:sz="4" w:space="0" w:color="000000"/>
            </w:tcBorders>
            <w:shd w:val="clear" w:color="auto" w:fill="D3D3D3"/>
          </w:tcPr>
          <w:p>
            <w:pPr/>
          </w:p>
        </w:tc>
        <w:tc>
          <w:tcPr>
            <w:tcW w:w="976" w:type="dxa"/>
            <w:vMerge/>
            <w:tcBorders>
              <w:left w:val="single" w:sz="4" w:space="0" w:color="000000"/>
              <w:bottom w:val="nil" w:sz="6" w:space="0" w:color="auto"/>
              <w:right w:val="single" w:sz="4" w:space="0" w:color="000000"/>
            </w:tcBorders>
            <w:shd w:val="clear" w:color="auto" w:fill="D3D3D3"/>
          </w:tcPr>
          <w:p>
            <w:pPr/>
          </w:p>
        </w:tc>
        <w:tc>
          <w:tcPr>
            <w:tcW w:w="105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67"/>
              <w:ind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63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67"/>
              <w:ind w:left="148" w:right="0"/>
              <w:jc w:val="left"/>
              <w:rPr>
                <w:rFonts w:ascii="宋体" w:hAnsi="宋体" w:cs="宋体" w:eastAsia="宋体" w:hint="default"/>
                <w:sz w:val="16"/>
                <w:szCs w:val="16"/>
              </w:rPr>
            </w:pPr>
            <w:r>
              <w:rPr>
                <w:rFonts w:ascii="宋体" w:hAnsi="宋体" w:cs="宋体" w:eastAsia="宋体" w:hint="default"/>
                <w:sz w:val="16"/>
                <w:szCs w:val="16"/>
              </w:rPr>
              <w:t>比例</w:t>
            </w:r>
          </w:p>
        </w:tc>
        <w:tc>
          <w:tcPr>
            <w:tcW w:w="89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67"/>
              <w:ind w:left="282" w:right="0"/>
              <w:jc w:val="left"/>
              <w:rPr>
                <w:rFonts w:ascii="宋体" w:hAnsi="宋体" w:cs="宋体" w:eastAsia="宋体" w:hint="default"/>
                <w:sz w:val="16"/>
                <w:szCs w:val="16"/>
              </w:rPr>
            </w:pPr>
            <w:r>
              <w:rPr>
                <w:rFonts w:ascii="宋体" w:hAnsi="宋体" w:cs="宋体" w:eastAsia="宋体" w:hint="default"/>
                <w:sz w:val="16"/>
                <w:szCs w:val="16"/>
              </w:rPr>
              <w:t>金额</w:t>
            </w:r>
          </w:p>
        </w:tc>
        <w:tc>
          <w:tcPr>
            <w:tcW w:w="649" w:type="dxa"/>
            <w:vMerge/>
            <w:tcBorders>
              <w:left w:val="single" w:sz="4" w:space="0" w:color="000000"/>
              <w:right w:val="single" w:sz="4" w:space="0" w:color="000000"/>
            </w:tcBorders>
            <w:shd w:val="clear" w:color="auto" w:fill="D3D3D3"/>
          </w:tcPr>
          <w:p>
            <w:pPr/>
          </w:p>
        </w:tc>
        <w:tc>
          <w:tcPr>
            <w:tcW w:w="1051" w:type="dxa"/>
            <w:vMerge/>
            <w:tcBorders>
              <w:left w:val="single" w:sz="4" w:space="0" w:color="000000"/>
              <w:bottom w:val="nil" w:sz="6" w:space="0" w:color="auto"/>
              <w:right w:val="single" w:sz="4" w:space="0" w:color="000000"/>
            </w:tcBorders>
            <w:shd w:val="clear" w:color="auto" w:fill="D3D3D3"/>
          </w:tcPr>
          <w:p>
            <w:pPr/>
          </w:p>
        </w:tc>
      </w:tr>
      <w:tr>
        <w:trPr>
          <w:trHeight w:val="200" w:hRule="exact"/>
        </w:trPr>
        <w:tc>
          <w:tcPr>
            <w:tcW w:w="1232" w:type="dxa"/>
            <w:vMerge/>
            <w:tcBorders>
              <w:left w:val="single" w:sz="4" w:space="0" w:color="000000"/>
              <w:right w:val="single" w:sz="4" w:space="0" w:color="000000"/>
            </w:tcBorders>
            <w:shd w:val="clear" w:color="auto" w:fill="D3D3D3"/>
          </w:tcPr>
          <w:p>
            <w:pPr/>
          </w:p>
        </w:tc>
        <w:tc>
          <w:tcPr>
            <w:tcW w:w="988" w:type="dxa"/>
            <w:vMerge/>
            <w:tcBorders>
              <w:left w:val="single" w:sz="4" w:space="0" w:color="000000"/>
              <w:bottom w:val="nil" w:sz="6" w:space="0" w:color="auto"/>
              <w:right w:val="single" w:sz="4" w:space="0" w:color="000000"/>
            </w:tcBorders>
            <w:shd w:val="clear" w:color="auto" w:fill="D3D3D3"/>
          </w:tcPr>
          <w:p>
            <w:pPr/>
          </w:p>
        </w:tc>
        <w:tc>
          <w:tcPr>
            <w:tcW w:w="630" w:type="dxa"/>
            <w:vMerge/>
            <w:tcBorders>
              <w:left w:val="single" w:sz="4" w:space="0" w:color="000000"/>
              <w:bottom w:val="nil" w:sz="6" w:space="0" w:color="auto"/>
              <w:right w:val="single" w:sz="4" w:space="0" w:color="000000"/>
            </w:tcBorders>
            <w:shd w:val="clear" w:color="auto" w:fill="D3D3D3"/>
          </w:tcPr>
          <w:p>
            <w:pPr/>
          </w:p>
        </w:tc>
        <w:tc>
          <w:tcPr>
            <w:tcW w:w="896" w:type="dxa"/>
            <w:vMerge/>
            <w:tcBorders>
              <w:left w:val="single" w:sz="4" w:space="0" w:color="000000"/>
              <w:bottom w:val="nil" w:sz="6" w:space="0" w:color="auto"/>
              <w:right w:val="single" w:sz="4" w:space="0" w:color="000000"/>
            </w:tcBorders>
            <w:shd w:val="clear" w:color="auto" w:fill="D3D3D3"/>
          </w:tcPr>
          <w:p>
            <w:pPr/>
          </w:p>
        </w:tc>
        <w:tc>
          <w:tcPr>
            <w:tcW w:w="650" w:type="dxa"/>
            <w:vMerge/>
            <w:tcBorders>
              <w:left w:val="single" w:sz="4" w:space="0" w:color="000000"/>
              <w:right w:val="single" w:sz="4" w:space="0" w:color="000000"/>
            </w:tcBorders>
            <w:shd w:val="clear" w:color="auto" w:fill="D3D3D3"/>
          </w:tcPr>
          <w:p>
            <w:pPr/>
          </w:p>
        </w:tc>
        <w:tc>
          <w:tcPr>
            <w:tcW w:w="976" w:type="dxa"/>
            <w:vMerge w:val="restart"/>
            <w:tcBorders>
              <w:top w:val="nil" w:sz="6" w:space="0" w:color="auto"/>
              <w:left w:val="single" w:sz="4" w:space="0" w:color="000000"/>
              <w:right w:val="single" w:sz="4" w:space="0" w:color="000000"/>
            </w:tcBorders>
            <w:shd w:val="clear" w:color="auto" w:fill="D3D3D3"/>
          </w:tcPr>
          <w:p>
            <w:pPr/>
          </w:p>
        </w:tc>
        <w:tc>
          <w:tcPr>
            <w:tcW w:w="1056" w:type="dxa"/>
            <w:vMerge/>
            <w:tcBorders>
              <w:left w:val="single" w:sz="4" w:space="0" w:color="000000"/>
              <w:bottom w:val="nil" w:sz="6" w:space="0" w:color="auto"/>
              <w:right w:val="single" w:sz="4" w:space="0" w:color="000000"/>
            </w:tcBorders>
            <w:shd w:val="clear" w:color="auto" w:fill="D3D3D3"/>
          </w:tcPr>
          <w:p>
            <w:pPr/>
          </w:p>
        </w:tc>
        <w:tc>
          <w:tcPr>
            <w:tcW w:w="630" w:type="dxa"/>
            <w:vMerge/>
            <w:tcBorders>
              <w:left w:val="single" w:sz="4" w:space="0" w:color="000000"/>
              <w:bottom w:val="nil" w:sz="6" w:space="0" w:color="auto"/>
              <w:right w:val="single" w:sz="4" w:space="0" w:color="000000"/>
            </w:tcBorders>
            <w:shd w:val="clear" w:color="auto" w:fill="D3D3D3"/>
          </w:tcPr>
          <w:p>
            <w:pPr/>
          </w:p>
        </w:tc>
        <w:tc>
          <w:tcPr>
            <w:tcW w:w="896" w:type="dxa"/>
            <w:vMerge/>
            <w:tcBorders>
              <w:left w:val="single" w:sz="4" w:space="0" w:color="000000"/>
              <w:bottom w:val="nil" w:sz="6" w:space="0" w:color="auto"/>
              <w:right w:val="single" w:sz="4" w:space="0" w:color="000000"/>
            </w:tcBorders>
            <w:shd w:val="clear" w:color="auto" w:fill="D3D3D3"/>
          </w:tcPr>
          <w:p>
            <w:pPr/>
          </w:p>
        </w:tc>
        <w:tc>
          <w:tcPr>
            <w:tcW w:w="649" w:type="dxa"/>
            <w:vMerge/>
            <w:tcBorders>
              <w:left w:val="single" w:sz="4" w:space="0" w:color="000000"/>
              <w:right w:val="single" w:sz="4" w:space="0" w:color="000000"/>
            </w:tcBorders>
            <w:shd w:val="clear" w:color="auto" w:fill="D3D3D3"/>
          </w:tcPr>
          <w:p>
            <w:pPr/>
          </w:p>
        </w:tc>
        <w:tc>
          <w:tcPr>
            <w:tcW w:w="1051"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232" w:type="dxa"/>
            <w:vMerge/>
            <w:tcBorders>
              <w:left w:val="single" w:sz="4" w:space="0" w:color="000000"/>
              <w:bottom w:val="single" w:sz="4" w:space="0" w:color="000000"/>
              <w:right w:val="single" w:sz="4" w:space="0" w:color="000000"/>
            </w:tcBorders>
            <w:shd w:val="clear" w:color="auto" w:fill="D3D3D3"/>
          </w:tcPr>
          <w:p>
            <w:pPr/>
          </w:p>
        </w:tc>
        <w:tc>
          <w:tcPr>
            <w:tcW w:w="988" w:type="dxa"/>
            <w:tcBorders>
              <w:top w:val="nil" w:sz="6" w:space="0" w:color="auto"/>
              <w:left w:val="single" w:sz="4" w:space="0" w:color="000000"/>
              <w:bottom w:val="single" w:sz="4" w:space="0" w:color="000000"/>
              <w:right w:val="single" w:sz="4" w:space="0" w:color="000000"/>
            </w:tcBorders>
            <w:shd w:val="clear" w:color="auto" w:fill="D3D3D3"/>
          </w:tcPr>
          <w:p>
            <w:pPr/>
          </w:p>
        </w:tc>
        <w:tc>
          <w:tcPr>
            <w:tcW w:w="630" w:type="dxa"/>
            <w:tcBorders>
              <w:top w:val="nil" w:sz="6" w:space="0" w:color="auto"/>
              <w:left w:val="single" w:sz="4" w:space="0" w:color="000000"/>
              <w:bottom w:val="single" w:sz="4" w:space="0" w:color="000000"/>
              <w:right w:val="single" w:sz="4" w:space="0" w:color="000000"/>
            </w:tcBorders>
            <w:shd w:val="clear" w:color="auto" w:fill="D3D3D3"/>
          </w:tcPr>
          <w:p>
            <w:pPr/>
          </w:p>
        </w:tc>
        <w:tc>
          <w:tcPr>
            <w:tcW w:w="896" w:type="dxa"/>
            <w:tcBorders>
              <w:top w:val="nil" w:sz="6" w:space="0" w:color="auto"/>
              <w:left w:val="single" w:sz="4" w:space="0" w:color="000000"/>
              <w:bottom w:val="single" w:sz="4" w:space="0" w:color="000000"/>
              <w:right w:val="single" w:sz="4" w:space="0" w:color="000000"/>
            </w:tcBorders>
            <w:shd w:val="clear" w:color="auto" w:fill="D3D3D3"/>
          </w:tcPr>
          <w:p>
            <w:pPr/>
          </w:p>
        </w:tc>
        <w:tc>
          <w:tcPr>
            <w:tcW w:w="650" w:type="dxa"/>
            <w:vMerge/>
            <w:tcBorders>
              <w:left w:val="single" w:sz="4" w:space="0" w:color="000000"/>
              <w:bottom w:val="single" w:sz="4" w:space="0" w:color="000000"/>
              <w:right w:val="single" w:sz="4" w:space="0" w:color="000000"/>
            </w:tcBorders>
            <w:shd w:val="clear" w:color="auto" w:fill="D3D3D3"/>
          </w:tcPr>
          <w:p>
            <w:pPr/>
          </w:p>
        </w:tc>
        <w:tc>
          <w:tcPr>
            <w:tcW w:w="976" w:type="dxa"/>
            <w:vMerge/>
            <w:tcBorders>
              <w:left w:val="single" w:sz="4" w:space="0" w:color="000000"/>
              <w:bottom w:val="single" w:sz="4" w:space="0" w:color="000000"/>
              <w:right w:val="single" w:sz="4" w:space="0" w:color="000000"/>
            </w:tcBorders>
            <w:shd w:val="clear" w:color="auto" w:fill="D3D3D3"/>
          </w:tcPr>
          <w:p>
            <w:pPr/>
          </w:p>
        </w:tc>
        <w:tc>
          <w:tcPr>
            <w:tcW w:w="10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30" w:type="dxa"/>
            <w:tcBorders>
              <w:top w:val="nil" w:sz="6" w:space="0" w:color="auto"/>
              <w:left w:val="single" w:sz="4" w:space="0" w:color="000000"/>
              <w:bottom w:val="single" w:sz="4" w:space="0" w:color="000000"/>
              <w:right w:val="single" w:sz="4" w:space="0" w:color="000000"/>
            </w:tcBorders>
            <w:shd w:val="clear" w:color="auto" w:fill="D3D3D3"/>
          </w:tcPr>
          <w:p>
            <w:pPr/>
          </w:p>
        </w:tc>
        <w:tc>
          <w:tcPr>
            <w:tcW w:w="896" w:type="dxa"/>
            <w:tcBorders>
              <w:top w:val="nil" w:sz="6" w:space="0" w:color="auto"/>
              <w:left w:val="single" w:sz="4" w:space="0" w:color="000000"/>
              <w:bottom w:val="single" w:sz="4" w:space="0" w:color="000000"/>
              <w:right w:val="single" w:sz="4" w:space="0" w:color="000000"/>
            </w:tcBorders>
            <w:shd w:val="clear" w:color="auto" w:fill="D3D3D3"/>
          </w:tcPr>
          <w:p>
            <w:pPr/>
          </w:p>
        </w:tc>
        <w:tc>
          <w:tcPr>
            <w:tcW w:w="649" w:type="dxa"/>
            <w:vMerge/>
            <w:tcBorders>
              <w:left w:val="single" w:sz="4" w:space="0" w:color="000000"/>
              <w:bottom w:val="single" w:sz="4" w:space="0" w:color="000000"/>
              <w:right w:val="single" w:sz="4" w:space="0" w:color="000000"/>
            </w:tcBorders>
            <w:shd w:val="clear" w:color="auto" w:fill="D3D3D3"/>
          </w:tcPr>
          <w:p>
            <w:pPr/>
          </w:p>
        </w:tc>
        <w:tc>
          <w:tcPr>
            <w:tcW w:w="1051"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57" w:lineRule="auto" w:before="67"/>
              <w:ind w:left="11" w:right="90"/>
              <w:jc w:val="both"/>
              <w:rPr>
                <w:rFonts w:ascii="宋体" w:hAnsi="宋体" w:cs="宋体" w:eastAsia="宋体" w:hint="default"/>
                <w:sz w:val="16"/>
                <w:szCs w:val="16"/>
              </w:rPr>
            </w:pPr>
            <w:r>
              <w:rPr>
                <w:rFonts w:ascii="宋体" w:hAnsi="宋体" w:cs="宋体" w:eastAsia="宋体" w:hint="default"/>
                <w:sz w:val="16"/>
                <w:szCs w:val="16"/>
              </w:rPr>
              <w:t>按信用风险特征</w:t>
            </w:r>
            <w:r>
              <w:rPr>
                <w:rFonts w:ascii="宋体" w:hAnsi="宋体" w:cs="宋体" w:eastAsia="宋体" w:hint="default"/>
                <w:w w:val="99"/>
                <w:sz w:val="16"/>
                <w:szCs w:val="16"/>
              </w:rPr>
              <w:t> </w:t>
            </w:r>
            <w:r>
              <w:rPr>
                <w:rFonts w:ascii="宋体" w:hAnsi="宋体" w:cs="宋体" w:eastAsia="宋体" w:hint="default"/>
                <w:sz w:val="16"/>
                <w:szCs w:val="16"/>
              </w:rPr>
              <w:t>组合计提坏账准</w:t>
            </w:r>
            <w:r>
              <w:rPr>
                <w:rFonts w:ascii="宋体" w:hAnsi="宋体" w:cs="宋体" w:eastAsia="宋体" w:hint="default"/>
                <w:w w:val="99"/>
                <w:sz w:val="16"/>
                <w:szCs w:val="16"/>
              </w:rPr>
              <w:t> </w:t>
            </w:r>
            <w:r>
              <w:rPr>
                <w:rFonts w:ascii="宋体" w:hAnsi="宋体" w:cs="宋体" w:eastAsia="宋体" w:hint="default"/>
                <w:sz w:val="16"/>
                <w:szCs w:val="16"/>
              </w:rPr>
              <w:t>备的其他应收款</w:t>
            </w:r>
          </w:p>
        </w:tc>
        <w:tc>
          <w:tcPr>
            <w:tcW w:w="9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83,708,433.59</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99.42%</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sz w:val="16"/>
              </w:rPr>
              <w:t>1,667,518.92</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1.99%</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82,040,914.67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1"/>
                <w:sz w:val="16"/>
              </w:rPr>
              <w:t>208,038,304.83</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100.00%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1,779,993.41</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0.86%</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sz w:val="16"/>
              </w:rPr>
              <w:t>206,258,311.42</w:t>
            </w:r>
          </w:p>
        </w:tc>
      </w:tr>
      <w:tr>
        <w:trPr>
          <w:trHeight w:val="1338" w:hRule="exact"/>
        </w:trPr>
        <w:tc>
          <w:tcPr>
            <w:tcW w:w="1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57" w:lineRule="auto" w:before="67"/>
              <w:ind w:left="11" w:right="90"/>
              <w:jc w:val="both"/>
              <w:rPr>
                <w:rFonts w:ascii="宋体" w:hAnsi="宋体" w:cs="宋体" w:eastAsia="宋体" w:hint="default"/>
                <w:sz w:val="16"/>
                <w:szCs w:val="16"/>
              </w:rPr>
            </w:pPr>
            <w:r>
              <w:rPr>
                <w:rFonts w:ascii="宋体" w:hAnsi="宋体" w:cs="宋体" w:eastAsia="宋体" w:hint="default"/>
                <w:sz w:val="16"/>
                <w:szCs w:val="16"/>
              </w:rPr>
              <w:t>单项金额不重大</w:t>
            </w:r>
            <w:r>
              <w:rPr>
                <w:rFonts w:ascii="宋体" w:hAnsi="宋体" w:cs="宋体" w:eastAsia="宋体" w:hint="default"/>
                <w:w w:val="99"/>
                <w:sz w:val="16"/>
                <w:szCs w:val="16"/>
              </w:rPr>
              <w:t> </w:t>
            </w:r>
            <w:r>
              <w:rPr>
                <w:rFonts w:ascii="宋体" w:hAnsi="宋体" w:cs="宋体" w:eastAsia="宋体" w:hint="default"/>
                <w:sz w:val="16"/>
                <w:szCs w:val="16"/>
              </w:rPr>
              <w:t>但单独计提坏账</w:t>
            </w:r>
            <w:r>
              <w:rPr>
                <w:rFonts w:ascii="宋体" w:hAnsi="宋体" w:cs="宋体" w:eastAsia="宋体" w:hint="default"/>
                <w:w w:val="99"/>
                <w:sz w:val="16"/>
                <w:szCs w:val="16"/>
              </w:rPr>
              <w:t> </w:t>
            </w:r>
            <w:r>
              <w:rPr>
                <w:rFonts w:ascii="宋体" w:hAnsi="宋体" w:cs="宋体" w:eastAsia="宋体" w:hint="default"/>
                <w:sz w:val="16"/>
                <w:szCs w:val="16"/>
              </w:rPr>
              <w:t>准备的其他应收</w:t>
            </w:r>
            <w:r>
              <w:rPr>
                <w:rFonts w:ascii="宋体" w:hAnsi="宋体" w:cs="宋体" w:eastAsia="宋体" w:hint="default"/>
                <w:w w:val="99"/>
                <w:sz w:val="16"/>
                <w:szCs w:val="16"/>
              </w:rPr>
              <w:t> </w:t>
            </w:r>
            <w:r>
              <w:rPr>
                <w:rFonts w:ascii="宋体" w:hAnsi="宋体" w:cs="宋体" w:eastAsia="宋体" w:hint="default"/>
                <w:sz w:val="16"/>
                <w:szCs w:val="16"/>
              </w:rPr>
              <w:t>款</w:t>
            </w:r>
          </w:p>
        </w:tc>
        <w:tc>
          <w:tcPr>
            <w:tcW w:w="9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486,468.00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0.58%</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120" w:right="0"/>
              <w:jc w:val="center"/>
              <w:rPr>
                <w:rFonts w:ascii="Times New Roman" w:hAnsi="Times New Roman" w:cs="Times New Roman" w:eastAsia="Times New Roman" w:hint="default"/>
                <w:sz w:val="16"/>
                <w:szCs w:val="16"/>
              </w:rPr>
            </w:pPr>
            <w:r>
              <w:rPr>
                <w:rFonts w:ascii="Times New Roman"/>
                <w:sz w:val="16"/>
              </w:rPr>
              <w:t>486,468.00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100.00%</w:t>
            </w:r>
          </w:p>
        </w:tc>
        <w:tc>
          <w:tcPr>
            <w:tcW w:w="97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6,468.00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0.00%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6,468.00</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100.00%</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7"/>
              <w:ind w:left="11"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9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4"/>
              <w:ind w:right="19"/>
              <w:jc w:val="right"/>
              <w:rPr>
                <w:rFonts w:ascii="Times New Roman" w:hAnsi="Times New Roman" w:cs="Times New Roman" w:eastAsia="Times New Roman" w:hint="default"/>
                <w:sz w:val="16"/>
                <w:szCs w:val="16"/>
              </w:rPr>
            </w:pPr>
            <w:r>
              <w:rPr>
                <w:rFonts w:ascii="Times New Roman"/>
                <w:spacing w:val="-1"/>
                <w:sz w:val="16"/>
              </w:rPr>
              <w:t>84,194,901.59</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6"/>
                <w:szCs w:val="16"/>
              </w:rPr>
            </w:pPr>
            <w:r>
              <w:rPr>
                <w:rFonts w:ascii="Times New Roman"/>
                <w:spacing w:val="-1"/>
                <w:sz w:val="16"/>
              </w:rPr>
              <w:t>100.00%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16"/>
                <w:szCs w:val="16"/>
              </w:rPr>
            </w:pPr>
            <w:r>
              <w:rPr>
                <w:rFonts w:ascii="Times New Roman"/>
                <w:sz w:val="16"/>
              </w:rPr>
              <w:t>2,153,986.92</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6"/>
                <w:szCs w:val="16"/>
              </w:rPr>
            </w:pPr>
            <w:r>
              <w:rPr>
                <w:rFonts w:ascii="Times New Roman"/>
                <w:spacing w:val="-1"/>
                <w:sz w:val="16"/>
              </w:rPr>
              <w:t>2.56%</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9"/>
              <w:jc w:val="right"/>
              <w:rPr>
                <w:rFonts w:ascii="Times New Roman" w:hAnsi="Times New Roman" w:cs="Times New Roman" w:eastAsia="Times New Roman" w:hint="default"/>
                <w:sz w:val="16"/>
                <w:szCs w:val="16"/>
              </w:rPr>
            </w:pPr>
            <w:r>
              <w:rPr>
                <w:rFonts w:ascii="Times New Roman"/>
                <w:spacing w:val="-1"/>
                <w:sz w:val="16"/>
              </w:rPr>
              <w:t>82,040,914.67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16"/>
                <w:szCs w:val="16"/>
              </w:rPr>
            </w:pPr>
            <w:r>
              <w:rPr>
                <w:rFonts w:ascii="Times New Roman"/>
                <w:spacing w:val="-1"/>
                <w:sz w:val="16"/>
              </w:rPr>
              <w:t>208,044,772.83</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6"/>
                <w:szCs w:val="16"/>
              </w:rPr>
            </w:pPr>
            <w:r>
              <w:rPr>
                <w:rFonts w:ascii="Times New Roman"/>
                <w:spacing w:val="-1"/>
                <w:sz w:val="16"/>
              </w:rPr>
              <w:t>100.00%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6"/>
                <w:szCs w:val="16"/>
              </w:rPr>
            </w:pPr>
            <w:r>
              <w:rPr>
                <w:rFonts w:ascii="Times New Roman"/>
                <w:spacing w:val="-1"/>
                <w:sz w:val="16"/>
              </w:rPr>
              <w:t>1,786,461.41</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9"/>
              <w:jc w:val="right"/>
              <w:rPr>
                <w:rFonts w:ascii="Times New Roman" w:hAnsi="Times New Roman" w:cs="Times New Roman" w:eastAsia="Times New Roman" w:hint="default"/>
                <w:sz w:val="16"/>
                <w:szCs w:val="16"/>
              </w:rPr>
            </w:pPr>
            <w:r>
              <w:rPr>
                <w:rFonts w:ascii="Times New Roman"/>
                <w:spacing w:val="-1"/>
                <w:sz w:val="16"/>
              </w:rPr>
              <w:t>0.86%</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16"/>
                <w:szCs w:val="16"/>
              </w:rPr>
            </w:pPr>
            <w:r>
              <w:rPr>
                <w:rFonts w:ascii="Times New Roman"/>
                <w:sz w:val="16"/>
              </w:rPr>
              <w:t>206,258,311.42</w:t>
            </w:r>
          </w:p>
        </w:tc>
      </w:tr>
    </w:tbl>
    <w:p>
      <w:pPr>
        <w:spacing w:after="0" w:line="240" w:lineRule="auto"/>
        <w:jc w:val="center"/>
        <w:rPr>
          <w:rFonts w:ascii="Times New Roman" w:hAnsi="Times New Roman" w:cs="Times New Roman" w:eastAsia="Times New Roman" w:hint="default"/>
          <w:sz w:val="16"/>
          <w:szCs w:val="16"/>
        </w:rPr>
        <w:sectPr>
          <w:pgSz w:w="11910" w:h="16840"/>
          <w:pgMar w:header="877" w:footer="982" w:top="1100" w:bottom="1180" w:left="980" w:right="0"/>
        </w:sectPr>
      </w:pPr>
    </w:p>
    <w:p>
      <w:pPr>
        <w:pStyle w:val="BodyText"/>
        <w:spacing w:line="240" w:lineRule="auto" w:before="51"/>
        <w:ind w:right="-20"/>
        <w:jc w:val="left"/>
      </w:pPr>
      <w:r>
        <w:rPr/>
        <w:t>期末单项金额重大并单项计提坏账准备的其他应收款：</w:t>
      </w:r>
    </w:p>
    <w:p>
      <w:pPr>
        <w:pStyle w:val="BodyText"/>
        <w:spacing w:line="340" w:lineRule="auto" w:before="116"/>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0"/>
          <w:cols w:num="2" w:equalWidth="0">
            <w:col w:w="4475" w:space="4354"/>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1"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其中：</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r>
              <w:rPr>
                <w:rFonts w:ascii="Times New Roman" w:hAnsi="Times New Roman" w:cs="Times New Roman" w:eastAsia="Times New Roman"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24,980,056.67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9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1,188,014.25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59,400.73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26,168,070.92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59,400.73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0.23%</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4,215,619.27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421,561.93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1,859,288.86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371,857.77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504,085.00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252,042.50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246,513.74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197,210.99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365,445.00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365,445.00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6" w:right="0"/>
              <w:jc w:val="left"/>
              <w:rPr>
                <w:rFonts w:ascii="Times New Roman" w:hAnsi="Times New Roman" w:cs="Times New Roman" w:eastAsia="Times New Roman" w:hint="default"/>
                <w:sz w:val="18"/>
                <w:szCs w:val="18"/>
              </w:rPr>
            </w:pPr>
            <w:r>
              <w:rPr>
                <w:rFonts w:ascii="Times New Roman"/>
                <w:sz w:val="18"/>
              </w:rPr>
              <w:t>33,359,022.79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1,667,518.92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bl>
    <w:p>
      <w:pPr>
        <w:pStyle w:val="BodyText"/>
        <w:spacing w:line="357" w:lineRule="auto" w:before="51"/>
        <w:ind w:left="444" w:right="0" w:hanging="291"/>
        <w:jc w:val="left"/>
      </w:pPr>
      <w:r>
        <w:rPr/>
        <w:t>确定该组合依据的说明： </w:t>
      </w:r>
      <w:r>
        <w:rPr>
          <w:spacing w:val="-1"/>
        </w:rPr>
        <w:t>除已单独计提减值准备的其他应收款和按关联方组合、无风险组合计提坏账准备的其他应收款外，公司根据以前年度与</w:t>
      </w:r>
    </w:p>
    <w:p>
      <w:pPr>
        <w:pStyle w:val="BodyText"/>
        <w:spacing w:line="224" w:lineRule="exact"/>
        <w:ind w:left="153" w:right="0"/>
        <w:jc w:val="left"/>
      </w:pPr>
      <w:r>
        <w:rPr/>
        <w:t>之相同或相类似的、按账龄段划分的具有类似信用风险特征的其他应收款组合的实际损失率为基础，结合现时情况分析法确</w:t>
      </w:r>
    </w:p>
    <w:p>
      <w:pPr>
        <w:pStyle w:val="BodyText"/>
        <w:spacing w:line="360" w:lineRule="auto" w:before="76"/>
        <w:ind w:left="153" w:right="6251"/>
        <w:jc w:val="left"/>
      </w:pPr>
      <w:r>
        <w:rPr/>
        <w:t>定坏账准备计提的比例。 组合中，采用余额百分比法计提坏账准备的其他应收款：</w:t>
      </w:r>
    </w:p>
    <w:p>
      <w:pPr>
        <w:pStyle w:val="BodyText"/>
        <w:spacing w:line="338" w:lineRule="auto" w:before="27"/>
        <w:ind w:right="66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0"/>
        <w:jc w:val="left"/>
      </w:pPr>
      <w:r>
        <w:rPr>
          <w:rFonts w:ascii="Times New Roman" w:hAnsi="Times New Roman" w:cs="Times New Roman" w:eastAsia="Times New Roman" w:hint="default"/>
        </w:rPr>
        <w:t>2)</w:t>
      </w:r>
      <w:r>
        <w:rPr/>
        <w:t>本期计提、收回或转回的坏账准备情况</w:t>
      </w:r>
    </w:p>
    <w:p>
      <w:pPr>
        <w:pStyle w:val="BodyText"/>
        <w:spacing w:line="348" w:lineRule="auto" w:before="102"/>
        <w:ind w:right="4589"/>
        <w:jc w:val="left"/>
      </w:pPr>
      <w:r>
        <w:rPr/>
        <w:t>本期计提坏账准备金额</w:t>
      </w:r>
      <w:r>
        <w:rPr>
          <w:spacing w:val="-46"/>
        </w:rPr>
        <w:t> </w:t>
      </w:r>
      <w:r>
        <w:rPr>
          <w:rFonts w:ascii="Times New Roman" w:hAnsi="Times New Roman" w:cs="Times New Roman" w:eastAsia="Times New Roman" w:hint="default"/>
        </w:rPr>
        <w:t>351,071.36</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其中本期坏账准备转回或收回金额重要的：无 </w:t>
      </w:r>
      <w:r>
        <w:rPr>
          <w:rFonts w:ascii="Times New Roman" w:hAnsi="Times New Roman" w:cs="Times New Roman" w:eastAsia="Times New Roman" w:hint="default"/>
        </w:rPr>
        <w:t>3)</w:t>
      </w:r>
      <w:r>
        <w:rPr/>
        <w:t>本期实际核销的其他应收款情况：无</w:t>
      </w:r>
    </w:p>
    <w:p>
      <w:pPr>
        <w:pStyle w:val="BodyText"/>
        <w:spacing w:line="360" w:lineRule="auto" w:before="12"/>
        <w:ind w:right="7870"/>
        <w:jc w:val="left"/>
      </w:pPr>
      <w:r>
        <w:rPr/>
        <w:t>其中重要的其他应收款核销情况：无 其他应收款核销说明：无 </w:t>
      </w:r>
      <w:r>
        <w:rPr>
          <w:rFonts w:ascii="Times New Roman" w:hAnsi="Times New Roman" w:cs="Times New Roman" w:eastAsia="Times New Roman" w:hint="default"/>
        </w:rPr>
        <w:t>4)</w:t>
      </w:r>
      <w:r>
        <w:rPr/>
        <w:t>其他应收款按款项性质分类情况</w:t>
      </w:r>
    </w:p>
    <w:p>
      <w:pPr>
        <w:pStyle w:val="BodyText"/>
        <w:spacing w:line="240" w:lineRule="auto" w:before="2"/>
        <w:ind w:left="0" w:right="1129"/>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323,096.17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1,357,094.20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41,936,935.21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76,523,271.33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1,609,612.90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1,504,634.96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16,108,890.00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117,075,000.00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21,076,400.00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3,139,967.31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1,584,772.34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84,194,901.59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208,044,772.83</w:t>
            </w:r>
          </w:p>
        </w:tc>
      </w:tr>
    </w:tbl>
    <w:p>
      <w:pPr>
        <w:pStyle w:val="BodyText"/>
        <w:spacing w:line="240" w:lineRule="auto" w:before="51"/>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59"/>
        <w:gridCol w:w="776"/>
        <w:gridCol w:w="1091"/>
        <w:gridCol w:w="3141"/>
        <w:gridCol w:w="1775"/>
        <w:gridCol w:w="1024"/>
      </w:tblGrid>
      <w:tr>
        <w:trPr>
          <w:trHeight w:val="714" w:hRule="exact"/>
        </w:trPr>
        <w:tc>
          <w:tcPr>
            <w:tcW w:w="18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92" w:right="23" w:hanging="270"/>
              <w:jc w:val="left"/>
              <w:rPr>
                <w:rFonts w:ascii="宋体" w:hAnsi="宋体" w:cs="宋体" w:eastAsia="宋体" w:hint="default"/>
                <w:sz w:val="18"/>
                <w:szCs w:val="18"/>
              </w:rPr>
            </w:pPr>
            <w:r>
              <w:rPr>
                <w:rFonts w:ascii="宋体" w:hAnsi="宋体" w:cs="宋体" w:eastAsia="宋体" w:hint="default"/>
                <w:sz w:val="18"/>
                <w:szCs w:val="18"/>
              </w:rPr>
              <w:t>款项的性 质</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1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2" w:right="71" w:hanging="180"/>
              <w:jc w:val="left"/>
              <w:rPr>
                <w:rFonts w:ascii="宋体" w:hAnsi="宋体" w:cs="宋体" w:eastAsia="宋体" w:hint="default"/>
                <w:sz w:val="18"/>
                <w:szCs w:val="18"/>
              </w:rPr>
            </w:pPr>
            <w:r>
              <w:rPr>
                <w:rFonts w:ascii="宋体" w:hAnsi="宋体" w:cs="宋体" w:eastAsia="宋体" w:hint="default"/>
                <w:sz w:val="18"/>
                <w:szCs w:val="18"/>
              </w:rPr>
              <w:t>占其他应收款期末余 额合计数的比例</w:t>
            </w:r>
          </w:p>
        </w:tc>
        <w:tc>
          <w:tcPr>
            <w:tcW w:w="1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坏账准备期 末余额</w:t>
            </w:r>
          </w:p>
        </w:tc>
      </w:tr>
      <w:tr>
        <w:trPr>
          <w:trHeight w:val="714" w:hRule="exact"/>
        </w:trPr>
        <w:tc>
          <w:tcPr>
            <w:tcW w:w="18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杭州华媒科创园区管理 有限公司</w:t>
            </w:r>
          </w:p>
        </w:tc>
        <w:tc>
          <w:tcPr>
            <w:tcW w:w="7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借款、代 垫款</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20,000,699.00</w:t>
            </w:r>
          </w:p>
        </w:tc>
        <w:tc>
          <w:tcPr>
            <w:tcW w:w="314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个月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5,000,699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,7-12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个月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5,000,000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23.76%</w:t>
            </w:r>
          </w:p>
        </w:tc>
        <w:tc>
          <w:tcPr>
            <w:tcW w:w="102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上海庚尧企业管理合伙 企业（有限合伙）</w:t>
            </w:r>
          </w:p>
        </w:tc>
        <w:tc>
          <w:tcPr>
            <w:tcW w:w="7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股权转让 款</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16,108,890.00</w:t>
            </w:r>
          </w:p>
        </w:tc>
        <w:tc>
          <w:tcPr>
            <w:tcW w:w="314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19.13%</w:t>
            </w:r>
          </w:p>
        </w:tc>
        <w:tc>
          <w:tcPr>
            <w:tcW w:w="10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杭州杭港地铁有限公司</w:t>
            </w:r>
          </w:p>
        </w:tc>
        <w:tc>
          <w:tcPr>
            <w:tcW w:w="7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15,372,000.00</w:t>
            </w:r>
          </w:p>
        </w:tc>
        <w:tc>
          <w:tcPr>
            <w:tcW w:w="314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15,370,000.00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18.26%</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6" w:right="0"/>
              <w:jc w:val="left"/>
              <w:rPr>
                <w:rFonts w:ascii="Times New Roman" w:hAnsi="Times New Roman" w:cs="Times New Roman" w:eastAsia="Times New Roman" w:hint="default"/>
                <w:sz w:val="18"/>
                <w:szCs w:val="18"/>
              </w:rPr>
            </w:pPr>
            <w:r>
              <w:rPr>
                <w:rFonts w:ascii="Times New Roman"/>
                <w:sz w:val="18"/>
              </w:rPr>
              <w:t>400.00</w:t>
            </w:r>
          </w:p>
        </w:tc>
      </w:tr>
      <w:tr>
        <w:trPr>
          <w:trHeight w:val="714" w:hRule="exact"/>
        </w:trPr>
        <w:tc>
          <w:tcPr>
            <w:tcW w:w="18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杭州市大江东产业集聚 区管理委员会</w:t>
            </w:r>
          </w:p>
        </w:tc>
        <w:tc>
          <w:tcPr>
            <w:tcW w:w="7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4,918,860.00</w:t>
            </w:r>
          </w:p>
        </w:tc>
        <w:tc>
          <w:tcPr>
            <w:tcW w:w="314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5.84%</w:t>
            </w:r>
          </w:p>
        </w:tc>
        <w:tc>
          <w:tcPr>
            <w:tcW w:w="102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西安时代尚优文化传媒 集团有限公司</w:t>
            </w:r>
          </w:p>
        </w:tc>
        <w:tc>
          <w:tcPr>
            <w:tcW w:w="7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4,740,160.00</w:t>
            </w:r>
          </w:p>
        </w:tc>
        <w:tc>
          <w:tcPr>
            <w:tcW w:w="314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5.63%</w:t>
            </w:r>
          </w:p>
        </w:tc>
        <w:tc>
          <w:tcPr>
            <w:tcW w:w="102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859"/>
        <w:gridCol w:w="776"/>
        <w:gridCol w:w="1091"/>
        <w:gridCol w:w="3141"/>
        <w:gridCol w:w="1775"/>
        <w:gridCol w:w="1024"/>
      </w:tblGrid>
      <w:tr>
        <w:trPr>
          <w:trHeight w:val="402" w:hRule="exact"/>
        </w:trPr>
        <w:tc>
          <w:tcPr>
            <w:tcW w:w="18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61,140,609.00</w:t>
            </w:r>
          </w:p>
        </w:tc>
        <w:tc>
          <w:tcPr>
            <w:tcW w:w="31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72.62%</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6" w:right="0"/>
              <w:jc w:val="left"/>
              <w:rPr>
                <w:rFonts w:ascii="Times New Roman" w:hAnsi="Times New Roman" w:cs="Times New Roman" w:eastAsia="Times New Roman" w:hint="default"/>
                <w:sz w:val="18"/>
                <w:szCs w:val="18"/>
              </w:rPr>
            </w:pPr>
            <w:r>
              <w:rPr>
                <w:rFonts w:ascii="Times New Roman"/>
                <w:sz w:val="18"/>
              </w:rPr>
              <w:t>400.00</w:t>
            </w:r>
          </w:p>
        </w:tc>
      </w:tr>
    </w:tbl>
    <w:p>
      <w:pPr>
        <w:pStyle w:val="BodyText"/>
        <w:spacing w:line="240" w:lineRule="auto" w:before="51"/>
        <w:ind w:right="0"/>
        <w:jc w:val="left"/>
      </w:pPr>
      <w:r>
        <w:rPr>
          <w:rFonts w:ascii="Times New Roman" w:hAnsi="Times New Roman" w:cs="Times New Roman" w:eastAsia="Times New Roman" w:hint="default"/>
        </w:rPr>
        <w:t>6)</w:t>
      </w:r>
      <w:r>
        <w:rPr/>
        <w:t>涉及政府补助的应收款项：无</w:t>
      </w:r>
    </w:p>
    <w:p>
      <w:pPr>
        <w:pStyle w:val="BodyText"/>
        <w:spacing w:line="240" w:lineRule="auto" w:before="103"/>
        <w:ind w:right="0"/>
        <w:jc w:val="left"/>
      </w:pPr>
      <w:r>
        <w:rPr>
          <w:rFonts w:ascii="Times New Roman" w:hAnsi="Times New Roman" w:cs="Times New Roman" w:eastAsia="Times New Roman" w:hint="default"/>
        </w:rPr>
        <w:t>7)</w:t>
      </w:r>
      <w:r>
        <w:rPr/>
        <w:t>因金融资产转移而终止确认的其他应收款：无</w:t>
      </w:r>
    </w:p>
    <w:p>
      <w:pPr>
        <w:pStyle w:val="BodyText"/>
        <w:spacing w:line="240" w:lineRule="auto" w:before="102"/>
        <w:ind w:left="153" w:right="0"/>
        <w:jc w:val="left"/>
      </w:pPr>
      <w:r>
        <w:rPr>
          <w:rFonts w:ascii="Times New Roman" w:hAnsi="Times New Roman" w:cs="Times New Roman" w:eastAsia="Times New Roman" w:hint="default"/>
        </w:rPr>
        <w:t>8)</w:t>
      </w:r>
      <w:r>
        <w:rPr/>
        <w:t>转移其他应收款且继续涉入形成的资产、负债金额：无</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3" w:right="7511"/>
        <w:jc w:val="left"/>
      </w:pPr>
      <w:r>
        <w:rPr/>
        <w:t>公司是否需要遵守房地产行业的披露要求 否</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7" w:hRule="exact"/>
        </w:trPr>
        <w:tc>
          <w:tcPr>
            <w:tcW w:w="1357" w:type="dxa"/>
            <w:tcBorders>
              <w:top w:val="single" w:sz="4" w:space="0" w:color="000000"/>
              <w:left w:val="single" w:sz="4" w:space="0" w:color="000000"/>
              <w:bottom w:val="nil" w:sz="6" w:space="0" w:color="auto"/>
              <w:right w:val="single" w:sz="4" w:space="0" w:color="000000"/>
            </w:tcBorders>
            <w:shd w:val="clear" w:color="auto" w:fill="D3D3D3"/>
          </w:tcPr>
          <w:p>
            <w:pPr/>
          </w:p>
        </w:tc>
        <w:tc>
          <w:tcPr>
            <w:tcW w:w="410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5" w:hRule="exact"/>
        </w:trPr>
        <w:tc>
          <w:tcPr>
            <w:tcW w:w="135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3D3D3"/>
          </w:tcPr>
          <w:p>
            <w:pPr/>
          </w:p>
        </w:tc>
        <w:tc>
          <w:tcPr>
            <w:tcW w:w="4102" w:type="dxa"/>
            <w:gridSpan w:val="3"/>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1357" w:type="dxa"/>
            <w:vMerge/>
            <w:tcBorders>
              <w:left w:val="single" w:sz="4" w:space="0" w:color="000000"/>
              <w:bottom w:val="nil" w:sz="6" w:space="0" w:color="auto"/>
              <w:right w:val="single" w:sz="4" w:space="0" w:color="000000"/>
            </w:tcBorders>
            <w:shd w:val="clear" w:color="auto" w:fill="D3D3D3"/>
          </w:tcPr>
          <w:p>
            <w:pP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38,499,685.31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38,499,685.31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26,897,602.77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26,897,602.77</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2,885,974.21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2,885,974.21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4,537,277.47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4,537,277.47</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529,871.47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529,871.47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41,915,530.99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41,915,530.99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31,434,880.24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31,434,880.24</w:t>
            </w:r>
          </w:p>
        </w:tc>
      </w:tr>
    </w:tbl>
    <w:p>
      <w:pPr>
        <w:pStyle w:val="BodyText"/>
        <w:spacing w:line="340" w:lineRule="auto" w:before="51"/>
        <w:ind w:right="2472"/>
        <w:jc w:val="left"/>
      </w:pPr>
      <w:r>
        <w:rPr/>
        <w:t>公司是否需遵守《深圳证券交易所行业信息披露指引第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40"/>
        <w:ind w:right="2750"/>
        <w:jc w:val="left"/>
      </w:pPr>
      <w:r>
        <w:rPr/>
        <w:t>公司需遵守《深圳证券交易所行业信息披露指引第</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8</w:t>
      </w:r>
      <w:r>
        <w:rPr/>
        <w:t>、持有待售资产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9</w:t>
      </w:r>
      <w:r>
        <w:rPr/>
        <w:t>、一年内到期的非流动资产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88,062,586.75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待摊费用（房租、广告租赁费等）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42,838,760.65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25,131,987.79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r>
        <w:rPr/>
        <w:pict>
          <v:group style="position:absolute;margin-left:109.860001pt;margin-top:600.200012pt;width:52.05pt;height:15.6pt;mso-position-horizontal-relative:page;mso-position-vertical-relative:page;z-index:-1148584" coordorigin="2197,12004" coordsize="1041,312">
            <v:shape style="position:absolute;left:2197;top:12004;width:1041;height:312" coordorigin="2197,12004" coordsize="1041,312" path="m2197,12316l3238,12316,3238,12004,2197,12004,2197,12316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7,769,732.02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1,792,242.98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预交所得税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2,061,265.13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2,191,840.20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512,144.78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1,052,883.54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140,181,902.58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118,231,541.26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8"/>
        <w:gridCol w:w="1196"/>
        <w:gridCol w:w="1195"/>
        <w:gridCol w:w="1196"/>
        <w:gridCol w:w="1248"/>
        <w:gridCol w:w="1367"/>
        <w:gridCol w:w="1367"/>
      </w:tblGrid>
      <w:tr>
        <w:trPr>
          <w:trHeight w:val="206" w:hRule="exact"/>
        </w:trPr>
        <w:tc>
          <w:tcPr>
            <w:tcW w:w="1988" w:type="dxa"/>
            <w:tcBorders>
              <w:top w:val="single" w:sz="4" w:space="0" w:color="000000"/>
              <w:left w:val="single" w:sz="4" w:space="0" w:color="000000"/>
              <w:bottom w:val="nil" w:sz="6" w:space="0" w:color="auto"/>
              <w:right w:val="single" w:sz="4" w:space="0" w:color="000000"/>
            </w:tcBorders>
            <w:shd w:val="clear" w:color="auto" w:fill="D3D3D3"/>
          </w:tcPr>
          <w:p>
            <w:pPr/>
          </w:p>
        </w:tc>
        <w:tc>
          <w:tcPr>
            <w:tcW w:w="3587"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8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3D3D3"/>
          </w:tcPr>
          <w:p>
            <w:pPr/>
          </w:p>
        </w:tc>
        <w:tc>
          <w:tcPr>
            <w:tcW w:w="3982" w:type="dxa"/>
            <w:gridSpan w:val="3"/>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1988" w:type="dxa"/>
            <w:vMerge/>
            <w:tcBorders>
              <w:left w:val="single" w:sz="4" w:space="0" w:color="000000"/>
              <w:bottom w:val="nil" w:sz="6" w:space="0" w:color="auto"/>
              <w:right w:val="single" w:sz="4" w:space="0" w:color="000000"/>
            </w:tcBorders>
            <w:shd w:val="clear" w:color="auto" w:fill="D3D3D3"/>
          </w:tcPr>
          <w:p>
            <w:pP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88"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248"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95,423,942.92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9,838,256.28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85,585,686.64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116,891,392.10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1,033,988.34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115,857,403.76</w:t>
            </w:r>
          </w:p>
        </w:tc>
      </w:tr>
      <w:tr>
        <w:trPr>
          <w:trHeight w:val="402" w:hRule="exact"/>
        </w:trPr>
        <w:tc>
          <w:tcPr>
            <w:tcW w:w="1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95,423,942.92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9,838,256.28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85,585,686.64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116,891,392.10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1,033,988.34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115,857,403.76</w:t>
            </w:r>
          </w:p>
        </w:tc>
      </w:tr>
      <w:tr>
        <w:trPr>
          <w:trHeight w:val="402" w:hRule="exact"/>
        </w:trPr>
        <w:tc>
          <w:tcPr>
            <w:tcW w:w="1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95,423,942.92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9,838,256.28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85,585,686.64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116,891,392.10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1,033,988.34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115,857,403.76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58"/>
        <w:gridCol w:w="1052"/>
        <w:gridCol w:w="895"/>
        <w:gridCol w:w="977"/>
        <w:gridCol w:w="976"/>
        <w:gridCol w:w="896"/>
        <w:gridCol w:w="895"/>
        <w:gridCol w:w="776"/>
        <w:gridCol w:w="896"/>
        <w:gridCol w:w="828"/>
        <w:gridCol w:w="416"/>
      </w:tblGrid>
      <w:tr>
        <w:trPr>
          <w:trHeight w:val="402" w:hRule="exact"/>
        </w:trPr>
        <w:tc>
          <w:tcPr>
            <w:tcW w:w="105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3" w:right="0"/>
              <w:jc w:val="left"/>
              <w:rPr>
                <w:rFonts w:ascii="宋体" w:hAnsi="宋体" w:cs="宋体" w:eastAsia="宋体" w:hint="default"/>
                <w:sz w:val="16"/>
                <w:szCs w:val="16"/>
              </w:rPr>
            </w:pPr>
            <w:r>
              <w:rPr>
                <w:rFonts w:ascii="宋体" w:hAnsi="宋体" w:cs="宋体" w:eastAsia="宋体" w:hint="default"/>
                <w:sz w:val="16"/>
                <w:szCs w:val="16"/>
              </w:rPr>
              <w:t>被投资单位</w:t>
            </w:r>
          </w:p>
        </w:tc>
        <w:tc>
          <w:tcPr>
            <w:tcW w:w="389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6"/>
              <w:ind w:right="2"/>
              <w:jc w:val="center"/>
              <w:rPr>
                <w:rFonts w:ascii="宋体" w:hAnsi="宋体" w:cs="宋体" w:eastAsia="宋体" w:hint="default"/>
                <w:sz w:val="16"/>
                <w:szCs w:val="16"/>
              </w:rPr>
            </w:pPr>
            <w:r>
              <w:rPr>
                <w:rFonts w:ascii="宋体" w:hAnsi="宋体" w:cs="宋体" w:eastAsia="宋体" w:hint="default"/>
                <w:sz w:val="16"/>
                <w:szCs w:val="16"/>
              </w:rPr>
              <w:t>账面余额</w:t>
            </w:r>
          </w:p>
        </w:tc>
        <w:tc>
          <w:tcPr>
            <w:tcW w:w="346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6"/>
              <w:ind w:right="1"/>
              <w:jc w:val="center"/>
              <w:rPr>
                <w:rFonts w:ascii="宋体" w:hAnsi="宋体" w:cs="宋体" w:eastAsia="宋体" w:hint="default"/>
                <w:sz w:val="16"/>
                <w:szCs w:val="16"/>
              </w:rPr>
            </w:pPr>
            <w:r>
              <w:rPr>
                <w:rFonts w:ascii="宋体" w:hAnsi="宋体" w:cs="宋体" w:eastAsia="宋体" w:hint="default"/>
                <w:sz w:val="16"/>
                <w:szCs w:val="16"/>
              </w:rPr>
              <w:t>减值准备</w:t>
            </w:r>
          </w:p>
        </w:tc>
        <w:tc>
          <w:tcPr>
            <w:tcW w:w="828" w:type="dxa"/>
            <w:vMerge w:val="restart"/>
            <w:tcBorders>
              <w:top w:val="single" w:sz="4" w:space="0" w:color="000000"/>
              <w:left w:val="single" w:sz="4" w:space="0" w:color="000000"/>
              <w:right w:val="single" w:sz="4" w:space="0" w:color="000000"/>
            </w:tcBorders>
            <w:shd w:val="clear" w:color="auto" w:fill="D3D3D3"/>
          </w:tcPr>
          <w:p>
            <w:pPr>
              <w:pStyle w:val="TableParagraph"/>
              <w:spacing w:line="357" w:lineRule="auto" w:before="66"/>
              <w:ind w:left="88" w:right="89"/>
              <w:jc w:val="center"/>
              <w:rPr>
                <w:rFonts w:ascii="宋体" w:hAnsi="宋体" w:cs="宋体" w:eastAsia="宋体" w:hint="default"/>
                <w:sz w:val="16"/>
                <w:szCs w:val="16"/>
              </w:rPr>
            </w:pPr>
            <w:r>
              <w:rPr>
                <w:rFonts w:ascii="宋体" w:hAnsi="宋体" w:cs="宋体" w:eastAsia="宋体" w:hint="default"/>
                <w:sz w:val="16"/>
                <w:szCs w:val="16"/>
              </w:rPr>
              <w:t>在被投资</w:t>
            </w:r>
            <w:r>
              <w:rPr>
                <w:rFonts w:ascii="宋体" w:hAnsi="宋体" w:cs="宋体" w:eastAsia="宋体" w:hint="default"/>
                <w:w w:val="99"/>
                <w:sz w:val="16"/>
                <w:szCs w:val="16"/>
              </w:rPr>
              <w:t> </w:t>
            </w:r>
            <w:r>
              <w:rPr>
                <w:rFonts w:ascii="宋体" w:hAnsi="宋体" w:cs="宋体" w:eastAsia="宋体" w:hint="default"/>
                <w:sz w:val="16"/>
                <w:szCs w:val="16"/>
              </w:rPr>
              <w:t>单位持股</w:t>
            </w:r>
            <w:r>
              <w:rPr>
                <w:rFonts w:ascii="宋体" w:hAnsi="宋体" w:cs="宋体" w:eastAsia="宋体" w:hint="default"/>
                <w:w w:val="99"/>
                <w:sz w:val="16"/>
                <w:szCs w:val="16"/>
              </w:rPr>
              <w:t> </w:t>
            </w:r>
            <w:r>
              <w:rPr>
                <w:rFonts w:ascii="宋体" w:hAnsi="宋体" w:cs="宋体" w:eastAsia="宋体" w:hint="default"/>
                <w:sz w:val="16"/>
                <w:szCs w:val="16"/>
              </w:rPr>
              <w:t>比例</w:t>
            </w:r>
          </w:p>
        </w:tc>
        <w:tc>
          <w:tcPr>
            <w:tcW w:w="416" w:type="dxa"/>
            <w:vMerge w:val="restart"/>
            <w:tcBorders>
              <w:top w:val="single" w:sz="4" w:space="0" w:color="000000"/>
              <w:left w:val="single" w:sz="4" w:space="0" w:color="000000"/>
              <w:right w:val="single" w:sz="4" w:space="0" w:color="000000"/>
            </w:tcBorders>
            <w:shd w:val="clear" w:color="auto" w:fill="D3D3D3"/>
          </w:tcPr>
          <w:p>
            <w:pPr>
              <w:pStyle w:val="TableParagraph"/>
              <w:spacing w:line="357" w:lineRule="auto" w:before="66"/>
              <w:ind w:left="43" w:right="42"/>
              <w:jc w:val="both"/>
              <w:rPr>
                <w:rFonts w:ascii="宋体" w:hAnsi="宋体" w:cs="宋体" w:eastAsia="宋体" w:hint="default"/>
                <w:sz w:val="16"/>
                <w:szCs w:val="16"/>
              </w:rPr>
            </w:pPr>
            <w:r>
              <w:rPr>
                <w:rFonts w:ascii="宋体" w:hAnsi="宋体" w:cs="宋体" w:eastAsia="宋体" w:hint="default"/>
                <w:sz w:val="16"/>
                <w:szCs w:val="16"/>
              </w:rPr>
              <w:t>本期</w:t>
            </w:r>
            <w:r>
              <w:rPr>
                <w:rFonts w:ascii="宋体" w:hAnsi="宋体" w:cs="宋体" w:eastAsia="宋体" w:hint="default"/>
                <w:w w:val="99"/>
                <w:sz w:val="16"/>
                <w:szCs w:val="16"/>
              </w:rPr>
              <w:t> </w:t>
            </w:r>
            <w:r>
              <w:rPr>
                <w:rFonts w:ascii="宋体" w:hAnsi="宋体" w:cs="宋体" w:eastAsia="宋体" w:hint="default"/>
                <w:sz w:val="16"/>
                <w:szCs w:val="16"/>
              </w:rPr>
              <w:t>现金</w:t>
            </w:r>
            <w:r>
              <w:rPr>
                <w:rFonts w:ascii="宋体" w:hAnsi="宋体" w:cs="宋体" w:eastAsia="宋体" w:hint="default"/>
                <w:w w:val="99"/>
                <w:sz w:val="16"/>
                <w:szCs w:val="16"/>
              </w:rPr>
              <w:t> </w:t>
            </w:r>
            <w:r>
              <w:rPr>
                <w:rFonts w:ascii="宋体" w:hAnsi="宋体" w:cs="宋体" w:eastAsia="宋体" w:hint="default"/>
                <w:sz w:val="16"/>
                <w:szCs w:val="16"/>
              </w:rPr>
              <w:t>红利</w:t>
            </w:r>
          </w:p>
        </w:tc>
      </w:tr>
      <w:tr>
        <w:trPr>
          <w:trHeight w:val="624" w:hRule="exact"/>
        </w:trPr>
        <w:tc>
          <w:tcPr>
            <w:tcW w:w="1058" w:type="dxa"/>
            <w:vMerge/>
            <w:tcBorders>
              <w:left w:val="single" w:sz="4" w:space="0" w:color="000000"/>
              <w:bottom w:val="single" w:sz="4" w:space="0" w:color="000000"/>
              <w:right w:val="single" w:sz="4" w:space="0" w:color="000000"/>
            </w:tcBorders>
            <w:shd w:val="clear" w:color="auto" w:fill="D3D3D3"/>
          </w:tcPr>
          <w:p>
            <w:pPr/>
          </w:p>
        </w:tc>
        <w:tc>
          <w:tcPr>
            <w:tcW w:w="1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期初</w:t>
            </w:r>
          </w:p>
        </w:tc>
        <w:tc>
          <w:tcPr>
            <w:tcW w:w="8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本期增加</w:t>
            </w:r>
          </w:p>
        </w:tc>
        <w:tc>
          <w:tcPr>
            <w:tcW w:w="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63" w:right="0"/>
              <w:jc w:val="left"/>
              <w:rPr>
                <w:rFonts w:ascii="宋体" w:hAnsi="宋体" w:cs="宋体" w:eastAsia="宋体" w:hint="default"/>
                <w:sz w:val="16"/>
                <w:szCs w:val="16"/>
              </w:rPr>
            </w:pPr>
            <w:r>
              <w:rPr>
                <w:rFonts w:ascii="宋体" w:hAnsi="宋体" w:cs="宋体" w:eastAsia="宋体" w:hint="default"/>
                <w:sz w:val="16"/>
                <w:szCs w:val="16"/>
              </w:rPr>
              <w:t>本期减少</w:t>
            </w:r>
          </w:p>
        </w:tc>
        <w:tc>
          <w:tcPr>
            <w:tcW w:w="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期末</w:t>
            </w:r>
          </w:p>
        </w:tc>
        <w:tc>
          <w:tcPr>
            <w:tcW w:w="8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81" w:right="0"/>
              <w:jc w:val="left"/>
              <w:rPr>
                <w:rFonts w:ascii="宋体" w:hAnsi="宋体" w:cs="宋体" w:eastAsia="宋体" w:hint="default"/>
                <w:sz w:val="16"/>
                <w:szCs w:val="16"/>
              </w:rPr>
            </w:pPr>
            <w:r>
              <w:rPr>
                <w:rFonts w:ascii="宋体" w:hAnsi="宋体" w:cs="宋体" w:eastAsia="宋体" w:hint="default"/>
                <w:sz w:val="16"/>
                <w:szCs w:val="16"/>
              </w:rPr>
              <w:t>期初</w:t>
            </w:r>
          </w:p>
        </w:tc>
        <w:tc>
          <w:tcPr>
            <w:tcW w:w="8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本期增加</w:t>
            </w:r>
          </w:p>
        </w:tc>
        <w:tc>
          <w:tcPr>
            <w:tcW w:w="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62" w:right="0"/>
              <w:jc w:val="left"/>
              <w:rPr>
                <w:rFonts w:ascii="宋体" w:hAnsi="宋体" w:cs="宋体" w:eastAsia="宋体" w:hint="default"/>
                <w:sz w:val="16"/>
                <w:szCs w:val="16"/>
              </w:rPr>
            </w:pPr>
            <w:r>
              <w:rPr>
                <w:rFonts w:ascii="宋体" w:hAnsi="宋体" w:cs="宋体" w:eastAsia="宋体" w:hint="default"/>
                <w:sz w:val="16"/>
                <w:szCs w:val="16"/>
              </w:rPr>
              <w:t>本期减少</w:t>
            </w:r>
          </w:p>
        </w:tc>
        <w:tc>
          <w:tcPr>
            <w:tcW w:w="8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81" w:right="0"/>
              <w:jc w:val="left"/>
              <w:rPr>
                <w:rFonts w:ascii="宋体" w:hAnsi="宋体" w:cs="宋体" w:eastAsia="宋体" w:hint="default"/>
                <w:sz w:val="16"/>
                <w:szCs w:val="16"/>
              </w:rPr>
            </w:pPr>
            <w:r>
              <w:rPr>
                <w:rFonts w:ascii="宋体" w:hAnsi="宋体" w:cs="宋体" w:eastAsia="宋体" w:hint="default"/>
                <w:sz w:val="16"/>
                <w:szCs w:val="16"/>
              </w:rPr>
              <w:t>期末</w:t>
            </w:r>
          </w:p>
        </w:tc>
        <w:tc>
          <w:tcPr>
            <w:tcW w:w="828" w:type="dxa"/>
            <w:vMerge/>
            <w:tcBorders>
              <w:left w:val="single" w:sz="4" w:space="0" w:color="000000"/>
              <w:bottom w:val="single" w:sz="4" w:space="0" w:color="000000"/>
              <w:right w:val="single" w:sz="4" w:space="0" w:color="000000"/>
            </w:tcBorders>
            <w:shd w:val="clear" w:color="auto" w:fill="D3D3D3"/>
          </w:tcPr>
          <w:p>
            <w:pPr/>
          </w:p>
        </w:tc>
        <w:tc>
          <w:tcPr>
            <w:tcW w:w="416"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57" w:lineRule="auto" w:before="66"/>
              <w:ind w:left="22" w:right="64"/>
              <w:jc w:val="left"/>
              <w:rPr>
                <w:rFonts w:ascii="宋体" w:hAnsi="宋体" w:cs="宋体" w:eastAsia="宋体" w:hint="default"/>
                <w:sz w:val="16"/>
                <w:szCs w:val="16"/>
              </w:rPr>
            </w:pPr>
            <w:r>
              <w:rPr>
                <w:rFonts w:ascii="宋体" w:hAnsi="宋体" w:cs="宋体" w:eastAsia="宋体" w:hint="default"/>
                <w:sz w:val="16"/>
                <w:szCs w:val="16"/>
              </w:rPr>
              <w:t>福州风瑞海时</w:t>
            </w:r>
            <w:r>
              <w:rPr>
                <w:rFonts w:ascii="宋体" w:hAnsi="宋体" w:cs="宋体" w:eastAsia="宋体" w:hint="default"/>
                <w:w w:val="99"/>
                <w:sz w:val="16"/>
                <w:szCs w:val="16"/>
              </w:rPr>
              <w:t> </w:t>
            </w:r>
            <w:r>
              <w:rPr>
                <w:rFonts w:ascii="宋体" w:hAnsi="宋体" w:cs="宋体" w:eastAsia="宋体" w:hint="default"/>
                <w:sz w:val="16"/>
                <w:szCs w:val="16"/>
              </w:rPr>
              <w:t>传媒有限公司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1"/>
                <w:sz w:val="16"/>
              </w:rPr>
              <w:t>15,000.00</w:t>
            </w:r>
          </w:p>
        </w:tc>
        <w:tc>
          <w:tcPr>
            <w:tcW w:w="89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15,000.00</w:t>
            </w:r>
          </w:p>
        </w:tc>
        <w:tc>
          <w:tcPr>
            <w:tcW w:w="89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3.00%</w:t>
            </w:r>
          </w:p>
        </w:tc>
        <w:tc>
          <w:tcPr>
            <w:tcW w:w="4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57" w:lineRule="auto" w:before="66"/>
              <w:ind w:left="22" w:right="64"/>
              <w:jc w:val="left"/>
              <w:rPr>
                <w:rFonts w:ascii="宋体" w:hAnsi="宋体" w:cs="宋体" w:eastAsia="宋体" w:hint="default"/>
                <w:sz w:val="16"/>
                <w:szCs w:val="16"/>
              </w:rPr>
            </w:pPr>
            <w:r>
              <w:rPr>
                <w:rFonts w:ascii="宋体" w:hAnsi="宋体" w:cs="宋体" w:eastAsia="宋体" w:hint="default"/>
                <w:sz w:val="16"/>
                <w:szCs w:val="16"/>
              </w:rPr>
              <w:t>杭州小嘀科技</w:t>
            </w:r>
            <w:r>
              <w:rPr>
                <w:rFonts w:ascii="宋体" w:hAnsi="宋体" w:cs="宋体" w:eastAsia="宋体" w:hint="default"/>
                <w:w w:val="99"/>
                <w:sz w:val="16"/>
                <w:szCs w:val="16"/>
              </w:rPr>
              <w:t> </w:t>
            </w:r>
            <w:r>
              <w:rPr>
                <w:rFonts w:ascii="宋体" w:hAnsi="宋体" w:cs="宋体" w:eastAsia="宋体" w:hint="default"/>
                <w:sz w:val="16"/>
                <w:szCs w:val="16"/>
              </w:rPr>
              <w:t>有限公司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450,000.00</w:t>
            </w:r>
          </w:p>
        </w:tc>
        <w:tc>
          <w:tcPr>
            <w:tcW w:w="89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450,000.00</w:t>
            </w:r>
          </w:p>
        </w:tc>
        <w:tc>
          <w:tcPr>
            <w:tcW w:w="89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15.00%</w:t>
            </w:r>
          </w:p>
        </w:tc>
        <w:tc>
          <w:tcPr>
            <w:tcW w:w="41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57" w:lineRule="auto" w:before="66"/>
              <w:ind w:left="22" w:right="64"/>
              <w:jc w:val="both"/>
              <w:rPr>
                <w:rFonts w:ascii="宋体" w:hAnsi="宋体" w:cs="宋体" w:eastAsia="宋体" w:hint="default"/>
                <w:sz w:val="16"/>
                <w:szCs w:val="16"/>
              </w:rPr>
            </w:pPr>
            <w:r>
              <w:rPr>
                <w:rFonts w:ascii="宋体" w:hAnsi="宋体" w:cs="宋体" w:eastAsia="宋体" w:hint="default"/>
                <w:sz w:val="16"/>
                <w:szCs w:val="16"/>
              </w:rPr>
              <w:t>杭州比目鱼投</w:t>
            </w:r>
            <w:r>
              <w:rPr>
                <w:rFonts w:ascii="宋体" w:hAnsi="宋体" w:cs="宋体" w:eastAsia="宋体" w:hint="default"/>
                <w:w w:val="99"/>
                <w:sz w:val="16"/>
                <w:szCs w:val="16"/>
              </w:rPr>
              <w:t> </w:t>
            </w:r>
            <w:r>
              <w:rPr>
                <w:rFonts w:ascii="宋体" w:hAnsi="宋体" w:cs="宋体" w:eastAsia="宋体" w:hint="default"/>
                <w:sz w:val="16"/>
                <w:szCs w:val="16"/>
              </w:rPr>
              <w:t>资管理合伙企</w:t>
            </w:r>
            <w:r>
              <w:rPr>
                <w:rFonts w:ascii="宋体" w:hAnsi="宋体" w:cs="宋体" w:eastAsia="宋体" w:hint="default"/>
                <w:w w:val="99"/>
                <w:sz w:val="16"/>
                <w:szCs w:val="16"/>
              </w:rPr>
              <w:t> </w:t>
            </w:r>
            <w:r>
              <w:rPr>
                <w:rFonts w:ascii="宋体" w:hAnsi="宋体" w:cs="宋体" w:eastAsia="宋体" w:hint="default"/>
                <w:spacing w:val="-7"/>
                <w:sz w:val="16"/>
                <w:szCs w:val="16"/>
              </w:rPr>
              <w:t>业（有限合伙</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8" w:right="0"/>
              <w:jc w:val="left"/>
              <w:rPr>
                <w:rFonts w:ascii="Times New Roman" w:hAnsi="Times New Roman" w:cs="Times New Roman" w:eastAsia="Times New Roman" w:hint="default"/>
                <w:sz w:val="16"/>
                <w:szCs w:val="16"/>
              </w:rPr>
            </w:pPr>
            <w:r>
              <w:rPr>
                <w:rFonts w:ascii="Times New Roman"/>
                <w:sz w:val="16"/>
              </w:rPr>
              <w:t>100,000.00</w:t>
            </w:r>
          </w:p>
          <w:p>
            <w:pPr>
              <w:pStyle w:val="TableParagraph"/>
              <w:spacing w:line="240" w:lineRule="auto" w:before="91"/>
              <w:ind w:left="-114" w:right="0"/>
              <w:jc w:val="left"/>
              <w:rPr>
                <w:rFonts w:ascii="宋体" w:hAnsi="宋体" w:cs="宋体" w:eastAsia="宋体" w:hint="default"/>
                <w:sz w:val="16"/>
                <w:szCs w:val="16"/>
              </w:rPr>
            </w:pPr>
            <w:r>
              <w:rPr>
                <w:rFonts w:ascii="宋体" w:hAnsi="宋体" w:cs="宋体" w:eastAsia="宋体" w:hint="default"/>
                <w:w w:val="99"/>
                <w:sz w:val="16"/>
                <w:szCs w:val="16"/>
              </w:rPr>
              <w:t>）</w:t>
            </w:r>
            <w:r>
              <w:rPr>
                <w:rFonts w:ascii="宋体" w:hAnsi="宋体" w:cs="宋体" w:eastAsia="宋体" w:hint="default"/>
                <w:sz w:val="16"/>
                <w:szCs w:val="16"/>
              </w:rPr>
            </w:r>
          </w:p>
        </w:tc>
        <w:tc>
          <w:tcPr>
            <w:tcW w:w="89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100,000.00</w:t>
            </w:r>
          </w:p>
        </w:tc>
        <w:tc>
          <w:tcPr>
            <w:tcW w:w="89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0.90%</w:t>
            </w:r>
          </w:p>
        </w:tc>
        <w:tc>
          <w:tcPr>
            <w:tcW w:w="41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55" w:lineRule="auto" w:before="66"/>
              <w:ind w:left="22" w:right="64"/>
              <w:jc w:val="left"/>
              <w:rPr>
                <w:rFonts w:ascii="宋体" w:hAnsi="宋体" w:cs="宋体" w:eastAsia="宋体" w:hint="default"/>
                <w:sz w:val="16"/>
                <w:szCs w:val="16"/>
              </w:rPr>
            </w:pPr>
            <w:r>
              <w:rPr>
                <w:rFonts w:ascii="宋体" w:hAnsi="宋体" w:cs="宋体" w:eastAsia="宋体" w:hint="default"/>
                <w:sz w:val="16"/>
                <w:szCs w:val="16"/>
              </w:rPr>
              <w:t>杭州曦隐投资</w:t>
            </w:r>
            <w:r>
              <w:rPr>
                <w:rFonts w:ascii="宋体" w:hAnsi="宋体" w:cs="宋体" w:eastAsia="宋体" w:hint="default"/>
                <w:w w:val="99"/>
                <w:sz w:val="16"/>
                <w:szCs w:val="16"/>
              </w:rPr>
              <w:t> </w:t>
            </w:r>
            <w:r>
              <w:rPr>
                <w:rFonts w:ascii="宋体" w:hAnsi="宋体" w:cs="宋体" w:eastAsia="宋体" w:hint="default"/>
                <w:sz w:val="16"/>
                <w:szCs w:val="16"/>
              </w:rPr>
              <w:t>管理合伙企业</w:t>
            </w:r>
          </w:p>
          <w:p>
            <w:pPr>
              <w:pStyle w:val="TableParagraph"/>
              <w:spacing w:line="240" w:lineRule="auto" w:before="27"/>
              <w:ind w:left="22" w:right="0"/>
              <w:jc w:val="left"/>
              <w:rPr>
                <w:rFonts w:ascii="宋体" w:hAnsi="宋体" w:cs="宋体" w:eastAsia="宋体" w:hint="default"/>
                <w:sz w:val="16"/>
                <w:szCs w:val="16"/>
              </w:rPr>
            </w:pPr>
            <w:r>
              <w:rPr>
                <w:rFonts w:ascii="宋体" w:hAnsi="宋体" w:cs="宋体" w:eastAsia="宋体" w:hint="default"/>
                <w:sz w:val="16"/>
                <w:szCs w:val="16"/>
              </w:rPr>
              <w:t>（有限合伙）</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100,000.00</w:t>
            </w:r>
          </w:p>
        </w:tc>
        <w:tc>
          <w:tcPr>
            <w:tcW w:w="89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100,000.00</w:t>
            </w:r>
          </w:p>
        </w:tc>
        <w:tc>
          <w:tcPr>
            <w:tcW w:w="89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2.00%</w:t>
            </w:r>
          </w:p>
        </w:tc>
        <w:tc>
          <w:tcPr>
            <w:tcW w:w="41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55" w:lineRule="auto" w:before="66"/>
              <w:ind w:left="22" w:right="64"/>
              <w:jc w:val="left"/>
              <w:rPr>
                <w:rFonts w:ascii="宋体" w:hAnsi="宋体" w:cs="宋体" w:eastAsia="宋体" w:hint="default"/>
                <w:sz w:val="16"/>
                <w:szCs w:val="16"/>
              </w:rPr>
            </w:pPr>
            <w:r>
              <w:rPr>
                <w:rFonts w:ascii="宋体" w:hAnsi="宋体" w:cs="宋体" w:eastAsia="宋体" w:hint="default"/>
                <w:sz w:val="16"/>
                <w:szCs w:val="16"/>
              </w:rPr>
              <w:t>杭州蕴隐投资</w:t>
            </w:r>
            <w:r>
              <w:rPr>
                <w:rFonts w:ascii="宋体" w:hAnsi="宋体" w:cs="宋体" w:eastAsia="宋体" w:hint="default"/>
                <w:w w:val="99"/>
                <w:sz w:val="16"/>
                <w:szCs w:val="16"/>
              </w:rPr>
              <w:t> </w:t>
            </w:r>
            <w:r>
              <w:rPr>
                <w:rFonts w:ascii="宋体" w:hAnsi="宋体" w:cs="宋体" w:eastAsia="宋体" w:hint="default"/>
                <w:sz w:val="16"/>
                <w:szCs w:val="16"/>
              </w:rPr>
              <w:t>管理合伙企业</w:t>
            </w:r>
          </w:p>
          <w:p>
            <w:pPr>
              <w:pStyle w:val="TableParagraph"/>
              <w:spacing w:line="240" w:lineRule="auto" w:before="27"/>
              <w:ind w:left="22" w:right="0"/>
              <w:jc w:val="left"/>
              <w:rPr>
                <w:rFonts w:ascii="宋体" w:hAnsi="宋体" w:cs="宋体" w:eastAsia="宋体" w:hint="default"/>
                <w:sz w:val="16"/>
                <w:szCs w:val="16"/>
              </w:rPr>
            </w:pPr>
            <w:r>
              <w:rPr>
                <w:rFonts w:ascii="宋体" w:hAnsi="宋体" w:cs="宋体" w:eastAsia="宋体" w:hint="default"/>
                <w:sz w:val="16"/>
                <w:szCs w:val="16"/>
              </w:rPr>
              <w:t>（有限合伙）</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200,000.00</w:t>
            </w:r>
          </w:p>
        </w:tc>
        <w:tc>
          <w:tcPr>
            <w:tcW w:w="89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200,000.00</w:t>
            </w:r>
          </w:p>
        </w:tc>
        <w:tc>
          <w:tcPr>
            <w:tcW w:w="89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1.67%</w:t>
            </w:r>
          </w:p>
        </w:tc>
        <w:tc>
          <w:tcPr>
            <w:tcW w:w="4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57" w:lineRule="auto" w:before="66"/>
              <w:ind w:left="22" w:right="64"/>
              <w:jc w:val="left"/>
              <w:rPr>
                <w:rFonts w:ascii="宋体" w:hAnsi="宋体" w:cs="宋体" w:eastAsia="宋体" w:hint="default"/>
                <w:sz w:val="16"/>
                <w:szCs w:val="16"/>
              </w:rPr>
            </w:pPr>
            <w:r>
              <w:rPr>
                <w:rFonts w:ascii="宋体" w:hAnsi="宋体" w:cs="宋体" w:eastAsia="宋体" w:hint="default"/>
                <w:sz w:val="16"/>
                <w:szCs w:val="16"/>
              </w:rPr>
              <w:t>杭州艺素影像</w:t>
            </w:r>
            <w:r>
              <w:rPr>
                <w:rFonts w:ascii="宋体" w:hAnsi="宋体" w:cs="宋体" w:eastAsia="宋体" w:hint="default"/>
                <w:w w:val="99"/>
                <w:sz w:val="16"/>
                <w:szCs w:val="16"/>
              </w:rPr>
              <w:t> </w:t>
            </w:r>
            <w:r>
              <w:rPr>
                <w:rFonts w:ascii="宋体" w:hAnsi="宋体" w:cs="宋体" w:eastAsia="宋体" w:hint="default"/>
                <w:sz w:val="16"/>
                <w:szCs w:val="16"/>
              </w:rPr>
              <w:t>文化有限公司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1"/>
                <w:sz w:val="16"/>
              </w:rPr>
              <w:t>50,000.00</w:t>
            </w:r>
          </w:p>
        </w:tc>
        <w:tc>
          <w:tcPr>
            <w:tcW w:w="89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50,000.00</w:t>
            </w:r>
          </w:p>
        </w:tc>
        <w:tc>
          <w:tcPr>
            <w:tcW w:w="89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10.00%</w:t>
            </w:r>
          </w:p>
        </w:tc>
        <w:tc>
          <w:tcPr>
            <w:tcW w:w="4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058"/>
        <w:gridCol w:w="1052"/>
        <w:gridCol w:w="895"/>
        <w:gridCol w:w="977"/>
        <w:gridCol w:w="976"/>
        <w:gridCol w:w="896"/>
        <w:gridCol w:w="895"/>
        <w:gridCol w:w="776"/>
        <w:gridCol w:w="896"/>
        <w:gridCol w:w="828"/>
        <w:gridCol w:w="416"/>
      </w:tblGrid>
      <w:tr>
        <w:trPr>
          <w:trHeight w:val="714" w:hRule="exact"/>
        </w:trPr>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60" w:lineRule="auto" w:before="66"/>
              <w:ind w:left="22" w:right="64"/>
              <w:jc w:val="left"/>
              <w:rPr>
                <w:rFonts w:ascii="宋体" w:hAnsi="宋体" w:cs="宋体" w:eastAsia="宋体" w:hint="default"/>
                <w:sz w:val="16"/>
                <w:szCs w:val="16"/>
              </w:rPr>
            </w:pPr>
            <w:r>
              <w:rPr>
                <w:rFonts w:ascii="宋体" w:hAnsi="宋体" w:cs="宋体" w:eastAsia="宋体" w:hint="default"/>
                <w:sz w:val="16"/>
                <w:szCs w:val="16"/>
              </w:rPr>
              <w:t>杭州太仆农业</w:t>
            </w:r>
            <w:r>
              <w:rPr>
                <w:rFonts w:ascii="宋体" w:hAnsi="宋体" w:cs="宋体" w:eastAsia="宋体" w:hint="default"/>
                <w:w w:val="99"/>
                <w:sz w:val="16"/>
                <w:szCs w:val="16"/>
              </w:rPr>
              <w:t> </w:t>
            </w:r>
            <w:r>
              <w:rPr>
                <w:rFonts w:ascii="宋体" w:hAnsi="宋体" w:cs="宋体" w:eastAsia="宋体" w:hint="default"/>
                <w:sz w:val="16"/>
                <w:szCs w:val="16"/>
              </w:rPr>
              <w:t>科技有限公司</w:t>
            </w:r>
          </w:p>
        </w:tc>
        <w:tc>
          <w:tcPr>
            <w:tcW w:w="105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5.00%</w:t>
            </w:r>
          </w:p>
        </w:tc>
        <w:tc>
          <w:tcPr>
            <w:tcW w:w="41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57" w:lineRule="auto" w:before="66"/>
              <w:ind w:left="22" w:right="64"/>
              <w:jc w:val="both"/>
              <w:rPr>
                <w:rFonts w:ascii="宋体" w:hAnsi="宋体" w:cs="宋体" w:eastAsia="宋体" w:hint="default"/>
                <w:sz w:val="16"/>
                <w:szCs w:val="16"/>
              </w:rPr>
            </w:pPr>
            <w:r>
              <w:rPr>
                <w:rFonts w:ascii="宋体" w:hAnsi="宋体" w:cs="宋体" w:eastAsia="宋体" w:hint="default"/>
                <w:sz w:val="16"/>
                <w:szCs w:val="16"/>
              </w:rPr>
              <w:t>杭州众加新能</w:t>
            </w:r>
            <w:r>
              <w:rPr>
                <w:rFonts w:ascii="宋体" w:hAnsi="宋体" w:cs="宋体" w:eastAsia="宋体" w:hint="default"/>
                <w:w w:val="99"/>
                <w:sz w:val="16"/>
                <w:szCs w:val="16"/>
              </w:rPr>
              <w:t> </w:t>
            </w:r>
            <w:r>
              <w:rPr>
                <w:rFonts w:ascii="宋体" w:hAnsi="宋体" w:cs="宋体" w:eastAsia="宋体" w:hint="default"/>
                <w:sz w:val="16"/>
                <w:szCs w:val="16"/>
              </w:rPr>
              <w:t>源科技有限公</w:t>
            </w:r>
            <w:r>
              <w:rPr>
                <w:rFonts w:ascii="宋体" w:hAnsi="宋体" w:cs="宋体" w:eastAsia="宋体" w:hint="default"/>
                <w:w w:val="99"/>
                <w:sz w:val="16"/>
                <w:szCs w:val="16"/>
              </w:rPr>
              <w:t> </w:t>
            </w:r>
            <w:r>
              <w:rPr>
                <w:rFonts w:ascii="宋体" w:hAnsi="宋体" w:cs="宋体" w:eastAsia="宋体" w:hint="default"/>
                <w:sz w:val="16"/>
                <w:szCs w:val="16"/>
              </w:rPr>
              <w:t>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1,500,000.00</w:t>
            </w:r>
          </w:p>
        </w:tc>
        <w:tc>
          <w:tcPr>
            <w:tcW w:w="89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1,500,000.00</w:t>
            </w:r>
          </w:p>
        </w:tc>
        <w:tc>
          <w:tcPr>
            <w:tcW w:w="89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5.00%</w:t>
            </w:r>
          </w:p>
        </w:tc>
        <w:tc>
          <w:tcPr>
            <w:tcW w:w="4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60" w:lineRule="auto" w:before="66"/>
              <w:ind w:left="22" w:right="64"/>
              <w:jc w:val="left"/>
              <w:rPr>
                <w:rFonts w:ascii="宋体" w:hAnsi="宋体" w:cs="宋体" w:eastAsia="宋体" w:hint="default"/>
                <w:sz w:val="16"/>
                <w:szCs w:val="16"/>
              </w:rPr>
            </w:pPr>
            <w:r>
              <w:rPr>
                <w:rFonts w:ascii="宋体" w:hAnsi="宋体" w:cs="宋体" w:eastAsia="宋体" w:hint="default"/>
                <w:sz w:val="16"/>
                <w:szCs w:val="16"/>
              </w:rPr>
              <w:t>杭州太仆汽车</w:t>
            </w:r>
            <w:r>
              <w:rPr>
                <w:rFonts w:ascii="宋体" w:hAnsi="宋体" w:cs="宋体" w:eastAsia="宋体" w:hint="default"/>
                <w:w w:val="99"/>
                <w:sz w:val="16"/>
                <w:szCs w:val="16"/>
              </w:rPr>
              <w:t> </w:t>
            </w:r>
            <w:r>
              <w:rPr>
                <w:rFonts w:ascii="宋体" w:hAnsi="宋体" w:cs="宋体" w:eastAsia="宋体" w:hint="default"/>
                <w:sz w:val="16"/>
                <w:szCs w:val="16"/>
              </w:rPr>
              <w:t>科技有限公司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150,000.00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645,600.00</w:t>
            </w:r>
          </w:p>
        </w:tc>
        <w:tc>
          <w:tcPr>
            <w:tcW w:w="977"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795,600.00</w:t>
            </w:r>
          </w:p>
        </w:tc>
        <w:tc>
          <w:tcPr>
            <w:tcW w:w="89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6.12%</w:t>
            </w:r>
          </w:p>
        </w:tc>
        <w:tc>
          <w:tcPr>
            <w:tcW w:w="41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66"/>
              <w:ind w:left="22" w:right="0"/>
              <w:jc w:val="left"/>
              <w:rPr>
                <w:rFonts w:ascii="宋体" w:hAnsi="宋体" w:cs="宋体" w:eastAsia="宋体" w:hint="default"/>
                <w:sz w:val="16"/>
                <w:szCs w:val="16"/>
              </w:rPr>
            </w:pPr>
            <w:r>
              <w:rPr>
                <w:rFonts w:ascii="宋体" w:hAnsi="宋体" w:cs="宋体" w:eastAsia="宋体" w:hint="default"/>
                <w:sz w:val="16"/>
                <w:szCs w:val="16"/>
              </w:rPr>
              <w:t>陆尚轮改汽配</w:t>
            </w:r>
          </w:p>
          <w:p>
            <w:pPr>
              <w:pStyle w:val="TableParagraph"/>
              <w:spacing w:line="360" w:lineRule="auto" w:before="102"/>
              <w:ind w:left="22" w:right="64"/>
              <w:jc w:val="left"/>
              <w:rPr>
                <w:rFonts w:ascii="宋体" w:hAnsi="宋体" w:cs="宋体" w:eastAsia="宋体" w:hint="default"/>
                <w:sz w:val="16"/>
                <w:szCs w:val="16"/>
              </w:rPr>
            </w:pPr>
            <w:r>
              <w:rPr>
                <w:rFonts w:ascii="宋体" w:hAnsi="宋体" w:cs="宋体" w:eastAsia="宋体" w:hint="default"/>
                <w:sz w:val="16"/>
                <w:szCs w:val="16"/>
              </w:rPr>
              <w:t>（杭州）有限</w:t>
            </w:r>
            <w:r>
              <w:rPr>
                <w:rFonts w:ascii="宋体" w:hAnsi="宋体" w:cs="宋体" w:eastAsia="宋体" w:hint="default"/>
                <w:w w:val="99"/>
                <w:sz w:val="16"/>
                <w:szCs w:val="16"/>
              </w:rPr>
              <w:t> </w:t>
            </w:r>
            <w:r>
              <w:rPr>
                <w:rFonts w:ascii="宋体" w:hAnsi="宋体" w:cs="宋体" w:eastAsia="宋体" w:hint="default"/>
                <w:sz w:val="16"/>
                <w:szCs w:val="16"/>
              </w:rPr>
              <w:t>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500,000.00</w:t>
            </w:r>
          </w:p>
        </w:tc>
        <w:tc>
          <w:tcPr>
            <w:tcW w:w="89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500,000.00</w:t>
            </w:r>
          </w:p>
        </w:tc>
        <w:tc>
          <w:tcPr>
            <w:tcW w:w="89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5.00%</w:t>
            </w:r>
          </w:p>
        </w:tc>
        <w:tc>
          <w:tcPr>
            <w:tcW w:w="4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60" w:lineRule="auto" w:before="66"/>
              <w:ind w:left="22" w:right="64"/>
              <w:jc w:val="left"/>
              <w:rPr>
                <w:rFonts w:ascii="宋体" w:hAnsi="宋体" w:cs="宋体" w:eastAsia="宋体" w:hint="default"/>
                <w:sz w:val="16"/>
                <w:szCs w:val="16"/>
              </w:rPr>
            </w:pPr>
            <w:r>
              <w:rPr>
                <w:rFonts w:ascii="宋体" w:hAnsi="宋体" w:cs="宋体" w:eastAsia="宋体" w:hint="default"/>
                <w:sz w:val="16"/>
                <w:szCs w:val="16"/>
              </w:rPr>
              <w:t>浙江浙蕨科技</w:t>
            </w:r>
            <w:r>
              <w:rPr>
                <w:rFonts w:ascii="宋体" w:hAnsi="宋体" w:cs="宋体" w:eastAsia="宋体" w:hint="default"/>
                <w:w w:val="99"/>
                <w:sz w:val="16"/>
                <w:szCs w:val="16"/>
              </w:rPr>
              <w:t> </w:t>
            </w:r>
            <w:r>
              <w:rPr>
                <w:rFonts w:ascii="宋体" w:hAnsi="宋体" w:cs="宋体" w:eastAsia="宋体" w:hint="default"/>
                <w:sz w:val="16"/>
                <w:szCs w:val="16"/>
              </w:rPr>
              <w:t>有限公司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500,000.00</w:t>
            </w:r>
          </w:p>
        </w:tc>
        <w:tc>
          <w:tcPr>
            <w:tcW w:w="89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500,000.00</w:t>
            </w:r>
          </w:p>
        </w:tc>
        <w:tc>
          <w:tcPr>
            <w:tcW w:w="89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5.00%</w:t>
            </w:r>
          </w:p>
        </w:tc>
        <w:tc>
          <w:tcPr>
            <w:tcW w:w="4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60" w:lineRule="auto" w:before="66"/>
              <w:ind w:left="22" w:right="64"/>
              <w:jc w:val="left"/>
              <w:rPr>
                <w:rFonts w:ascii="宋体" w:hAnsi="宋体" w:cs="宋体" w:eastAsia="宋体" w:hint="default"/>
                <w:sz w:val="16"/>
                <w:szCs w:val="16"/>
              </w:rPr>
            </w:pPr>
            <w:r>
              <w:rPr>
                <w:rFonts w:ascii="宋体" w:hAnsi="宋体" w:cs="宋体" w:eastAsia="宋体" w:hint="default"/>
                <w:sz w:val="16"/>
                <w:szCs w:val="16"/>
              </w:rPr>
              <w:t>浙江贝宜基因</w:t>
            </w:r>
            <w:r>
              <w:rPr>
                <w:rFonts w:ascii="宋体" w:hAnsi="宋体" w:cs="宋体" w:eastAsia="宋体" w:hint="default"/>
                <w:w w:val="99"/>
                <w:sz w:val="16"/>
                <w:szCs w:val="16"/>
              </w:rPr>
              <w:t> </w:t>
            </w:r>
            <w:r>
              <w:rPr>
                <w:rFonts w:ascii="宋体" w:hAnsi="宋体" w:cs="宋体" w:eastAsia="宋体" w:hint="default"/>
                <w:sz w:val="16"/>
                <w:szCs w:val="16"/>
              </w:rPr>
              <w:t>科技有限公司</w:t>
            </w:r>
          </w:p>
        </w:tc>
        <w:tc>
          <w:tcPr>
            <w:tcW w:w="105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1,000,000.00</w:t>
            </w:r>
          </w:p>
        </w:tc>
        <w:tc>
          <w:tcPr>
            <w:tcW w:w="977"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1,000,000.00</w:t>
            </w:r>
          </w:p>
        </w:tc>
        <w:tc>
          <w:tcPr>
            <w:tcW w:w="89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5.00%</w:t>
            </w:r>
          </w:p>
        </w:tc>
        <w:tc>
          <w:tcPr>
            <w:tcW w:w="4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60" w:lineRule="auto" w:before="66"/>
              <w:ind w:left="22" w:right="64"/>
              <w:jc w:val="left"/>
              <w:rPr>
                <w:rFonts w:ascii="宋体" w:hAnsi="宋体" w:cs="宋体" w:eastAsia="宋体" w:hint="default"/>
                <w:sz w:val="16"/>
                <w:szCs w:val="16"/>
              </w:rPr>
            </w:pPr>
            <w:r>
              <w:rPr>
                <w:rFonts w:ascii="宋体" w:hAnsi="宋体" w:cs="宋体" w:eastAsia="宋体" w:hint="default"/>
                <w:sz w:val="16"/>
                <w:szCs w:val="16"/>
              </w:rPr>
              <w:t>杭州轻舟科技</w:t>
            </w:r>
            <w:r>
              <w:rPr>
                <w:rFonts w:ascii="宋体" w:hAnsi="宋体" w:cs="宋体" w:eastAsia="宋体" w:hint="default"/>
                <w:w w:val="99"/>
                <w:sz w:val="16"/>
                <w:szCs w:val="16"/>
              </w:rPr>
              <w:t> </w:t>
            </w:r>
            <w:r>
              <w:rPr>
                <w:rFonts w:ascii="宋体" w:hAnsi="宋体" w:cs="宋体" w:eastAsia="宋体" w:hint="default"/>
                <w:sz w:val="16"/>
                <w:szCs w:val="16"/>
              </w:rPr>
              <w:t>有限公司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300,000.00</w:t>
            </w:r>
          </w:p>
        </w:tc>
        <w:tc>
          <w:tcPr>
            <w:tcW w:w="89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300,000.00</w:t>
            </w:r>
          </w:p>
        </w:tc>
        <w:tc>
          <w:tcPr>
            <w:tcW w:w="89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5.00%</w:t>
            </w:r>
          </w:p>
        </w:tc>
        <w:tc>
          <w:tcPr>
            <w:tcW w:w="4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60" w:lineRule="auto" w:before="66"/>
              <w:ind w:left="22" w:right="64"/>
              <w:jc w:val="left"/>
              <w:rPr>
                <w:rFonts w:ascii="宋体" w:hAnsi="宋体" w:cs="宋体" w:eastAsia="宋体" w:hint="default"/>
                <w:sz w:val="16"/>
                <w:szCs w:val="16"/>
              </w:rPr>
            </w:pPr>
            <w:r>
              <w:rPr>
                <w:rFonts w:ascii="宋体" w:hAnsi="宋体" w:cs="宋体" w:eastAsia="宋体" w:hint="default"/>
                <w:sz w:val="16"/>
                <w:szCs w:val="16"/>
              </w:rPr>
              <w:t>浙江颐优科技</w:t>
            </w:r>
            <w:r>
              <w:rPr>
                <w:rFonts w:ascii="宋体" w:hAnsi="宋体" w:cs="宋体" w:eastAsia="宋体" w:hint="default"/>
                <w:w w:val="99"/>
                <w:sz w:val="16"/>
                <w:szCs w:val="16"/>
              </w:rPr>
              <w:t> </w:t>
            </w:r>
            <w:r>
              <w:rPr>
                <w:rFonts w:ascii="宋体" w:hAnsi="宋体" w:cs="宋体" w:eastAsia="宋体" w:hint="default"/>
                <w:sz w:val="16"/>
                <w:szCs w:val="16"/>
              </w:rPr>
              <w:t>有限公司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300,000.00</w:t>
            </w:r>
          </w:p>
        </w:tc>
        <w:tc>
          <w:tcPr>
            <w:tcW w:w="89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300,000.00</w:t>
            </w:r>
          </w:p>
        </w:tc>
        <w:tc>
          <w:tcPr>
            <w:tcW w:w="89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3.00%</w:t>
            </w:r>
          </w:p>
        </w:tc>
        <w:tc>
          <w:tcPr>
            <w:tcW w:w="4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60" w:lineRule="auto" w:before="66"/>
              <w:ind w:left="22" w:right="64"/>
              <w:jc w:val="left"/>
              <w:rPr>
                <w:rFonts w:ascii="宋体" w:hAnsi="宋体" w:cs="宋体" w:eastAsia="宋体" w:hint="default"/>
                <w:sz w:val="16"/>
                <w:szCs w:val="16"/>
              </w:rPr>
            </w:pPr>
            <w:r>
              <w:rPr>
                <w:rFonts w:ascii="宋体" w:hAnsi="宋体" w:cs="宋体" w:eastAsia="宋体" w:hint="default"/>
                <w:sz w:val="16"/>
                <w:szCs w:val="16"/>
              </w:rPr>
              <w:t>杭州寰创网络</w:t>
            </w:r>
            <w:r>
              <w:rPr>
                <w:rFonts w:ascii="宋体" w:hAnsi="宋体" w:cs="宋体" w:eastAsia="宋体" w:hint="default"/>
                <w:w w:val="99"/>
                <w:sz w:val="16"/>
                <w:szCs w:val="16"/>
              </w:rPr>
              <w:t> </w:t>
            </w:r>
            <w:r>
              <w:rPr>
                <w:rFonts w:ascii="宋体" w:hAnsi="宋体" w:cs="宋体" w:eastAsia="宋体" w:hint="default"/>
                <w:sz w:val="16"/>
                <w:szCs w:val="16"/>
              </w:rPr>
              <w:t>技术有限公司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250,000.00</w:t>
            </w:r>
          </w:p>
        </w:tc>
        <w:tc>
          <w:tcPr>
            <w:tcW w:w="89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250,000.00</w:t>
            </w:r>
          </w:p>
        </w:tc>
        <w:tc>
          <w:tcPr>
            <w:tcW w:w="89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3.00%</w:t>
            </w:r>
          </w:p>
        </w:tc>
        <w:tc>
          <w:tcPr>
            <w:tcW w:w="4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60" w:lineRule="auto" w:before="66"/>
              <w:ind w:left="22" w:right="64"/>
              <w:jc w:val="left"/>
              <w:rPr>
                <w:rFonts w:ascii="宋体" w:hAnsi="宋体" w:cs="宋体" w:eastAsia="宋体" w:hint="default"/>
                <w:sz w:val="16"/>
                <w:szCs w:val="16"/>
              </w:rPr>
            </w:pPr>
            <w:r>
              <w:rPr>
                <w:rFonts w:ascii="宋体" w:hAnsi="宋体" w:cs="宋体" w:eastAsia="宋体" w:hint="default"/>
                <w:sz w:val="16"/>
                <w:szCs w:val="16"/>
              </w:rPr>
              <w:t>杭州来嗨科技</w:t>
            </w:r>
            <w:r>
              <w:rPr>
                <w:rFonts w:ascii="宋体" w:hAnsi="宋体" w:cs="宋体" w:eastAsia="宋体" w:hint="default"/>
                <w:w w:val="99"/>
                <w:sz w:val="16"/>
                <w:szCs w:val="16"/>
              </w:rPr>
              <w:t> </w:t>
            </w:r>
            <w:r>
              <w:rPr>
                <w:rFonts w:ascii="宋体" w:hAnsi="宋体" w:cs="宋体" w:eastAsia="宋体" w:hint="default"/>
                <w:sz w:val="16"/>
                <w:szCs w:val="16"/>
              </w:rPr>
              <w:t>有限公司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240,000.00</w:t>
            </w:r>
          </w:p>
        </w:tc>
        <w:tc>
          <w:tcPr>
            <w:tcW w:w="89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240,000.00</w:t>
            </w:r>
          </w:p>
        </w:tc>
        <w:tc>
          <w:tcPr>
            <w:tcW w:w="89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6.00%</w:t>
            </w:r>
          </w:p>
        </w:tc>
        <w:tc>
          <w:tcPr>
            <w:tcW w:w="41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57" w:lineRule="auto" w:before="66"/>
              <w:ind w:left="22" w:right="64"/>
              <w:jc w:val="both"/>
              <w:rPr>
                <w:rFonts w:ascii="宋体" w:hAnsi="宋体" w:cs="宋体" w:eastAsia="宋体" w:hint="default"/>
                <w:sz w:val="16"/>
                <w:szCs w:val="16"/>
              </w:rPr>
            </w:pPr>
            <w:r>
              <w:rPr>
                <w:rFonts w:ascii="宋体" w:hAnsi="宋体" w:cs="宋体" w:eastAsia="宋体" w:hint="default"/>
                <w:sz w:val="16"/>
                <w:szCs w:val="16"/>
              </w:rPr>
              <w:t>杭州微呗通互</w:t>
            </w:r>
            <w:r>
              <w:rPr>
                <w:rFonts w:ascii="宋体" w:hAnsi="宋体" w:cs="宋体" w:eastAsia="宋体" w:hint="default"/>
                <w:w w:val="99"/>
                <w:sz w:val="16"/>
                <w:szCs w:val="16"/>
              </w:rPr>
              <w:t> </w:t>
            </w:r>
            <w:r>
              <w:rPr>
                <w:rFonts w:ascii="宋体" w:hAnsi="宋体" w:cs="宋体" w:eastAsia="宋体" w:hint="default"/>
                <w:sz w:val="16"/>
                <w:szCs w:val="16"/>
              </w:rPr>
              <w:t>联网金融服务</w:t>
            </w:r>
            <w:r>
              <w:rPr>
                <w:rFonts w:ascii="宋体" w:hAnsi="宋体" w:cs="宋体" w:eastAsia="宋体" w:hint="default"/>
                <w:w w:val="99"/>
                <w:sz w:val="16"/>
                <w:szCs w:val="16"/>
              </w:rPr>
              <w:t> </w:t>
            </w:r>
            <w:r>
              <w:rPr>
                <w:rFonts w:ascii="宋体" w:hAnsi="宋体" w:cs="宋体" w:eastAsia="宋体" w:hint="default"/>
                <w:sz w:val="16"/>
                <w:szCs w:val="16"/>
              </w:rPr>
              <w:t>有限公司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200,000.00</w:t>
            </w:r>
          </w:p>
        </w:tc>
        <w:tc>
          <w:tcPr>
            <w:tcW w:w="89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200,000.00</w:t>
            </w:r>
          </w:p>
        </w:tc>
        <w:tc>
          <w:tcPr>
            <w:tcW w:w="89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2.00%</w:t>
            </w:r>
          </w:p>
        </w:tc>
        <w:tc>
          <w:tcPr>
            <w:tcW w:w="4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60" w:lineRule="auto" w:before="66"/>
              <w:ind w:left="22" w:right="64"/>
              <w:jc w:val="left"/>
              <w:rPr>
                <w:rFonts w:ascii="宋体" w:hAnsi="宋体" w:cs="宋体" w:eastAsia="宋体" w:hint="default"/>
                <w:sz w:val="16"/>
                <w:szCs w:val="16"/>
              </w:rPr>
            </w:pPr>
            <w:r>
              <w:rPr>
                <w:rFonts w:ascii="宋体" w:hAnsi="宋体" w:cs="宋体" w:eastAsia="宋体" w:hint="default"/>
                <w:sz w:val="16"/>
                <w:szCs w:val="16"/>
              </w:rPr>
              <w:t>杭州诚一文化</w:t>
            </w:r>
            <w:r>
              <w:rPr>
                <w:rFonts w:ascii="宋体" w:hAnsi="宋体" w:cs="宋体" w:eastAsia="宋体" w:hint="default"/>
                <w:w w:val="99"/>
                <w:sz w:val="16"/>
                <w:szCs w:val="16"/>
              </w:rPr>
              <w:t> </w:t>
            </w:r>
            <w:r>
              <w:rPr>
                <w:rFonts w:ascii="宋体" w:hAnsi="宋体" w:cs="宋体" w:eastAsia="宋体" w:hint="default"/>
                <w:sz w:val="16"/>
                <w:szCs w:val="16"/>
              </w:rPr>
              <w:t>创意有限公司</w:t>
            </w:r>
          </w:p>
        </w:tc>
        <w:tc>
          <w:tcPr>
            <w:tcW w:w="105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200,000.00</w:t>
            </w:r>
          </w:p>
        </w:tc>
        <w:tc>
          <w:tcPr>
            <w:tcW w:w="977"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200,000.00</w:t>
            </w:r>
          </w:p>
        </w:tc>
        <w:tc>
          <w:tcPr>
            <w:tcW w:w="89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3.00%</w:t>
            </w:r>
          </w:p>
        </w:tc>
        <w:tc>
          <w:tcPr>
            <w:tcW w:w="41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57" w:lineRule="auto" w:before="66"/>
              <w:ind w:left="22" w:right="64"/>
              <w:jc w:val="both"/>
              <w:rPr>
                <w:rFonts w:ascii="宋体" w:hAnsi="宋体" w:cs="宋体" w:eastAsia="宋体" w:hint="default"/>
                <w:sz w:val="16"/>
                <w:szCs w:val="16"/>
              </w:rPr>
            </w:pPr>
            <w:r>
              <w:rPr>
                <w:rFonts w:ascii="宋体" w:hAnsi="宋体" w:cs="宋体" w:eastAsia="宋体" w:hint="default"/>
                <w:sz w:val="16"/>
                <w:szCs w:val="16"/>
              </w:rPr>
              <w:t>杭州三亿米网</w:t>
            </w:r>
            <w:r>
              <w:rPr>
                <w:rFonts w:ascii="宋体" w:hAnsi="宋体" w:cs="宋体" w:eastAsia="宋体" w:hint="default"/>
                <w:w w:val="99"/>
                <w:sz w:val="16"/>
                <w:szCs w:val="16"/>
              </w:rPr>
              <w:t> </w:t>
            </w:r>
            <w:r>
              <w:rPr>
                <w:rFonts w:ascii="宋体" w:hAnsi="宋体" w:cs="宋体" w:eastAsia="宋体" w:hint="default"/>
                <w:sz w:val="16"/>
                <w:szCs w:val="16"/>
              </w:rPr>
              <w:t>络科技有限公</w:t>
            </w:r>
            <w:r>
              <w:rPr>
                <w:rFonts w:ascii="宋体" w:hAnsi="宋体" w:cs="宋体" w:eastAsia="宋体" w:hint="default"/>
                <w:w w:val="99"/>
                <w:sz w:val="16"/>
                <w:szCs w:val="16"/>
              </w:rPr>
              <w:t> </w:t>
            </w:r>
            <w:r>
              <w:rPr>
                <w:rFonts w:ascii="宋体" w:hAnsi="宋体" w:cs="宋体" w:eastAsia="宋体" w:hint="default"/>
                <w:sz w:val="16"/>
                <w:szCs w:val="16"/>
              </w:rPr>
              <w:t>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150,000.00</w:t>
            </w:r>
          </w:p>
        </w:tc>
        <w:tc>
          <w:tcPr>
            <w:tcW w:w="89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150,000.00</w:t>
            </w:r>
          </w:p>
        </w:tc>
        <w:tc>
          <w:tcPr>
            <w:tcW w:w="89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3.00%</w:t>
            </w:r>
          </w:p>
        </w:tc>
        <w:tc>
          <w:tcPr>
            <w:tcW w:w="4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60" w:lineRule="auto" w:before="66"/>
              <w:ind w:left="22" w:right="64"/>
              <w:jc w:val="left"/>
              <w:rPr>
                <w:rFonts w:ascii="宋体" w:hAnsi="宋体" w:cs="宋体" w:eastAsia="宋体" w:hint="default"/>
                <w:sz w:val="16"/>
                <w:szCs w:val="16"/>
              </w:rPr>
            </w:pPr>
            <w:r>
              <w:rPr>
                <w:rFonts w:ascii="宋体" w:hAnsi="宋体" w:cs="宋体" w:eastAsia="宋体" w:hint="default"/>
                <w:sz w:val="16"/>
                <w:szCs w:val="16"/>
              </w:rPr>
              <w:t>浙江唯觅特科</w:t>
            </w:r>
            <w:r>
              <w:rPr>
                <w:rFonts w:ascii="宋体" w:hAnsi="宋体" w:cs="宋体" w:eastAsia="宋体" w:hint="default"/>
                <w:w w:val="99"/>
                <w:sz w:val="16"/>
                <w:szCs w:val="16"/>
              </w:rPr>
              <w:t> </w:t>
            </w:r>
            <w:r>
              <w:rPr>
                <w:rFonts w:ascii="宋体" w:hAnsi="宋体" w:cs="宋体" w:eastAsia="宋体" w:hint="default"/>
                <w:sz w:val="16"/>
                <w:szCs w:val="16"/>
              </w:rPr>
              <w:t>技有限公司</w:t>
            </w:r>
          </w:p>
        </w:tc>
        <w:tc>
          <w:tcPr>
            <w:tcW w:w="105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250,000.00</w:t>
            </w:r>
          </w:p>
        </w:tc>
        <w:tc>
          <w:tcPr>
            <w:tcW w:w="977"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250,000.00</w:t>
            </w:r>
          </w:p>
        </w:tc>
        <w:tc>
          <w:tcPr>
            <w:tcW w:w="89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5.00%</w:t>
            </w:r>
          </w:p>
        </w:tc>
        <w:tc>
          <w:tcPr>
            <w:tcW w:w="41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57" w:lineRule="auto" w:before="66"/>
              <w:ind w:left="22" w:right="64"/>
              <w:jc w:val="both"/>
              <w:rPr>
                <w:rFonts w:ascii="宋体" w:hAnsi="宋体" w:cs="宋体" w:eastAsia="宋体" w:hint="default"/>
                <w:sz w:val="16"/>
                <w:szCs w:val="16"/>
              </w:rPr>
            </w:pPr>
            <w:r>
              <w:rPr>
                <w:rFonts w:ascii="宋体" w:hAnsi="宋体" w:cs="宋体" w:eastAsia="宋体" w:hint="default"/>
                <w:sz w:val="16"/>
                <w:szCs w:val="16"/>
              </w:rPr>
              <w:t>杭州天音在线</w:t>
            </w:r>
            <w:r>
              <w:rPr>
                <w:rFonts w:ascii="宋体" w:hAnsi="宋体" w:cs="宋体" w:eastAsia="宋体" w:hint="default"/>
                <w:w w:val="99"/>
                <w:sz w:val="16"/>
                <w:szCs w:val="16"/>
              </w:rPr>
              <w:t> </w:t>
            </w:r>
            <w:r>
              <w:rPr>
                <w:rFonts w:ascii="宋体" w:hAnsi="宋体" w:cs="宋体" w:eastAsia="宋体" w:hint="default"/>
                <w:sz w:val="16"/>
                <w:szCs w:val="16"/>
              </w:rPr>
              <w:t>娱乐科技有限</w:t>
            </w:r>
            <w:r>
              <w:rPr>
                <w:rFonts w:ascii="宋体" w:hAnsi="宋体" w:cs="宋体" w:eastAsia="宋体" w:hint="default"/>
                <w:w w:val="99"/>
                <w:sz w:val="16"/>
                <w:szCs w:val="16"/>
              </w:rPr>
              <w:t> </w:t>
            </w:r>
            <w:r>
              <w:rPr>
                <w:rFonts w:ascii="宋体" w:hAnsi="宋体" w:cs="宋体" w:eastAsia="宋体" w:hint="default"/>
                <w:sz w:val="16"/>
                <w:szCs w:val="16"/>
              </w:rPr>
              <w:t>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100,000.00</w:t>
            </w:r>
          </w:p>
        </w:tc>
        <w:tc>
          <w:tcPr>
            <w:tcW w:w="89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100,000.00</w:t>
            </w:r>
          </w:p>
        </w:tc>
        <w:tc>
          <w:tcPr>
            <w:tcW w:w="89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10.00%</w:t>
            </w:r>
          </w:p>
        </w:tc>
        <w:tc>
          <w:tcPr>
            <w:tcW w:w="4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60" w:lineRule="auto" w:before="66"/>
              <w:ind w:left="22" w:right="64"/>
              <w:jc w:val="left"/>
              <w:rPr>
                <w:rFonts w:ascii="宋体" w:hAnsi="宋体" w:cs="宋体" w:eastAsia="宋体" w:hint="default"/>
                <w:sz w:val="16"/>
                <w:szCs w:val="16"/>
              </w:rPr>
            </w:pPr>
            <w:r>
              <w:rPr>
                <w:rFonts w:ascii="宋体" w:hAnsi="宋体" w:cs="宋体" w:eastAsia="宋体" w:hint="default"/>
                <w:sz w:val="16"/>
                <w:szCs w:val="16"/>
              </w:rPr>
              <w:t>杭州智巡科技</w:t>
            </w:r>
            <w:r>
              <w:rPr>
                <w:rFonts w:ascii="宋体" w:hAnsi="宋体" w:cs="宋体" w:eastAsia="宋体" w:hint="default"/>
                <w:w w:val="99"/>
                <w:sz w:val="16"/>
                <w:szCs w:val="16"/>
              </w:rPr>
              <w:t> </w:t>
            </w:r>
            <w:r>
              <w:rPr>
                <w:rFonts w:ascii="宋体" w:hAnsi="宋体" w:cs="宋体" w:eastAsia="宋体" w:hint="default"/>
                <w:sz w:val="16"/>
                <w:szCs w:val="16"/>
              </w:rPr>
              <w:t>有限公司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1"/>
                <w:sz w:val="16"/>
              </w:rPr>
              <w:t>30,000.00</w:t>
            </w:r>
          </w:p>
        </w:tc>
        <w:tc>
          <w:tcPr>
            <w:tcW w:w="89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30,000.00</w:t>
            </w:r>
          </w:p>
        </w:tc>
        <w:tc>
          <w:tcPr>
            <w:tcW w:w="89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3.00%</w:t>
            </w:r>
          </w:p>
        </w:tc>
        <w:tc>
          <w:tcPr>
            <w:tcW w:w="4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60" w:lineRule="auto" w:before="66"/>
              <w:ind w:left="22" w:right="64"/>
              <w:jc w:val="left"/>
              <w:rPr>
                <w:rFonts w:ascii="宋体" w:hAnsi="宋体" w:cs="宋体" w:eastAsia="宋体" w:hint="default"/>
                <w:sz w:val="16"/>
                <w:szCs w:val="16"/>
              </w:rPr>
            </w:pPr>
            <w:r>
              <w:rPr>
                <w:rFonts w:ascii="宋体" w:hAnsi="宋体" w:cs="宋体" w:eastAsia="宋体" w:hint="default"/>
                <w:sz w:val="16"/>
                <w:szCs w:val="16"/>
              </w:rPr>
              <w:t>杭州吉莱文化</w:t>
            </w:r>
            <w:r>
              <w:rPr>
                <w:rFonts w:ascii="宋体" w:hAnsi="宋体" w:cs="宋体" w:eastAsia="宋体" w:hint="default"/>
                <w:w w:val="99"/>
                <w:sz w:val="16"/>
                <w:szCs w:val="16"/>
              </w:rPr>
              <w:t> </w:t>
            </w:r>
            <w:r>
              <w:rPr>
                <w:rFonts w:ascii="宋体" w:hAnsi="宋体" w:cs="宋体" w:eastAsia="宋体" w:hint="default"/>
                <w:sz w:val="16"/>
                <w:szCs w:val="16"/>
              </w:rPr>
              <w:t>传媒有限公司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1"/>
                <w:sz w:val="16"/>
              </w:rPr>
              <w:t>25,000.00</w:t>
            </w:r>
          </w:p>
        </w:tc>
        <w:tc>
          <w:tcPr>
            <w:tcW w:w="89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25,000.00</w:t>
            </w:r>
          </w:p>
        </w:tc>
        <w:tc>
          <w:tcPr>
            <w:tcW w:w="89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5.00%</w:t>
            </w:r>
          </w:p>
        </w:tc>
        <w:tc>
          <w:tcPr>
            <w:tcW w:w="4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058"/>
        <w:gridCol w:w="1052"/>
        <w:gridCol w:w="895"/>
        <w:gridCol w:w="977"/>
        <w:gridCol w:w="976"/>
        <w:gridCol w:w="896"/>
        <w:gridCol w:w="895"/>
        <w:gridCol w:w="776"/>
        <w:gridCol w:w="896"/>
        <w:gridCol w:w="828"/>
        <w:gridCol w:w="416"/>
      </w:tblGrid>
      <w:tr>
        <w:trPr>
          <w:trHeight w:val="714" w:hRule="exact"/>
        </w:trPr>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60" w:lineRule="auto" w:before="66"/>
              <w:ind w:left="22" w:right="64"/>
              <w:jc w:val="left"/>
              <w:rPr>
                <w:rFonts w:ascii="宋体" w:hAnsi="宋体" w:cs="宋体" w:eastAsia="宋体" w:hint="default"/>
                <w:sz w:val="16"/>
                <w:szCs w:val="16"/>
              </w:rPr>
            </w:pPr>
            <w:r>
              <w:rPr>
                <w:rFonts w:ascii="宋体" w:hAnsi="宋体" w:cs="宋体" w:eastAsia="宋体" w:hint="default"/>
                <w:sz w:val="16"/>
                <w:szCs w:val="16"/>
              </w:rPr>
              <w:t>杭州舒码汇科</w:t>
            </w:r>
            <w:r>
              <w:rPr>
                <w:rFonts w:ascii="宋体" w:hAnsi="宋体" w:cs="宋体" w:eastAsia="宋体" w:hint="default"/>
                <w:w w:val="99"/>
                <w:sz w:val="16"/>
                <w:szCs w:val="16"/>
              </w:rPr>
              <w:t> </w:t>
            </w:r>
            <w:r>
              <w:rPr>
                <w:rFonts w:ascii="宋体" w:hAnsi="宋体" w:cs="宋体" w:eastAsia="宋体" w:hint="default"/>
                <w:sz w:val="16"/>
                <w:szCs w:val="16"/>
              </w:rPr>
              <w:t>技有限公司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1"/>
                <w:sz w:val="16"/>
              </w:rPr>
              <w:t>25,000.00</w:t>
            </w:r>
          </w:p>
        </w:tc>
        <w:tc>
          <w:tcPr>
            <w:tcW w:w="89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25,000.00</w:t>
            </w:r>
          </w:p>
        </w:tc>
        <w:tc>
          <w:tcPr>
            <w:tcW w:w="89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5.00%</w:t>
            </w:r>
          </w:p>
        </w:tc>
        <w:tc>
          <w:tcPr>
            <w:tcW w:w="4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60" w:lineRule="auto" w:before="66"/>
              <w:ind w:left="22" w:right="64"/>
              <w:jc w:val="left"/>
              <w:rPr>
                <w:rFonts w:ascii="宋体" w:hAnsi="宋体" w:cs="宋体" w:eastAsia="宋体" w:hint="default"/>
                <w:sz w:val="16"/>
                <w:szCs w:val="16"/>
              </w:rPr>
            </w:pPr>
            <w:r>
              <w:rPr>
                <w:rFonts w:ascii="宋体" w:hAnsi="宋体" w:cs="宋体" w:eastAsia="宋体" w:hint="default"/>
                <w:sz w:val="16"/>
                <w:szCs w:val="16"/>
              </w:rPr>
              <w:t>浙江颐优贸易</w:t>
            </w:r>
            <w:r>
              <w:rPr>
                <w:rFonts w:ascii="宋体" w:hAnsi="宋体" w:cs="宋体" w:eastAsia="宋体" w:hint="default"/>
                <w:w w:val="99"/>
                <w:sz w:val="16"/>
                <w:szCs w:val="16"/>
              </w:rPr>
              <w:t> </w:t>
            </w:r>
            <w:r>
              <w:rPr>
                <w:rFonts w:ascii="宋体" w:hAnsi="宋体" w:cs="宋体" w:eastAsia="宋体" w:hint="default"/>
                <w:sz w:val="16"/>
                <w:szCs w:val="16"/>
              </w:rPr>
              <w:t>有限公司</w:t>
            </w:r>
          </w:p>
        </w:tc>
        <w:tc>
          <w:tcPr>
            <w:tcW w:w="105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300,000.00</w:t>
            </w:r>
          </w:p>
        </w:tc>
        <w:tc>
          <w:tcPr>
            <w:tcW w:w="977"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300,000.00</w:t>
            </w:r>
          </w:p>
        </w:tc>
        <w:tc>
          <w:tcPr>
            <w:tcW w:w="89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3.00%</w:t>
            </w:r>
          </w:p>
        </w:tc>
        <w:tc>
          <w:tcPr>
            <w:tcW w:w="41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57" w:lineRule="auto" w:before="66"/>
              <w:ind w:left="22" w:right="64"/>
              <w:jc w:val="both"/>
              <w:rPr>
                <w:rFonts w:ascii="宋体" w:hAnsi="宋体" w:cs="宋体" w:eastAsia="宋体" w:hint="default"/>
                <w:sz w:val="16"/>
                <w:szCs w:val="16"/>
              </w:rPr>
            </w:pPr>
            <w:r>
              <w:rPr>
                <w:rFonts w:ascii="宋体" w:hAnsi="宋体" w:cs="宋体" w:eastAsia="宋体" w:hint="default"/>
                <w:sz w:val="16"/>
                <w:szCs w:val="16"/>
              </w:rPr>
              <w:t>杭州尼罗河电</w:t>
            </w:r>
            <w:r>
              <w:rPr>
                <w:rFonts w:ascii="宋体" w:hAnsi="宋体" w:cs="宋体" w:eastAsia="宋体" w:hint="default"/>
                <w:w w:val="99"/>
                <w:sz w:val="16"/>
                <w:szCs w:val="16"/>
              </w:rPr>
              <w:t> </w:t>
            </w:r>
            <w:r>
              <w:rPr>
                <w:rFonts w:ascii="宋体" w:hAnsi="宋体" w:cs="宋体" w:eastAsia="宋体" w:hint="default"/>
                <w:sz w:val="16"/>
                <w:szCs w:val="16"/>
              </w:rPr>
              <w:t>子商务有限公</w:t>
            </w:r>
            <w:r>
              <w:rPr>
                <w:rFonts w:ascii="宋体" w:hAnsi="宋体" w:cs="宋体" w:eastAsia="宋体" w:hint="default"/>
                <w:w w:val="99"/>
                <w:sz w:val="16"/>
                <w:szCs w:val="16"/>
              </w:rPr>
              <w:t> </w:t>
            </w:r>
            <w:r>
              <w:rPr>
                <w:rFonts w:ascii="宋体" w:hAnsi="宋体" w:cs="宋体" w:eastAsia="宋体" w:hint="default"/>
                <w:sz w:val="16"/>
                <w:szCs w:val="16"/>
              </w:rPr>
              <w:t>司</w:t>
            </w:r>
          </w:p>
        </w:tc>
        <w:tc>
          <w:tcPr>
            <w:tcW w:w="105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3.00%</w:t>
            </w:r>
          </w:p>
        </w:tc>
        <w:tc>
          <w:tcPr>
            <w:tcW w:w="4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60" w:lineRule="auto" w:before="66"/>
              <w:ind w:left="22" w:right="64"/>
              <w:jc w:val="left"/>
              <w:rPr>
                <w:rFonts w:ascii="宋体" w:hAnsi="宋体" w:cs="宋体" w:eastAsia="宋体" w:hint="default"/>
                <w:sz w:val="16"/>
                <w:szCs w:val="16"/>
              </w:rPr>
            </w:pPr>
            <w:r>
              <w:rPr>
                <w:rFonts w:ascii="宋体" w:hAnsi="宋体" w:cs="宋体" w:eastAsia="宋体" w:hint="default"/>
                <w:sz w:val="16"/>
                <w:szCs w:val="16"/>
              </w:rPr>
              <w:t>杭州伊风科技</w:t>
            </w:r>
            <w:r>
              <w:rPr>
                <w:rFonts w:ascii="宋体" w:hAnsi="宋体" w:cs="宋体" w:eastAsia="宋体" w:hint="default"/>
                <w:w w:val="99"/>
                <w:sz w:val="16"/>
                <w:szCs w:val="16"/>
              </w:rPr>
              <w:t> </w:t>
            </w:r>
            <w:r>
              <w:rPr>
                <w:rFonts w:ascii="宋体" w:hAnsi="宋体" w:cs="宋体" w:eastAsia="宋体" w:hint="default"/>
                <w:sz w:val="16"/>
                <w:szCs w:val="16"/>
              </w:rPr>
              <w:t>有限公司</w:t>
            </w:r>
          </w:p>
        </w:tc>
        <w:tc>
          <w:tcPr>
            <w:tcW w:w="105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5,000.00</w:t>
            </w:r>
          </w:p>
        </w:tc>
        <w:tc>
          <w:tcPr>
            <w:tcW w:w="977"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5,000.00</w:t>
            </w:r>
          </w:p>
        </w:tc>
        <w:tc>
          <w:tcPr>
            <w:tcW w:w="89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5.00%</w:t>
            </w:r>
          </w:p>
        </w:tc>
        <w:tc>
          <w:tcPr>
            <w:tcW w:w="4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60" w:lineRule="auto" w:before="66"/>
              <w:ind w:left="22" w:right="64"/>
              <w:jc w:val="left"/>
              <w:rPr>
                <w:rFonts w:ascii="宋体" w:hAnsi="宋体" w:cs="宋体" w:eastAsia="宋体" w:hint="default"/>
                <w:sz w:val="16"/>
                <w:szCs w:val="16"/>
              </w:rPr>
            </w:pPr>
            <w:r>
              <w:rPr>
                <w:rFonts w:ascii="宋体" w:hAnsi="宋体" w:cs="宋体" w:eastAsia="宋体" w:hint="default"/>
                <w:sz w:val="16"/>
                <w:szCs w:val="16"/>
              </w:rPr>
              <w:t>浙江亮楼信息</w:t>
            </w:r>
            <w:r>
              <w:rPr>
                <w:rFonts w:ascii="宋体" w:hAnsi="宋体" w:cs="宋体" w:eastAsia="宋体" w:hint="default"/>
                <w:w w:val="99"/>
                <w:sz w:val="16"/>
                <w:szCs w:val="16"/>
              </w:rPr>
              <w:t> </w:t>
            </w:r>
            <w:r>
              <w:rPr>
                <w:rFonts w:ascii="宋体" w:hAnsi="宋体" w:cs="宋体" w:eastAsia="宋体" w:hint="default"/>
                <w:sz w:val="16"/>
                <w:szCs w:val="16"/>
              </w:rPr>
              <w:t>科技有限公司</w:t>
            </w:r>
          </w:p>
        </w:tc>
        <w:tc>
          <w:tcPr>
            <w:tcW w:w="105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250,000.00</w:t>
            </w:r>
          </w:p>
        </w:tc>
        <w:tc>
          <w:tcPr>
            <w:tcW w:w="977"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250,000.00</w:t>
            </w:r>
          </w:p>
        </w:tc>
        <w:tc>
          <w:tcPr>
            <w:tcW w:w="89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5.00%</w:t>
            </w:r>
          </w:p>
        </w:tc>
        <w:tc>
          <w:tcPr>
            <w:tcW w:w="4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60" w:lineRule="auto" w:before="66"/>
              <w:ind w:left="22" w:right="64"/>
              <w:jc w:val="left"/>
              <w:rPr>
                <w:rFonts w:ascii="宋体" w:hAnsi="宋体" w:cs="宋体" w:eastAsia="宋体" w:hint="default"/>
                <w:sz w:val="16"/>
                <w:szCs w:val="16"/>
              </w:rPr>
            </w:pPr>
            <w:r>
              <w:rPr>
                <w:rFonts w:ascii="宋体" w:hAnsi="宋体" w:cs="宋体" w:eastAsia="宋体" w:hint="default"/>
                <w:sz w:val="16"/>
                <w:szCs w:val="16"/>
              </w:rPr>
              <w:t>杭州青庭科技</w:t>
            </w:r>
            <w:r>
              <w:rPr>
                <w:rFonts w:ascii="宋体" w:hAnsi="宋体" w:cs="宋体" w:eastAsia="宋体" w:hint="default"/>
                <w:w w:val="99"/>
                <w:sz w:val="16"/>
                <w:szCs w:val="16"/>
              </w:rPr>
              <w:t> </w:t>
            </w:r>
            <w:r>
              <w:rPr>
                <w:rFonts w:ascii="宋体" w:hAnsi="宋体" w:cs="宋体" w:eastAsia="宋体" w:hint="default"/>
                <w:sz w:val="16"/>
                <w:szCs w:val="16"/>
              </w:rPr>
              <w:t>有限公司</w:t>
            </w:r>
          </w:p>
        </w:tc>
        <w:tc>
          <w:tcPr>
            <w:tcW w:w="105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3.00%</w:t>
            </w:r>
          </w:p>
        </w:tc>
        <w:tc>
          <w:tcPr>
            <w:tcW w:w="4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60" w:lineRule="auto" w:before="66"/>
              <w:ind w:left="22" w:right="64"/>
              <w:jc w:val="left"/>
              <w:rPr>
                <w:rFonts w:ascii="宋体" w:hAnsi="宋体" w:cs="宋体" w:eastAsia="宋体" w:hint="default"/>
                <w:sz w:val="16"/>
                <w:szCs w:val="16"/>
              </w:rPr>
            </w:pPr>
            <w:r>
              <w:rPr>
                <w:rFonts w:ascii="宋体" w:hAnsi="宋体" w:cs="宋体" w:eastAsia="宋体" w:hint="default"/>
                <w:sz w:val="16"/>
                <w:szCs w:val="16"/>
              </w:rPr>
              <w:t>杭州观盛文化</w:t>
            </w:r>
            <w:r>
              <w:rPr>
                <w:rFonts w:ascii="宋体" w:hAnsi="宋体" w:cs="宋体" w:eastAsia="宋体" w:hint="default"/>
                <w:w w:val="99"/>
                <w:sz w:val="16"/>
                <w:szCs w:val="16"/>
              </w:rPr>
              <w:t> </w:t>
            </w:r>
            <w:r>
              <w:rPr>
                <w:rFonts w:ascii="宋体" w:hAnsi="宋体" w:cs="宋体" w:eastAsia="宋体" w:hint="default"/>
                <w:sz w:val="16"/>
                <w:szCs w:val="16"/>
              </w:rPr>
              <w:t>传播有限公司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568,749.80</w:t>
            </w:r>
          </w:p>
        </w:tc>
        <w:tc>
          <w:tcPr>
            <w:tcW w:w="89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568,749.80</w:t>
            </w:r>
          </w:p>
        </w:tc>
        <w:tc>
          <w:tcPr>
            <w:tcW w:w="89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19.77%</w:t>
            </w:r>
          </w:p>
        </w:tc>
        <w:tc>
          <w:tcPr>
            <w:tcW w:w="4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60" w:lineRule="auto" w:before="66"/>
              <w:ind w:left="22" w:right="64"/>
              <w:jc w:val="left"/>
              <w:rPr>
                <w:rFonts w:ascii="宋体" w:hAnsi="宋体" w:cs="宋体" w:eastAsia="宋体" w:hint="default"/>
                <w:sz w:val="16"/>
                <w:szCs w:val="16"/>
              </w:rPr>
            </w:pPr>
            <w:r>
              <w:rPr>
                <w:rFonts w:ascii="宋体" w:hAnsi="宋体" w:cs="宋体" w:eastAsia="宋体" w:hint="default"/>
                <w:sz w:val="16"/>
                <w:szCs w:val="16"/>
              </w:rPr>
              <w:t>杭州雍享网络</w:t>
            </w:r>
            <w:r>
              <w:rPr>
                <w:rFonts w:ascii="宋体" w:hAnsi="宋体" w:cs="宋体" w:eastAsia="宋体" w:hint="default"/>
                <w:w w:val="99"/>
                <w:sz w:val="16"/>
                <w:szCs w:val="16"/>
              </w:rPr>
              <w:t> </w:t>
            </w:r>
            <w:r>
              <w:rPr>
                <w:rFonts w:ascii="宋体" w:hAnsi="宋体" w:cs="宋体" w:eastAsia="宋体" w:hint="default"/>
                <w:sz w:val="16"/>
                <w:szCs w:val="16"/>
              </w:rPr>
              <w:t>科技有限公司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5,000,000.00</w:t>
            </w:r>
          </w:p>
        </w:tc>
        <w:tc>
          <w:tcPr>
            <w:tcW w:w="89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5,000,000.00</w:t>
            </w:r>
          </w:p>
        </w:tc>
        <w:tc>
          <w:tcPr>
            <w:tcW w:w="89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3.02%</w:t>
            </w:r>
          </w:p>
        </w:tc>
        <w:tc>
          <w:tcPr>
            <w:tcW w:w="41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57" w:lineRule="auto" w:before="66"/>
              <w:ind w:left="22" w:right="64"/>
              <w:jc w:val="both"/>
              <w:rPr>
                <w:rFonts w:ascii="宋体" w:hAnsi="宋体" w:cs="宋体" w:eastAsia="宋体" w:hint="default"/>
                <w:sz w:val="16"/>
                <w:szCs w:val="16"/>
              </w:rPr>
            </w:pPr>
            <w:r>
              <w:rPr>
                <w:rFonts w:ascii="宋体" w:hAnsi="宋体" w:cs="宋体" w:eastAsia="宋体" w:hint="default"/>
                <w:sz w:val="16"/>
                <w:szCs w:val="16"/>
              </w:rPr>
              <w:t>杭州万事利丝</w:t>
            </w:r>
            <w:r>
              <w:rPr>
                <w:rFonts w:ascii="宋体" w:hAnsi="宋体" w:cs="宋体" w:eastAsia="宋体" w:hint="default"/>
                <w:w w:val="99"/>
                <w:sz w:val="16"/>
                <w:szCs w:val="16"/>
              </w:rPr>
              <w:t> </w:t>
            </w:r>
            <w:r>
              <w:rPr>
                <w:rFonts w:ascii="宋体" w:hAnsi="宋体" w:cs="宋体" w:eastAsia="宋体" w:hint="default"/>
                <w:sz w:val="16"/>
                <w:szCs w:val="16"/>
              </w:rPr>
              <w:t>绸文化有限公</w:t>
            </w:r>
            <w:r>
              <w:rPr>
                <w:rFonts w:ascii="宋体" w:hAnsi="宋体" w:cs="宋体" w:eastAsia="宋体" w:hint="default"/>
                <w:w w:val="99"/>
                <w:sz w:val="16"/>
                <w:szCs w:val="16"/>
              </w:rPr>
              <w:t> </w:t>
            </w:r>
            <w:r>
              <w:rPr>
                <w:rFonts w:ascii="宋体" w:hAnsi="宋体" w:cs="宋体" w:eastAsia="宋体" w:hint="default"/>
                <w:sz w:val="16"/>
                <w:szCs w:val="16"/>
              </w:rPr>
              <w:t>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5,000,000.00</w:t>
            </w:r>
          </w:p>
        </w:tc>
        <w:tc>
          <w:tcPr>
            <w:tcW w:w="89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5,000,000.00</w:t>
            </w:r>
          </w:p>
        </w:tc>
        <w:tc>
          <w:tcPr>
            <w:tcW w:w="89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0.51%</w:t>
            </w:r>
          </w:p>
        </w:tc>
        <w:tc>
          <w:tcPr>
            <w:tcW w:w="41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57" w:lineRule="auto" w:before="66"/>
              <w:ind w:left="22" w:right="64"/>
              <w:jc w:val="both"/>
              <w:rPr>
                <w:rFonts w:ascii="宋体" w:hAnsi="宋体" w:cs="宋体" w:eastAsia="宋体" w:hint="default"/>
                <w:sz w:val="16"/>
                <w:szCs w:val="16"/>
              </w:rPr>
            </w:pPr>
            <w:r>
              <w:rPr>
                <w:rFonts w:ascii="宋体" w:hAnsi="宋体" w:cs="宋体" w:eastAsia="宋体" w:hint="default"/>
                <w:sz w:val="16"/>
                <w:szCs w:val="16"/>
              </w:rPr>
              <w:t>杭州中大源新</w:t>
            </w:r>
            <w:r>
              <w:rPr>
                <w:rFonts w:ascii="宋体" w:hAnsi="宋体" w:cs="宋体" w:eastAsia="宋体" w:hint="default"/>
                <w:w w:val="99"/>
                <w:sz w:val="16"/>
                <w:szCs w:val="16"/>
              </w:rPr>
              <w:t> </w:t>
            </w:r>
            <w:r>
              <w:rPr>
                <w:rFonts w:ascii="宋体" w:hAnsi="宋体" w:cs="宋体" w:eastAsia="宋体" w:hint="default"/>
                <w:sz w:val="16"/>
                <w:szCs w:val="16"/>
              </w:rPr>
              <w:t>企业管理咨询</w:t>
            </w:r>
            <w:r>
              <w:rPr>
                <w:rFonts w:ascii="宋体" w:hAnsi="宋体" w:cs="宋体" w:eastAsia="宋体" w:hint="default"/>
                <w:w w:val="99"/>
                <w:sz w:val="16"/>
                <w:szCs w:val="16"/>
              </w:rPr>
              <w:t> </w:t>
            </w:r>
            <w:r>
              <w:rPr>
                <w:rFonts w:ascii="宋体" w:hAnsi="宋体" w:cs="宋体" w:eastAsia="宋体" w:hint="default"/>
                <w:sz w:val="16"/>
                <w:szCs w:val="16"/>
              </w:rPr>
              <w:t>有限公司</w:t>
            </w:r>
          </w:p>
        </w:tc>
        <w:tc>
          <w:tcPr>
            <w:tcW w:w="105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180,000.00</w:t>
            </w:r>
          </w:p>
        </w:tc>
        <w:tc>
          <w:tcPr>
            <w:tcW w:w="977"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180,000.00</w:t>
            </w:r>
          </w:p>
        </w:tc>
        <w:tc>
          <w:tcPr>
            <w:tcW w:w="89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9.00%</w:t>
            </w:r>
          </w:p>
        </w:tc>
        <w:tc>
          <w:tcPr>
            <w:tcW w:w="4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60" w:lineRule="auto" w:before="66"/>
              <w:ind w:left="22" w:right="64"/>
              <w:jc w:val="left"/>
              <w:rPr>
                <w:rFonts w:ascii="宋体" w:hAnsi="宋体" w:cs="宋体" w:eastAsia="宋体" w:hint="default"/>
                <w:sz w:val="16"/>
                <w:szCs w:val="16"/>
              </w:rPr>
            </w:pPr>
            <w:r>
              <w:rPr>
                <w:rFonts w:ascii="宋体" w:hAnsi="宋体" w:cs="宋体" w:eastAsia="宋体" w:hint="default"/>
                <w:sz w:val="16"/>
                <w:szCs w:val="16"/>
              </w:rPr>
              <w:t>杭州宝芝林科</w:t>
            </w:r>
            <w:r>
              <w:rPr>
                <w:rFonts w:ascii="宋体" w:hAnsi="宋体" w:cs="宋体" w:eastAsia="宋体" w:hint="default"/>
                <w:w w:val="99"/>
                <w:sz w:val="16"/>
                <w:szCs w:val="16"/>
              </w:rPr>
              <w:t> </w:t>
            </w:r>
            <w:r>
              <w:rPr>
                <w:rFonts w:ascii="宋体" w:hAnsi="宋体" w:cs="宋体" w:eastAsia="宋体" w:hint="default"/>
                <w:sz w:val="16"/>
                <w:szCs w:val="16"/>
              </w:rPr>
              <w:t>技有限公司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909,000.00</w:t>
            </w:r>
          </w:p>
        </w:tc>
        <w:tc>
          <w:tcPr>
            <w:tcW w:w="89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909,000.00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20" w:right="0"/>
              <w:jc w:val="center"/>
              <w:rPr>
                <w:rFonts w:ascii="Times New Roman" w:hAnsi="Times New Roman" w:cs="Times New Roman" w:eastAsia="Times New Roman" w:hint="default"/>
                <w:sz w:val="16"/>
                <w:szCs w:val="16"/>
              </w:rPr>
            </w:pPr>
            <w:r>
              <w:rPr>
                <w:rFonts w:ascii="Times New Roman"/>
                <w:sz w:val="16"/>
              </w:rPr>
              <w:t>909,000.00</w:t>
            </w:r>
          </w:p>
        </w:tc>
        <w:tc>
          <w:tcPr>
            <w:tcW w:w="89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909,000.00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5.00%</w:t>
            </w:r>
          </w:p>
        </w:tc>
        <w:tc>
          <w:tcPr>
            <w:tcW w:w="4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60" w:lineRule="auto" w:before="66"/>
              <w:ind w:left="22" w:right="64"/>
              <w:jc w:val="left"/>
              <w:rPr>
                <w:rFonts w:ascii="宋体" w:hAnsi="宋体" w:cs="宋体" w:eastAsia="宋体" w:hint="default"/>
                <w:sz w:val="16"/>
                <w:szCs w:val="16"/>
              </w:rPr>
            </w:pPr>
            <w:r>
              <w:rPr>
                <w:rFonts w:ascii="宋体" w:hAnsi="宋体" w:cs="宋体" w:eastAsia="宋体" w:hint="default"/>
                <w:sz w:val="16"/>
                <w:szCs w:val="16"/>
              </w:rPr>
              <w:t>上海合印科技</w:t>
            </w:r>
            <w:r>
              <w:rPr>
                <w:rFonts w:ascii="宋体" w:hAnsi="宋体" w:cs="宋体" w:eastAsia="宋体" w:hint="default"/>
                <w:w w:val="99"/>
                <w:sz w:val="16"/>
                <w:szCs w:val="16"/>
              </w:rPr>
              <w:t> </w:t>
            </w:r>
            <w:r>
              <w:rPr>
                <w:rFonts w:ascii="宋体" w:hAnsi="宋体" w:cs="宋体" w:eastAsia="宋体" w:hint="default"/>
                <w:sz w:val="16"/>
                <w:szCs w:val="16"/>
              </w:rPr>
              <w:t>股份有限公司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99,625,642.30</w:t>
            </w:r>
          </w:p>
        </w:tc>
        <w:tc>
          <w:tcPr>
            <w:tcW w:w="89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23,895,049.18</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75,730,593.12</w:t>
            </w:r>
          </w:p>
        </w:tc>
        <w:tc>
          <w:tcPr>
            <w:tcW w:w="89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Times New Roman" w:hAnsi="Times New Roman" w:cs="Times New Roman" w:eastAsia="Times New Roman" w:hint="default"/>
                <w:sz w:val="16"/>
                <w:szCs w:val="16"/>
              </w:rPr>
            </w:pPr>
            <w:r>
              <w:rPr>
                <w:rFonts w:ascii="Times New Roman"/>
                <w:sz w:val="16"/>
              </w:rPr>
              <w:t>8,929,256.28</w:t>
            </w:r>
          </w:p>
        </w:tc>
        <w:tc>
          <w:tcPr>
            <w:tcW w:w="77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8,929,256.28</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12.68%</w:t>
            </w:r>
          </w:p>
        </w:tc>
        <w:tc>
          <w:tcPr>
            <w:tcW w:w="4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60" w:lineRule="auto" w:before="66"/>
              <w:ind w:left="22" w:right="64"/>
              <w:jc w:val="left"/>
              <w:rPr>
                <w:rFonts w:ascii="宋体" w:hAnsi="宋体" w:cs="宋体" w:eastAsia="宋体" w:hint="default"/>
                <w:sz w:val="16"/>
                <w:szCs w:val="16"/>
              </w:rPr>
            </w:pPr>
            <w:r>
              <w:rPr>
                <w:rFonts w:ascii="宋体" w:hAnsi="宋体" w:cs="宋体" w:eastAsia="宋体" w:hint="default"/>
                <w:sz w:val="16"/>
                <w:szCs w:val="16"/>
              </w:rPr>
              <w:t>杭州壁咚科技</w:t>
            </w:r>
            <w:r>
              <w:rPr>
                <w:rFonts w:ascii="宋体" w:hAnsi="宋体" w:cs="宋体" w:eastAsia="宋体" w:hint="default"/>
                <w:w w:val="99"/>
                <w:sz w:val="16"/>
                <w:szCs w:val="16"/>
              </w:rPr>
              <w:t> </w:t>
            </w:r>
            <w:r>
              <w:rPr>
                <w:rFonts w:ascii="宋体" w:hAnsi="宋体" w:cs="宋体" w:eastAsia="宋体" w:hint="default"/>
                <w:sz w:val="16"/>
                <w:szCs w:val="16"/>
              </w:rPr>
              <w:t>有限公司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153,000.00</w:t>
            </w:r>
          </w:p>
        </w:tc>
        <w:tc>
          <w:tcPr>
            <w:tcW w:w="89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153,000.00</w:t>
            </w:r>
          </w:p>
        </w:tc>
        <w:tc>
          <w:tcPr>
            <w:tcW w:w="97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99" w:right="0"/>
              <w:jc w:val="center"/>
              <w:rPr>
                <w:rFonts w:ascii="Times New Roman" w:hAnsi="Times New Roman" w:cs="Times New Roman" w:eastAsia="Times New Roman" w:hint="default"/>
                <w:sz w:val="16"/>
                <w:szCs w:val="16"/>
              </w:rPr>
            </w:pPr>
            <w:r>
              <w:rPr>
                <w:rFonts w:ascii="Times New Roman"/>
                <w:sz w:val="16"/>
              </w:rPr>
              <w:t>29,684.13</w:t>
            </w:r>
          </w:p>
        </w:tc>
        <w:tc>
          <w:tcPr>
            <w:tcW w:w="89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79" w:right="0"/>
              <w:jc w:val="center"/>
              <w:rPr>
                <w:rFonts w:ascii="Times New Roman" w:hAnsi="Times New Roman" w:cs="Times New Roman" w:eastAsia="Times New Roman" w:hint="default"/>
                <w:sz w:val="16"/>
                <w:szCs w:val="16"/>
              </w:rPr>
            </w:pPr>
            <w:r>
              <w:rPr>
                <w:rFonts w:ascii="Times New Roman"/>
                <w:sz w:val="16"/>
              </w:rPr>
              <w:t>29,684.13</w:t>
            </w:r>
          </w:p>
        </w:tc>
        <w:tc>
          <w:tcPr>
            <w:tcW w:w="89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0.00%</w:t>
            </w:r>
          </w:p>
        </w:tc>
        <w:tc>
          <w:tcPr>
            <w:tcW w:w="41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57" w:lineRule="auto" w:before="66"/>
              <w:ind w:left="22" w:right="64"/>
              <w:jc w:val="both"/>
              <w:rPr>
                <w:rFonts w:ascii="宋体" w:hAnsi="宋体" w:cs="宋体" w:eastAsia="宋体" w:hint="default"/>
                <w:sz w:val="16"/>
                <w:szCs w:val="16"/>
              </w:rPr>
            </w:pPr>
            <w:r>
              <w:rPr>
                <w:rFonts w:ascii="宋体" w:hAnsi="宋体" w:cs="宋体" w:eastAsia="宋体" w:hint="default"/>
                <w:sz w:val="16"/>
                <w:szCs w:val="16"/>
              </w:rPr>
              <w:t>杭州西边有湖</w:t>
            </w:r>
            <w:r>
              <w:rPr>
                <w:rFonts w:ascii="宋体" w:hAnsi="宋体" w:cs="宋体" w:eastAsia="宋体" w:hint="default"/>
                <w:w w:val="99"/>
                <w:sz w:val="16"/>
                <w:szCs w:val="16"/>
              </w:rPr>
              <w:t> </w:t>
            </w:r>
            <w:r>
              <w:rPr>
                <w:rFonts w:ascii="宋体" w:hAnsi="宋体" w:cs="宋体" w:eastAsia="宋体" w:hint="default"/>
                <w:sz w:val="16"/>
                <w:szCs w:val="16"/>
              </w:rPr>
              <w:t>文化传播有限</w:t>
            </w:r>
            <w:r>
              <w:rPr>
                <w:rFonts w:ascii="宋体" w:hAnsi="宋体" w:cs="宋体" w:eastAsia="宋体" w:hint="default"/>
                <w:w w:val="99"/>
                <w:sz w:val="16"/>
                <w:szCs w:val="16"/>
              </w:rPr>
              <w:t> </w:t>
            </w:r>
            <w:r>
              <w:rPr>
                <w:rFonts w:ascii="宋体" w:hAnsi="宋体" w:cs="宋体" w:eastAsia="宋体" w:hint="default"/>
                <w:sz w:val="16"/>
                <w:szCs w:val="16"/>
              </w:rPr>
              <w:t>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250,000.00</w:t>
            </w:r>
          </w:p>
        </w:tc>
        <w:tc>
          <w:tcPr>
            <w:tcW w:w="89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250,000.00</w:t>
            </w:r>
          </w:p>
        </w:tc>
        <w:tc>
          <w:tcPr>
            <w:tcW w:w="97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99" w:right="0"/>
              <w:jc w:val="center"/>
              <w:rPr>
                <w:rFonts w:ascii="Times New Roman" w:hAnsi="Times New Roman" w:cs="Times New Roman" w:eastAsia="Times New Roman" w:hint="default"/>
                <w:sz w:val="16"/>
                <w:szCs w:val="16"/>
              </w:rPr>
            </w:pPr>
            <w:r>
              <w:rPr>
                <w:rFonts w:ascii="Times New Roman"/>
                <w:sz w:val="16"/>
              </w:rPr>
              <w:t>95,304.21</w:t>
            </w:r>
          </w:p>
        </w:tc>
        <w:tc>
          <w:tcPr>
            <w:tcW w:w="89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79" w:right="0"/>
              <w:jc w:val="center"/>
              <w:rPr>
                <w:rFonts w:ascii="Times New Roman" w:hAnsi="Times New Roman" w:cs="Times New Roman" w:eastAsia="Times New Roman" w:hint="default"/>
                <w:sz w:val="16"/>
                <w:szCs w:val="16"/>
              </w:rPr>
            </w:pPr>
            <w:r>
              <w:rPr>
                <w:rFonts w:ascii="Times New Roman"/>
                <w:sz w:val="16"/>
              </w:rPr>
              <w:t>95,304.21</w:t>
            </w:r>
          </w:p>
        </w:tc>
        <w:tc>
          <w:tcPr>
            <w:tcW w:w="89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60" w:lineRule="auto" w:before="66"/>
              <w:ind w:left="22" w:right="64"/>
              <w:jc w:val="left"/>
              <w:rPr>
                <w:rFonts w:ascii="宋体" w:hAnsi="宋体" w:cs="宋体" w:eastAsia="宋体" w:hint="default"/>
                <w:sz w:val="16"/>
                <w:szCs w:val="16"/>
              </w:rPr>
            </w:pPr>
            <w:r>
              <w:rPr>
                <w:rFonts w:ascii="宋体" w:hAnsi="宋体" w:cs="宋体" w:eastAsia="宋体" w:hint="default"/>
                <w:sz w:val="16"/>
                <w:szCs w:val="16"/>
              </w:rPr>
              <w:t>杭州滋洛科技</w:t>
            </w:r>
            <w:r>
              <w:rPr>
                <w:rFonts w:ascii="宋体" w:hAnsi="宋体" w:cs="宋体" w:eastAsia="宋体" w:hint="default"/>
                <w:w w:val="99"/>
                <w:sz w:val="16"/>
                <w:szCs w:val="16"/>
              </w:rPr>
              <w:t> </w:t>
            </w:r>
            <w:r>
              <w:rPr>
                <w:rFonts w:ascii="宋体" w:hAnsi="宋体" w:cs="宋体" w:eastAsia="宋体" w:hint="default"/>
                <w:sz w:val="16"/>
                <w:szCs w:val="16"/>
              </w:rPr>
              <w:t>有限公司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200,000.00</w:t>
            </w:r>
          </w:p>
        </w:tc>
        <w:tc>
          <w:tcPr>
            <w:tcW w:w="89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200,000.00</w:t>
            </w:r>
          </w:p>
        </w:tc>
        <w:tc>
          <w:tcPr>
            <w:tcW w:w="89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19.00%</w:t>
            </w:r>
          </w:p>
        </w:tc>
        <w:tc>
          <w:tcPr>
            <w:tcW w:w="4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6"/>
              <w:ind w:left="22"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6"/>
                <w:szCs w:val="16"/>
              </w:rPr>
            </w:pPr>
            <w:r>
              <w:rPr>
                <w:rFonts w:ascii="Times New Roman"/>
                <w:spacing w:val="-1"/>
                <w:sz w:val="16"/>
              </w:rPr>
              <w:t>116,891,392.10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2,830,600.00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spacing w:val="-1"/>
                <w:sz w:val="16"/>
              </w:rPr>
              <w:t>24,298,049.18</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95,423,942.92</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6"/>
                <w:szCs w:val="16"/>
              </w:rPr>
            </w:pPr>
            <w:r>
              <w:rPr>
                <w:rFonts w:ascii="Times New Roman"/>
                <w:sz w:val="16"/>
              </w:rPr>
              <w:t>1,033,988.34</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Times New Roman" w:hAnsi="Times New Roman" w:cs="Times New Roman" w:eastAsia="Times New Roman" w:hint="default"/>
                <w:sz w:val="16"/>
                <w:szCs w:val="16"/>
              </w:rPr>
            </w:pPr>
            <w:r>
              <w:rPr>
                <w:rFonts w:ascii="Times New Roman"/>
                <w:sz w:val="16"/>
              </w:rPr>
              <w:t>8,929,256.28</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6"/>
                <w:szCs w:val="16"/>
              </w:rPr>
            </w:pPr>
            <w:r>
              <w:rPr>
                <w:rFonts w:ascii="Times New Roman"/>
                <w:sz w:val="16"/>
              </w:rPr>
              <w:t>124,988.34</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spacing w:val="-1"/>
                <w:sz w:val="16"/>
              </w:rPr>
              <w:t>9,838,256.28</w:t>
            </w:r>
          </w:p>
        </w:tc>
        <w:tc>
          <w:tcPr>
            <w:tcW w:w="8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2"/>
              <w:ind w:right="0"/>
              <w:jc w:val="center"/>
              <w:rPr>
                <w:rFonts w:ascii="Times New Roman" w:hAnsi="Times New Roman" w:cs="Times New Roman" w:eastAsia="Times New Roman" w:hint="default"/>
                <w:sz w:val="16"/>
                <w:szCs w:val="16"/>
              </w:rPr>
            </w:pPr>
            <w:r>
              <w:rPr>
                <w:rFonts w:ascii="Times New Roman"/>
                <w:sz w:val="16"/>
              </w:rPr>
              <w:t>--</w:t>
            </w:r>
          </w:p>
        </w:tc>
        <w:tc>
          <w:tcPr>
            <w:tcW w:w="4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0"/>
        </w:sectPr>
      </w:pPr>
    </w:p>
    <w:p>
      <w:pPr>
        <w:spacing w:line="240" w:lineRule="auto" w:before="6"/>
        <w:rPr>
          <w:rFonts w:ascii="Times New Roman" w:hAnsi="Times New Roman" w:cs="Times New Roman" w:eastAsia="Times New Roman" w:hint="default"/>
          <w:sz w:val="23"/>
          <w:szCs w:val="23"/>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1"/>
        <w:gridCol w:w="1925"/>
        <w:gridCol w:w="1914"/>
        <w:gridCol w:w="1914"/>
        <w:gridCol w:w="1914"/>
      </w:tblGrid>
      <w:tr>
        <w:trPr>
          <w:trHeight w:val="402" w:hRule="exact"/>
        </w:trPr>
        <w:tc>
          <w:tcPr>
            <w:tcW w:w="1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0"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13" w:space="0" w:color="D3D3D3"/>
              <w:bottom w:val="single" w:sz="4" w:space="0" w:color="000000"/>
              <w:right w:val="single" w:sz="4" w:space="0" w:color="000000"/>
            </w:tcBorders>
            <w:shd w:val="clear" w:color="auto" w:fill="E1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192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1,033,988.34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1,033,988.34</w:t>
            </w:r>
          </w:p>
        </w:tc>
      </w:tr>
      <w:tr>
        <w:trPr>
          <w:trHeight w:val="402" w:hRule="exact"/>
        </w:trPr>
        <w:tc>
          <w:tcPr>
            <w:tcW w:w="1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2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8,929,256.28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8,929,256.28</w:t>
            </w:r>
          </w:p>
        </w:tc>
      </w:tr>
      <w:tr>
        <w:trPr>
          <w:trHeight w:val="402" w:hRule="exact"/>
        </w:trPr>
        <w:tc>
          <w:tcPr>
            <w:tcW w:w="1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124,988.34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124,988.34</w:t>
            </w:r>
          </w:p>
        </w:tc>
      </w:tr>
      <w:tr>
        <w:trPr>
          <w:trHeight w:val="403" w:hRule="exact"/>
        </w:trPr>
        <w:tc>
          <w:tcPr>
            <w:tcW w:w="1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192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9,838,256.28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9,838,256.28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12</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13</w:t>
      </w:r>
      <w:r>
        <w:rPr/>
        <w:t>、长期应收款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after="0" w:line="240" w:lineRule="auto"/>
        <w:jc w:val="left"/>
        <w:sectPr>
          <w:pgSz w:w="11910" w:h="16840"/>
          <w:pgMar w:header="877" w:footer="982" w:top="1100" w:bottom="1180" w:left="980" w:right="0"/>
        </w:sectPr>
      </w:pPr>
    </w:p>
    <w:p>
      <w:pPr>
        <w:spacing w:line="240" w:lineRule="auto" w:before="12"/>
        <w:rPr>
          <w:rFonts w:ascii="宋体" w:hAnsi="宋体" w:cs="宋体" w:eastAsia="宋体" w:hint="default"/>
          <w:b/>
          <w:bCs/>
          <w:sz w:val="2"/>
          <w:szCs w:val="2"/>
        </w:rPr>
      </w:pPr>
    </w:p>
    <w:p>
      <w:pPr>
        <w:spacing w:line="20" w:lineRule="exact"/>
        <w:ind w:left="3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339" w:right="0"/>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339"/>
        <w:jc w:val="right"/>
      </w:pPr>
      <w:r>
        <w:rPr/>
        <w:pict>
          <v:group style="position:absolute;margin-left:257.210999pt;margin-top:31.911728pt;width:57.7pt;height:17.5pt;mso-position-horizontal-relative:page;mso-position-vertical-relative:paragraph;z-index:-1148536" coordorigin="5144,638" coordsize="1154,350">
            <v:shape style="position:absolute;left:5144;top:638;width:1154;height:350" coordorigin="5144,638" coordsize="1154,350" path="m6297,755l6297,638,5144,638,5529,755,6297,755xe" filled="true" fillcolor="#d3d3d3" stroked="false">
              <v:path arrowok="t"/>
              <v:fill type="solid"/>
            </v:shape>
            <v:shape style="position:absolute;left:5144;top:638;width:1154;height:350" coordorigin="5144,638" coordsize="1154,350" path="m6275,987l6275,981,5529,755,5167,755,5167,987,6275,987xe" filled="true" fillcolor="#d3d3d3" stroked="false">
              <v:path arrowok="t"/>
              <v:fill type="solid"/>
            </v:shape>
            <v:shape style="position:absolute;left:5144;top:638;width:1154;height:350" coordorigin="5144,638" coordsize="1154,350" path="m6297,987l6297,755,6275,755,6275,981,6297,987xe" filled="true" fillcolor="#d3d3d3" stroked="false">
              <v:path arrowok="t"/>
              <v:fill type="solid"/>
            </v:shape>
            <w10:wrap type="none"/>
          </v:group>
        </w:pict>
      </w:r>
      <w:r>
        <w:rPr/>
        <w:t>单位： 元</w:t>
      </w:r>
    </w:p>
    <w:p>
      <w:pPr>
        <w:spacing w:line="240" w:lineRule="auto" w:before="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60"/>
        <w:gridCol w:w="1183"/>
        <w:gridCol w:w="1183"/>
        <w:gridCol w:w="1164"/>
        <w:gridCol w:w="1164"/>
        <w:gridCol w:w="1164"/>
        <w:gridCol w:w="1164"/>
        <w:gridCol w:w="1164"/>
        <w:gridCol w:w="1164"/>
        <w:gridCol w:w="1164"/>
        <w:gridCol w:w="1182"/>
        <w:gridCol w:w="1156"/>
      </w:tblGrid>
      <w:tr>
        <w:trPr>
          <w:trHeight w:val="243" w:hRule="exact"/>
        </w:trPr>
        <w:tc>
          <w:tcPr>
            <w:tcW w:w="15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8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31"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8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5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1"/>
              <w:ind w:left="392" w:right="31"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78" w:hRule="exact"/>
        </w:trPr>
        <w:tc>
          <w:tcPr>
            <w:tcW w:w="1560" w:type="dxa"/>
            <w:vMerge/>
            <w:tcBorders>
              <w:left w:val="single" w:sz="4" w:space="0" w:color="000000"/>
              <w:bottom w:val="single" w:sz="4" w:space="0" w:color="000000"/>
              <w:right w:val="single" w:sz="4" w:space="0" w:color="000000"/>
            </w:tcBorders>
            <w:shd w:val="clear" w:color="auto" w:fill="D3D3D3"/>
          </w:tcPr>
          <w:p>
            <w:pPr/>
          </w:p>
        </w:tc>
        <w:tc>
          <w:tcPr>
            <w:tcW w:w="1183" w:type="dxa"/>
            <w:vMerge/>
            <w:tcBorders>
              <w:left w:val="single" w:sz="4" w:space="0" w:color="000000"/>
              <w:bottom w:val="single" w:sz="4" w:space="0" w:color="000000"/>
              <w:right w:val="single" w:sz="4" w:space="0" w:color="000000"/>
            </w:tcBorders>
            <w:shd w:val="clear" w:color="auto" w:fill="D3D3D3"/>
          </w:tcPr>
          <w:p>
            <w:pPr/>
          </w:p>
        </w:tc>
        <w:tc>
          <w:tcPr>
            <w:tcW w:w="1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7"/>
              <w:ind w:left="225"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7"/>
              <w:ind w:left="215"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25" w:right="0" w:hanging="90"/>
              <w:jc w:val="left"/>
              <w:rPr>
                <w:rFonts w:ascii="宋体" w:hAnsi="宋体" w:cs="宋体" w:eastAsia="宋体" w:hint="default"/>
                <w:sz w:val="18"/>
                <w:szCs w:val="18"/>
              </w:rPr>
            </w:pPr>
            <w:r>
              <w:rPr>
                <w:rFonts w:ascii="宋体" w:hAnsi="宋体" w:cs="宋体" w:eastAsia="宋体" w:hint="default"/>
                <w:sz w:val="18"/>
                <w:szCs w:val="18"/>
              </w:rPr>
              <w:t>权益法下确认</w:t>
            </w:r>
          </w:p>
          <w:p>
            <w:pPr>
              <w:pStyle w:val="TableParagraph"/>
              <w:spacing w:line="234" w:lineRule="exact"/>
              <w:ind w:left="125" w:right="0"/>
              <w:jc w:val="left"/>
              <w:rPr>
                <w:rFonts w:ascii="宋体" w:hAnsi="宋体" w:cs="宋体" w:eastAsia="宋体" w:hint="default"/>
                <w:sz w:val="18"/>
                <w:szCs w:val="18"/>
              </w:rPr>
            </w:pPr>
            <w:r>
              <w:rPr>
                <w:rFonts w:ascii="宋体" w:hAnsi="宋体" w:cs="宋体" w:eastAsia="宋体" w:hint="default"/>
                <w:sz w:val="18"/>
                <w:szCs w:val="18"/>
              </w:rPr>
              <w:t>的投资损益</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其他综合收益</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调整</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7"/>
              <w:ind w:left="35" w:right="0"/>
              <w:jc w:val="left"/>
              <w:rPr>
                <w:rFonts w:ascii="宋体" w:hAnsi="宋体" w:cs="宋体" w:eastAsia="宋体" w:hint="default"/>
                <w:sz w:val="18"/>
                <w:szCs w:val="18"/>
              </w:rPr>
            </w:pPr>
            <w:r>
              <w:rPr>
                <w:rFonts w:ascii="宋体" w:hAnsi="宋体" w:cs="宋体" w:eastAsia="宋体" w:hint="default"/>
                <w:sz w:val="18"/>
                <w:szCs w:val="18"/>
              </w:rPr>
              <w:t>其他权益变动</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25" w:right="0" w:hanging="90"/>
              <w:jc w:val="left"/>
              <w:rPr>
                <w:rFonts w:ascii="宋体" w:hAnsi="宋体" w:cs="宋体" w:eastAsia="宋体" w:hint="default"/>
                <w:sz w:val="18"/>
                <w:szCs w:val="18"/>
              </w:rPr>
            </w:pPr>
            <w:r>
              <w:rPr>
                <w:rFonts w:ascii="宋体" w:hAnsi="宋体" w:cs="宋体" w:eastAsia="宋体" w:hint="default"/>
                <w:sz w:val="18"/>
                <w:szCs w:val="18"/>
              </w:rPr>
              <w:t>宣告发放现金</w:t>
            </w:r>
          </w:p>
          <w:p>
            <w:pPr>
              <w:pStyle w:val="TableParagraph"/>
              <w:spacing w:line="234" w:lineRule="exact"/>
              <w:ind w:left="125" w:right="0"/>
              <w:jc w:val="left"/>
              <w:rPr>
                <w:rFonts w:ascii="宋体" w:hAnsi="宋体" w:cs="宋体" w:eastAsia="宋体" w:hint="default"/>
                <w:sz w:val="18"/>
                <w:szCs w:val="18"/>
              </w:rPr>
            </w:pPr>
            <w:r>
              <w:rPr>
                <w:rFonts w:ascii="宋体" w:hAnsi="宋体" w:cs="宋体" w:eastAsia="宋体" w:hint="default"/>
                <w:sz w:val="18"/>
                <w:szCs w:val="18"/>
              </w:rPr>
              <w:t>股利或利润</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7"/>
              <w:ind w:left="36"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2" w:type="dxa"/>
            <w:vMerge/>
            <w:tcBorders>
              <w:left w:val="single" w:sz="4" w:space="0" w:color="000000"/>
              <w:bottom w:val="single" w:sz="4" w:space="0" w:color="000000"/>
              <w:right w:val="single" w:sz="4" w:space="0" w:color="000000"/>
            </w:tcBorders>
            <w:shd w:val="clear" w:color="auto" w:fill="D3D3D3"/>
          </w:tcPr>
          <w:p>
            <w:pPr/>
          </w:p>
        </w:tc>
        <w:tc>
          <w:tcPr>
            <w:tcW w:w="1156" w:type="dxa"/>
            <w:vMerge/>
            <w:tcBorders>
              <w:left w:val="single" w:sz="4" w:space="0" w:color="000000"/>
              <w:bottom w:val="single" w:sz="4" w:space="0" w:color="000000"/>
              <w:right w:val="single" w:sz="4" w:space="0" w:color="000000"/>
            </w:tcBorders>
            <w:shd w:val="clear" w:color="auto" w:fill="D3D3D3"/>
          </w:tcPr>
          <w:p>
            <w:pPr/>
          </w:p>
        </w:tc>
      </w:tr>
      <w:tr>
        <w:trPr>
          <w:trHeight w:val="239" w:hRule="exact"/>
        </w:trPr>
        <w:tc>
          <w:tcPr>
            <w:tcW w:w="1441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81"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09" w:lineRule="exact"/>
              <w:ind w:left="22" w:right="0"/>
              <w:jc w:val="left"/>
              <w:rPr>
                <w:rFonts w:ascii="宋体" w:hAnsi="宋体" w:cs="宋体" w:eastAsia="宋体" w:hint="default"/>
                <w:sz w:val="18"/>
                <w:szCs w:val="18"/>
              </w:rPr>
            </w:pPr>
            <w:r>
              <w:rPr>
                <w:rFonts w:ascii="宋体" w:hAnsi="宋体" w:cs="宋体" w:eastAsia="宋体" w:hint="default"/>
                <w:sz w:val="18"/>
                <w:szCs w:val="18"/>
              </w:rPr>
              <w:t>德清今日传媒有限</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2,553,245.78</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-239,904.20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1,313,341.58</w:t>
            </w:r>
          </w:p>
        </w:tc>
        <w:tc>
          <w:tcPr>
            <w:tcW w:w="115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杭州激创投资管理</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2,434,643.94</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85" w:right="0"/>
              <w:jc w:val="left"/>
              <w:rPr>
                <w:rFonts w:ascii="Times New Roman" w:hAnsi="Times New Roman" w:cs="Times New Roman" w:eastAsia="Times New Roman" w:hint="default"/>
                <w:sz w:val="18"/>
                <w:szCs w:val="18"/>
              </w:rPr>
            </w:pPr>
            <w:r>
              <w:rPr>
                <w:rFonts w:ascii="Times New Roman"/>
                <w:sz w:val="18"/>
              </w:rPr>
              <w:t>2,434,643.94</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8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pacing w:val="-1"/>
                <w:sz w:val="18"/>
              </w:rPr>
              <w:t>4,987,889.72</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85" w:right="0"/>
              <w:jc w:val="left"/>
              <w:rPr>
                <w:rFonts w:ascii="Times New Roman" w:hAnsi="Times New Roman" w:cs="Times New Roman" w:eastAsia="Times New Roman" w:hint="default"/>
                <w:sz w:val="18"/>
                <w:szCs w:val="18"/>
              </w:rPr>
            </w:pPr>
            <w:r>
              <w:rPr>
                <w:rFonts w:ascii="Times New Roman"/>
                <w:sz w:val="18"/>
              </w:rPr>
              <w:t>2,434,643.94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-239,904.20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pacing w:val="-1"/>
                <w:sz w:val="18"/>
              </w:rPr>
              <w:t>1,313,341.58</w:t>
            </w:r>
          </w:p>
        </w:tc>
        <w:tc>
          <w:tcPr>
            <w:tcW w:w="1156" w:type="dxa"/>
            <w:tcBorders>
              <w:top w:val="single" w:sz="4" w:space="0" w:color="000000"/>
              <w:left w:val="single" w:sz="4" w:space="0" w:color="000000"/>
              <w:bottom w:val="single" w:sz="4" w:space="0" w:color="000000"/>
              <w:right w:val="single" w:sz="4" w:space="0" w:color="000000"/>
            </w:tcBorders>
          </w:tcPr>
          <w:p>
            <w:pPr/>
          </w:p>
        </w:tc>
      </w:tr>
      <w:tr>
        <w:trPr>
          <w:trHeight w:val="233" w:hRule="exact"/>
        </w:trPr>
        <w:tc>
          <w:tcPr>
            <w:tcW w:w="1441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81"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09" w:lineRule="exact"/>
              <w:ind w:left="22" w:right="0"/>
              <w:jc w:val="left"/>
              <w:rPr>
                <w:rFonts w:ascii="宋体" w:hAnsi="宋体" w:cs="宋体" w:eastAsia="宋体" w:hint="default"/>
                <w:sz w:val="18"/>
                <w:szCs w:val="18"/>
              </w:rPr>
            </w:pPr>
            <w:r>
              <w:rPr>
                <w:rFonts w:ascii="宋体" w:hAnsi="宋体" w:cs="宋体" w:eastAsia="宋体" w:hint="default"/>
                <w:sz w:val="18"/>
                <w:szCs w:val="18"/>
              </w:rPr>
              <w:t>杭州看看十度网络</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Times New Roman" w:hAnsi="Times New Roman" w:cs="Times New Roman" w:eastAsia="Times New Roman" w:hint="default"/>
                <w:sz w:val="18"/>
                <w:szCs w:val="18"/>
              </w:rPr>
            </w:pPr>
            <w:r>
              <w:rPr>
                <w:rFonts w:ascii="Times New Roman"/>
                <w:sz w:val="18"/>
              </w:rPr>
              <w:t>186,015.76</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Times New Roman" w:hAnsi="Times New Roman" w:cs="Times New Roman" w:eastAsia="Times New Roman" w:hint="default"/>
                <w:sz w:val="18"/>
                <w:szCs w:val="18"/>
              </w:rPr>
            </w:pPr>
            <w:r>
              <w:rPr>
                <w:rFonts w:ascii="Times New Roman"/>
                <w:sz w:val="18"/>
              </w:rPr>
              <w:t>13,731.41</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Times New Roman" w:hAnsi="Times New Roman" w:cs="Times New Roman" w:eastAsia="Times New Roman" w:hint="default"/>
                <w:sz w:val="18"/>
                <w:szCs w:val="18"/>
              </w:rPr>
            </w:pPr>
            <w:r>
              <w:rPr>
                <w:rFonts w:ascii="Times New Roman"/>
                <w:sz w:val="18"/>
              </w:rPr>
              <w:t>199,747.17</w:t>
            </w:r>
          </w:p>
        </w:tc>
        <w:tc>
          <w:tcPr>
            <w:tcW w:w="11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浙江衢州盛元文创</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印业有限公司</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19,000,719.06</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2,480,789.07</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5,070,000.00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16,411,508.13</w:t>
            </w:r>
          </w:p>
        </w:tc>
        <w:tc>
          <w:tcPr>
            <w:tcW w:w="115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江苏时代盛元数字</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图文影像有限公司</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1,114,567.00</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1,114,567.00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13" w:right="0"/>
              <w:jc w:val="left"/>
              <w:rPr>
                <w:rFonts w:ascii="Times New Roman" w:hAnsi="Times New Roman" w:cs="Times New Roman" w:eastAsia="Times New Roman" w:hint="default"/>
                <w:sz w:val="18"/>
                <w:szCs w:val="18"/>
              </w:rPr>
            </w:pPr>
            <w:r>
              <w:rPr>
                <w:rFonts w:ascii="Times New Roman"/>
                <w:sz w:val="18"/>
              </w:rPr>
              <w:t>484,373.39</w:t>
            </w:r>
          </w:p>
        </w:tc>
      </w:tr>
      <w:tr>
        <w:trPr>
          <w:trHeight w:val="478"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北京中环盛元数字</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图文有限公司</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1,698,019.69</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-439,214.11</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1,258,805.58</w:t>
            </w:r>
          </w:p>
        </w:tc>
        <w:tc>
          <w:tcPr>
            <w:tcW w:w="115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杭州华媒科创园区</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管理有限公司</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3,155,953.21</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448,308.67</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3,604,261.88</w:t>
            </w:r>
          </w:p>
        </w:tc>
        <w:tc>
          <w:tcPr>
            <w:tcW w:w="115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杭州文化产权交易</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所有限公司</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22,227,395.87</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128,058.66</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800,000.00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21,555,454.53</w:t>
            </w:r>
          </w:p>
        </w:tc>
        <w:tc>
          <w:tcPr>
            <w:tcW w:w="11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杭州火鸟区块链有</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3,500,000.00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6,706.32</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3,506,706.32</w:t>
            </w:r>
          </w:p>
        </w:tc>
        <w:tc>
          <w:tcPr>
            <w:tcW w:w="115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十九楼网络股份有</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36,275,869.03</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-1,067,721.81</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35,208,147.22</w:t>
            </w:r>
          </w:p>
        </w:tc>
        <w:tc>
          <w:tcPr>
            <w:tcW w:w="11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杭州华媒泽商创业</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投资合伙企业</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30,809,830.56</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-171,913.11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320" w:right="0"/>
              <w:jc w:val="left"/>
              <w:rPr>
                <w:rFonts w:ascii="Times New Roman" w:hAnsi="Times New Roman" w:cs="Times New Roman" w:eastAsia="Times New Roman" w:hint="default"/>
                <w:sz w:val="18"/>
                <w:szCs w:val="18"/>
              </w:rPr>
            </w:pPr>
            <w:r>
              <w:rPr>
                <w:rFonts w:ascii="Times New Roman"/>
                <w:sz w:val="18"/>
              </w:rPr>
              <w:t>132,213.68</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30,770,131.13</w:t>
            </w:r>
          </w:p>
        </w:tc>
        <w:tc>
          <w:tcPr>
            <w:tcW w:w="115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杭州杭实华媒投资</w:t>
            </w:r>
          </w:p>
          <w:p>
            <w:pPr>
              <w:pStyle w:val="TableParagraph"/>
              <w:spacing w:line="240" w:lineRule="auto"/>
              <w:ind w:left="22" w:right="85"/>
              <w:jc w:val="left"/>
              <w:rPr>
                <w:rFonts w:ascii="宋体" w:hAnsi="宋体" w:cs="宋体" w:eastAsia="宋体" w:hint="default"/>
                <w:sz w:val="18"/>
                <w:szCs w:val="18"/>
              </w:rPr>
            </w:pPr>
            <w:r>
              <w:rPr>
                <w:rFonts w:ascii="宋体" w:hAnsi="宋体" w:cs="宋体" w:eastAsia="宋体" w:hint="default"/>
                <w:sz w:val="18"/>
                <w:szCs w:val="18"/>
              </w:rPr>
              <w:t>管理合伙企业（有 限合伙）</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49,500,000.00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2,473,023.90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2,465,099.81</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49,507,924.09</w:t>
            </w:r>
          </w:p>
        </w:tc>
        <w:tc>
          <w:tcPr>
            <w:tcW w:w="115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杭州都快交通久一</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点吧传媒有限公司</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42,225,471.35</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10,338,601.28</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8,190,000.00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44,374,072.63</w:t>
            </w:r>
          </w:p>
        </w:tc>
        <w:tc>
          <w:tcPr>
            <w:tcW w:w="11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杭州千岱酒店有限</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702,662.04</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45,554.78</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748,216.82</w:t>
            </w:r>
          </w:p>
        </w:tc>
        <w:tc>
          <w:tcPr>
            <w:tcW w:w="1156"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58"/>
          <w:footerReference w:type="default" r:id="rId59"/>
          <w:pgSz w:w="16840" w:h="11910" w:orient="landscape"/>
          <w:pgMar w:header="867" w:footer="978" w:top="1060" w:bottom="1160" w:left="1100" w:right="1100"/>
          <w:pgNumType w:start="115"/>
        </w:sectPr>
      </w:pPr>
    </w:p>
    <w:p>
      <w:pPr>
        <w:spacing w:line="240" w:lineRule="auto" w:before="12"/>
        <w:rPr>
          <w:rFonts w:ascii="宋体" w:hAnsi="宋体" w:cs="宋体" w:eastAsia="宋体" w:hint="default"/>
          <w:sz w:val="2"/>
          <w:szCs w:val="2"/>
        </w:rPr>
      </w:pPr>
    </w:p>
    <w:p>
      <w:pPr>
        <w:spacing w:line="20" w:lineRule="exact"/>
        <w:ind w:left="3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tbl>
      <w:tblPr>
        <w:tblW w:w="0" w:type="auto"/>
        <w:jc w:val="left"/>
        <w:tblInd w:w="108" w:type="dxa"/>
        <w:tblLayout w:type="fixed"/>
        <w:tblCellMar>
          <w:top w:w="0" w:type="dxa"/>
          <w:left w:w="0" w:type="dxa"/>
          <w:bottom w:w="0" w:type="dxa"/>
          <w:right w:w="0" w:type="dxa"/>
        </w:tblCellMar>
        <w:tblLook w:val="01E0"/>
      </w:tblPr>
      <w:tblGrid>
        <w:gridCol w:w="1560"/>
        <w:gridCol w:w="1183"/>
        <w:gridCol w:w="1183"/>
        <w:gridCol w:w="1164"/>
        <w:gridCol w:w="1164"/>
        <w:gridCol w:w="1164"/>
        <w:gridCol w:w="1164"/>
        <w:gridCol w:w="1164"/>
        <w:gridCol w:w="1164"/>
        <w:gridCol w:w="1164"/>
        <w:gridCol w:w="1182"/>
        <w:gridCol w:w="1156"/>
      </w:tblGrid>
      <w:tr>
        <w:trPr>
          <w:trHeight w:val="472" w:hRule="exact"/>
        </w:trPr>
        <w:tc>
          <w:tcPr>
            <w:tcW w:w="156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浙江饭美科技有限</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1,582,688.43</w:t>
            </w:r>
          </w:p>
        </w:tc>
        <w:tc>
          <w:tcPr>
            <w:tcW w:w="1183" w:type="dxa"/>
            <w:tcBorders>
              <w:top w:val="nil" w:sz="6" w:space="0" w:color="auto"/>
              <w:left w:val="single" w:sz="4" w:space="0" w:color="000000"/>
              <w:bottom w:val="single" w:sz="4" w:space="0" w:color="000000"/>
              <w:right w:val="single" w:sz="4" w:space="0" w:color="000000"/>
            </w:tcBorders>
          </w:tcPr>
          <w:p>
            <w:pPr/>
          </w:p>
        </w:tc>
        <w:tc>
          <w:tcPr>
            <w:tcW w:w="1164" w:type="dxa"/>
            <w:tcBorders>
              <w:top w:val="nil" w:sz="6" w:space="0" w:color="auto"/>
              <w:left w:val="single" w:sz="4" w:space="0" w:color="000000"/>
              <w:bottom w:val="single" w:sz="4" w:space="0" w:color="000000"/>
              <w:right w:val="single" w:sz="4" w:space="0" w:color="000000"/>
            </w:tcBorders>
          </w:tcPr>
          <w:p>
            <w:pPr/>
          </w:p>
        </w:tc>
        <w:tc>
          <w:tcPr>
            <w:tcW w:w="11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-838,972.45</w:t>
            </w:r>
          </w:p>
        </w:tc>
        <w:tc>
          <w:tcPr>
            <w:tcW w:w="1164" w:type="dxa"/>
            <w:tcBorders>
              <w:top w:val="nil" w:sz="6" w:space="0" w:color="auto"/>
              <w:left w:val="single" w:sz="4" w:space="0" w:color="000000"/>
              <w:bottom w:val="single" w:sz="4" w:space="0" w:color="000000"/>
              <w:right w:val="single" w:sz="4" w:space="0" w:color="000000"/>
            </w:tcBorders>
          </w:tcPr>
          <w:p>
            <w:pPr/>
          </w:p>
        </w:tc>
        <w:tc>
          <w:tcPr>
            <w:tcW w:w="1164" w:type="dxa"/>
            <w:tcBorders>
              <w:top w:val="nil" w:sz="6" w:space="0" w:color="auto"/>
              <w:left w:val="single" w:sz="4" w:space="0" w:color="000000"/>
              <w:bottom w:val="single" w:sz="4" w:space="0" w:color="000000"/>
              <w:right w:val="single" w:sz="4" w:space="0" w:color="000000"/>
            </w:tcBorders>
          </w:tcPr>
          <w:p>
            <w:pPr/>
          </w:p>
        </w:tc>
        <w:tc>
          <w:tcPr>
            <w:tcW w:w="1164" w:type="dxa"/>
            <w:tcBorders>
              <w:top w:val="nil" w:sz="6" w:space="0" w:color="auto"/>
              <w:left w:val="single" w:sz="4" w:space="0" w:color="000000"/>
              <w:bottom w:val="single" w:sz="4" w:space="0" w:color="000000"/>
              <w:right w:val="single" w:sz="4" w:space="0" w:color="000000"/>
            </w:tcBorders>
          </w:tcPr>
          <w:p>
            <w:pPr/>
          </w:p>
        </w:tc>
        <w:tc>
          <w:tcPr>
            <w:tcW w:w="1164" w:type="dxa"/>
            <w:tcBorders>
              <w:top w:val="nil" w:sz="6" w:space="0" w:color="auto"/>
              <w:left w:val="single" w:sz="4" w:space="0" w:color="000000"/>
              <w:bottom w:val="single" w:sz="4" w:space="0" w:color="000000"/>
              <w:right w:val="single" w:sz="4" w:space="0" w:color="000000"/>
            </w:tcBorders>
          </w:tcPr>
          <w:p>
            <w:pPr/>
          </w:p>
        </w:tc>
        <w:tc>
          <w:tcPr>
            <w:tcW w:w="1164" w:type="dxa"/>
            <w:tcBorders>
              <w:top w:val="nil" w:sz="6" w:space="0" w:color="auto"/>
              <w:left w:val="single" w:sz="4" w:space="0" w:color="000000"/>
              <w:bottom w:val="single" w:sz="4" w:space="0" w:color="000000"/>
              <w:right w:val="single" w:sz="4" w:space="0" w:color="000000"/>
            </w:tcBorders>
          </w:tcPr>
          <w:p>
            <w:pPr/>
          </w:p>
        </w:tc>
        <w:tc>
          <w:tcPr>
            <w:tcW w:w="11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743,715.98</w:t>
            </w:r>
          </w:p>
        </w:tc>
        <w:tc>
          <w:tcPr>
            <w:tcW w:w="1156" w:type="dxa"/>
            <w:tcBorders>
              <w:top w:val="nil" w:sz="6" w:space="0" w:color="auto"/>
              <w:left w:val="single" w:sz="4" w:space="0" w:color="000000"/>
              <w:bottom w:val="single" w:sz="4" w:space="0" w:color="000000"/>
              <w:right w:val="single" w:sz="4" w:space="0" w:color="000000"/>
            </w:tcBorders>
          </w:tcPr>
          <w:p>
            <w:pPr/>
          </w:p>
        </w:tc>
      </w:tr>
      <w:tr>
        <w:trPr>
          <w:trHeight w:val="478"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杭州大快文化创意</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5,653,846.15</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2"/>
              <w:jc w:val="right"/>
              <w:rPr>
                <w:rFonts w:ascii="Times New Roman" w:hAnsi="Times New Roman" w:cs="Times New Roman" w:eastAsia="Times New Roman" w:hint="default"/>
                <w:sz w:val="18"/>
                <w:szCs w:val="18"/>
              </w:rPr>
            </w:pPr>
            <w:r>
              <w:rPr>
                <w:rFonts w:ascii="Times New Roman"/>
                <w:spacing w:val="-1"/>
                <w:sz w:val="18"/>
              </w:rPr>
              <w:t>-101,511.62</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5,552,334.53</w:t>
            </w:r>
          </w:p>
        </w:tc>
        <w:tc>
          <w:tcPr>
            <w:tcW w:w="115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浙江都快金服信息</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服务有限公司</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1,870,000.00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-195,640.89</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434,359.11</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434,359.11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434,359.11</w:t>
            </w:r>
          </w:p>
        </w:tc>
      </w:tr>
      <w:tr>
        <w:trPr>
          <w:trHeight w:val="478"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浙江蜂果网络科技</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3,400,000.00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pacing w:val="-2"/>
                <w:sz w:val="18"/>
              </w:rPr>
              <w:t>-111,145.26</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3,288,854.74</w:t>
            </w:r>
          </w:p>
        </w:tc>
        <w:tc>
          <w:tcPr>
            <w:tcW w:w="115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拓普金榜（北京）</w:t>
            </w:r>
          </w:p>
          <w:p>
            <w:pPr>
              <w:pStyle w:val="TableParagraph"/>
              <w:spacing w:line="240" w:lineRule="auto"/>
              <w:ind w:left="22" w:right="85"/>
              <w:jc w:val="left"/>
              <w:rPr>
                <w:rFonts w:ascii="宋体" w:hAnsi="宋体" w:cs="宋体" w:eastAsia="宋体" w:hint="default"/>
                <w:sz w:val="18"/>
                <w:szCs w:val="18"/>
              </w:rPr>
            </w:pPr>
            <w:r>
              <w:rPr>
                <w:rFonts w:ascii="宋体" w:hAnsi="宋体" w:cs="宋体" w:eastAsia="宋体" w:hint="default"/>
                <w:sz w:val="18"/>
                <w:szCs w:val="18"/>
              </w:rPr>
              <w:t>休闲文化传媒有限 公司</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130,798.06</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130,798.06</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130,798.06</w:t>
            </w:r>
          </w:p>
        </w:tc>
      </w:tr>
      <w:tr>
        <w:trPr>
          <w:trHeight w:val="476"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杭州萧山日报资本</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管理有限公司</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3,915,567.22</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78,239.84</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3,993,807.06</w:t>
            </w:r>
          </w:p>
        </w:tc>
        <w:tc>
          <w:tcPr>
            <w:tcW w:w="115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快点文化传播（上</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海）有限公司</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207,252,201.00</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12,393,714.63</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219,645,915.63</w:t>
            </w:r>
          </w:p>
        </w:tc>
        <w:tc>
          <w:tcPr>
            <w:tcW w:w="11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杭州一鼓智讯网络</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595,129.85</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-113,537.28</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481,592.57</w:t>
            </w:r>
          </w:p>
        </w:tc>
        <w:tc>
          <w:tcPr>
            <w:tcW w:w="115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浙江弘致投资管理</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1,418,629.60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450,000.00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-1,548,103.06</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479,878.49</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800,405.03</w:t>
            </w:r>
          </w:p>
        </w:tc>
        <w:tc>
          <w:tcPr>
            <w:tcW w:w="1156" w:type="dxa"/>
            <w:tcBorders>
              <w:top w:val="single" w:sz="4" w:space="0" w:color="000000"/>
              <w:left w:val="single" w:sz="4" w:space="0" w:color="000000"/>
              <w:bottom w:val="single" w:sz="4" w:space="0" w:color="000000"/>
              <w:right w:val="single" w:sz="4" w:space="0" w:color="000000"/>
            </w:tcBorders>
          </w:tcPr>
          <w:p>
            <w:pPr/>
          </w:p>
        </w:tc>
      </w:tr>
      <w:tr>
        <w:trPr>
          <w:trHeight w:val="568"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5"/>
              <w:ind w:left="22" w:right="85"/>
              <w:jc w:val="left"/>
              <w:rPr>
                <w:rFonts w:ascii="宋体" w:hAnsi="宋体" w:cs="宋体" w:eastAsia="宋体" w:hint="default"/>
                <w:sz w:val="18"/>
                <w:szCs w:val="18"/>
              </w:rPr>
            </w:pPr>
            <w:r>
              <w:rPr>
                <w:rFonts w:ascii="宋体" w:hAnsi="宋体" w:cs="宋体" w:eastAsia="宋体" w:hint="default"/>
                <w:sz w:val="18"/>
                <w:szCs w:val="18"/>
              </w:rPr>
              <w:t>杭州城乡通商务有 限公司</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-1,890.40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1,698,109.60</w:t>
            </w:r>
          </w:p>
        </w:tc>
        <w:tc>
          <w:tcPr>
            <w:tcW w:w="115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布朗睿智（北京）</w:t>
            </w:r>
          </w:p>
          <w:p>
            <w:pPr>
              <w:pStyle w:val="TableParagraph"/>
              <w:spacing w:line="240" w:lineRule="auto"/>
              <w:ind w:left="22" w:right="85"/>
              <w:jc w:val="left"/>
              <w:rPr>
                <w:rFonts w:ascii="宋体" w:hAnsi="宋体" w:cs="宋体" w:eastAsia="宋体" w:hint="default"/>
                <w:sz w:val="18"/>
                <w:szCs w:val="18"/>
              </w:rPr>
            </w:pPr>
            <w:r>
              <w:rPr>
                <w:rFonts w:ascii="宋体" w:hAnsi="宋体" w:cs="宋体" w:eastAsia="宋体" w:hint="default"/>
                <w:sz w:val="18"/>
                <w:szCs w:val="18"/>
              </w:rPr>
              <w:t>国际教育科技有限 公司</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109,110,864.36</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9,470,263.95</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135,181,128.31</w:t>
            </w:r>
          </w:p>
        </w:tc>
        <w:tc>
          <w:tcPr>
            <w:tcW w:w="11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布朗时代（北京）</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教育投资有限公司</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47,579,373.31</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11,200,000.00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2,145,078.90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4,670,387.36</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1,289,287.42</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60,015,394.35</w:t>
            </w:r>
          </w:p>
        </w:tc>
        <w:tc>
          <w:tcPr>
            <w:tcW w:w="115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中教大晟教育科技</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（北京）有限公司</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490,000.00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-233,903.67</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256,096.33</w:t>
            </w:r>
          </w:p>
        </w:tc>
        <w:tc>
          <w:tcPr>
            <w:tcW w:w="115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北京中关村智酷双</w:t>
            </w:r>
          </w:p>
          <w:p>
            <w:pPr>
              <w:pStyle w:val="TableParagraph"/>
              <w:spacing w:line="240" w:lineRule="auto"/>
              <w:ind w:left="22" w:right="85"/>
              <w:jc w:val="left"/>
              <w:rPr>
                <w:rFonts w:ascii="宋体" w:hAnsi="宋体" w:cs="宋体" w:eastAsia="宋体" w:hint="default"/>
                <w:sz w:val="18"/>
                <w:szCs w:val="18"/>
              </w:rPr>
            </w:pPr>
            <w:r>
              <w:rPr>
                <w:rFonts w:ascii="宋体" w:hAnsi="宋体" w:cs="宋体" w:eastAsia="宋体" w:hint="default"/>
                <w:sz w:val="18"/>
                <w:szCs w:val="18"/>
              </w:rPr>
              <w:t>创人才服务股份有 限公司</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634,590.75</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9,034,590.75</w:t>
            </w:r>
          </w:p>
        </w:tc>
        <w:tc>
          <w:tcPr>
            <w:tcW w:w="115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528,981,755.40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107,593,846.15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4,015,078.90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38,358,416.96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132,213.68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479,878.49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22,014,387.23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434,359.11</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649,516,644.55</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1,049,530.56</w:t>
            </w:r>
          </w:p>
        </w:tc>
      </w:tr>
      <w:tr>
        <w:trPr>
          <w:trHeight w:val="244"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533,969,645.12</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107,593,846.15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6,449,722.84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38,118,512.76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132,213.68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479,878.49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23,014,387.23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434,359.11</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650,829,986.13</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1,049,530.56</w:t>
            </w:r>
          </w:p>
        </w:tc>
      </w:tr>
    </w:tbl>
    <w:p>
      <w:pPr>
        <w:pStyle w:val="BodyText"/>
        <w:spacing w:line="240" w:lineRule="auto" w:before="65"/>
        <w:ind w:left="339" w:right="0"/>
        <w:jc w:val="left"/>
      </w:pPr>
      <w:r>
        <w:rPr/>
        <w:t>其他说明</w:t>
      </w:r>
    </w:p>
    <w:p>
      <w:pPr>
        <w:pStyle w:val="BodyText"/>
        <w:spacing w:line="240" w:lineRule="auto" w:before="116"/>
        <w:ind w:left="630" w:right="0"/>
        <w:jc w:val="left"/>
      </w:pPr>
      <w:r>
        <w:rPr/>
        <w:t>根据浙江都快金服信息服务有限公司股东会决议，同意浙江都快金服信息服务有限公司解散，截止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日收回投资款</w:t>
      </w:r>
      <w:r>
        <w:rPr>
          <w:rFonts w:ascii="Times New Roman" w:hAnsi="Times New Roman" w:cs="Times New Roman" w:eastAsia="Times New Roman" w:hint="default"/>
        </w:rPr>
        <w:t>187</w:t>
      </w:r>
      <w:r>
        <w:rPr/>
        <w:t>万。由于未来经营存在重大不确定性，故于</w:t>
      </w:r>
    </w:p>
    <w:p>
      <w:pPr>
        <w:pStyle w:val="BodyText"/>
        <w:spacing w:line="240" w:lineRule="auto" w:before="63"/>
        <w:ind w:left="339"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日，本公司对持有的浙江都快金服信息服务有限公司长期股权投资计提减值准备</w:t>
      </w:r>
      <w:r>
        <w:rPr>
          <w:rFonts w:ascii="Times New Roman" w:hAnsi="Times New Roman" w:cs="Times New Roman" w:eastAsia="Times New Roman" w:hint="default"/>
        </w:rPr>
        <w:t>434,359.11</w:t>
      </w:r>
      <w:r>
        <w:rPr/>
        <w:t>元。</w:t>
      </w:r>
    </w:p>
    <w:p>
      <w:pPr>
        <w:spacing w:after="0" w:line="240" w:lineRule="auto"/>
        <w:jc w:val="left"/>
        <w:sectPr>
          <w:pgSz w:w="16840" w:h="11910" w:orient="landscape"/>
          <w:pgMar w:header="867" w:footer="978" w:top="1060" w:bottom="1160" w:left="1100" w:right="110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00"/>
        <w:gridCol w:w="1928"/>
        <w:gridCol w:w="1914"/>
        <w:gridCol w:w="1914"/>
        <w:gridCol w:w="1914"/>
      </w:tblGrid>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18,029,817.97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18,029,817.97</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18,029,817.97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18,029,817.97</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18,029,817.97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18,029,817.97</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928" w:type="dxa"/>
            <w:tcBorders>
              <w:top w:val="single" w:sz="4" w:space="0" w:color="000000"/>
              <w:left w:val="single" w:sz="9" w:space="0" w:color="C7EDCC"/>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928" w:type="dxa"/>
            <w:tcBorders>
              <w:top w:val="single" w:sz="4" w:space="0" w:color="000000"/>
              <w:left w:val="single" w:sz="9" w:space="0" w:color="C7EDCC"/>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18,029,817.97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18,029,817.97</w:t>
            </w:r>
          </w:p>
        </w:tc>
      </w:tr>
      <w:tr>
        <w:trPr>
          <w:trHeight w:val="714"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676,326.54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676,326.54</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676,326.54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676,326.54</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574,879.71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574,879.71</w:t>
            </w:r>
          </w:p>
        </w:tc>
      </w:tr>
      <w:tr>
        <w:trPr>
          <w:trHeight w:val="714" w:hRule="exact"/>
        </w:trPr>
        <w:tc>
          <w:tcPr>
            <w:tcW w:w="1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6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）固定资产</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928"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101,446.83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101,446.83</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928" w:type="dxa"/>
            <w:tcBorders>
              <w:top w:val="single" w:sz="4" w:space="0" w:color="000000"/>
              <w:left w:val="single" w:sz="9" w:space="0" w:color="C7EDCC"/>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676,326.54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676,326.54</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60"/>
          <w:footerReference w:type="default" r:id="rId61"/>
          <w:pgSz w:w="11910" w:h="16840"/>
          <w:pgMar w:header="877" w:footer="982" w:top="1100" w:bottom="1180" w:left="980" w:right="0"/>
          <w:pgNumType w:start="117"/>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00"/>
        <w:gridCol w:w="1928"/>
        <w:gridCol w:w="1914"/>
        <w:gridCol w:w="1914"/>
        <w:gridCol w:w="1914"/>
      </w:tblGrid>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928" w:type="dxa"/>
            <w:tcBorders>
              <w:top w:val="single" w:sz="4" w:space="0" w:color="000000"/>
              <w:left w:val="single" w:sz="9" w:space="0" w:color="C7EDCC"/>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928" w:type="dxa"/>
            <w:tcBorders>
              <w:top w:val="single" w:sz="4" w:space="0" w:color="000000"/>
              <w:left w:val="single" w:sz="9" w:space="0" w:color="C7EDCC"/>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17,353,491.43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17,353,491.43</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17,353,491.43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17,353,491.43</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尼加拉房产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2,751,138.04</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尚在办理中</w:t>
            </w:r>
          </w:p>
        </w:tc>
      </w:tr>
    </w:tbl>
    <w:p>
      <w:pPr>
        <w:pStyle w:val="BodyText"/>
        <w:spacing w:line="240" w:lineRule="auto" w:before="51"/>
        <w:ind w:right="0"/>
        <w:jc w:val="left"/>
      </w:pPr>
      <w:r>
        <w:rPr/>
        <w:t>其他说明</w:t>
      </w:r>
    </w:p>
    <w:p>
      <w:pPr>
        <w:pStyle w:val="BodyText"/>
        <w:spacing w:line="300" w:lineRule="auto" w:before="116"/>
        <w:ind w:left="153" w:right="1146" w:firstLine="290"/>
        <w:jc w:val="left"/>
      </w:pPr>
      <w:r>
        <w:rPr/>
        <w:t>本公司原自用房产改为出租，自固定资产转作投资性房地产并采用成本计量，转换日其账面原值为人民币</w:t>
      </w:r>
      <w:r>
        <w:rPr>
          <w:rFonts w:ascii="Times New Roman" w:hAnsi="Times New Roman" w:cs="Times New Roman" w:eastAsia="Times New Roman" w:hint="default"/>
        </w:rPr>
        <w:t>18,029,817.97 </w:t>
      </w:r>
      <w:r>
        <w:rPr/>
        <w:t>元，累计折旧</w:t>
      </w:r>
      <w:r>
        <w:rPr>
          <w:rFonts w:ascii="Times New Roman" w:hAnsi="Times New Roman" w:cs="Times New Roman" w:eastAsia="Times New Roman" w:hint="default"/>
        </w:rPr>
        <w:t>101,446.83</w:t>
      </w:r>
      <w:r>
        <w:rPr/>
        <w:t>元。</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199"/>
        <w:gridCol w:w="3187"/>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192,241,429.59</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233,048,360.22</w:t>
            </w:r>
          </w:p>
        </w:tc>
      </w:tr>
      <w:tr>
        <w:trPr>
          <w:trHeight w:val="403"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192,241,429.59</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233,048,360.22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2917"/>
        <w:gridCol w:w="1355"/>
        <w:gridCol w:w="1344"/>
        <w:gridCol w:w="1241"/>
        <w:gridCol w:w="1496"/>
        <w:gridCol w:w="1340"/>
      </w:tblGrid>
      <w:tr>
        <w:trPr>
          <w:trHeight w:val="402" w:hRule="exact"/>
        </w:trPr>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55" w:type="dxa"/>
            <w:tcBorders>
              <w:top w:val="single" w:sz="4" w:space="0" w:color="000000"/>
              <w:left w:val="single" w:sz="13" w:space="0" w:color="D3D3D3"/>
              <w:bottom w:val="single" w:sz="4" w:space="0" w:color="000000"/>
              <w:right w:val="single" w:sz="4" w:space="0" w:color="000000"/>
            </w:tcBorders>
            <w:shd w:val="clear" w:color="auto" w:fill="E1FFFF"/>
          </w:tcPr>
          <w:p>
            <w:pPr>
              <w:pStyle w:val="TableParagraph"/>
              <w:spacing w:line="240" w:lineRule="auto" w:before="51"/>
              <w:ind w:left="12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4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30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24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9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340" w:type="dxa"/>
            <w:tcBorders>
              <w:top w:val="single" w:sz="4" w:space="0" w:color="000000"/>
              <w:left w:val="single" w:sz="13" w:space="0" w:color="E1FFFF"/>
              <w:bottom w:val="single" w:sz="4" w:space="0" w:color="000000"/>
              <w:right w:val="single" w:sz="4" w:space="0" w:color="000000"/>
            </w:tcBorders>
            <w:shd w:val="clear" w:color="auto" w:fill="D3D3D3"/>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114,322,560.44</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308,129,327.62</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11,646,628.06</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61,422,296.17</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495,520,812.29</w:t>
            </w:r>
          </w:p>
        </w:tc>
      </w:tr>
      <w:tr>
        <w:trPr>
          <w:trHeight w:val="402" w:hRule="exact"/>
        </w:trPr>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133,648,624.43</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308,870,395.26</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14,384,706.10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62,964,034.57</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519,867,760.36</w:t>
            </w:r>
          </w:p>
        </w:tc>
      </w:tr>
      <w:tr>
        <w:trPr>
          <w:trHeight w:val="402" w:hRule="exact"/>
        </w:trPr>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610,515.97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168,903.63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635,807.97</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4,846,360.36</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6,261,587.93</w:t>
            </w:r>
          </w:p>
        </w:tc>
      </w:tr>
      <w:tr>
        <w:trPr>
          <w:trHeight w:val="402" w:hRule="exact"/>
        </w:trPr>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610,515.97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168,903.63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635,807.97</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4,846,360.36</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6,261,587.93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2917"/>
        <w:gridCol w:w="1355"/>
        <w:gridCol w:w="1344"/>
        <w:gridCol w:w="1241"/>
        <w:gridCol w:w="1496"/>
        <w:gridCol w:w="1340"/>
      </w:tblGrid>
      <w:tr>
        <w:trPr>
          <w:trHeight w:val="402" w:hRule="exact"/>
        </w:trPr>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355" w:type="dxa"/>
            <w:tcBorders>
              <w:top w:val="single" w:sz="4" w:space="0" w:color="000000"/>
              <w:left w:val="single" w:sz="13" w:space="0" w:color="D3D3D3"/>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355" w:type="dxa"/>
            <w:tcBorders>
              <w:top w:val="single" w:sz="4" w:space="0" w:color="000000"/>
              <w:left w:val="single" w:sz="13" w:space="0" w:color="D3D3D3"/>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1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55" w:type="dxa"/>
            <w:tcBorders>
              <w:top w:val="single" w:sz="4" w:space="0" w:color="000000"/>
              <w:left w:val="single" w:sz="13" w:space="0" w:color="E1FFFF"/>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19,936,579.96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909,971.27</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3,373,886.01</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6,388,098.76</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30,608,536.00</w:t>
            </w:r>
          </w:p>
        </w:tc>
      </w:tr>
      <w:tr>
        <w:trPr>
          <w:trHeight w:val="402" w:hRule="exact"/>
        </w:trPr>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3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1,906,761.99</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909,971.27</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3,267,270.62</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5,831,545.12</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11,915,549.00</w:t>
            </w:r>
          </w:p>
        </w:tc>
      </w:tr>
      <w:tr>
        <w:trPr>
          <w:trHeight w:val="402" w:hRule="exact"/>
        </w:trPr>
        <w:tc>
          <w:tcPr>
            <w:tcW w:w="291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6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）企业合并减少</w:t>
            </w:r>
          </w:p>
        </w:tc>
        <w:tc>
          <w:tcPr>
            <w:tcW w:w="1355" w:type="dxa"/>
            <w:tcBorders>
              <w:top w:val="single" w:sz="4" w:space="0" w:color="000000"/>
              <w:left w:val="single" w:sz="13" w:space="0" w:color="E1FFFF"/>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106,615.39</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556,553.64</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663,169.03</w:t>
            </w:r>
          </w:p>
        </w:tc>
      </w:tr>
      <w:tr>
        <w:trPr>
          <w:trHeight w:val="402" w:hRule="exact"/>
        </w:trPr>
        <w:tc>
          <w:tcPr>
            <w:tcW w:w="291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right="36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）转入投资性房地产</w:t>
            </w:r>
          </w:p>
        </w:tc>
        <w:tc>
          <w:tcPr>
            <w:tcW w:w="1355" w:type="dxa"/>
            <w:tcBorders>
              <w:top w:val="single" w:sz="4" w:space="0" w:color="000000"/>
              <w:left w:val="single" w:sz="13" w:space="0" w:color="E1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18,029,817.97</w:t>
            </w:r>
          </w:p>
        </w:tc>
        <w:tc>
          <w:tcPr>
            <w:tcW w:w="134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18,029,817.97</w:t>
            </w:r>
          </w:p>
        </w:tc>
      </w:tr>
      <w:tr>
        <w:trPr>
          <w:trHeight w:val="402" w:hRule="exact"/>
        </w:trPr>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114,322,560.44</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308,129,327.62</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11,646,628.06</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61,422,296.17</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495,520,812.29</w:t>
            </w:r>
          </w:p>
        </w:tc>
      </w:tr>
      <w:tr>
        <w:trPr>
          <w:trHeight w:val="402" w:hRule="exact"/>
        </w:trPr>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20,773,686.14</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227,367,950.42</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7,408,213.18</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47,729,532.96</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303,279,382.70</w:t>
            </w:r>
          </w:p>
        </w:tc>
      </w:tr>
      <w:tr>
        <w:trPr>
          <w:trHeight w:val="402" w:hRule="exact"/>
        </w:trPr>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16,179,456.16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213,834,682.77</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9,159,868.39</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47,645,392.82</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286,819,400.14</w:t>
            </w:r>
          </w:p>
        </w:tc>
      </w:tr>
      <w:tr>
        <w:trPr>
          <w:trHeight w:val="402" w:hRule="exact"/>
        </w:trPr>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4,833,345.16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13,958,876.24</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1,254,166.89</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5,834,311.01</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25,880,699.30</w:t>
            </w:r>
          </w:p>
        </w:tc>
      </w:tr>
      <w:tr>
        <w:trPr>
          <w:trHeight w:val="402" w:hRule="exact"/>
        </w:trPr>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4,833,345.16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13,958,876.24</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1,254,166.89</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5,834,311.01</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25,880,699.30</w:t>
            </w:r>
          </w:p>
        </w:tc>
      </w:tr>
      <w:tr>
        <w:trPr>
          <w:trHeight w:val="402" w:hRule="exact"/>
        </w:trPr>
        <w:tc>
          <w:tcPr>
            <w:tcW w:w="291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55" w:type="dxa"/>
            <w:tcBorders>
              <w:top w:val="single" w:sz="4" w:space="0" w:color="000000"/>
              <w:left w:val="single" w:sz="13" w:space="0" w:color="E1FFFF"/>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239,115.18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425,608.59</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3,005,822.10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5,750,170.87</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9,420,716.74</w:t>
            </w:r>
          </w:p>
        </w:tc>
      </w:tr>
      <w:tr>
        <w:trPr>
          <w:trHeight w:val="402" w:hRule="exact"/>
        </w:trPr>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3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137,668.35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425,608.59</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2,949,552.73</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5,548,942.67</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9,061,772.34</w:t>
            </w:r>
          </w:p>
        </w:tc>
      </w:tr>
      <w:tr>
        <w:trPr>
          <w:trHeight w:val="402" w:hRule="exact"/>
        </w:trPr>
        <w:tc>
          <w:tcPr>
            <w:tcW w:w="291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6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）企业合并减少</w:t>
            </w:r>
          </w:p>
        </w:tc>
        <w:tc>
          <w:tcPr>
            <w:tcW w:w="1355" w:type="dxa"/>
            <w:tcBorders>
              <w:top w:val="single" w:sz="4" w:space="0" w:color="000000"/>
              <w:left w:val="single" w:sz="13" w:space="0" w:color="E1FFFF"/>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56,269.37</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201,228.20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257,497.57</w:t>
            </w:r>
          </w:p>
        </w:tc>
      </w:tr>
      <w:tr>
        <w:trPr>
          <w:trHeight w:val="402" w:hRule="exact"/>
        </w:trPr>
        <w:tc>
          <w:tcPr>
            <w:tcW w:w="291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right="36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）转入投资性房地产</w:t>
            </w:r>
          </w:p>
        </w:tc>
        <w:tc>
          <w:tcPr>
            <w:tcW w:w="1355" w:type="dxa"/>
            <w:tcBorders>
              <w:top w:val="single" w:sz="4" w:space="0" w:color="000000"/>
              <w:left w:val="single" w:sz="13" w:space="0" w:color="E1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101,446.83</w:t>
            </w:r>
          </w:p>
        </w:tc>
        <w:tc>
          <w:tcPr>
            <w:tcW w:w="134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101,446.83</w:t>
            </w:r>
          </w:p>
        </w:tc>
      </w:tr>
      <w:tr>
        <w:trPr>
          <w:trHeight w:val="402" w:hRule="exact"/>
        </w:trPr>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20,773,686.14</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227,367,950.42</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7,408,213.18</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47,729,532.96</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303,279,382.70</w:t>
            </w:r>
          </w:p>
        </w:tc>
      </w:tr>
      <w:tr>
        <w:trPr>
          <w:trHeight w:val="402" w:hRule="exact"/>
        </w:trPr>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55" w:type="dxa"/>
            <w:tcBorders>
              <w:top w:val="single" w:sz="4" w:space="0" w:color="000000"/>
              <w:left w:val="single" w:sz="13" w:space="0" w:color="D3D3D3"/>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55" w:type="dxa"/>
            <w:tcBorders>
              <w:top w:val="single" w:sz="4" w:space="0" w:color="000000"/>
              <w:left w:val="single" w:sz="13" w:space="0" w:color="D3D3D3"/>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55" w:type="dxa"/>
            <w:tcBorders>
              <w:top w:val="single" w:sz="4" w:space="0" w:color="000000"/>
              <w:left w:val="single" w:sz="13" w:space="0" w:color="D3D3D3"/>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55" w:type="dxa"/>
            <w:tcBorders>
              <w:top w:val="single" w:sz="4" w:space="0" w:color="000000"/>
              <w:left w:val="single" w:sz="13" w:space="0" w:color="D3D3D3"/>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1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55" w:type="dxa"/>
            <w:tcBorders>
              <w:top w:val="single" w:sz="4" w:space="0" w:color="000000"/>
              <w:left w:val="single" w:sz="13" w:space="0" w:color="E1FFFF"/>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55" w:type="dxa"/>
            <w:tcBorders>
              <w:top w:val="single" w:sz="4" w:space="0" w:color="000000"/>
              <w:left w:val="single" w:sz="13" w:space="0" w:color="D3D3D3"/>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355" w:type="dxa"/>
            <w:tcBorders>
              <w:top w:val="single" w:sz="4" w:space="0" w:color="000000"/>
              <w:left w:val="single" w:sz="13" w:space="0" w:color="D3D3D3"/>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1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55" w:type="dxa"/>
            <w:tcBorders>
              <w:top w:val="single" w:sz="4" w:space="0" w:color="000000"/>
              <w:left w:val="single" w:sz="13" w:space="0" w:color="E1FFFF"/>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55" w:type="dxa"/>
            <w:tcBorders>
              <w:top w:val="single" w:sz="4" w:space="0" w:color="000000"/>
              <w:left w:val="single" w:sz="13" w:space="0" w:color="D3D3D3"/>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211,018,042.57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175,797,089.69</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9,463,252.59</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29,011,404.96</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425,289,789.81</w:t>
            </w:r>
          </w:p>
        </w:tc>
      </w:tr>
      <w:tr>
        <w:trPr>
          <w:trHeight w:val="402" w:hRule="exact"/>
        </w:trPr>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93,548,874.30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80,761,377.20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4,238,414.88</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13,692,763.21</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192,241,429.59</w:t>
            </w:r>
          </w:p>
        </w:tc>
      </w:tr>
      <w:tr>
        <w:trPr>
          <w:trHeight w:val="402" w:hRule="exact"/>
        </w:trPr>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117,469,168.27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95,035,712.49</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5,224,837.71</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15,318,641.75</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233,048,360.22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after="0" w:line="240" w:lineRule="auto"/>
        <w:jc w:val="left"/>
        <w:sectPr>
          <w:pgSz w:w="11910" w:h="16840"/>
          <w:pgMar w:header="877" w:footer="982" w:top="1100" w:bottom="1180" w:left="980" w:right="0"/>
        </w:sectPr>
      </w:pPr>
    </w:p>
    <w:p>
      <w:pPr>
        <w:spacing w:line="240" w:lineRule="auto" w:before="9"/>
        <w:rPr>
          <w:rFonts w:ascii="宋体" w:hAnsi="宋体" w:cs="宋体" w:eastAsia="宋体" w:hint="default"/>
          <w:b/>
          <w:bCs/>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20,157,141.79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尼加拉房产</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2,751,138.04</w:t>
            </w: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尚在办理中</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6</w:t>
      </w:r>
      <w:r>
        <w:rPr/>
        <w:t>）固定资产清理</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72"/>
        <w:gridCol w:w="3826"/>
        <w:gridCol w:w="3858"/>
      </w:tblGrid>
      <w:tr>
        <w:trPr>
          <w:trHeight w:val="402" w:hRule="exact"/>
        </w:trPr>
        <w:tc>
          <w:tcPr>
            <w:tcW w:w="1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1,712,150.94</w:t>
            </w:r>
          </w:p>
        </w:tc>
        <w:tc>
          <w:tcPr>
            <w:tcW w:w="38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1,712,150.94</w:t>
            </w:r>
          </w:p>
        </w:tc>
        <w:tc>
          <w:tcPr>
            <w:tcW w:w="38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3769"/>
        <w:gridCol w:w="1162"/>
        <w:gridCol w:w="900"/>
        <w:gridCol w:w="1160"/>
        <w:gridCol w:w="900"/>
        <w:gridCol w:w="900"/>
        <w:gridCol w:w="902"/>
      </w:tblGrid>
      <w:tr>
        <w:trPr>
          <w:trHeight w:val="402" w:hRule="exact"/>
        </w:trPr>
        <w:tc>
          <w:tcPr>
            <w:tcW w:w="37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769" w:type="dxa"/>
            <w:vMerge/>
            <w:tcBorders>
              <w:left w:val="single" w:sz="4" w:space="0" w:color="000000"/>
              <w:bottom w:val="single" w:sz="4" w:space="0" w:color="000000"/>
              <w:right w:val="single" w:sz="4" w:space="0" w:color="000000"/>
            </w:tcBorders>
            <w:shd w:val="clear" w:color="auto" w:fill="D3D3D3"/>
          </w:tcPr>
          <w:p>
            <w:pPr/>
          </w:p>
        </w:tc>
        <w:tc>
          <w:tcPr>
            <w:tcW w:w="1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4"/>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1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37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杭大江东工出【</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号工业地块项目</w:t>
            </w:r>
          </w:p>
        </w:tc>
        <w:tc>
          <w:tcPr>
            <w:tcW w:w="1162"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1"/>
              <w:ind w:left="178" w:right="0"/>
              <w:jc w:val="left"/>
              <w:rPr>
                <w:rFonts w:ascii="Times New Roman" w:hAnsi="Times New Roman" w:cs="Times New Roman" w:eastAsia="Times New Roman" w:hint="default"/>
                <w:sz w:val="18"/>
                <w:szCs w:val="18"/>
              </w:rPr>
            </w:pPr>
            <w:r>
              <w:rPr>
                <w:rFonts w:ascii="Times New Roman"/>
                <w:sz w:val="18"/>
              </w:rPr>
              <w:t>1,712,150.94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3" w:right="0"/>
              <w:jc w:val="left"/>
              <w:rPr>
                <w:rFonts w:ascii="Times New Roman" w:hAnsi="Times New Roman" w:cs="Times New Roman" w:eastAsia="Times New Roman" w:hint="default"/>
                <w:sz w:val="18"/>
                <w:szCs w:val="18"/>
              </w:rPr>
            </w:pPr>
            <w:r>
              <w:rPr>
                <w:rFonts w:ascii="Times New Roman"/>
                <w:sz w:val="18"/>
              </w:rPr>
              <w:t>1,712,150.94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3" w:right="0"/>
              <w:jc w:val="left"/>
              <w:rPr>
                <w:rFonts w:ascii="Times New Roman" w:hAnsi="Times New Roman" w:cs="Times New Roman" w:eastAsia="Times New Roman" w:hint="default"/>
                <w:sz w:val="18"/>
                <w:szCs w:val="18"/>
              </w:rPr>
            </w:pPr>
            <w:r>
              <w:rPr>
                <w:rFonts w:ascii="Times New Roman"/>
                <w:sz w:val="18"/>
              </w:rPr>
              <w:t>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5"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7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left="178" w:right="0"/>
              <w:jc w:val="left"/>
              <w:rPr>
                <w:rFonts w:ascii="Times New Roman" w:hAnsi="Times New Roman" w:cs="Times New Roman" w:eastAsia="Times New Roman" w:hint="default"/>
                <w:sz w:val="18"/>
                <w:szCs w:val="18"/>
              </w:rPr>
            </w:pPr>
            <w:r>
              <w:rPr>
                <w:rFonts w:ascii="Times New Roman"/>
                <w:sz w:val="18"/>
              </w:rPr>
              <w:t>1,712,150.94</w:t>
            </w:r>
          </w:p>
        </w:tc>
        <w:tc>
          <w:tcPr>
            <w:tcW w:w="900"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3" w:right="0"/>
              <w:jc w:val="left"/>
              <w:rPr>
                <w:rFonts w:ascii="Times New Roman" w:hAnsi="Times New Roman" w:cs="Times New Roman" w:eastAsia="Times New Roman" w:hint="default"/>
                <w:sz w:val="18"/>
                <w:szCs w:val="18"/>
              </w:rPr>
            </w:pPr>
            <w:r>
              <w:rPr>
                <w:rFonts w:ascii="Times New Roman"/>
                <w:sz w:val="18"/>
              </w:rPr>
              <w:t>1,712,150.94</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4</w:t>
      </w:r>
      <w:r>
        <w:rPr/>
        <w:t>）工程物资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18</w:t>
      </w:r>
      <w:r>
        <w:rPr/>
        <w:t>、生产性生物资产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82" w:top="1100" w:bottom="118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19</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20</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2588"/>
        <w:gridCol w:w="1136"/>
        <w:gridCol w:w="620"/>
        <w:gridCol w:w="995"/>
        <w:gridCol w:w="1040"/>
        <w:gridCol w:w="1042"/>
        <w:gridCol w:w="1135"/>
        <w:gridCol w:w="1136"/>
      </w:tblGrid>
      <w:tr>
        <w:trPr>
          <w:trHeight w:val="402" w:hRule="exact"/>
        </w:trPr>
        <w:tc>
          <w:tcPr>
            <w:tcW w:w="2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9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040" w:type="dxa"/>
            <w:tcBorders>
              <w:top w:val="single" w:sz="4" w:space="0" w:color="000000"/>
              <w:left w:val="single" w:sz="10" w:space="0" w:color="D3D3D3"/>
              <w:bottom w:val="single" w:sz="4" w:space="0" w:color="000000"/>
              <w:right w:val="single" w:sz="4" w:space="0" w:color="000000"/>
            </w:tcBorders>
            <w:shd w:val="clear" w:color="auto" w:fill="E1FFFF"/>
          </w:tcPr>
          <w:p>
            <w:pPr>
              <w:pStyle w:val="TableParagraph"/>
              <w:spacing w:line="240" w:lineRule="auto" w:before="51"/>
              <w:ind w:left="327"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04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商标权</w:t>
            </w:r>
          </w:p>
        </w:tc>
        <w:tc>
          <w:tcPr>
            <w:tcW w:w="113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36" w:type="dxa"/>
            <w:tcBorders>
              <w:top w:val="single" w:sz="4" w:space="0" w:color="000000"/>
              <w:left w:val="single" w:sz="13" w:space="0" w:color="D3D3D3"/>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63,439,883.39</w:t>
            </w:r>
          </w:p>
        </w:tc>
        <w:tc>
          <w:tcPr>
            <w:tcW w:w="62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7,037,936.61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center"/>
              <w:rPr>
                <w:rFonts w:ascii="Times New Roman" w:hAnsi="Times New Roman" w:cs="Times New Roman" w:eastAsia="Times New Roman" w:hint="default"/>
                <w:sz w:val="18"/>
                <w:szCs w:val="18"/>
              </w:rPr>
            </w:pPr>
            <w:r>
              <w:rPr>
                <w:rFonts w:ascii="Times New Roman"/>
                <w:sz w:val="18"/>
              </w:rPr>
              <w:t>3,383,679.26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11,285,736.51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85,147,235.77</w:t>
            </w:r>
          </w:p>
        </w:tc>
      </w:tr>
      <w:tr>
        <w:trPr>
          <w:trHeight w:val="402" w:hRule="exact"/>
        </w:trPr>
        <w:tc>
          <w:tcPr>
            <w:tcW w:w="2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1,475,658.00</w:t>
            </w:r>
          </w:p>
        </w:tc>
        <w:tc>
          <w:tcPr>
            <w:tcW w:w="62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286,365.63</w:t>
            </w:r>
          </w:p>
        </w:tc>
        <w:tc>
          <w:tcPr>
            <w:tcW w:w="104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7,667,078.24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9,429,101.87</w:t>
            </w:r>
          </w:p>
        </w:tc>
      </w:tr>
      <w:tr>
        <w:trPr>
          <w:trHeight w:val="402" w:hRule="exact"/>
        </w:trPr>
        <w:tc>
          <w:tcPr>
            <w:tcW w:w="2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1,475,658.00</w:t>
            </w:r>
          </w:p>
        </w:tc>
        <w:tc>
          <w:tcPr>
            <w:tcW w:w="62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286,365.63</w:t>
            </w:r>
          </w:p>
        </w:tc>
        <w:tc>
          <w:tcPr>
            <w:tcW w:w="104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1,778,823.63</w:t>
            </w:r>
          </w:p>
        </w:tc>
      </w:tr>
      <w:tr>
        <w:trPr>
          <w:trHeight w:val="402" w:hRule="exact"/>
        </w:trPr>
        <w:tc>
          <w:tcPr>
            <w:tcW w:w="2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136" w:type="dxa"/>
            <w:tcBorders>
              <w:top w:val="single" w:sz="4" w:space="0" w:color="000000"/>
              <w:left w:val="single" w:sz="13" w:space="0" w:color="D3D3D3"/>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5,143,878.24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5,143,878.24</w:t>
            </w:r>
          </w:p>
        </w:tc>
      </w:tr>
      <w:tr>
        <w:trPr>
          <w:trHeight w:val="402" w:hRule="exact"/>
        </w:trPr>
        <w:tc>
          <w:tcPr>
            <w:tcW w:w="2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136" w:type="dxa"/>
            <w:tcBorders>
              <w:top w:val="single" w:sz="4" w:space="0" w:color="000000"/>
              <w:left w:val="single" w:sz="13" w:space="0" w:color="D3D3D3"/>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2,506,400.00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2,506,400.00</w:t>
            </w:r>
          </w:p>
        </w:tc>
      </w:tr>
      <w:tr>
        <w:trPr>
          <w:trHeight w:val="402" w:hRule="exact"/>
        </w:trPr>
        <w:tc>
          <w:tcPr>
            <w:tcW w:w="2588"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911,600.94</w:t>
            </w:r>
          </w:p>
        </w:tc>
        <w:tc>
          <w:tcPr>
            <w:tcW w:w="104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911,600.94</w:t>
            </w:r>
          </w:p>
        </w:tc>
      </w:tr>
      <w:tr>
        <w:trPr>
          <w:trHeight w:val="402" w:hRule="exact"/>
        </w:trPr>
        <w:tc>
          <w:tcPr>
            <w:tcW w:w="2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13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905,700.00</w:t>
            </w:r>
          </w:p>
        </w:tc>
        <w:tc>
          <w:tcPr>
            <w:tcW w:w="104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905,700.00</w:t>
            </w:r>
          </w:p>
        </w:tc>
      </w:tr>
      <w:tr>
        <w:trPr>
          <w:trHeight w:val="402" w:hRule="exact"/>
        </w:trPr>
        <w:tc>
          <w:tcPr>
            <w:tcW w:w="258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right="12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）企业合并减少</w:t>
            </w:r>
          </w:p>
        </w:tc>
        <w:tc>
          <w:tcPr>
            <w:tcW w:w="113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5,900.94</w:t>
            </w:r>
          </w:p>
        </w:tc>
        <w:tc>
          <w:tcPr>
            <w:tcW w:w="104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5,900.94</w:t>
            </w:r>
          </w:p>
        </w:tc>
      </w:tr>
      <w:tr>
        <w:trPr>
          <w:trHeight w:val="402" w:hRule="exact"/>
        </w:trPr>
        <w:tc>
          <w:tcPr>
            <w:tcW w:w="2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64,915,541.39</w:t>
            </w:r>
          </w:p>
        </w:tc>
        <w:tc>
          <w:tcPr>
            <w:tcW w:w="62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6,412,701.30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center"/>
              <w:rPr>
                <w:rFonts w:ascii="Times New Roman" w:hAnsi="Times New Roman" w:cs="Times New Roman" w:eastAsia="Times New Roman" w:hint="default"/>
                <w:sz w:val="18"/>
                <w:szCs w:val="18"/>
              </w:rPr>
            </w:pPr>
            <w:r>
              <w:rPr>
                <w:rFonts w:ascii="Times New Roman"/>
                <w:sz w:val="18"/>
              </w:rPr>
              <w:t>3,383,679.26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18,952,814.75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93,664,736.70</w:t>
            </w:r>
          </w:p>
        </w:tc>
      </w:tr>
      <w:tr>
        <w:trPr>
          <w:trHeight w:val="402" w:hRule="exact"/>
        </w:trPr>
        <w:tc>
          <w:tcPr>
            <w:tcW w:w="2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13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1,198,331.58</w:t>
            </w:r>
          </w:p>
        </w:tc>
        <w:tc>
          <w:tcPr>
            <w:tcW w:w="62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3,983,997.55</w:t>
            </w:r>
          </w:p>
        </w:tc>
        <w:tc>
          <w:tcPr>
            <w:tcW w:w="104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798,628.74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5,980,957.87</w:t>
            </w:r>
          </w:p>
        </w:tc>
      </w:tr>
      <w:tr>
        <w:trPr>
          <w:trHeight w:val="402" w:hRule="exact"/>
        </w:trPr>
        <w:tc>
          <w:tcPr>
            <w:tcW w:w="2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1,291,081.14</w:t>
            </w:r>
          </w:p>
        </w:tc>
        <w:tc>
          <w:tcPr>
            <w:tcW w:w="62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693,674.91</w:t>
            </w:r>
          </w:p>
        </w:tc>
        <w:tc>
          <w:tcPr>
            <w:tcW w:w="104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1,494,693.60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3,479,449.65</w:t>
            </w:r>
          </w:p>
        </w:tc>
      </w:tr>
      <w:tr>
        <w:trPr>
          <w:trHeight w:val="402" w:hRule="exact"/>
        </w:trPr>
        <w:tc>
          <w:tcPr>
            <w:tcW w:w="2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1,291,081.14</w:t>
            </w:r>
          </w:p>
        </w:tc>
        <w:tc>
          <w:tcPr>
            <w:tcW w:w="62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693,674.91</w:t>
            </w:r>
          </w:p>
        </w:tc>
        <w:tc>
          <w:tcPr>
            <w:tcW w:w="104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1,494,693.60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3,479,449.65</w:t>
            </w:r>
          </w:p>
        </w:tc>
      </w:tr>
      <w:tr>
        <w:trPr>
          <w:trHeight w:val="402" w:hRule="exact"/>
        </w:trPr>
        <w:tc>
          <w:tcPr>
            <w:tcW w:w="2588"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907,994.81</w:t>
            </w:r>
          </w:p>
        </w:tc>
        <w:tc>
          <w:tcPr>
            <w:tcW w:w="104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907,994.81</w:t>
            </w:r>
          </w:p>
        </w:tc>
      </w:tr>
      <w:tr>
        <w:trPr>
          <w:trHeight w:val="402" w:hRule="exact"/>
        </w:trPr>
        <w:tc>
          <w:tcPr>
            <w:tcW w:w="2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13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905,700.00</w:t>
            </w:r>
          </w:p>
        </w:tc>
        <w:tc>
          <w:tcPr>
            <w:tcW w:w="104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905,700.00</w:t>
            </w:r>
          </w:p>
        </w:tc>
      </w:tr>
      <w:tr>
        <w:trPr>
          <w:trHeight w:val="402" w:hRule="exact"/>
        </w:trPr>
        <w:tc>
          <w:tcPr>
            <w:tcW w:w="258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right="12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）企业合并减少</w:t>
            </w:r>
          </w:p>
        </w:tc>
        <w:tc>
          <w:tcPr>
            <w:tcW w:w="113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2,294.81</w:t>
            </w:r>
          </w:p>
        </w:tc>
        <w:tc>
          <w:tcPr>
            <w:tcW w:w="104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2,294.81</w:t>
            </w:r>
          </w:p>
        </w:tc>
      </w:tr>
      <w:tr>
        <w:trPr>
          <w:trHeight w:val="402" w:hRule="exact"/>
        </w:trPr>
        <w:tc>
          <w:tcPr>
            <w:tcW w:w="2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2,489,412.72</w:t>
            </w:r>
          </w:p>
        </w:tc>
        <w:tc>
          <w:tcPr>
            <w:tcW w:w="62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3,769,677.65</w:t>
            </w:r>
          </w:p>
        </w:tc>
        <w:tc>
          <w:tcPr>
            <w:tcW w:w="104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2,293,322.34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8,552,412.71</w:t>
            </w:r>
          </w:p>
        </w:tc>
      </w:tr>
      <w:tr>
        <w:trPr>
          <w:trHeight w:val="402" w:hRule="exact"/>
        </w:trPr>
        <w:tc>
          <w:tcPr>
            <w:tcW w:w="2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3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2588"/>
        <w:gridCol w:w="1136"/>
        <w:gridCol w:w="620"/>
        <w:gridCol w:w="995"/>
        <w:gridCol w:w="1040"/>
        <w:gridCol w:w="1042"/>
        <w:gridCol w:w="1135"/>
        <w:gridCol w:w="1136"/>
      </w:tblGrid>
      <w:tr>
        <w:trPr>
          <w:trHeight w:val="402" w:hRule="exact"/>
        </w:trPr>
        <w:tc>
          <w:tcPr>
            <w:tcW w:w="2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3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88"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7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13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88"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3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7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62,426,128.67</w:t>
            </w:r>
          </w:p>
        </w:tc>
        <w:tc>
          <w:tcPr>
            <w:tcW w:w="62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2,643,023.65</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3,383,679.26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center"/>
              <w:rPr>
                <w:rFonts w:ascii="Times New Roman" w:hAnsi="Times New Roman" w:cs="Times New Roman" w:eastAsia="Times New Roman" w:hint="default"/>
                <w:sz w:val="18"/>
                <w:szCs w:val="18"/>
              </w:rPr>
            </w:pPr>
            <w:r>
              <w:rPr>
                <w:rFonts w:ascii="Times New Roman"/>
                <w:sz w:val="18"/>
              </w:rPr>
              <w:t>16,659,492.41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85,112,323.99</w:t>
            </w:r>
          </w:p>
        </w:tc>
      </w:tr>
      <w:tr>
        <w:trPr>
          <w:trHeight w:val="402" w:hRule="exact"/>
        </w:trPr>
        <w:tc>
          <w:tcPr>
            <w:tcW w:w="2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7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62,241,551.81</w:t>
            </w:r>
          </w:p>
        </w:tc>
        <w:tc>
          <w:tcPr>
            <w:tcW w:w="62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3,053,939.06</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3,383,679.26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center"/>
              <w:rPr>
                <w:rFonts w:ascii="Times New Roman" w:hAnsi="Times New Roman" w:cs="Times New Roman" w:eastAsia="Times New Roman" w:hint="default"/>
                <w:sz w:val="18"/>
                <w:szCs w:val="18"/>
              </w:rPr>
            </w:pPr>
            <w:r>
              <w:rPr>
                <w:rFonts w:ascii="Times New Roman"/>
                <w:sz w:val="18"/>
              </w:rPr>
              <w:t>10,487,107.77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79,166,277.90</w:t>
            </w:r>
          </w:p>
        </w:tc>
      </w:tr>
    </w:tbl>
    <w:p>
      <w:pPr>
        <w:pStyle w:val="BodyText"/>
        <w:spacing w:line="240" w:lineRule="auto" w:before="51"/>
        <w:ind w:right="0"/>
        <w:jc w:val="left"/>
      </w:pPr>
      <w:r>
        <w:rPr/>
        <w:t>本期末通过公司内部研发形成的无形资产占无形资产余额的比例</w:t>
      </w:r>
      <w:r>
        <w:rPr>
          <w:spacing w:val="-46"/>
        </w:rPr>
        <w:t> </w:t>
      </w:r>
      <w:r>
        <w:rPr>
          <w:rFonts w:ascii="Times New Roman" w:hAnsi="Times New Roman" w:cs="Times New Roman" w:eastAsia="Times New Roman" w:hint="default"/>
        </w:rPr>
        <w:t>17.03%</w:t>
      </w:r>
      <w:r>
        <w:rPr/>
        <w:t>。</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21</w:t>
      </w:r>
      <w:r>
        <w:rPr/>
        <w:t>、开发支出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2582"/>
        <w:gridCol w:w="1002"/>
        <w:gridCol w:w="1001"/>
        <w:gridCol w:w="828"/>
        <w:gridCol w:w="642"/>
        <w:gridCol w:w="1002"/>
        <w:gridCol w:w="1050"/>
        <w:gridCol w:w="598"/>
        <w:gridCol w:w="989"/>
      </w:tblGrid>
      <w:tr>
        <w:trPr>
          <w:trHeight w:val="402"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47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65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9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58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中教未来高校报名管理系统</w:t>
            </w:r>
          </w:p>
        </w:tc>
        <w:tc>
          <w:tcPr>
            <w:tcW w:w="100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1,615,025.72</w:t>
            </w:r>
          </w:p>
        </w:tc>
        <w:tc>
          <w:tcPr>
            <w:tcW w:w="828"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903,199.05</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711,826.67</w:t>
            </w:r>
          </w:p>
        </w:tc>
        <w:tc>
          <w:tcPr>
            <w:tcW w:w="59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8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中教未来高校录取查询系统</w:t>
            </w:r>
          </w:p>
        </w:tc>
        <w:tc>
          <w:tcPr>
            <w:tcW w:w="100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1,987,342.60</w:t>
            </w:r>
          </w:p>
        </w:tc>
        <w:tc>
          <w:tcPr>
            <w:tcW w:w="828"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162,380.31</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1,824,962.29</w:t>
            </w:r>
          </w:p>
        </w:tc>
        <w:tc>
          <w:tcPr>
            <w:tcW w:w="59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8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中教未来高校成绩查询系统</w:t>
            </w:r>
          </w:p>
        </w:tc>
        <w:tc>
          <w:tcPr>
            <w:tcW w:w="100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544,220.63</w:t>
            </w:r>
          </w:p>
        </w:tc>
        <w:tc>
          <w:tcPr>
            <w:tcW w:w="828"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301,318.47</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242,902.16</w:t>
            </w:r>
          </w:p>
        </w:tc>
        <w:tc>
          <w:tcPr>
            <w:tcW w:w="59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8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大数据实验室</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932,939.12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647,285.21</w:t>
            </w:r>
          </w:p>
        </w:tc>
        <w:tc>
          <w:tcPr>
            <w:tcW w:w="828"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1,580,224.33</w:t>
            </w:r>
          </w:p>
        </w:tc>
        <w:tc>
          <w:tcPr>
            <w:tcW w:w="1050"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8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教育教学信息资源公共服务平台</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165,569.64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1,088,765.89</w:t>
            </w:r>
          </w:p>
        </w:tc>
        <w:tc>
          <w:tcPr>
            <w:tcW w:w="828"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1,254,335.53</w:t>
            </w:r>
          </w:p>
        </w:tc>
        <w:tc>
          <w:tcPr>
            <w:tcW w:w="1050"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8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全国教师培训网校区服务平台</w:t>
            </w:r>
          </w:p>
        </w:tc>
        <w:tc>
          <w:tcPr>
            <w:tcW w:w="100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408,168.85</w:t>
            </w:r>
          </w:p>
        </w:tc>
        <w:tc>
          <w:tcPr>
            <w:tcW w:w="828"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382,475.94</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25,692.91</w:t>
            </w:r>
          </w:p>
        </w:tc>
        <w:tc>
          <w:tcPr>
            <w:tcW w:w="59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8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会议系统</w:t>
            </w:r>
          </w:p>
        </w:tc>
        <w:tc>
          <w:tcPr>
            <w:tcW w:w="100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247,559.49</w:t>
            </w:r>
          </w:p>
        </w:tc>
        <w:tc>
          <w:tcPr>
            <w:tcW w:w="828"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125,691.37</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121,868.12</w:t>
            </w:r>
          </w:p>
        </w:tc>
        <w:tc>
          <w:tcPr>
            <w:tcW w:w="59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8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北京市快递协会学习平台</w:t>
            </w:r>
          </w:p>
        </w:tc>
        <w:tc>
          <w:tcPr>
            <w:tcW w:w="100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513,794.54</w:t>
            </w:r>
          </w:p>
        </w:tc>
        <w:tc>
          <w:tcPr>
            <w:tcW w:w="828"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434,253.24</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79,541.30</w:t>
            </w:r>
          </w:p>
        </w:tc>
        <w:tc>
          <w:tcPr>
            <w:tcW w:w="59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8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在线阅读系统</w:t>
            </w:r>
          </w:p>
        </w:tc>
        <w:tc>
          <w:tcPr>
            <w:tcW w:w="100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201,072.48</w:t>
            </w:r>
          </w:p>
        </w:tc>
        <w:tc>
          <w:tcPr>
            <w:tcW w:w="828"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201,072.48</w:t>
            </w:r>
          </w:p>
        </w:tc>
        <w:tc>
          <w:tcPr>
            <w:tcW w:w="59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8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课外活动管理系统</w:t>
            </w:r>
          </w:p>
        </w:tc>
        <w:tc>
          <w:tcPr>
            <w:tcW w:w="100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377,364.78</w:t>
            </w:r>
          </w:p>
        </w:tc>
        <w:tc>
          <w:tcPr>
            <w:tcW w:w="828"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377,364.78</w:t>
            </w:r>
          </w:p>
        </w:tc>
        <w:tc>
          <w:tcPr>
            <w:tcW w:w="59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1,098,508.76</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7,630,600.19</w:t>
            </w:r>
          </w:p>
        </w:tc>
        <w:tc>
          <w:tcPr>
            <w:tcW w:w="828"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5,143,878.24</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3,585,230.71</w:t>
            </w:r>
          </w:p>
        </w:tc>
        <w:tc>
          <w:tcPr>
            <w:tcW w:w="59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22</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428"/>
        <w:gridCol w:w="1181"/>
        <w:gridCol w:w="1230"/>
        <w:gridCol w:w="992"/>
        <w:gridCol w:w="710"/>
        <w:gridCol w:w="625"/>
        <w:gridCol w:w="1526"/>
      </w:tblGrid>
      <w:tr>
        <w:trPr>
          <w:trHeight w:val="322" w:hRule="exact"/>
        </w:trPr>
        <w:tc>
          <w:tcPr>
            <w:tcW w:w="34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58"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3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9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3" w:hRule="exact"/>
        </w:trPr>
        <w:tc>
          <w:tcPr>
            <w:tcW w:w="342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中教未来国际教育科技（北京）有限公司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525,013,767.16</w:t>
            </w:r>
          </w:p>
        </w:tc>
        <w:tc>
          <w:tcPr>
            <w:tcW w:w="123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525,013,767.16</w:t>
            </w:r>
          </w:p>
        </w:tc>
      </w:tr>
      <w:tr>
        <w:trPr>
          <w:trHeight w:val="322" w:hRule="exact"/>
        </w:trPr>
        <w:tc>
          <w:tcPr>
            <w:tcW w:w="342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北京红舞星文化传播有限公司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367,290.76</w:t>
            </w:r>
          </w:p>
        </w:tc>
        <w:tc>
          <w:tcPr>
            <w:tcW w:w="123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367,290.76</w:t>
            </w:r>
          </w:p>
        </w:tc>
      </w:tr>
      <w:tr>
        <w:trPr>
          <w:trHeight w:val="323" w:hRule="exact"/>
        </w:trPr>
        <w:tc>
          <w:tcPr>
            <w:tcW w:w="342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艾特嘉信息技术（北京）有限公司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2,019,356.16</w:t>
            </w:r>
          </w:p>
        </w:tc>
        <w:tc>
          <w:tcPr>
            <w:tcW w:w="123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2,019,356.16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3428"/>
        <w:gridCol w:w="1181"/>
        <w:gridCol w:w="1230"/>
        <w:gridCol w:w="992"/>
        <w:gridCol w:w="710"/>
        <w:gridCol w:w="625"/>
        <w:gridCol w:w="1526"/>
      </w:tblGrid>
      <w:tr>
        <w:trPr>
          <w:trHeight w:val="322" w:hRule="exact"/>
        </w:trPr>
        <w:tc>
          <w:tcPr>
            <w:tcW w:w="342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广州励耘教育科技有限公司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2,713,613.93</w:t>
            </w:r>
          </w:p>
        </w:tc>
        <w:tc>
          <w:tcPr>
            <w:tcW w:w="123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2,713,613.93</w:t>
            </w:r>
          </w:p>
        </w:tc>
      </w:tr>
      <w:tr>
        <w:trPr>
          <w:trHeight w:val="323" w:hRule="exact"/>
        </w:trPr>
        <w:tc>
          <w:tcPr>
            <w:tcW w:w="342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智明远扬教育科技（北京）有限公司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39,951,919.33</w:t>
            </w:r>
          </w:p>
        </w:tc>
        <w:tc>
          <w:tcPr>
            <w:tcW w:w="123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39,951,919.33</w:t>
            </w:r>
          </w:p>
        </w:tc>
      </w:tr>
      <w:tr>
        <w:trPr>
          <w:trHeight w:val="322" w:hRule="exact"/>
        </w:trPr>
        <w:tc>
          <w:tcPr>
            <w:tcW w:w="342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北京朋智博信教育科技有限公司</w:t>
            </w:r>
          </w:p>
        </w:tc>
        <w:tc>
          <w:tcPr>
            <w:tcW w:w="1181"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5,513,984.71</w:t>
            </w: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5,513,984.71</w:t>
            </w:r>
          </w:p>
        </w:tc>
      </w:tr>
      <w:tr>
        <w:trPr>
          <w:trHeight w:val="323" w:hRule="exact"/>
        </w:trPr>
        <w:tc>
          <w:tcPr>
            <w:tcW w:w="34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570,065,947.34</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5,513,984.71</w:t>
            </w: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575,579,932.05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jc w:val="left"/>
      </w:pPr>
      <w:r>
        <w:rPr>
          <w:spacing w:val="-2"/>
        </w:rPr>
        <w:t>说明商誉减值测试过程、关键参数（如预计未来现金流量现值时的预测期增长率、稳定期增长率、利润率、折现率、预测期</w:t>
      </w:r>
      <w:r>
        <w:rPr>
          <w:spacing w:val="-68"/>
        </w:rPr>
        <w:t> </w:t>
      </w:r>
      <w:r>
        <w:rPr>
          <w:spacing w:val="-68"/>
        </w:rPr>
      </w:r>
      <w:r>
        <w:rPr/>
        <w:t>等）及商誉减值损失的确认方法：</w:t>
      </w:r>
    </w:p>
    <w:p>
      <w:pPr>
        <w:pStyle w:val="BodyText"/>
        <w:spacing w:line="312" w:lineRule="auto" w:before="55"/>
        <w:ind w:left="153" w:right="0" w:firstLine="290"/>
        <w:jc w:val="left"/>
      </w:pPr>
      <w:r>
        <w:rPr>
          <w:spacing w:val="-1"/>
        </w:rPr>
        <w:t>资产组以未来预计产生的税前现金流量现值作为资产组的可收回金额，资产组的预计未来现金流量基于管理层编制的现</w:t>
      </w:r>
      <w:r>
        <w:rPr/>
        <w:t> </w:t>
      </w:r>
      <w:r>
        <w:rPr>
          <w:spacing w:val="-1"/>
        </w:rPr>
        <w:t>金流量预测来确定，税前折现率为</w:t>
      </w:r>
      <w:r>
        <w:rPr>
          <w:rFonts w:ascii="Times New Roman" w:hAnsi="Times New Roman" w:cs="Times New Roman" w:eastAsia="Times New Roman" w:hint="default"/>
          <w:spacing w:val="-1"/>
        </w:rPr>
        <w:t>12.93%</w:t>
      </w:r>
      <w:r>
        <w:rPr>
          <w:spacing w:val="-1"/>
        </w:rPr>
        <w:t>，预测期为</w:t>
      </w:r>
      <w:r>
        <w:rPr>
          <w:rFonts w:ascii="Times New Roman" w:hAnsi="Times New Roman" w:cs="Times New Roman" w:eastAsia="Times New Roman" w:hint="default"/>
          <w:spacing w:val="-1"/>
        </w:rPr>
        <w:t>5</w:t>
      </w:r>
      <w:r>
        <w:rPr>
          <w:spacing w:val="-1"/>
        </w:rPr>
        <w:t>年，对资产组进行现金流量预测时采用的其他关键假设包括预计营业</w:t>
      </w:r>
      <w:r>
        <w:rPr>
          <w:spacing w:val="-44"/>
        </w:rPr>
        <w:t> </w:t>
      </w:r>
      <w:r>
        <w:rPr>
          <w:spacing w:val="-44"/>
        </w:rPr>
      </w:r>
      <w:r>
        <w:rPr>
          <w:spacing w:val="-2"/>
        </w:rPr>
        <w:t>收入、营业成本、增长率以及相关费用等，上述假设基于以前年度的经营业绩、增长率、行业水平以及管理层的发展规划和</w:t>
      </w:r>
      <w:r>
        <w:rPr>
          <w:spacing w:val="-66"/>
        </w:rPr>
        <w:t> </w:t>
      </w:r>
      <w:r>
        <w:rPr>
          <w:spacing w:val="-66"/>
        </w:rPr>
      </w:r>
      <w:r>
        <w:rPr>
          <w:spacing w:val="-2"/>
        </w:rPr>
        <w:t>对市场发展的预期。管理层聘请坤元资产评估有限公司对中教未来国际教育科技（北京）有限公司及其子公司作为整体资产</w:t>
      </w:r>
      <w:r>
        <w:rPr>
          <w:spacing w:val="-66"/>
        </w:rPr>
        <w:t> </w:t>
      </w:r>
      <w:r>
        <w:rPr>
          <w:spacing w:val="-66"/>
        </w:rPr>
      </w:r>
      <w:r>
        <w:rPr>
          <w:spacing w:val="-2"/>
        </w:rPr>
        <w:t>组进行了评估（北京红舞星文化传播有限公司、艾特嘉信息技术（北京）有限公司、广州励耘教育科技有限公司、智明远扬</w:t>
      </w:r>
      <w:r>
        <w:rPr>
          <w:spacing w:val="-68"/>
        </w:rPr>
        <w:t> </w:t>
      </w:r>
      <w:r>
        <w:rPr>
          <w:spacing w:val="-68"/>
        </w:rPr>
      </w:r>
      <w:r>
        <w:rPr>
          <w:spacing w:val="-2"/>
        </w:rPr>
        <w:t>教育科技（北京）有限公司、北京朋智博信教育科技有限公司均为中教未来国际教育科技（北京）有限公司的子公司），并</w:t>
      </w:r>
      <w:r>
        <w:rPr>
          <w:spacing w:val="-65"/>
        </w:rPr>
        <w:t> </w:t>
      </w:r>
      <w:r>
        <w:rPr>
          <w:spacing w:val="-65"/>
        </w:rPr>
      </w:r>
      <w:r>
        <w:rPr/>
        <w:t>出具了坤元评报〔</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215</w:t>
      </w:r>
      <w:r>
        <w:rPr/>
        <w:t>号《浙江华媒控股股份有限公司商誉减值测试涉及的中教未来国际教育科技</w:t>
      </w:r>
      <w:r>
        <w:rPr>
          <w:rFonts w:ascii="Times New Roman" w:hAnsi="Times New Roman" w:cs="Times New Roman" w:eastAsia="Times New Roman" w:hint="default"/>
        </w:rPr>
        <w:t>(</w:t>
      </w:r>
      <w:r>
        <w:rPr/>
        <w:t>北京</w:t>
      </w:r>
      <w:r>
        <w:rPr>
          <w:rFonts w:ascii="Times New Roman" w:hAnsi="Times New Roman" w:cs="Times New Roman" w:eastAsia="Times New Roman" w:hint="default"/>
        </w:rPr>
        <w:t>)</w:t>
      </w:r>
      <w:r>
        <w:rPr/>
        <w:t>有限公司资 产组组合价值评估项目资产评估报告》。</w:t>
      </w:r>
    </w:p>
    <w:p>
      <w:pPr>
        <w:pStyle w:val="BodyText"/>
        <w:spacing w:line="240" w:lineRule="auto" w:before="22"/>
        <w:ind w:left="461" w:right="0"/>
        <w:jc w:val="left"/>
      </w:pPr>
      <w:r>
        <w:rPr/>
        <w:t>经测试，资产组的可收回金额高于资产组包括所分摊的商誉的账面价值，未发生减值。</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2,740,639.20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18,653,740.47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1,556,915.01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135,336.73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19,702,127.93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阅报栏维护支出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4,712.87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4,712.87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广告牌</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10,443,401.11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6,421,003.05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4,837,387.59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88,503.81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11,938,512.76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1,036,941.65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1,304,865.72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779,719.61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1,562,087.76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14,225,694.83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26,379,609.24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7,178,735.08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223,840.54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33,202,728.45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3D3D3"/>
          </w:tcPr>
          <w:p>
            <w:pPr/>
          </w:p>
        </w:tc>
        <w:tc>
          <w:tcPr>
            <w:tcW w:w="384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3D3D3"/>
          </w:tcPr>
          <w:p>
            <w:pPr/>
          </w:p>
        </w:tc>
        <w:tc>
          <w:tcPr>
            <w:tcW w:w="3828"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1889" w:type="dxa"/>
            <w:vMerge/>
            <w:tcBorders>
              <w:left w:val="single" w:sz="4" w:space="0" w:color="000000"/>
              <w:bottom w:val="nil" w:sz="6" w:space="0" w:color="auto"/>
              <w:right w:val="single" w:sz="4" w:space="0" w:color="000000"/>
            </w:tcBorders>
            <w:shd w:val="clear" w:color="auto" w:fill="D3D3D3"/>
          </w:tcPr>
          <w:p>
            <w:pPr/>
          </w:p>
        </w:tc>
        <w:tc>
          <w:tcPr>
            <w:tcW w:w="19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3D3D3"/>
          </w:tcPr>
          <w:p>
            <w:pPr/>
          </w:p>
        </w:tc>
        <w:tc>
          <w:tcPr>
            <w:tcW w:w="1928"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1,602,558.62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274,447.17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1,304,085.29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305,256.85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22,809,315.47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1,941,607.34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17,648,693.31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4,412,173.32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1928"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2,997,802.90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201,908.10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2,749,643.25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687,410.82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27,409,676.99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2,417,962.61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21,702,421.85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5,404,840.99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3176"/>
        <w:gridCol w:w="1731"/>
        <w:gridCol w:w="1533"/>
        <w:gridCol w:w="1720"/>
        <w:gridCol w:w="1522"/>
      </w:tblGrid>
      <w:tr>
        <w:trPr>
          <w:trHeight w:val="206" w:hRule="exact"/>
        </w:trPr>
        <w:tc>
          <w:tcPr>
            <w:tcW w:w="3176" w:type="dxa"/>
            <w:tcBorders>
              <w:top w:val="single" w:sz="4" w:space="0" w:color="000000"/>
              <w:left w:val="single" w:sz="4" w:space="0" w:color="000000"/>
              <w:bottom w:val="nil" w:sz="6" w:space="0" w:color="auto"/>
              <w:right w:val="single" w:sz="4" w:space="0" w:color="000000"/>
            </w:tcBorders>
            <w:shd w:val="clear" w:color="auto" w:fill="D3D3D3"/>
          </w:tcPr>
          <w:p>
            <w:pPr/>
          </w:p>
        </w:tc>
        <w:tc>
          <w:tcPr>
            <w:tcW w:w="326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8"/>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4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317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264" w:type="dxa"/>
            <w:gridSpan w:val="2"/>
            <w:vMerge/>
            <w:tcBorders>
              <w:left w:val="single" w:sz="4" w:space="0" w:color="000000"/>
              <w:bottom w:val="single" w:sz="4" w:space="0" w:color="000000"/>
              <w:right w:val="single" w:sz="4" w:space="0" w:color="000000"/>
            </w:tcBorders>
            <w:shd w:val="clear" w:color="auto" w:fill="D3D3D3"/>
          </w:tcPr>
          <w:p>
            <w:pPr/>
          </w:p>
        </w:tc>
        <w:tc>
          <w:tcPr>
            <w:tcW w:w="3242"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3176" w:type="dxa"/>
            <w:vMerge/>
            <w:tcBorders>
              <w:left w:val="single" w:sz="4" w:space="0" w:color="000000"/>
              <w:bottom w:val="nil" w:sz="6" w:space="0" w:color="auto"/>
              <w:right w:val="single" w:sz="4" w:space="0" w:color="000000"/>
            </w:tcBorders>
            <w:shd w:val="clear" w:color="auto" w:fill="D3D3D3"/>
          </w:tcPr>
          <w:p>
            <w:pPr/>
          </w:p>
        </w:tc>
        <w:tc>
          <w:tcPr>
            <w:tcW w:w="17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40"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53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26"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72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52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26"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5" w:hRule="exact"/>
        </w:trPr>
        <w:tc>
          <w:tcPr>
            <w:tcW w:w="3176"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1" w:type="dxa"/>
            <w:vMerge/>
            <w:tcBorders>
              <w:left w:val="single" w:sz="4" w:space="0" w:color="000000"/>
              <w:bottom w:val="single" w:sz="4" w:space="0" w:color="000000"/>
              <w:right w:val="single" w:sz="4" w:space="0" w:color="000000"/>
            </w:tcBorders>
            <w:shd w:val="clear" w:color="auto" w:fill="D3D3D3"/>
          </w:tcPr>
          <w:p>
            <w:pPr/>
          </w:p>
        </w:tc>
        <w:tc>
          <w:tcPr>
            <w:tcW w:w="1533" w:type="dxa"/>
            <w:vMerge/>
            <w:tcBorders>
              <w:left w:val="single" w:sz="4" w:space="0" w:color="000000"/>
              <w:bottom w:val="single" w:sz="4" w:space="0" w:color="000000"/>
              <w:right w:val="single" w:sz="4" w:space="0" w:color="000000"/>
            </w:tcBorders>
            <w:shd w:val="clear" w:color="auto" w:fill="D3D3D3"/>
          </w:tcPr>
          <w:p>
            <w:pPr/>
          </w:p>
        </w:tc>
        <w:tc>
          <w:tcPr>
            <w:tcW w:w="1720" w:type="dxa"/>
            <w:vMerge/>
            <w:tcBorders>
              <w:left w:val="single" w:sz="4" w:space="0" w:color="000000"/>
              <w:bottom w:val="single" w:sz="4" w:space="0" w:color="000000"/>
              <w:right w:val="single" w:sz="4" w:space="0" w:color="000000"/>
            </w:tcBorders>
            <w:shd w:val="clear" w:color="auto" w:fill="D3D3D3"/>
          </w:tcPr>
          <w:p>
            <w:pPr/>
          </w:p>
        </w:tc>
        <w:tc>
          <w:tcPr>
            <w:tcW w:w="152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非同一控制企业合并资产评估增值</w:t>
            </w:r>
          </w:p>
        </w:tc>
        <w:tc>
          <w:tcPr>
            <w:tcW w:w="17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2,325,758.56</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1"/>
              <w:jc w:val="right"/>
              <w:rPr>
                <w:rFonts w:ascii="Times New Roman" w:hAnsi="Times New Roman" w:cs="Times New Roman" w:eastAsia="Times New Roman" w:hint="default"/>
                <w:sz w:val="18"/>
                <w:szCs w:val="18"/>
              </w:rPr>
            </w:pPr>
            <w:r>
              <w:rPr>
                <w:rFonts w:ascii="Times New Roman"/>
                <w:spacing w:val="-1"/>
                <w:sz w:val="18"/>
              </w:rPr>
              <w:t>116,287.93</w:t>
            </w:r>
          </w:p>
        </w:tc>
        <w:tc>
          <w:tcPr>
            <w:tcW w:w="17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2,325,758.56</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1"/>
              <w:jc w:val="right"/>
              <w:rPr>
                <w:rFonts w:ascii="Times New Roman" w:hAnsi="Times New Roman" w:cs="Times New Roman" w:eastAsia="Times New Roman" w:hint="default"/>
                <w:sz w:val="18"/>
                <w:szCs w:val="18"/>
              </w:rPr>
            </w:pPr>
            <w:r>
              <w:rPr>
                <w:rFonts w:ascii="Times New Roman"/>
                <w:spacing w:val="-1"/>
                <w:sz w:val="18"/>
              </w:rPr>
              <w:t>116,287.93</w:t>
            </w:r>
          </w:p>
        </w:tc>
        <w:tc>
          <w:tcPr>
            <w:tcW w:w="17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161" w:hRule="exact"/>
        </w:trPr>
        <w:tc>
          <w:tcPr>
            <w:tcW w:w="1889" w:type="dxa"/>
            <w:tcBorders>
              <w:top w:val="single" w:sz="4" w:space="0" w:color="000000"/>
              <w:left w:val="single" w:sz="4" w:space="0" w:color="000000"/>
              <w:bottom w:val="nil" w:sz="6" w:space="0" w:color="auto"/>
              <w:right w:val="single" w:sz="4" w:space="0" w:color="000000"/>
            </w:tcBorders>
            <w:shd w:val="clear" w:color="auto" w:fill="D3D3D3"/>
          </w:tcPr>
          <w:p>
            <w:pPr/>
          </w:p>
        </w:tc>
        <w:tc>
          <w:tcPr>
            <w:tcW w:w="1928"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425"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411"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88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vMerge/>
            <w:tcBorders>
              <w:left w:val="single" w:sz="4" w:space="0" w:color="000000"/>
              <w:right w:val="single" w:sz="4" w:space="0" w:color="000000"/>
            </w:tcBorders>
            <w:shd w:val="clear" w:color="auto" w:fill="D3D3D3"/>
          </w:tcPr>
          <w:p>
            <w:pPr/>
          </w:p>
        </w:tc>
        <w:tc>
          <w:tcPr>
            <w:tcW w:w="1914" w:type="dxa"/>
            <w:vMerge/>
            <w:tcBorders>
              <w:left w:val="single" w:sz="4" w:space="0" w:color="000000"/>
              <w:right w:val="single" w:sz="4" w:space="0" w:color="000000"/>
            </w:tcBorders>
            <w:shd w:val="clear" w:color="auto" w:fill="D3D3D3"/>
          </w:tcPr>
          <w:p>
            <w:pPr/>
          </w:p>
        </w:tc>
        <w:tc>
          <w:tcPr>
            <w:tcW w:w="1914" w:type="dxa"/>
            <w:vMerge/>
            <w:tcBorders>
              <w:left w:val="single" w:sz="4" w:space="0" w:color="000000"/>
              <w:right w:val="single" w:sz="4" w:space="0" w:color="000000"/>
            </w:tcBorders>
            <w:shd w:val="clear" w:color="auto" w:fill="D3D3D3"/>
          </w:tcPr>
          <w:p>
            <w:pPr/>
          </w:p>
        </w:tc>
        <w:tc>
          <w:tcPr>
            <w:tcW w:w="1914" w:type="dxa"/>
            <w:vMerge/>
            <w:tcBorders>
              <w:left w:val="single" w:sz="4" w:space="0" w:color="000000"/>
              <w:right w:val="single" w:sz="4" w:space="0" w:color="000000"/>
            </w:tcBorders>
            <w:shd w:val="clear" w:color="auto" w:fill="D3D3D3"/>
          </w:tcPr>
          <w:p>
            <w:pPr/>
          </w:p>
        </w:tc>
      </w:tr>
      <w:tr>
        <w:trPr>
          <w:trHeight w:val="161" w:hRule="exact"/>
        </w:trPr>
        <w:tc>
          <w:tcPr>
            <w:tcW w:w="1889" w:type="dxa"/>
            <w:tcBorders>
              <w:top w:val="nil" w:sz="6" w:space="0" w:color="auto"/>
              <w:left w:val="single" w:sz="4" w:space="0" w:color="000000"/>
              <w:bottom w:val="single" w:sz="4" w:space="0" w:color="000000"/>
              <w:right w:val="single" w:sz="4" w:space="0" w:color="000000"/>
            </w:tcBorders>
            <w:shd w:val="clear" w:color="auto" w:fill="D3D3D3"/>
          </w:tcPr>
          <w:p>
            <w:pPr/>
          </w:p>
        </w:tc>
        <w:tc>
          <w:tcPr>
            <w:tcW w:w="1928"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2,417,962.61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5,404,840.99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116,287.93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862,075.68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431,059.38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62,056,407.73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31,532,278.86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62,918,483.41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31,963,338.24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32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2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2,044,911.50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2,233,928.85</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323"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23,600,905.92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23,600,905.92</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32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3,347,592.84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5,697,444.09</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32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33,062,997.47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323"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62,056,407.73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31,532,278.86</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25</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预付固定资产采购款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1,084,179.00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进项税留抵税额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47,076,158.80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46,215,604.16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预付装修款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1,534,046.17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48,476,158.80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50,233,829.33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26</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61,450,000.00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60,450,000.00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216,450,000.00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190,450,000.00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28</w:t>
      </w:r>
      <w:r>
        <w:rPr/>
        <w:t>、衍生金融负债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29</w:t>
      </w:r>
      <w:r>
        <w:rPr/>
        <w:t>、应付票据及应付账款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52,234,777.00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67,324,006.00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131,214,391.21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114,819,416.40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183,449,168.21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182,143,422.40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52,234,777.00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67,324,006.00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52,234,777.00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67,324,006.00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）应付账款列示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采编、广告及活动策划成本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81,259,942.97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58,822,205.39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材料款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30,168,173.43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38,003,374.39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19,786,274.81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17,993,836.62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131,214,391.21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114,819,416.40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30</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报刊发行款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155,418,854.06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155,560,596.68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广告及策划款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149,829,014.92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114,951,211.33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教育培训及技术服务款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46,215,579.89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26,112,685.81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1,059,729.72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1,566,107.58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7,093,280.68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6,469,061.52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359,616,459.27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304,659,662.92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31</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87"/>
        <w:gridCol w:w="1430"/>
        <w:gridCol w:w="1914"/>
        <w:gridCol w:w="1914"/>
        <w:gridCol w:w="1914"/>
      </w:tblGrid>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5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4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73,149,900.85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373,113,770.11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357,110,904.82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89,152,766.14</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4"/>
                <w:sz w:val="18"/>
                <w:szCs w:val="18"/>
              </w:rPr>
              <w:t>二、离职后福利</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设定提存计划</w:t>
            </w:r>
          </w:p>
        </w:tc>
        <w:tc>
          <w:tcPr>
            <w:tcW w:w="14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1,169,261.30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21,129,883.47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21,197,850.62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1,101,294.15</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430" w:type="dxa"/>
            <w:tcBorders>
              <w:top w:val="single" w:sz="4" w:space="0" w:color="000000"/>
              <w:left w:val="single" w:sz="13"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891,392.35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869,069.85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22,322.50</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74,319,162.15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395,135,045.93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379,177,825.29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90,276,382.79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87"/>
        <w:gridCol w:w="1430"/>
        <w:gridCol w:w="1914"/>
        <w:gridCol w:w="1914"/>
        <w:gridCol w:w="1914"/>
      </w:tblGrid>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5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4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70,328,392.94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328,421,336.36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312,101,213.75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86,648,515.55</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430" w:type="dxa"/>
            <w:tcBorders>
              <w:top w:val="single" w:sz="4" w:space="0" w:color="000000"/>
              <w:left w:val="single" w:sz="13"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15,095,002.18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15,025,642.18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69,360.00</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4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864,108.68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14,921,003.24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14,898,621.16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886,490.76</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4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778,060.69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13,173,228.52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13,168,183.67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783,105.54</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4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18,738.93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358,541.34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356,941.91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20,338.36</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4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67,309.06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1,389,233.38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1,373,495.58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83,046.86</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4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63,098.00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11,376,040.20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11,391,631.20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47,507.00</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4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1,894,301.23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3,300,388.13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3,693,796.53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1,500,892.83</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73,149,900.85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373,113,770.11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357,110,904.82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89,152,766.14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14"/>
      </w:tblGrid>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1,052,580.59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19,576,097.36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19,573,168.72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1,055,509.23</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36,804.11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689,233.69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686,796.93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39,240.87</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79,876.60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864,552.42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937,884.97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6,544.05</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1,169,261.30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21,129,883.47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21,197,850.62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1,101,294.15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32</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5"/>
        <w:gridCol w:w="3194"/>
        <w:gridCol w:w="3188"/>
      </w:tblGrid>
      <w:tr>
        <w:trPr>
          <w:trHeight w:val="402" w:hRule="exact"/>
        </w:trPr>
        <w:tc>
          <w:tcPr>
            <w:tcW w:w="3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19,950,007.24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15,497,748.96</w:t>
            </w:r>
          </w:p>
        </w:tc>
      </w:tr>
      <w:tr>
        <w:trPr>
          <w:trHeight w:val="402" w:hRule="exact"/>
        </w:trPr>
        <w:tc>
          <w:tcPr>
            <w:tcW w:w="3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5,529,892.06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2,788,443.52</w:t>
            </w:r>
          </w:p>
        </w:tc>
      </w:tr>
      <w:tr>
        <w:trPr>
          <w:trHeight w:val="402" w:hRule="exact"/>
        </w:trPr>
        <w:tc>
          <w:tcPr>
            <w:tcW w:w="3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2,011,434.98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3,153,483.23</w:t>
            </w:r>
          </w:p>
        </w:tc>
      </w:tr>
      <w:tr>
        <w:trPr>
          <w:trHeight w:val="402" w:hRule="exact"/>
        </w:trPr>
        <w:tc>
          <w:tcPr>
            <w:tcW w:w="3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630,860.81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625,421.98</w:t>
            </w:r>
          </w:p>
        </w:tc>
      </w:tr>
      <w:tr>
        <w:trPr>
          <w:trHeight w:val="402" w:hRule="exact"/>
        </w:trPr>
        <w:tc>
          <w:tcPr>
            <w:tcW w:w="31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271,641.17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270,047.32</w:t>
            </w:r>
          </w:p>
        </w:tc>
      </w:tr>
      <w:tr>
        <w:trPr>
          <w:trHeight w:val="402" w:hRule="exact"/>
        </w:trPr>
        <w:tc>
          <w:tcPr>
            <w:tcW w:w="31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181,454.34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176,317.64</w:t>
            </w:r>
          </w:p>
        </w:tc>
      </w:tr>
      <w:tr>
        <w:trPr>
          <w:trHeight w:val="402" w:hRule="exact"/>
        </w:trPr>
        <w:tc>
          <w:tcPr>
            <w:tcW w:w="31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1,707.45</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2,367,649.38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3,383,765.77</w:t>
            </w:r>
          </w:p>
        </w:tc>
      </w:tr>
      <w:tr>
        <w:trPr>
          <w:trHeight w:val="402" w:hRule="exact"/>
        </w:trPr>
        <w:tc>
          <w:tcPr>
            <w:tcW w:w="31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64,067.88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247,730.62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373,475.26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370,084.31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225,842.52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3,542.47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残疾人保障金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67,360.26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44,338.57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31,675,393.35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26,560,924.39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33</w:t>
      </w:r>
      <w:r>
        <w:rPr/>
        <w:t>、其他应付款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414,136.59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447,772.48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11,061,765.67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5,972,470.85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169,675,330.88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340,034,922.29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181,151,233.14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346,455,165.62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91,133.38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62,716.75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323,003.21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241,731.21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5" w:type="dxa"/>
            <w:tcBorders>
              <w:top w:val="single" w:sz="4" w:space="0" w:color="000000"/>
              <w:left w:val="single" w:sz="13" w:space="0" w:color="D3D3D3"/>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143,324.52</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414,136.59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447,772.48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）应付股利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11,061,765.67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5,972,470.85</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11,061,765.67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5,972,470.85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按款项性质列示其他应付款</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应付投资款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129,937,480.00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301,241,493.26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11,421,779.09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12,945,074.58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14,872,729.64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14,870,984.19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13,443,342.15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10,977,370.26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169,675,330.88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340,034,922.29</w:t>
            </w:r>
          </w:p>
        </w:tc>
      </w:tr>
    </w:tbl>
    <w:p>
      <w:pPr>
        <w:pStyle w:val="BodyText"/>
        <w:spacing w:line="240" w:lineRule="auto" w:before="51"/>
        <w:ind w:right="0"/>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 </w:t>
      </w:r>
      <w:r>
        <w:rPr/>
        <w:t>年的重要其他应付款：无</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34</w:t>
      </w:r>
      <w:r>
        <w:rPr/>
        <w:t>、持有待售负债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35</w:t>
      </w:r>
      <w:r>
        <w:rPr/>
        <w:t>、一年内到期的非流动负债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30,250,000.00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20,250,000.00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30,250,000.00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20,250,000.00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36</w:t>
      </w:r>
      <w:r>
        <w:rPr/>
        <w:t>、其他流动负债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37</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674"/>
        <w:gridCol w:w="2706"/>
        <w:gridCol w:w="3188"/>
      </w:tblGrid>
      <w:tr>
        <w:trPr>
          <w:trHeight w:val="402" w:hRule="exact"/>
        </w:trPr>
        <w:tc>
          <w:tcPr>
            <w:tcW w:w="3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706" w:type="dxa"/>
            <w:tcBorders>
              <w:top w:val="single" w:sz="4" w:space="0" w:color="000000"/>
              <w:left w:val="single" w:sz="13" w:space="0" w:color="D3D3D3"/>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12,050,000.00</w:t>
            </w:r>
          </w:p>
        </w:tc>
      </w:tr>
      <w:tr>
        <w:trPr>
          <w:trHeight w:val="402" w:hRule="exact"/>
        </w:trPr>
        <w:tc>
          <w:tcPr>
            <w:tcW w:w="3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保证兼抵押兼质押借款</w:t>
            </w:r>
          </w:p>
        </w:tc>
        <w:tc>
          <w:tcPr>
            <w:tcW w:w="2706"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60,630,023.75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55,830,000.00</w:t>
            </w:r>
          </w:p>
        </w:tc>
      </w:tr>
      <w:tr>
        <w:trPr>
          <w:trHeight w:val="402" w:hRule="exact"/>
        </w:trPr>
        <w:tc>
          <w:tcPr>
            <w:tcW w:w="3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减：一年内到期的长期借款（附注六、</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2706"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-30,250,000.00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-20,250,000.00</w:t>
            </w:r>
          </w:p>
        </w:tc>
      </w:tr>
      <w:tr>
        <w:trPr>
          <w:trHeight w:val="402" w:hRule="exact"/>
        </w:trPr>
        <w:tc>
          <w:tcPr>
            <w:tcW w:w="3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30,380,023.75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47,630,000.00</w:t>
            </w:r>
          </w:p>
        </w:tc>
      </w:tr>
    </w:tbl>
    <w:p>
      <w:pPr>
        <w:pStyle w:val="BodyText"/>
        <w:spacing w:line="240" w:lineRule="auto" w:before="51"/>
        <w:ind w:right="0"/>
        <w:jc w:val="left"/>
      </w:pPr>
      <w:r>
        <w:rPr/>
        <w:t>长期借款分类的说明：</w:t>
      </w:r>
    </w:p>
    <w:p>
      <w:pPr>
        <w:pStyle w:val="BodyText"/>
        <w:spacing w:line="240" w:lineRule="auto" w:before="116"/>
        <w:ind w:left="634" w:right="0"/>
        <w:jc w:val="left"/>
      </w:pPr>
      <w:r>
        <w:rPr>
          <w:rFonts w:ascii="Times New Roman" w:hAnsi="Times New Roman" w:cs="Times New Roman" w:eastAsia="Times New Roman" w:hint="default"/>
        </w:rPr>
        <w:t>1</w:t>
      </w:r>
      <w:r>
        <w:rPr/>
        <w:t>：中教未来国际教育科技（北京）有限公司于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日与杭州银行股份有限公司北京中关村支行签订了编号为</w:t>
      </w:r>
    </w:p>
    <w:p>
      <w:pPr>
        <w:pStyle w:val="BodyText"/>
        <w:spacing w:line="300" w:lineRule="auto" w:before="63"/>
        <w:ind w:right="1129"/>
        <w:jc w:val="both"/>
      </w:pPr>
      <w:r>
        <w:rPr>
          <w:rFonts w:ascii="Times New Roman" w:hAnsi="Times New Roman" w:cs="Times New Roman" w:eastAsia="Times New Roman" w:hint="default"/>
          <w:spacing w:val="-1"/>
        </w:rPr>
        <w:t>129C215201700001</w:t>
      </w:r>
      <w:r>
        <w:rPr>
          <w:spacing w:val="-1"/>
        </w:rPr>
        <w:t>的借款合同，借款金额人民币</w:t>
      </w:r>
      <w:r>
        <w:rPr>
          <w:rFonts w:ascii="Times New Roman" w:hAnsi="Times New Roman" w:cs="Times New Roman" w:eastAsia="Times New Roman" w:hint="default"/>
          <w:spacing w:val="-1"/>
        </w:rPr>
        <w:t>2,100.00</w:t>
      </w:r>
      <w:r>
        <w:rPr>
          <w:spacing w:val="-1"/>
        </w:rPr>
        <w:t>万元，借款期限自</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9</w:t>
      </w:r>
      <w:r>
        <w:rPr>
          <w:spacing w:val="-1"/>
        </w:rPr>
        <w:t>日至</w:t>
      </w:r>
      <w:r>
        <w:rPr>
          <w:rFonts w:ascii="Times New Roman" w:hAnsi="Times New Roman" w:cs="Times New Roman" w:eastAsia="Times New Roman" w:hint="default"/>
          <w:spacing w:val="-1"/>
        </w:rPr>
        <w:t>2021</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8</w:t>
      </w:r>
      <w:r>
        <w:rPr>
          <w:spacing w:val="-1"/>
        </w:rPr>
        <w:t>日止。中教未来国际</w:t>
      </w:r>
      <w:r>
        <w:rPr>
          <w:spacing w:val="-45"/>
        </w:rPr>
        <w:t> </w:t>
      </w:r>
      <w:r>
        <w:rPr>
          <w:spacing w:val="-45"/>
        </w:rPr>
      </w:r>
      <w:r>
        <w:rPr>
          <w:spacing w:val="-1"/>
        </w:rPr>
        <w:t>教育科技（北京）有限公司同时与杭州银行股份有限公司北京中关村支行签订了编号为</w:t>
      </w:r>
      <w:r>
        <w:rPr>
          <w:rFonts w:ascii="Times New Roman" w:hAnsi="Times New Roman" w:cs="Times New Roman" w:eastAsia="Times New Roman" w:hint="default"/>
          <w:spacing w:val="-1"/>
        </w:rPr>
        <w:t>129C2152017000011</w:t>
      </w:r>
      <w:r>
        <w:rPr>
          <w:spacing w:val="-1"/>
        </w:rPr>
        <w:t>的质押合同，质</w:t>
      </w:r>
      <w:r>
        <w:rPr>
          <w:spacing w:val="-53"/>
        </w:rPr>
        <w:t> </w:t>
      </w:r>
      <w:r>
        <w:rPr>
          <w:spacing w:val="-53"/>
        </w:rPr>
      </w:r>
      <w:r>
        <w:rPr/>
        <w:t>押担保的主债权金额金额为人民币</w:t>
      </w:r>
      <w:r>
        <w:rPr>
          <w:rFonts w:ascii="Times New Roman" w:hAnsi="Times New Roman" w:cs="Times New Roman" w:eastAsia="Times New Roman" w:hint="default"/>
        </w:rPr>
        <w:t>2,100.00</w:t>
      </w:r>
      <w:r>
        <w:rPr/>
        <w:t>万元，质押权利清单：中教未来国际教育科技（北京）有限公司持有的智明远扬</w:t>
      </w:r>
      <w:r>
        <w:rPr>
          <w:spacing w:val="-85"/>
        </w:rPr>
        <w:t> </w:t>
      </w:r>
      <w:r>
        <w:rPr>
          <w:spacing w:val="-85"/>
        </w:rPr>
      </w:r>
      <w:r>
        <w:rPr>
          <w:spacing w:val="-1"/>
        </w:rPr>
        <w:t>国际教育科技（北京）有限公司</w:t>
      </w:r>
      <w:r>
        <w:rPr>
          <w:rFonts w:ascii="Times New Roman" w:hAnsi="Times New Roman" w:cs="Times New Roman" w:eastAsia="Times New Roman" w:hint="default"/>
          <w:spacing w:val="-1"/>
        </w:rPr>
        <w:t>100%</w:t>
      </w:r>
      <w:r>
        <w:rPr>
          <w:spacing w:val="-1"/>
        </w:rPr>
        <w:t>的股权（质押股权协商认定评估价为人民币</w:t>
      </w:r>
      <w:r>
        <w:rPr>
          <w:rFonts w:ascii="Times New Roman" w:hAnsi="Times New Roman" w:cs="Times New Roman" w:eastAsia="Times New Roman" w:hint="default"/>
          <w:spacing w:val="-1"/>
        </w:rPr>
        <w:t>5,531.00</w:t>
      </w:r>
      <w:r>
        <w:rPr>
          <w:spacing w:val="-1"/>
        </w:rPr>
        <w:t>万元）。截至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日，该</w:t>
      </w:r>
      <w:r>
        <w:rPr>
          <w:spacing w:val="-84"/>
        </w:rPr>
        <w:t> </w:t>
      </w:r>
      <w:r>
        <w:rPr>
          <w:spacing w:val="-84"/>
        </w:rPr>
      </w:r>
      <w:r>
        <w:rPr/>
        <w:t>借款合同尚未归还的借款余额为人民币</w:t>
      </w:r>
      <w:r>
        <w:rPr>
          <w:rFonts w:ascii="Times New Roman" w:hAnsi="Times New Roman" w:cs="Times New Roman" w:eastAsia="Times New Roman" w:hint="default"/>
        </w:rPr>
        <w:t>13,100,000.00</w:t>
      </w:r>
      <w:r>
        <w:rPr/>
        <w:t>元。</w:t>
      </w:r>
    </w:p>
    <w:p>
      <w:pPr>
        <w:pStyle w:val="BodyText"/>
        <w:spacing w:line="240" w:lineRule="auto" w:before="13"/>
        <w:ind w:left="634" w:right="0"/>
        <w:jc w:val="left"/>
      </w:pPr>
      <w:r>
        <w:rPr>
          <w:rFonts w:ascii="Times New Roman" w:hAnsi="Times New Roman" w:cs="Times New Roman" w:eastAsia="Times New Roman" w:hint="default"/>
        </w:rPr>
        <w:t>2</w:t>
      </w:r>
      <w:r>
        <w:rPr/>
        <w:t>：中教未来国际教育科技（北京）有限公司于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8</w:t>
      </w:r>
      <w:r>
        <w:rPr/>
        <w:t>日与杭州银行股份有限公司北京中关村支行签订了编号为</w:t>
      </w:r>
    </w:p>
    <w:p>
      <w:pPr>
        <w:pStyle w:val="BodyText"/>
        <w:spacing w:line="300" w:lineRule="auto" w:before="63"/>
        <w:ind w:right="1035"/>
        <w:jc w:val="left"/>
      </w:pPr>
      <w:r>
        <w:rPr>
          <w:rFonts w:ascii="Times New Roman" w:hAnsi="Times New Roman" w:cs="Times New Roman" w:eastAsia="Times New Roman" w:hint="default"/>
        </w:rPr>
        <w:t>129C215201700006</w:t>
      </w:r>
      <w:r>
        <w:rPr/>
        <w:t>的借款合同，借款金额人民币</w:t>
      </w:r>
      <w:r>
        <w:rPr>
          <w:rFonts w:ascii="Times New Roman" w:hAnsi="Times New Roman" w:cs="Times New Roman" w:eastAsia="Times New Roman" w:hint="default"/>
        </w:rPr>
        <w:t>7,500.00</w:t>
      </w:r>
      <w:r>
        <w:rPr/>
        <w:t>万元，借款期限自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8</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7</w:t>
      </w:r>
      <w:r>
        <w:rPr/>
        <w:t>日止。该借款合同的 保证与抵押质押情况为：（</w:t>
      </w:r>
      <w:r>
        <w:rPr>
          <w:rFonts w:ascii="Times New Roman" w:hAnsi="Times New Roman" w:cs="Times New Roman" w:eastAsia="Times New Roman" w:hint="default"/>
        </w:rPr>
        <w:t>1</w:t>
      </w:r>
      <w:r>
        <w:rPr/>
        <w:t>）宁波高新区新愿景股权投资有限公司与杭州银行股份有限公司北京中关村支行签订了编号为</w:t>
      </w:r>
      <w:r>
        <w:rPr>
          <w:spacing w:val="-83"/>
        </w:rPr>
        <w:t> </w:t>
      </w:r>
      <w:r>
        <w:rPr>
          <w:spacing w:val="-83"/>
        </w:rPr>
      </w:r>
      <w:r>
        <w:rPr>
          <w:rFonts w:ascii="Times New Roman" w:hAnsi="Times New Roman" w:cs="Times New Roman" w:eastAsia="Times New Roman" w:hint="default"/>
        </w:rPr>
        <w:t>129C2152017000061</w:t>
      </w:r>
      <w:r>
        <w:rPr/>
        <w:t>的保证合同，保证担保的主债权金额为人民币</w:t>
      </w:r>
      <w:r>
        <w:rPr>
          <w:rFonts w:ascii="Times New Roman" w:hAnsi="Times New Roman" w:cs="Times New Roman" w:eastAsia="Times New Roman" w:hint="default"/>
        </w:rPr>
        <w:t>7,500.00</w:t>
      </w:r>
      <w:r>
        <w:rPr/>
        <w:t>万元，保证期间为自借款发放之日起至借款到期</w:t>
      </w:r>
      <w:r>
        <w:rPr>
          <w:spacing w:val="-36"/>
        </w:rPr>
        <w:t> </w:t>
      </w:r>
      <w:r>
        <w:rPr>
          <w:spacing w:val="-36"/>
        </w:rPr>
      </w:r>
      <w:r>
        <w:rPr/>
        <w:t>后两年止；（</w:t>
      </w:r>
      <w:r>
        <w:rPr>
          <w:rFonts w:ascii="Times New Roman" w:hAnsi="Times New Roman" w:cs="Times New Roman" w:eastAsia="Times New Roman" w:hint="default"/>
        </w:rPr>
        <w:t>2</w:t>
      </w:r>
      <w:r>
        <w:rPr/>
        <w:t>）曲水华航投资有限公司与杭州银行股份有限公司北京中关村支行签订了编号为</w:t>
      </w:r>
      <w:r>
        <w:rPr>
          <w:rFonts w:ascii="Times New Roman" w:hAnsi="Times New Roman" w:cs="Times New Roman" w:eastAsia="Times New Roman" w:hint="default"/>
        </w:rPr>
        <w:t>129C2152017000062</w:t>
      </w:r>
      <w:r>
        <w:rPr/>
        <w:t>的保证</w:t>
      </w:r>
      <w:r>
        <w:rPr>
          <w:spacing w:val="-34"/>
        </w:rPr>
        <w:t> </w:t>
      </w:r>
      <w:r>
        <w:rPr>
          <w:spacing w:val="-34"/>
        </w:rPr>
      </w:r>
      <w:r>
        <w:rPr>
          <w:spacing w:val="-2"/>
        </w:rPr>
        <w:t>合同，保证担保的主债权金额为人民币</w:t>
      </w:r>
      <w:r>
        <w:rPr>
          <w:rFonts w:ascii="Times New Roman" w:hAnsi="Times New Roman" w:cs="Times New Roman" w:eastAsia="Times New Roman" w:hint="default"/>
          <w:spacing w:val="-2"/>
        </w:rPr>
        <w:t>7,500.00</w:t>
      </w:r>
      <w:r>
        <w:rPr>
          <w:spacing w:val="-2"/>
        </w:rPr>
        <w:t>万元，保证期间为自借款发放之日起至借款到期后两年止；（</w:t>
      </w:r>
      <w:r>
        <w:rPr>
          <w:rFonts w:ascii="Times New Roman" w:hAnsi="Times New Roman" w:cs="Times New Roman" w:eastAsia="Times New Roman" w:hint="default"/>
          <w:spacing w:val="-2"/>
        </w:rPr>
        <w:t>3</w:t>
      </w:r>
      <w:r>
        <w:rPr>
          <w:spacing w:val="-2"/>
        </w:rPr>
        <w:t>）吴井军与杭</w:t>
      </w:r>
      <w:r>
        <w:rPr>
          <w:spacing w:val="-58"/>
        </w:rPr>
        <w:t> </w:t>
      </w:r>
      <w:r>
        <w:rPr>
          <w:spacing w:val="-58"/>
        </w:rPr>
      </w:r>
      <w:r>
        <w:rPr>
          <w:spacing w:val="8"/>
        </w:rPr>
        <w:t>州银行股份有限公司北京中关村支行签订了编号为</w:t>
      </w:r>
      <w:r>
        <w:rPr>
          <w:rFonts w:ascii="Times New Roman" w:hAnsi="Times New Roman" w:cs="Times New Roman" w:eastAsia="Times New Roman" w:hint="default"/>
          <w:spacing w:val="8"/>
        </w:rPr>
        <w:t>129C2152017000063</w:t>
      </w:r>
      <w:r>
        <w:rPr>
          <w:spacing w:val="8"/>
        </w:rPr>
        <w:t>的抵押合同，抵押担保的主债权金额为人民币</w:t>
      </w:r>
      <w:r>
        <w:rPr>
          <w:spacing w:val="-47"/>
        </w:rPr>
        <w:t> </w:t>
      </w:r>
      <w:r>
        <w:rPr>
          <w:spacing w:val="-47"/>
        </w:rPr>
      </w:r>
      <w:r>
        <w:rPr>
          <w:rFonts w:ascii="Times New Roman" w:hAnsi="Times New Roman" w:cs="Times New Roman" w:eastAsia="Times New Roman" w:hint="default"/>
          <w:spacing w:val="-2"/>
        </w:rPr>
        <w:t>7,500.00</w:t>
      </w:r>
      <w:r>
        <w:rPr>
          <w:spacing w:val="-2"/>
        </w:rPr>
        <w:t>万元，抵押财产清单：普通住宅（京房权证海私移字第</w:t>
      </w:r>
      <w:r>
        <w:rPr>
          <w:rFonts w:ascii="Times New Roman" w:hAnsi="Times New Roman" w:cs="Times New Roman" w:eastAsia="Times New Roman" w:hint="default"/>
          <w:spacing w:val="-2"/>
        </w:rPr>
        <w:t>0105318</w:t>
      </w:r>
      <w:r>
        <w:rPr>
          <w:spacing w:val="-2"/>
        </w:rPr>
        <w:t>号，协商认定评估价为人民币</w:t>
      </w:r>
      <w:r>
        <w:rPr>
          <w:rFonts w:ascii="Times New Roman" w:hAnsi="Times New Roman" w:cs="Times New Roman" w:eastAsia="Times New Roman" w:hint="default"/>
          <w:spacing w:val="-2"/>
        </w:rPr>
        <w:t>9,429,749.35</w:t>
      </w:r>
      <w:r>
        <w:rPr>
          <w:spacing w:val="-2"/>
        </w:rPr>
        <w:t>元）；（</w:t>
      </w:r>
      <w:r>
        <w:rPr>
          <w:rFonts w:ascii="Times New Roman" w:hAnsi="Times New Roman" w:cs="Times New Roman" w:eastAsia="Times New Roman" w:hint="default"/>
          <w:spacing w:val="-2"/>
        </w:rPr>
        <w:t>4</w:t>
      </w:r>
      <w:r>
        <w:rPr>
          <w:spacing w:val="-2"/>
        </w:rPr>
        <w:t>）</w:t>
      </w:r>
      <w:r>
        <w:rPr>
          <w:spacing w:val="-80"/>
        </w:rPr>
        <w:t> </w:t>
      </w:r>
      <w:r>
        <w:rPr/>
        <w:t>浙江华媒控股股份有限公司与杭州银行股份有限公司北京中关村支行签订了编号为</w:t>
      </w:r>
      <w:r>
        <w:rPr>
          <w:rFonts w:ascii="Times New Roman" w:hAnsi="Times New Roman" w:cs="Times New Roman" w:eastAsia="Times New Roman" w:hint="default"/>
        </w:rPr>
        <w:t>129C2152017000064</w:t>
      </w:r>
      <w:r>
        <w:rPr/>
        <w:t>的最高额保证合同，</w:t>
      </w:r>
    </w:p>
    <w:p>
      <w:pPr>
        <w:spacing w:after="0" w:line="300" w:lineRule="auto"/>
        <w:jc w:val="left"/>
        <w:sectPr>
          <w:pgSz w:w="11910" w:h="16840"/>
          <w:pgMar w:header="877" w:footer="982" w:top="1100" w:bottom="1180" w:left="980" w:right="0"/>
        </w:sectPr>
      </w:pPr>
    </w:p>
    <w:p>
      <w:pPr>
        <w:spacing w:line="240" w:lineRule="auto" w:before="12"/>
        <w:rPr>
          <w:rFonts w:ascii="宋体" w:hAnsi="宋体" w:cs="宋体" w:eastAsia="宋体" w:hint="default"/>
          <w:sz w:val="21"/>
          <w:szCs w:val="21"/>
        </w:rPr>
      </w:pPr>
    </w:p>
    <w:p>
      <w:pPr>
        <w:pStyle w:val="BodyText"/>
        <w:spacing w:line="300" w:lineRule="auto" w:before="44"/>
        <w:ind w:left="153" w:right="1127"/>
        <w:jc w:val="both"/>
      </w:pPr>
      <w:r>
        <w:rPr>
          <w:spacing w:val="-4"/>
        </w:rPr>
        <w:t>本合同债权确认期间为</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8</w:t>
      </w:r>
      <w:r>
        <w:rPr>
          <w:spacing w:val="-4"/>
        </w:rPr>
        <w:t>日至</w:t>
      </w:r>
      <w:r>
        <w:rPr>
          <w:rFonts w:ascii="Times New Roman" w:hAnsi="Times New Roman" w:cs="Times New Roman" w:eastAsia="Times New Roman" w:hint="default"/>
          <w:spacing w:val="-4"/>
        </w:rPr>
        <w:t>2020</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7</w:t>
      </w:r>
      <w:r>
        <w:rPr>
          <w:spacing w:val="-4"/>
        </w:rPr>
        <w:t>日，最高融资余额为人民币</w:t>
      </w:r>
      <w:r>
        <w:rPr>
          <w:rFonts w:ascii="Times New Roman" w:hAnsi="Times New Roman" w:cs="Times New Roman" w:eastAsia="Times New Roman" w:hint="default"/>
          <w:spacing w:val="-4"/>
        </w:rPr>
        <w:t>4,500.00</w:t>
      </w:r>
      <w:r>
        <w:rPr>
          <w:spacing w:val="-4"/>
        </w:rPr>
        <w:t>万元；（</w:t>
      </w:r>
      <w:r>
        <w:rPr>
          <w:rFonts w:ascii="Times New Roman" w:hAnsi="Times New Roman" w:cs="Times New Roman" w:eastAsia="Times New Roman" w:hint="default"/>
          <w:spacing w:val="-4"/>
        </w:rPr>
        <w:t>5</w:t>
      </w:r>
      <w:r>
        <w:rPr>
          <w:spacing w:val="-4"/>
        </w:rPr>
        <w:t>）中教未来国际教育科技（北</w:t>
      </w:r>
      <w:r>
        <w:rPr/>
        <w:t> </w:t>
      </w:r>
      <w:r>
        <w:rPr>
          <w:spacing w:val="-1"/>
        </w:rPr>
        <w:t>京）有限公司与杭州银行股份有限公司北京中关村支行签订了编号为</w:t>
      </w:r>
      <w:r>
        <w:rPr>
          <w:rFonts w:ascii="Times New Roman" w:hAnsi="Times New Roman" w:cs="Times New Roman" w:eastAsia="Times New Roman" w:hint="default"/>
          <w:spacing w:val="-1"/>
        </w:rPr>
        <w:t>129C2152017000065</w:t>
      </w:r>
      <w:r>
        <w:rPr>
          <w:spacing w:val="-1"/>
        </w:rPr>
        <w:t>的质押合同，质押担保的主债权金</w:t>
      </w:r>
      <w:r>
        <w:rPr>
          <w:spacing w:val="-51"/>
        </w:rPr>
        <w:t> </w:t>
      </w:r>
      <w:r>
        <w:rPr>
          <w:spacing w:val="-51"/>
        </w:rPr>
      </w:r>
      <w:r>
        <w:rPr/>
        <w:t>额为人民币</w:t>
      </w:r>
      <w:r>
        <w:rPr>
          <w:rFonts w:ascii="Times New Roman" w:hAnsi="Times New Roman" w:cs="Times New Roman" w:eastAsia="Times New Roman" w:hint="default"/>
        </w:rPr>
        <w:t>7,500.00</w:t>
      </w:r>
      <w:r>
        <w:rPr/>
        <w:t>万元，质押权利清单：中教未来国际教育科技（北京）有限公司持有的布朗睿智（北京）国际教育科技</w:t>
      </w:r>
      <w:r>
        <w:rPr>
          <w:spacing w:val="-85"/>
        </w:rPr>
        <w:t> </w:t>
      </w:r>
      <w:r>
        <w:rPr>
          <w:spacing w:val="-85"/>
        </w:rPr>
      </w:r>
      <w:r>
        <w:rPr/>
        <w:t>有限公司</w:t>
      </w:r>
      <w:r>
        <w:rPr>
          <w:rFonts w:ascii="Times New Roman" w:hAnsi="Times New Roman" w:cs="Times New Roman" w:eastAsia="Times New Roman" w:hint="default"/>
        </w:rPr>
        <w:t>30%</w:t>
      </w:r>
      <w:r>
        <w:rPr/>
        <w:t>的股权（质押股权协商认定评估价为人民币</w:t>
      </w:r>
      <w:r>
        <w:rPr>
          <w:rFonts w:ascii="Times New Roman" w:hAnsi="Times New Roman" w:cs="Times New Roman" w:eastAsia="Times New Roman" w:hint="default"/>
        </w:rPr>
        <w:t>104,929,600.00</w:t>
      </w:r>
      <w:r>
        <w:rPr/>
        <w:t>元）、中教未来国际教育科技（北京）有限公司持</w:t>
      </w:r>
      <w:r>
        <w:rPr>
          <w:spacing w:val="-24"/>
        </w:rPr>
        <w:t> </w:t>
      </w:r>
      <w:r>
        <w:rPr>
          <w:spacing w:val="-24"/>
        </w:rPr>
      </w:r>
      <w:r>
        <w:rPr>
          <w:spacing w:val="-1"/>
        </w:rPr>
        <w:t>有的布朗时代（北京）教育投资有限公司</w:t>
      </w:r>
      <w:r>
        <w:rPr>
          <w:rFonts w:ascii="Times New Roman" w:hAnsi="Times New Roman" w:cs="Times New Roman" w:eastAsia="Times New Roman" w:hint="default"/>
          <w:spacing w:val="-1"/>
        </w:rPr>
        <w:t>30%</w:t>
      </w:r>
      <w:r>
        <w:rPr>
          <w:spacing w:val="-1"/>
        </w:rPr>
        <w:t>的股权（质押股权协商认定评估价为人民币</w:t>
      </w:r>
      <w:r>
        <w:rPr>
          <w:rFonts w:ascii="Times New Roman" w:hAnsi="Times New Roman" w:cs="Times New Roman" w:eastAsia="Times New Roman" w:hint="default"/>
          <w:spacing w:val="-1"/>
        </w:rPr>
        <w:t>45,070,400.00</w:t>
      </w:r>
      <w:r>
        <w:rPr>
          <w:spacing w:val="-1"/>
        </w:rPr>
        <w:t>元）。截至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8"/>
        </w:rPr>
        <w:t> </w:t>
      </w:r>
      <w:r>
        <w:rPr/>
        <w:t>月</w:t>
      </w:r>
      <w:r>
        <w:rPr>
          <w:rFonts w:ascii="Times New Roman" w:hAnsi="Times New Roman" w:cs="Times New Roman" w:eastAsia="Times New Roman" w:hint="default"/>
        </w:rPr>
        <w:t>31</w:t>
      </w:r>
      <w:r>
        <w:rPr/>
        <w:t>日，该借款合同尚未归还的借款余额为人民币</w:t>
      </w:r>
      <w:r>
        <w:rPr>
          <w:rFonts w:ascii="Times New Roman" w:hAnsi="Times New Roman" w:cs="Times New Roman" w:eastAsia="Times New Roman" w:hint="default"/>
        </w:rPr>
        <w:t>47,530,023.75</w:t>
      </w:r>
      <w:r>
        <w:rPr/>
        <w:t>元。</w:t>
      </w:r>
    </w:p>
    <w:p>
      <w:pPr>
        <w:spacing w:line="240" w:lineRule="auto" w:before="1"/>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38</w:t>
      </w:r>
      <w:r>
        <w:rPr/>
        <w:t>、应付债券</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39</w:t>
      </w:r>
      <w:r>
        <w:rPr/>
        <w:t>、长期应付款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2</w:t>
      </w:r>
      <w:r>
        <w:rPr/>
        <w:t>）专项应付款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r>
        <w:rPr>
          <w:rFonts w:ascii="Times New Roman" w:hAnsi="Times New Roman" w:cs="Times New Roman" w:eastAsia="Times New Roman" w:hint="default"/>
        </w:rPr>
        <w:t>40</w:t>
      </w:r>
      <w:r>
        <w:rPr/>
        <w:t>、长期应付职工薪酬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r>
        <w:rPr>
          <w:rFonts w:ascii="Times New Roman" w:hAnsi="Times New Roman" w:cs="Times New Roman" w:eastAsia="Times New Roman" w:hint="default"/>
        </w:rPr>
        <w:t>41</w:t>
      </w:r>
      <w:r>
        <w:rPr/>
        <w:t>、预计负债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r>
        <w:rPr>
          <w:rFonts w:ascii="Times New Roman" w:hAnsi="Times New Roman" w:cs="Times New Roman" w:eastAsia="Times New Roman" w:hint="default"/>
        </w:rPr>
        <w:t>42</w:t>
      </w:r>
      <w:r>
        <w:rPr/>
        <w:t>、递延收益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5"/>
        <w:gridCol w:w="1594"/>
        <w:gridCol w:w="1594"/>
        <w:gridCol w:w="1595"/>
      </w:tblGrid>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3,578,550.04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336,493.80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3,242,056.24</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财政扶持</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3,578,550.04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336,493.80</w:t>
            </w:r>
          </w:p>
        </w:tc>
        <w:tc>
          <w:tcPr>
            <w:tcW w:w="159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pacing w:val="-1"/>
                <w:sz w:val="18"/>
              </w:rPr>
              <w:t>3,242,056.24</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pStyle w:val="BodyText"/>
        <w:spacing w:line="240" w:lineRule="auto" w:before="116"/>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23"/>
        <w:gridCol w:w="1001"/>
        <w:gridCol w:w="844"/>
        <w:gridCol w:w="1103"/>
        <w:gridCol w:w="1343"/>
        <w:gridCol w:w="1016"/>
        <w:gridCol w:w="496"/>
        <w:gridCol w:w="1001"/>
        <w:gridCol w:w="1040"/>
      </w:tblGrid>
      <w:tr>
        <w:trPr>
          <w:trHeight w:val="1026" w:hRule="exact"/>
        </w:trPr>
        <w:tc>
          <w:tcPr>
            <w:tcW w:w="1823" w:type="dxa"/>
            <w:tcBorders>
              <w:top w:val="single" w:sz="4" w:space="0" w:color="000000"/>
              <w:left w:val="single" w:sz="4" w:space="0" w:color="000000"/>
              <w:bottom w:val="single" w:sz="9" w:space="0" w:color="C7EDCC"/>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4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7" w:right="54"/>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6" w:right="95"/>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3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96" w:right="35" w:hanging="360"/>
              <w:jc w:val="left"/>
              <w:rPr>
                <w:rFonts w:ascii="宋体" w:hAnsi="宋体" w:cs="宋体" w:eastAsia="宋体" w:hint="default"/>
                <w:sz w:val="18"/>
                <w:szCs w:val="18"/>
              </w:rPr>
            </w:pPr>
            <w:r>
              <w:rPr>
                <w:rFonts w:ascii="宋体" w:hAnsi="宋体" w:cs="宋体" w:eastAsia="宋体" w:hint="default"/>
                <w:sz w:val="18"/>
                <w:szCs w:val="18"/>
              </w:rPr>
              <w:t>本期计入其他收 益金额</w:t>
            </w:r>
          </w:p>
        </w:tc>
        <w:tc>
          <w:tcPr>
            <w:tcW w:w="10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2" w:right="53"/>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2" w:right="61"/>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0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66" w:right="39"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402" w:hRule="exact"/>
        </w:trPr>
        <w:tc>
          <w:tcPr>
            <w:tcW w:w="18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年度中央补助文</w:t>
            </w:r>
          </w:p>
        </w:tc>
        <w:tc>
          <w:tcPr>
            <w:tcW w:w="1001"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3,066,666.76</w:t>
            </w:r>
          </w:p>
        </w:tc>
        <w:tc>
          <w:tcPr>
            <w:tcW w:w="84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0" w:right="0"/>
              <w:jc w:val="left"/>
              <w:rPr>
                <w:rFonts w:ascii="Times New Roman" w:hAnsi="Times New Roman" w:cs="Times New Roman" w:eastAsia="Times New Roman" w:hint="default"/>
                <w:sz w:val="18"/>
                <w:szCs w:val="18"/>
              </w:rPr>
            </w:pPr>
            <w:r>
              <w:rPr>
                <w:rFonts w:ascii="Times New Roman"/>
                <w:sz w:val="18"/>
              </w:rPr>
              <w:t>266,666.64</w:t>
            </w:r>
          </w:p>
        </w:tc>
        <w:tc>
          <w:tcPr>
            <w:tcW w:w="1016"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2,800,000.12</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811"/>
        <w:gridCol w:w="1012"/>
        <w:gridCol w:w="844"/>
        <w:gridCol w:w="1103"/>
        <w:gridCol w:w="1343"/>
        <w:gridCol w:w="1016"/>
        <w:gridCol w:w="496"/>
        <w:gridCol w:w="1001"/>
        <w:gridCol w:w="1040"/>
      </w:tblGrid>
      <w:tr>
        <w:trPr>
          <w:trHeight w:val="362" w:hRule="exact"/>
        </w:trPr>
        <w:tc>
          <w:tcPr>
            <w:tcW w:w="18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化产业发展专项资金</w:t>
            </w:r>
          </w:p>
        </w:tc>
        <w:tc>
          <w:tcPr>
            <w:tcW w:w="1012" w:type="dxa"/>
            <w:tcBorders>
              <w:top w:val="single" w:sz="4" w:space="0" w:color="000000"/>
              <w:left w:val="single" w:sz="9" w:space="0" w:color="C7EDCC"/>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58"/>
              <w:jc w:val="left"/>
              <w:rPr>
                <w:rFonts w:ascii="宋体" w:hAnsi="宋体" w:cs="宋体" w:eastAsia="宋体" w:hint="default"/>
                <w:sz w:val="18"/>
                <w:szCs w:val="18"/>
              </w:rPr>
            </w:pPr>
            <w:r>
              <w:rPr>
                <w:rFonts w:ascii="宋体" w:hAnsi="宋体" w:cs="宋体" w:eastAsia="宋体" w:hint="default"/>
                <w:sz w:val="18"/>
                <w:szCs w:val="18"/>
              </w:rPr>
              <w:t>工业和信息化发展财 政专项资金</w:t>
            </w:r>
          </w:p>
        </w:tc>
        <w:tc>
          <w:tcPr>
            <w:tcW w:w="1012"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511,883.28</w:t>
            </w:r>
          </w:p>
        </w:tc>
        <w:tc>
          <w:tcPr>
            <w:tcW w:w="84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69,827.16</w:t>
            </w:r>
          </w:p>
        </w:tc>
        <w:tc>
          <w:tcPr>
            <w:tcW w:w="1016"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442,056.12</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8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12"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3,578,550.04</w:t>
            </w:r>
          </w:p>
        </w:tc>
        <w:tc>
          <w:tcPr>
            <w:tcW w:w="84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336,493.80</w:t>
            </w:r>
          </w:p>
        </w:tc>
        <w:tc>
          <w:tcPr>
            <w:tcW w:w="1016"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3,242,056.24</w:t>
            </w:r>
          </w:p>
        </w:tc>
        <w:tc>
          <w:tcPr>
            <w:tcW w:w="104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43</w:t>
      </w:r>
      <w:r>
        <w:rPr/>
        <w:t>、其他非流动负债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44</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177"/>
        <w:gridCol w:w="1996"/>
        <w:gridCol w:w="1177"/>
        <w:gridCol w:w="632"/>
        <w:gridCol w:w="1450"/>
        <w:gridCol w:w="632"/>
        <w:gridCol w:w="621"/>
        <w:gridCol w:w="2008"/>
      </w:tblGrid>
      <w:tr>
        <w:trPr>
          <w:trHeight w:val="207" w:hRule="exact"/>
        </w:trPr>
        <w:tc>
          <w:tcPr>
            <w:tcW w:w="1177" w:type="dxa"/>
            <w:tcBorders>
              <w:top w:val="single" w:sz="4" w:space="0" w:color="000000"/>
              <w:left w:val="single" w:sz="4" w:space="0" w:color="000000"/>
              <w:bottom w:val="nil" w:sz="6" w:space="0" w:color="auto"/>
              <w:right w:val="single" w:sz="4" w:space="0" w:color="000000"/>
            </w:tcBorders>
            <w:shd w:val="clear" w:color="auto" w:fill="D3D3D3"/>
          </w:tcPr>
          <w:p>
            <w:pPr/>
          </w:p>
        </w:tc>
        <w:tc>
          <w:tcPr>
            <w:tcW w:w="1996" w:type="dxa"/>
            <w:tcBorders>
              <w:top w:val="single" w:sz="4" w:space="0" w:color="000000"/>
              <w:left w:val="single" w:sz="4" w:space="0" w:color="000000"/>
              <w:bottom w:val="nil" w:sz="6" w:space="0" w:color="auto"/>
              <w:right w:val="single" w:sz="4" w:space="0" w:color="000000"/>
            </w:tcBorders>
            <w:shd w:val="clear" w:color="auto" w:fill="D3D3D3"/>
          </w:tcPr>
          <w:p>
            <w:pPr/>
          </w:p>
        </w:tc>
        <w:tc>
          <w:tcPr>
            <w:tcW w:w="4512"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306"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00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5" w:hRule="exact"/>
        </w:trPr>
        <w:tc>
          <w:tcPr>
            <w:tcW w:w="1177" w:type="dxa"/>
            <w:vMerge w:val="restart"/>
            <w:tcBorders>
              <w:top w:val="nil" w:sz="6" w:space="0" w:color="auto"/>
              <w:left w:val="single" w:sz="4" w:space="0" w:color="000000"/>
              <w:right w:val="single" w:sz="4" w:space="0" w:color="000000"/>
            </w:tcBorders>
            <w:shd w:val="clear" w:color="auto" w:fill="D3D3D3"/>
          </w:tcPr>
          <w:p>
            <w:pPr/>
          </w:p>
        </w:tc>
        <w:tc>
          <w:tcPr>
            <w:tcW w:w="199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512" w:type="dxa"/>
            <w:gridSpan w:val="5"/>
            <w:vMerge/>
            <w:tcBorders>
              <w:left w:val="single" w:sz="4" w:space="0" w:color="000000"/>
              <w:bottom w:val="single" w:sz="4" w:space="0" w:color="000000"/>
              <w:right w:val="single" w:sz="4" w:space="0" w:color="000000"/>
            </w:tcBorders>
            <w:shd w:val="clear" w:color="auto" w:fill="D3D3D3"/>
          </w:tcPr>
          <w:p>
            <w:pPr/>
          </w:p>
        </w:tc>
        <w:tc>
          <w:tcPr>
            <w:tcW w:w="200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4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1177" w:type="dxa"/>
            <w:vMerge/>
            <w:tcBorders>
              <w:left w:val="single" w:sz="4" w:space="0" w:color="000000"/>
              <w:bottom w:val="nil" w:sz="6" w:space="0" w:color="auto"/>
              <w:right w:val="single" w:sz="4" w:space="0" w:color="000000"/>
            </w:tcBorders>
            <w:shd w:val="clear" w:color="auto" w:fill="D3D3D3"/>
          </w:tcPr>
          <w:p>
            <w:pPr/>
          </w:p>
        </w:tc>
        <w:tc>
          <w:tcPr>
            <w:tcW w:w="1996" w:type="dxa"/>
            <w:vMerge/>
            <w:tcBorders>
              <w:left w:val="single" w:sz="4" w:space="0" w:color="000000"/>
              <w:bottom w:val="nil" w:sz="6" w:space="0" w:color="auto"/>
              <w:right w:val="single" w:sz="4" w:space="0" w:color="000000"/>
            </w:tcBorders>
            <w:shd w:val="clear" w:color="auto" w:fill="D3D3D3"/>
          </w:tcPr>
          <w:p>
            <w:pPr/>
          </w:p>
        </w:tc>
        <w:tc>
          <w:tcPr>
            <w:tcW w:w="11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2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6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31"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45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7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6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008" w:type="dxa"/>
            <w:vMerge/>
            <w:tcBorders>
              <w:left w:val="single" w:sz="4" w:space="0" w:color="000000"/>
              <w:bottom w:val="nil" w:sz="6" w:space="0" w:color="auto"/>
              <w:right w:val="single" w:sz="4" w:space="0" w:color="000000"/>
            </w:tcBorders>
            <w:shd w:val="clear" w:color="auto" w:fill="D3D3D3"/>
          </w:tcPr>
          <w:p>
            <w:pPr/>
          </w:p>
        </w:tc>
      </w:tr>
      <w:tr>
        <w:trPr>
          <w:trHeight w:val="205" w:hRule="exact"/>
        </w:trPr>
        <w:tc>
          <w:tcPr>
            <w:tcW w:w="1177" w:type="dxa"/>
            <w:tcBorders>
              <w:top w:val="nil" w:sz="6" w:space="0" w:color="auto"/>
              <w:left w:val="single" w:sz="4" w:space="0" w:color="000000"/>
              <w:bottom w:val="single" w:sz="4" w:space="0" w:color="000000"/>
              <w:right w:val="single" w:sz="4" w:space="0" w:color="000000"/>
            </w:tcBorders>
            <w:shd w:val="clear" w:color="auto" w:fill="D3D3D3"/>
          </w:tcPr>
          <w:p>
            <w:pPr/>
          </w:p>
        </w:tc>
        <w:tc>
          <w:tcPr>
            <w:tcW w:w="19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177" w:type="dxa"/>
            <w:vMerge/>
            <w:tcBorders>
              <w:left w:val="single" w:sz="4" w:space="0" w:color="000000"/>
              <w:bottom w:val="single" w:sz="4" w:space="0" w:color="000000"/>
              <w:right w:val="single" w:sz="4" w:space="0" w:color="000000"/>
            </w:tcBorders>
            <w:shd w:val="clear" w:color="auto" w:fill="D3D3D3"/>
          </w:tcPr>
          <w:p>
            <w:pPr/>
          </w:p>
        </w:tc>
        <w:tc>
          <w:tcPr>
            <w:tcW w:w="632" w:type="dxa"/>
            <w:vMerge/>
            <w:tcBorders>
              <w:left w:val="single" w:sz="4" w:space="0" w:color="000000"/>
              <w:bottom w:val="single" w:sz="4" w:space="0" w:color="000000"/>
              <w:right w:val="single" w:sz="4" w:space="0" w:color="000000"/>
            </w:tcBorders>
            <w:shd w:val="clear" w:color="auto" w:fill="D3D3D3"/>
          </w:tcPr>
          <w:p>
            <w:pPr/>
          </w:p>
        </w:tc>
        <w:tc>
          <w:tcPr>
            <w:tcW w:w="1450" w:type="dxa"/>
            <w:vMerge/>
            <w:tcBorders>
              <w:left w:val="single" w:sz="4" w:space="0" w:color="000000"/>
              <w:bottom w:val="single" w:sz="4" w:space="0" w:color="000000"/>
              <w:right w:val="single" w:sz="4" w:space="0" w:color="000000"/>
            </w:tcBorders>
            <w:shd w:val="clear" w:color="auto" w:fill="D3D3D3"/>
          </w:tcPr>
          <w:p>
            <w:pPr/>
          </w:p>
        </w:tc>
        <w:tc>
          <w:tcPr>
            <w:tcW w:w="632" w:type="dxa"/>
            <w:vMerge/>
            <w:tcBorders>
              <w:left w:val="single" w:sz="4" w:space="0" w:color="000000"/>
              <w:bottom w:val="single" w:sz="4" w:space="0" w:color="000000"/>
              <w:right w:val="single" w:sz="4" w:space="0" w:color="000000"/>
            </w:tcBorders>
            <w:shd w:val="clear" w:color="auto" w:fill="D3D3D3"/>
          </w:tcPr>
          <w:p>
            <w:pPr/>
          </w:p>
        </w:tc>
        <w:tc>
          <w:tcPr>
            <w:tcW w:w="621" w:type="dxa"/>
            <w:vMerge/>
            <w:tcBorders>
              <w:left w:val="single" w:sz="4" w:space="0" w:color="000000"/>
              <w:bottom w:val="single" w:sz="4" w:space="0" w:color="000000"/>
              <w:right w:val="single" w:sz="4" w:space="0" w:color="000000"/>
            </w:tcBorders>
            <w:shd w:val="clear" w:color="auto" w:fill="D3D3D3"/>
          </w:tcPr>
          <w:p>
            <w:pPr/>
          </w:p>
        </w:tc>
        <w:tc>
          <w:tcPr>
            <w:tcW w:w="200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3" w:hRule="exact"/>
        </w:trPr>
        <w:tc>
          <w:tcPr>
            <w:tcW w:w="1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9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692" w:right="0"/>
              <w:jc w:val="left"/>
              <w:rPr>
                <w:rFonts w:ascii="Times New Roman" w:hAnsi="Times New Roman" w:cs="Times New Roman" w:eastAsia="Times New Roman" w:hint="default"/>
                <w:sz w:val="18"/>
                <w:szCs w:val="18"/>
              </w:rPr>
            </w:pPr>
            <w:r>
              <w:rPr>
                <w:rFonts w:ascii="Times New Roman"/>
                <w:sz w:val="18"/>
              </w:rPr>
              <w:t>1,017,698,410.00</w:t>
            </w:r>
          </w:p>
        </w:tc>
        <w:tc>
          <w:tcPr>
            <w:tcW w:w="1177"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tcPr>
          <w:p>
            <w:pP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5" w:right="0"/>
              <w:jc w:val="left"/>
              <w:rPr>
                <w:rFonts w:ascii="Times New Roman" w:hAnsi="Times New Roman" w:cs="Times New Roman" w:eastAsia="Times New Roman" w:hint="default"/>
                <w:sz w:val="18"/>
                <w:szCs w:val="18"/>
              </w:rPr>
            </w:pPr>
            <w:r>
              <w:rPr>
                <w:rFonts w:ascii="Times New Roman"/>
                <w:sz w:val="18"/>
              </w:rPr>
              <w:t>1,017,698,410.00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45</w:t>
      </w:r>
      <w:r>
        <w:rPr/>
        <w:t>、其他权益工具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46</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111,730.81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111,730.81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-234,914,723.62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479,878.50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-234,434,845.12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-234,802,992.81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479,878.50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-234,323,114.31</w:t>
            </w:r>
          </w:p>
        </w:tc>
      </w:tr>
    </w:tbl>
    <w:p>
      <w:pPr>
        <w:pStyle w:val="BodyText"/>
        <w:spacing w:line="357" w:lineRule="auto" w:before="51"/>
        <w:ind w:left="444" w:right="0" w:hanging="291"/>
        <w:jc w:val="left"/>
      </w:pPr>
      <w:r>
        <w:rPr/>
        <w:t>其他说明，包括本期增减变动情况、变动原因说明： </w:t>
      </w:r>
      <w:r>
        <w:rPr>
          <w:spacing w:val="-1"/>
        </w:rPr>
        <w:t>本公司的联营企业浙江弘致投资管理有限公司因其他股东单方面增资导致所有者权益的变动，本公司按照持股比例与被</w:t>
      </w:r>
    </w:p>
    <w:p>
      <w:pPr>
        <w:pStyle w:val="BodyText"/>
        <w:spacing w:line="237" w:lineRule="exact"/>
        <w:ind w:left="153" w:right="0"/>
        <w:jc w:val="left"/>
      </w:pPr>
      <w:r>
        <w:rPr/>
        <w:t>投资单位所有者权益的其他变动计算的归属于本企业的部分，相应调整长期股权投资的账面价值，同时增加资本公积</w:t>
      </w:r>
      <w:r>
        <w:rPr>
          <w:rFonts w:ascii="Times New Roman" w:hAnsi="Times New Roman" w:cs="Times New Roman" w:eastAsia="Times New Roman" w:hint="default"/>
        </w:rPr>
        <w:t>-</w:t>
      </w:r>
      <w:r>
        <w:rPr/>
        <w:t>其他</w:t>
      </w:r>
    </w:p>
    <w:p>
      <w:pPr>
        <w:pStyle w:val="BodyText"/>
        <w:spacing w:line="240" w:lineRule="auto" w:before="63"/>
        <w:ind w:left="153" w:right="0"/>
        <w:jc w:val="left"/>
      </w:pPr>
      <w:r>
        <w:rPr/>
        <w:t>资本公积</w:t>
      </w:r>
      <w:r>
        <w:rPr>
          <w:rFonts w:ascii="Times New Roman" w:hAnsi="Times New Roman" w:cs="Times New Roman" w:eastAsia="Times New Roman" w:hint="default"/>
        </w:rPr>
        <w:t>479,878.50</w:t>
      </w:r>
      <w:r>
        <w:rPr/>
        <w:t>元。</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47</w:t>
      </w:r>
      <w:r>
        <w:rPr/>
        <w:t>、库存股</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48</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762"/>
        <w:gridCol w:w="1004"/>
        <w:gridCol w:w="1090"/>
        <w:gridCol w:w="1842"/>
        <w:gridCol w:w="850"/>
        <w:gridCol w:w="992"/>
        <w:gridCol w:w="1150"/>
        <w:gridCol w:w="1004"/>
      </w:tblGrid>
      <w:tr>
        <w:trPr>
          <w:trHeight w:val="244" w:hRule="exact"/>
        </w:trPr>
        <w:tc>
          <w:tcPr>
            <w:tcW w:w="1762" w:type="dxa"/>
            <w:tcBorders>
              <w:top w:val="single" w:sz="4" w:space="0" w:color="000000"/>
              <w:left w:val="single" w:sz="4" w:space="0" w:color="000000"/>
              <w:bottom w:val="nil" w:sz="6" w:space="0" w:color="auto"/>
              <w:right w:val="single" w:sz="4" w:space="0" w:color="000000"/>
            </w:tcBorders>
            <w:shd w:val="clear" w:color="auto" w:fill="D3D3D3"/>
          </w:tcPr>
          <w:p>
            <w:pPr/>
          </w:p>
        </w:tc>
        <w:tc>
          <w:tcPr>
            <w:tcW w:w="1004" w:type="dxa"/>
            <w:tcBorders>
              <w:top w:val="single" w:sz="4" w:space="0" w:color="000000"/>
              <w:left w:val="single" w:sz="4" w:space="0" w:color="000000"/>
              <w:bottom w:val="nil" w:sz="6" w:space="0" w:color="auto"/>
              <w:right w:val="single" w:sz="4" w:space="0" w:color="000000"/>
            </w:tcBorders>
            <w:shd w:val="clear" w:color="auto" w:fill="D3D3D3"/>
          </w:tcPr>
          <w:p>
            <w:pPr/>
          </w:p>
        </w:tc>
        <w:tc>
          <w:tcPr>
            <w:tcW w:w="592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00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33" w:hRule="exact"/>
        </w:trPr>
        <w:tc>
          <w:tcPr>
            <w:tcW w:w="176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0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90" w:type="dxa"/>
            <w:vMerge w:val="restart"/>
            <w:tcBorders>
              <w:top w:val="single" w:sz="4" w:space="0" w:color="000000"/>
              <w:left w:val="single" w:sz="4" w:space="0" w:color="000000"/>
              <w:right w:val="single" w:sz="4" w:space="0" w:color="000000"/>
            </w:tcBorders>
            <w:shd w:val="clear" w:color="auto" w:fill="D3D3D3"/>
          </w:tcPr>
          <w:p>
            <w:pPr>
              <w:pStyle w:val="TableParagraph"/>
              <w:spacing w:line="205" w:lineRule="exact"/>
              <w:ind w:left="180" w:right="0" w:hanging="90"/>
              <w:jc w:val="left"/>
              <w:rPr>
                <w:rFonts w:ascii="宋体" w:hAnsi="宋体" w:cs="宋体" w:eastAsia="宋体" w:hint="default"/>
                <w:sz w:val="18"/>
                <w:szCs w:val="18"/>
              </w:rPr>
            </w:pPr>
            <w:r>
              <w:rPr>
                <w:rFonts w:ascii="宋体" w:hAnsi="宋体" w:cs="宋体" w:eastAsia="宋体" w:hint="default"/>
                <w:sz w:val="18"/>
                <w:szCs w:val="18"/>
              </w:rPr>
              <w:t>本期所得税</w:t>
            </w:r>
          </w:p>
          <w:p>
            <w:pPr>
              <w:pStyle w:val="TableParagraph"/>
              <w:spacing w:line="235" w:lineRule="exact"/>
              <w:ind w:left="180" w:right="0"/>
              <w:jc w:val="left"/>
              <w:rPr>
                <w:rFonts w:ascii="宋体" w:hAnsi="宋体" w:cs="宋体" w:eastAsia="宋体" w:hint="default"/>
                <w:sz w:val="18"/>
                <w:szCs w:val="18"/>
              </w:rPr>
            </w:pPr>
            <w:r>
              <w:rPr>
                <w:rFonts w:ascii="宋体" w:hAnsi="宋体" w:cs="宋体" w:eastAsia="宋体" w:hint="default"/>
                <w:sz w:val="18"/>
                <w:szCs w:val="18"/>
              </w:rPr>
              <w:t>前发生额</w:t>
            </w:r>
          </w:p>
        </w:tc>
        <w:tc>
          <w:tcPr>
            <w:tcW w:w="1842" w:type="dxa"/>
            <w:vMerge w:val="restart"/>
            <w:tcBorders>
              <w:top w:val="single" w:sz="4" w:space="0" w:color="000000"/>
              <w:left w:val="single" w:sz="4" w:space="0" w:color="000000"/>
              <w:right w:val="single" w:sz="4" w:space="0" w:color="000000"/>
            </w:tcBorders>
            <w:shd w:val="clear" w:color="auto" w:fill="D3D3D3"/>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减：前期计入其他综合</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收益当期转入损益</w:t>
            </w:r>
          </w:p>
        </w:tc>
        <w:tc>
          <w:tcPr>
            <w:tcW w:w="850" w:type="dxa"/>
            <w:vMerge w:val="restart"/>
            <w:tcBorders>
              <w:top w:val="single" w:sz="4" w:space="0" w:color="000000"/>
              <w:left w:val="single" w:sz="4" w:space="0" w:color="000000"/>
              <w:right w:val="single" w:sz="4" w:space="0" w:color="000000"/>
            </w:tcBorders>
            <w:shd w:val="clear" w:color="auto" w:fill="D3D3D3"/>
          </w:tcPr>
          <w:p>
            <w:pPr>
              <w:pStyle w:val="TableParagraph"/>
              <w:spacing w:line="205" w:lineRule="exact"/>
              <w:ind w:left="148" w:right="0" w:hanging="90"/>
              <w:jc w:val="left"/>
              <w:rPr>
                <w:rFonts w:ascii="宋体" w:hAnsi="宋体" w:cs="宋体" w:eastAsia="宋体" w:hint="default"/>
                <w:sz w:val="18"/>
                <w:szCs w:val="18"/>
              </w:rPr>
            </w:pPr>
            <w:r>
              <w:rPr>
                <w:rFonts w:ascii="宋体" w:hAnsi="宋体" w:cs="宋体" w:eastAsia="宋体" w:hint="default"/>
                <w:sz w:val="18"/>
                <w:szCs w:val="18"/>
              </w:rPr>
              <w:t>减：所得</w:t>
            </w:r>
          </w:p>
          <w:p>
            <w:pPr>
              <w:pStyle w:val="TableParagraph"/>
              <w:spacing w:line="235" w:lineRule="exact"/>
              <w:ind w:left="148" w:right="0"/>
              <w:jc w:val="left"/>
              <w:rPr>
                <w:rFonts w:ascii="宋体" w:hAnsi="宋体" w:cs="宋体" w:eastAsia="宋体" w:hint="default"/>
                <w:sz w:val="18"/>
                <w:szCs w:val="18"/>
              </w:rPr>
            </w:pPr>
            <w:r>
              <w:rPr>
                <w:rFonts w:ascii="宋体" w:hAnsi="宋体" w:cs="宋体" w:eastAsia="宋体" w:hint="default"/>
                <w:sz w:val="18"/>
                <w:szCs w:val="18"/>
              </w:rPr>
              <w:t>税费用</w:t>
            </w:r>
          </w:p>
        </w:tc>
        <w:tc>
          <w:tcPr>
            <w:tcW w:w="992" w:type="dxa"/>
            <w:vMerge w:val="restart"/>
            <w:tcBorders>
              <w:top w:val="single" w:sz="4" w:space="0" w:color="000000"/>
              <w:left w:val="single" w:sz="4" w:space="0" w:color="000000"/>
              <w:right w:val="single" w:sz="4" w:space="0" w:color="000000"/>
            </w:tcBorders>
            <w:shd w:val="clear" w:color="auto" w:fill="D3D3D3"/>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税后归属于</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150" w:type="dxa"/>
            <w:vMerge w:val="restart"/>
            <w:tcBorders>
              <w:top w:val="single" w:sz="4" w:space="0" w:color="000000"/>
              <w:left w:val="single" w:sz="4" w:space="0" w:color="000000"/>
              <w:right w:val="single" w:sz="4" w:space="0" w:color="000000"/>
            </w:tcBorders>
            <w:shd w:val="clear" w:color="auto" w:fill="D3D3D3"/>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税后归属于少</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数股东</w:t>
            </w:r>
          </w:p>
        </w:tc>
        <w:tc>
          <w:tcPr>
            <w:tcW w:w="100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43" w:hRule="exact"/>
        </w:trPr>
        <w:tc>
          <w:tcPr>
            <w:tcW w:w="1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1004" w:type="dxa"/>
            <w:tcBorders>
              <w:top w:val="nil" w:sz="6" w:space="0" w:color="auto"/>
              <w:left w:val="single" w:sz="4" w:space="0" w:color="000000"/>
              <w:bottom w:val="single" w:sz="4" w:space="0" w:color="000000"/>
              <w:right w:val="single" w:sz="4" w:space="0" w:color="000000"/>
            </w:tcBorders>
            <w:shd w:val="clear" w:color="auto" w:fill="D3D3D3"/>
          </w:tcPr>
          <w:p>
            <w:pPr/>
          </w:p>
        </w:tc>
        <w:tc>
          <w:tcPr>
            <w:tcW w:w="1090" w:type="dxa"/>
            <w:vMerge/>
            <w:tcBorders>
              <w:left w:val="single" w:sz="4" w:space="0" w:color="000000"/>
              <w:bottom w:val="single" w:sz="4" w:space="0" w:color="000000"/>
              <w:right w:val="single" w:sz="4" w:space="0" w:color="000000"/>
            </w:tcBorders>
            <w:shd w:val="clear" w:color="auto" w:fill="D3D3D3"/>
          </w:tcPr>
          <w:p>
            <w:pPr/>
          </w:p>
        </w:tc>
        <w:tc>
          <w:tcPr>
            <w:tcW w:w="1842" w:type="dxa"/>
            <w:vMerge/>
            <w:tcBorders>
              <w:left w:val="single" w:sz="4" w:space="0" w:color="000000"/>
              <w:bottom w:val="single" w:sz="4" w:space="0" w:color="000000"/>
              <w:right w:val="single" w:sz="4" w:space="0" w:color="000000"/>
            </w:tcBorders>
            <w:shd w:val="clear" w:color="auto" w:fill="D3D3D3"/>
          </w:tcPr>
          <w:p>
            <w:pPr/>
          </w:p>
        </w:tc>
        <w:tc>
          <w:tcPr>
            <w:tcW w:w="850" w:type="dxa"/>
            <w:vMerge/>
            <w:tcBorders>
              <w:left w:val="single" w:sz="4" w:space="0" w:color="000000"/>
              <w:bottom w:val="single" w:sz="4" w:space="0" w:color="000000"/>
              <w:right w:val="single" w:sz="4" w:space="0" w:color="000000"/>
            </w:tcBorders>
            <w:shd w:val="clear" w:color="auto" w:fill="D3D3D3"/>
          </w:tcPr>
          <w:p>
            <w:pPr/>
          </w:p>
        </w:tc>
        <w:tc>
          <w:tcPr>
            <w:tcW w:w="992" w:type="dxa"/>
            <w:vMerge/>
            <w:tcBorders>
              <w:left w:val="single" w:sz="4" w:space="0" w:color="000000"/>
              <w:bottom w:val="single" w:sz="4" w:space="0" w:color="000000"/>
              <w:right w:val="single" w:sz="4" w:space="0" w:color="000000"/>
            </w:tcBorders>
            <w:shd w:val="clear" w:color="auto" w:fill="D3D3D3"/>
          </w:tcPr>
          <w:p>
            <w:pPr/>
          </w:p>
        </w:tc>
        <w:tc>
          <w:tcPr>
            <w:tcW w:w="1150" w:type="dxa"/>
            <w:vMerge/>
            <w:tcBorders>
              <w:left w:val="single" w:sz="4" w:space="0" w:color="000000"/>
              <w:bottom w:val="single" w:sz="4" w:space="0" w:color="000000"/>
              <w:right w:val="single" w:sz="4" w:space="0" w:color="000000"/>
            </w:tcBorders>
            <w:shd w:val="clear" w:color="auto" w:fill="D3D3D3"/>
          </w:tcPr>
          <w:p>
            <w:pPr/>
          </w:p>
        </w:tc>
        <w:tc>
          <w:tcPr>
            <w:tcW w:w="100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78" w:hRule="exact"/>
        </w:trPr>
        <w:tc>
          <w:tcPr>
            <w:tcW w:w="1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二、将重分类进损益</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的其他综合收益</w:t>
            </w:r>
          </w:p>
        </w:tc>
        <w:tc>
          <w:tcPr>
            <w:tcW w:w="100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2,190,121.44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47" w:right="0"/>
              <w:jc w:val="left"/>
              <w:rPr>
                <w:rFonts w:ascii="Times New Roman" w:hAnsi="Times New Roman" w:cs="Times New Roman" w:eastAsia="Times New Roman" w:hint="default"/>
                <w:sz w:val="18"/>
                <w:szCs w:val="18"/>
              </w:rPr>
            </w:pPr>
            <w:r>
              <w:rPr>
                <w:rFonts w:ascii="Times New Roman"/>
                <w:sz w:val="18"/>
              </w:rPr>
              <w:t>132,213.68</w:t>
            </w:r>
          </w:p>
        </w:tc>
        <w:tc>
          <w:tcPr>
            <w:tcW w:w="184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49" w:right="0"/>
              <w:jc w:val="left"/>
              <w:rPr>
                <w:rFonts w:ascii="Times New Roman" w:hAnsi="Times New Roman" w:cs="Times New Roman" w:eastAsia="Times New Roman" w:hint="default"/>
                <w:sz w:val="18"/>
                <w:szCs w:val="18"/>
              </w:rPr>
            </w:pPr>
            <w:r>
              <w:rPr>
                <w:rFonts w:ascii="Times New Roman"/>
                <w:sz w:val="18"/>
              </w:rPr>
              <w:t>132,213.68</w:t>
            </w:r>
          </w:p>
        </w:tc>
        <w:tc>
          <w:tcPr>
            <w:tcW w:w="1150"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5" w:right="0"/>
              <w:jc w:val="center"/>
              <w:rPr>
                <w:rFonts w:ascii="Times New Roman" w:hAnsi="Times New Roman" w:cs="Times New Roman" w:eastAsia="Times New Roman" w:hint="default"/>
                <w:sz w:val="18"/>
                <w:szCs w:val="18"/>
              </w:rPr>
            </w:pPr>
            <w:r>
              <w:rPr>
                <w:rFonts w:ascii="Times New Roman"/>
                <w:sz w:val="18"/>
              </w:rPr>
              <w:t>2,322,335.12</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750"/>
        <w:gridCol w:w="1016"/>
        <w:gridCol w:w="1090"/>
        <w:gridCol w:w="1842"/>
        <w:gridCol w:w="850"/>
        <w:gridCol w:w="992"/>
        <w:gridCol w:w="1150"/>
        <w:gridCol w:w="1004"/>
      </w:tblGrid>
      <w:tr>
        <w:trPr>
          <w:trHeight w:val="476" w:hRule="exact"/>
        </w:trPr>
        <w:tc>
          <w:tcPr>
            <w:tcW w:w="17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其中：权益法下可转</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损益的其他综合收益</w:t>
            </w:r>
          </w:p>
        </w:tc>
        <w:tc>
          <w:tcPr>
            <w:tcW w:w="10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6"/>
              <w:ind w:left="8" w:right="0"/>
              <w:jc w:val="center"/>
              <w:rPr>
                <w:rFonts w:ascii="Times New Roman" w:hAnsi="Times New Roman" w:cs="Times New Roman" w:eastAsia="Times New Roman" w:hint="default"/>
                <w:sz w:val="18"/>
                <w:szCs w:val="18"/>
              </w:rPr>
            </w:pPr>
            <w:r>
              <w:rPr>
                <w:rFonts w:ascii="Times New Roman"/>
                <w:sz w:val="18"/>
              </w:rPr>
              <w:t>2,190,121.44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9"/>
              <w:jc w:val="right"/>
              <w:rPr>
                <w:rFonts w:ascii="Times New Roman" w:hAnsi="Times New Roman" w:cs="Times New Roman" w:eastAsia="Times New Roman" w:hint="default"/>
                <w:sz w:val="18"/>
                <w:szCs w:val="18"/>
              </w:rPr>
            </w:pPr>
            <w:r>
              <w:rPr>
                <w:rFonts w:ascii="Times New Roman"/>
                <w:sz w:val="18"/>
              </w:rPr>
              <w:t>132,213.68</w:t>
            </w:r>
          </w:p>
        </w:tc>
        <w:tc>
          <w:tcPr>
            <w:tcW w:w="184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9"/>
              <w:jc w:val="right"/>
              <w:rPr>
                <w:rFonts w:ascii="Times New Roman" w:hAnsi="Times New Roman" w:cs="Times New Roman" w:eastAsia="Times New Roman" w:hint="default"/>
                <w:sz w:val="18"/>
                <w:szCs w:val="18"/>
              </w:rPr>
            </w:pPr>
            <w:r>
              <w:rPr>
                <w:rFonts w:ascii="Times New Roman"/>
                <w:sz w:val="18"/>
              </w:rPr>
              <w:t>132,213.68</w:t>
            </w:r>
          </w:p>
        </w:tc>
        <w:tc>
          <w:tcPr>
            <w:tcW w:w="1150"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9"/>
              <w:jc w:val="right"/>
              <w:rPr>
                <w:rFonts w:ascii="Times New Roman" w:hAnsi="Times New Roman" w:cs="Times New Roman" w:eastAsia="Times New Roman" w:hint="default"/>
                <w:sz w:val="18"/>
                <w:szCs w:val="18"/>
              </w:rPr>
            </w:pPr>
            <w:r>
              <w:rPr>
                <w:rFonts w:ascii="Times New Roman"/>
                <w:spacing w:val="-1"/>
                <w:sz w:val="18"/>
              </w:rPr>
              <w:t>2,322,335.12</w:t>
            </w:r>
          </w:p>
        </w:tc>
      </w:tr>
      <w:tr>
        <w:trPr>
          <w:trHeight w:val="245" w:hRule="exact"/>
        </w:trPr>
        <w:tc>
          <w:tcPr>
            <w:tcW w:w="17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
              <w:ind w:left="8" w:right="0"/>
              <w:jc w:val="center"/>
              <w:rPr>
                <w:rFonts w:ascii="Times New Roman" w:hAnsi="Times New Roman" w:cs="Times New Roman" w:eastAsia="Times New Roman" w:hint="default"/>
                <w:sz w:val="18"/>
                <w:szCs w:val="18"/>
              </w:rPr>
            </w:pPr>
            <w:r>
              <w:rPr>
                <w:rFonts w:ascii="Times New Roman"/>
                <w:sz w:val="18"/>
              </w:rPr>
              <w:t>2,190,121.44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132,213.68</w:t>
            </w:r>
          </w:p>
        </w:tc>
        <w:tc>
          <w:tcPr>
            <w:tcW w:w="184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132,213.68</w:t>
            </w:r>
          </w:p>
        </w:tc>
        <w:tc>
          <w:tcPr>
            <w:tcW w:w="1150"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2,322,335.12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49</w:t>
      </w:r>
      <w:r>
        <w:rPr/>
        <w:t>、专项储备</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50</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71,424,943.39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138,535.00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71,286,408.39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71,424,943.39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138,535.00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71,286,408.39</w:t>
            </w:r>
          </w:p>
        </w:tc>
      </w:tr>
    </w:tbl>
    <w:p>
      <w:pPr>
        <w:pStyle w:val="BodyText"/>
        <w:spacing w:line="357" w:lineRule="auto" w:before="51"/>
        <w:ind w:left="634" w:right="1120" w:hanging="480"/>
        <w:jc w:val="left"/>
      </w:pPr>
      <w:r>
        <w:rPr/>
        <w:t>盈余公积说明，包括本期增减变动情况、变动原因说明： 本公司于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月收购子公司浙江华媒信息传播有限公司少数股东持有的</w:t>
      </w:r>
      <w:r>
        <w:rPr>
          <w:rFonts w:ascii="Times New Roman" w:hAnsi="Times New Roman" w:cs="Times New Roman" w:eastAsia="Times New Roman" w:hint="default"/>
        </w:rPr>
        <w:t>35%</w:t>
      </w:r>
      <w:r>
        <w:rPr/>
        <w:t>的股权，因购买少数股权新取得的长</w:t>
      </w:r>
    </w:p>
    <w:p>
      <w:pPr>
        <w:pStyle w:val="BodyText"/>
        <w:spacing w:line="214" w:lineRule="exact"/>
        <w:ind w:right="0"/>
        <w:jc w:val="left"/>
        <w:rPr>
          <w:rFonts w:ascii="Times New Roman" w:hAnsi="Times New Roman" w:cs="Times New Roman" w:eastAsia="Times New Roman" w:hint="default"/>
        </w:rPr>
      </w:pPr>
      <w:r>
        <w:rPr/>
        <w:t>期股权投资与按照新增持股比例计算应享有子公司自合并日开始持续计算的净资产份额之间的差额，调减盈余公积</w:t>
      </w:r>
      <w:r>
        <w:rPr>
          <w:rFonts w:ascii="Times New Roman" w:hAnsi="Times New Roman" w:cs="Times New Roman" w:eastAsia="Times New Roman" w:hint="default"/>
        </w:rPr>
        <w:t>1,764.89</w:t>
      </w:r>
    </w:p>
    <w:p>
      <w:pPr>
        <w:pStyle w:val="BodyText"/>
        <w:spacing w:line="240" w:lineRule="auto" w:before="63"/>
        <w:ind w:right="0"/>
        <w:jc w:val="left"/>
      </w:pPr>
      <w:r>
        <w:rPr/>
        <w:t>元。</w:t>
      </w:r>
    </w:p>
    <w:p>
      <w:pPr>
        <w:pStyle w:val="BodyText"/>
        <w:spacing w:line="300" w:lineRule="auto" w:before="76"/>
        <w:ind w:right="0" w:firstLine="480"/>
        <w:jc w:val="left"/>
      </w:pPr>
      <w:r>
        <w:rPr/>
        <w:t>中教未来国际教育科技（北京）有限公司对苏州中育教育科技有限公司追加投资，导致持股比例由</w:t>
      </w:r>
      <w:r>
        <w:rPr>
          <w:rFonts w:ascii="Times New Roman" w:hAnsi="Times New Roman" w:cs="Times New Roman" w:eastAsia="Times New Roman" w:hint="default"/>
        </w:rPr>
        <w:t>55%</w:t>
      </w:r>
      <w:r>
        <w:rPr/>
        <w:t>上升至</w:t>
      </w:r>
      <w:r>
        <w:rPr>
          <w:rFonts w:ascii="Times New Roman" w:hAnsi="Times New Roman" w:cs="Times New Roman" w:eastAsia="Times New Roman" w:hint="default"/>
        </w:rPr>
        <w:t>70%</w:t>
      </w:r>
      <w:r>
        <w:rPr/>
        <w:t>， 对净资产享有权益部分因持股比例变动而产生的差异调减盈余公积</w:t>
      </w:r>
      <w:r>
        <w:rPr>
          <w:rFonts w:ascii="Times New Roman" w:hAnsi="Times New Roman" w:cs="Times New Roman" w:eastAsia="Times New Roman" w:hint="default"/>
        </w:rPr>
        <w:t>136,770.11</w:t>
      </w:r>
      <w:r>
        <w:rPr/>
        <w:t>元。</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51</w:t>
      </w:r>
      <w:r>
        <w:rPr/>
        <w:t>、未分配利润</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02"/>
        <w:gridCol w:w="2936"/>
        <w:gridCol w:w="2918"/>
      </w:tblGrid>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943,649,656.35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910,699,612.47</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6" w:type="dxa"/>
            <w:tcBorders>
              <w:top w:val="single" w:sz="4" w:space="0" w:color="000000"/>
              <w:left w:val="single" w:sz="13" w:space="0" w:color="D3D3D3"/>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3,565,231.17</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943,649,656.35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914,264,843.64</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105,180,270.19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146,809,823.33</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15,265,476.15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22,389,365.01</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其他转入</w:t>
            </w:r>
          </w:p>
        </w:tc>
        <w:tc>
          <w:tcPr>
            <w:tcW w:w="2936"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95,035,645.61</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1,033,564,450.39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943,649,656.35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52</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12"/>
        <w:gridCol w:w="1904"/>
        <w:gridCol w:w="1914"/>
        <w:gridCol w:w="1914"/>
        <w:gridCol w:w="1903"/>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3D3D3"/>
          </w:tcPr>
          <w:p>
            <w:pPr/>
          </w:p>
        </w:tc>
        <w:tc>
          <w:tcPr>
            <w:tcW w:w="381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1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3818" w:type="dxa"/>
            <w:gridSpan w:val="2"/>
            <w:vMerge/>
            <w:tcBorders>
              <w:left w:val="single" w:sz="4" w:space="0" w:color="000000"/>
              <w:bottom w:val="single" w:sz="4" w:space="0" w:color="000000"/>
              <w:right w:val="single" w:sz="4" w:space="0" w:color="000000"/>
            </w:tcBorders>
            <w:shd w:val="clear" w:color="auto" w:fill="D3D3D3"/>
          </w:tcPr>
          <w:p>
            <w:pPr/>
          </w:p>
        </w:tc>
        <w:tc>
          <w:tcPr>
            <w:tcW w:w="3817"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1912" w:type="dxa"/>
            <w:vMerge/>
            <w:tcBorders>
              <w:left w:val="single" w:sz="4" w:space="0" w:color="000000"/>
              <w:bottom w:val="nil" w:sz="6" w:space="0" w:color="auto"/>
              <w:right w:val="single" w:sz="4" w:space="0" w:color="000000"/>
            </w:tcBorders>
            <w:shd w:val="clear" w:color="auto" w:fill="D3D3D3"/>
          </w:tcPr>
          <w:p>
            <w:pPr/>
          </w:p>
        </w:tc>
        <w:tc>
          <w:tcPr>
            <w:tcW w:w="190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8"/>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0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3D3D3"/>
          </w:tcPr>
          <w:p>
            <w:pPr/>
          </w:p>
        </w:tc>
        <w:tc>
          <w:tcPr>
            <w:tcW w:w="190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0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0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1,661,457,317.65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1,185,762,377.24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1,770,251,225.41</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pacing w:val="-1"/>
                <w:sz w:val="18"/>
              </w:rPr>
              <w:t>1,310,086,294.95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0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88,061,679.23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81,163,396.38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62,016,776.06</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58,308,178.51</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0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1,749,518,996.88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1,266,925,773.62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1,832,268,001.47</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pacing w:val="-1"/>
                <w:sz w:val="18"/>
              </w:rPr>
              <w:t>1,368,394,473.46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53</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2,221,773.89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2,037,367.75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967,680.95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978,400.60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1,033,865.16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801,420.98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291,624.89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93,073.21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10,694.60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18,224.60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610,109.18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898,223.47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2,628.99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648,084.50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655,862.83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12,877,281.00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12,599,856.04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残疾人保障金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1,283,780.78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613,966.78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10,066.41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21,731.95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19,954,961.36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18,720,757.20</w:t>
            </w:r>
          </w:p>
        </w:tc>
      </w:tr>
    </w:tbl>
    <w:p>
      <w:pPr>
        <w:pStyle w:val="BodyText"/>
        <w:spacing w:line="240" w:lineRule="auto" w:before="51"/>
        <w:ind w:right="0"/>
        <w:jc w:val="left"/>
      </w:pPr>
      <w:r>
        <w:rPr/>
        <w:t>其他说明：</w:t>
      </w:r>
    </w:p>
    <w:p>
      <w:pPr>
        <w:pStyle w:val="BodyText"/>
        <w:spacing w:line="240" w:lineRule="auto" w:before="115"/>
        <w:ind w:left="444" w:right="0"/>
        <w:jc w:val="left"/>
      </w:pPr>
      <w:r>
        <w:rPr/>
        <w:t>各项税金及附加的计缴标准详见税项。</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54</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发行服务费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37,575,754.73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27,057,946.87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46,476,444.37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45,859,233.43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房租物业及水电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6,692,578.58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8,150,945.70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运输及汽车保险费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13,701,405.49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9,051,901.76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9,562,963.41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9,397,036.99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活动与宣传费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7,616,175.05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3,315,133.31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2,100,747.45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1,261,173.27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1,422,492.49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1,925,594.02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招生费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203,399.40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3,218,532.92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6,436,749.60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5,895,883.68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131,788,710.57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115,133,381.95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55</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118,198,574.96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108,006,943.49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房租物业及水电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14,082,169.86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12,800,417.29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8,385,890.44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7,366,421.97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5,808,856.24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8,508,759.08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5,233,297.25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6,146,050.44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3,479,685.54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4,653,281.02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邮电费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1,454,354.61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1,830,396.43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3,031,967.01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3,105,989.00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12,315,788.71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11,404,051.01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171,990,584.62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163,822,309.73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56</w:t>
      </w:r>
      <w:r>
        <w:rPr/>
        <w:t>、研发费用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人员费用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5,304,550.38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10,358,567.47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143,161.41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201,362.50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5,165,162.94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6,664,704.71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10,612,874.73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17,224,634.68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57</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15,705,947.93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5,966,831.94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6,249,275.54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5,749,526.01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-1,403.51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1,025,522.36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807,130.35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10,480,791.24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1,024,436.28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58</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19,767,378.93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15,868,497.32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8,929,256.28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124,988.34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434,359.11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484,373.39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29,130,994.32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16,477,859.05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59</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5130"/>
        <w:gridCol w:w="2412"/>
        <w:gridCol w:w="2152"/>
      </w:tblGrid>
      <w:tr>
        <w:trPr>
          <w:trHeight w:val="397" w:hRule="exact"/>
        </w:trPr>
        <w:tc>
          <w:tcPr>
            <w:tcW w:w="51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24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51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杭州网改造升级补助款</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3,500,000.00</w:t>
            </w: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印刷补助款</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2,300,000.00</w:t>
            </w: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重构世界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区块链新经济杭州峰会市级补助</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w:t>
            </w: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网络问政平台补助费</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700,000.00</w:t>
            </w: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区委宣传部（本级）</w:t>
            </w:r>
            <w:r>
              <w:rPr>
                <w:rFonts w:ascii="Times New Roman" w:hAnsi="Times New Roman" w:cs="Times New Roman" w:eastAsia="Times New Roman" w:hint="default"/>
                <w:sz w:val="18"/>
                <w:szCs w:val="18"/>
              </w:rPr>
              <w:t>"</w:t>
            </w:r>
            <w:r>
              <w:rPr>
                <w:rFonts w:ascii="宋体" w:hAnsi="宋体" w:cs="宋体" w:eastAsia="宋体" w:hint="default"/>
                <w:sz w:val="18"/>
                <w:szCs w:val="18"/>
              </w:rPr>
              <w:t>勇当排头兵萧山怎么干</w:t>
            </w:r>
            <w:r>
              <w:rPr>
                <w:rFonts w:ascii="Times New Roman" w:hAnsi="Times New Roman" w:cs="Times New Roman" w:eastAsia="Times New Roman" w:hint="default"/>
                <w:sz w:val="18"/>
                <w:szCs w:val="18"/>
              </w:rPr>
              <w:t>"</w:t>
            </w:r>
            <w:r>
              <w:rPr>
                <w:rFonts w:ascii="宋体" w:hAnsi="宋体" w:cs="宋体" w:eastAsia="宋体" w:hint="default"/>
                <w:sz w:val="18"/>
                <w:szCs w:val="18"/>
              </w:rPr>
              <w:t>网络访谈补助经费</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省优秀众创空间奖励</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第二课堂微信报送信息系统开发补助</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1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年度中央补助文化产业发展专项资金：环保型绿色印刷设备 扩能改造及其应用示范项目</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266,666.64</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266,666.64</w:t>
            </w:r>
          </w:p>
        </w:tc>
      </w:tr>
      <w:tr>
        <w:trPr>
          <w:trHeight w:val="402" w:hRule="exact"/>
        </w:trPr>
        <w:tc>
          <w:tcPr>
            <w:tcW w:w="51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257,920.95</w:t>
            </w: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情暖恩施公益夏令营活动补助</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160,000.00</w:t>
            </w: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文化创意产业专项资金</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160,000.00</w:t>
            </w: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第二课堂微信公众号维护费</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135,000.00</w:t>
            </w: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稳定岗位补贴</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112,673.55</w:t>
            </w: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杭州城西科创产业集聚区创新发展专项资金</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动漫游戏产业资助资金</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w:t>
            </w: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小微企业房租补助资金</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89,900.00</w:t>
            </w: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美德少年推选活动补助</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就业补贴</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79,460.40</w:t>
            </w: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工业信息化财政补助</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69,827.16</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288,116.72</w:t>
            </w:r>
          </w:p>
        </w:tc>
      </w:tr>
      <w:tr>
        <w:trPr>
          <w:trHeight w:val="402" w:hRule="exact"/>
        </w:trPr>
        <w:tc>
          <w:tcPr>
            <w:tcW w:w="51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用工补助</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36,800.00</w:t>
            </w: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梦想小镇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年第三批孵化器考核奖励资金</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27,000.00</w:t>
            </w: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增值税减免</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26,823.42</w:t>
            </w:r>
          </w:p>
        </w:tc>
        <w:tc>
          <w:tcPr>
            <w:tcW w:w="215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5130"/>
        <w:gridCol w:w="2412"/>
        <w:gridCol w:w="2152"/>
      </w:tblGrid>
      <w:tr>
        <w:trPr>
          <w:trHeight w:val="402" w:hRule="exact"/>
        </w:trPr>
        <w:tc>
          <w:tcPr>
            <w:tcW w:w="51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年度第一批市文化创意资金</w:t>
            </w:r>
          </w:p>
        </w:tc>
        <w:tc>
          <w:tcPr>
            <w:tcW w:w="2412"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51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年度省级以上众创空间奖励资金</w:t>
            </w:r>
          </w:p>
        </w:tc>
        <w:tc>
          <w:tcPr>
            <w:tcW w:w="2412"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51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年度第二批文化事业专项资金</w:t>
            </w:r>
          </w:p>
        </w:tc>
        <w:tc>
          <w:tcPr>
            <w:tcW w:w="2412"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51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年社会机构主办类创业品牌活动补助经费</w:t>
            </w:r>
          </w:p>
        </w:tc>
        <w:tc>
          <w:tcPr>
            <w:tcW w:w="2412"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424,000.00</w:t>
            </w:r>
          </w:p>
        </w:tc>
      </w:tr>
      <w:tr>
        <w:trPr>
          <w:trHeight w:val="402" w:hRule="exact"/>
        </w:trPr>
        <w:tc>
          <w:tcPr>
            <w:tcW w:w="51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政府主办类创业品牌活动补助（电商领袖及爬山虎企明星）</w:t>
            </w:r>
          </w:p>
        </w:tc>
        <w:tc>
          <w:tcPr>
            <w:tcW w:w="2412"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415,000.00</w:t>
            </w:r>
          </w:p>
        </w:tc>
      </w:tr>
      <w:tr>
        <w:trPr>
          <w:trHeight w:val="402" w:hRule="exact"/>
        </w:trPr>
        <w:tc>
          <w:tcPr>
            <w:tcW w:w="51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年（第三批）文化创意产业专项补助资金</w:t>
            </w:r>
          </w:p>
        </w:tc>
        <w:tc>
          <w:tcPr>
            <w:tcW w:w="2412"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350,000.00</w:t>
            </w:r>
          </w:p>
        </w:tc>
      </w:tr>
      <w:tr>
        <w:trPr>
          <w:trHeight w:val="402" w:hRule="exact"/>
        </w:trPr>
        <w:tc>
          <w:tcPr>
            <w:tcW w:w="51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第二课堂微信公众号维护补助</w:t>
            </w:r>
          </w:p>
        </w:tc>
        <w:tc>
          <w:tcPr>
            <w:tcW w:w="2412"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167,000.00</w:t>
            </w:r>
          </w:p>
        </w:tc>
      </w:tr>
      <w:tr>
        <w:trPr>
          <w:trHeight w:val="402" w:hRule="exact"/>
        </w:trPr>
        <w:tc>
          <w:tcPr>
            <w:tcW w:w="51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创新型房租补贴</w:t>
            </w:r>
          </w:p>
        </w:tc>
        <w:tc>
          <w:tcPr>
            <w:tcW w:w="2412"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164,250.00</w:t>
            </w:r>
          </w:p>
        </w:tc>
      </w:tr>
      <w:tr>
        <w:trPr>
          <w:trHeight w:val="402" w:hRule="exact"/>
        </w:trPr>
        <w:tc>
          <w:tcPr>
            <w:tcW w:w="51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我们西湖记忆</w:t>
            </w:r>
            <w:r>
              <w:rPr>
                <w:rFonts w:ascii="Times New Roman" w:hAnsi="Times New Roman" w:cs="Times New Roman" w:eastAsia="Times New Roman" w:hint="default"/>
                <w:sz w:val="18"/>
                <w:szCs w:val="18"/>
              </w:rPr>
              <w:t>"</w:t>
            </w:r>
            <w:r>
              <w:rPr>
                <w:rFonts w:ascii="宋体" w:hAnsi="宋体" w:cs="宋体" w:eastAsia="宋体" w:hint="default"/>
                <w:sz w:val="18"/>
                <w:szCs w:val="18"/>
              </w:rPr>
              <w:t>补助</w:t>
            </w:r>
          </w:p>
        </w:tc>
        <w:tc>
          <w:tcPr>
            <w:tcW w:w="2412"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120,000.00</w:t>
            </w:r>
          </w:p>
        </w:tc>
      </w:tr>
      <w:tr>
        <w:trPr>
          <w:trHeight w:val="402" w:hRule="exact"/>
        </w:trPr>
        <w:tc>
          <w:tcPr>
            <w:tcW w:w="51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《非物质文化遗产记录</w:t>
            </w:r>
            <w:r>
              <w:rPr>
                <w:rFonts w:ascii="Times New Roman" w:hAnsi="Times New Roman" w:cs="Times New Roman" w:eastAsia="Times New Roman" w:hint="default"/>
                <w:sz w:val="18"/>
                <w:szCs w:val="18"/>
              </w:rPr>
              <w:t>---</w:t>
            </w:r>
            <w:r>
              <w:rPr>
                <w:rFonts w:ascii="宋体" w:hAnsi="宋体" w:cs="宋体" w:eastAsia="宋体" w:hint="default"/>
                <w:sz w:val="18"/>
                <w:szCs w:val="18"/>
              </w:rPr>
              <w:t>大师工作室》补助</w:t>
            </w:r>
          </w:p>
        </w:tc>
        <w:tc>
          <w:tcPr>
            <w:tcW w:w="2412"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51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1+X</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媒体融合平台扶持</w:t>
            </w:r>
          </w:p>
        </w:tc>
        <w:tc>
          <w:tcPr>
            <w:tcW w:w="2412"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51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党员活动经费</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9,574.20</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78,023.36</w:t>
            </w:r>
          </w:p>
        </w:tc>
      </w:tr>
      <w:tr>
        <w:trPr>
          <w:trHeight w:val="402" w:hRule="exact"/>
        </w:trPr>
        <w:tc>
          <w:tcPr>
            <w:tcW w:w="51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年（第二批）文化创意产业专项补助资金</w:t>
            </w:r>
          </w:p>
        </w:tc>
        <w:tc>
          <w:tcPr>
            <w:tcW w:w="2412"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75,000.00</w:t>
            </w:r>
          </w:p>
        </w:tc>
      </w:tr>
      <w:tr>
        <w:trPr>
          <w:trHeight w:val="402" w:hRule="exact"/>
        </w:trPr>
        <w:tc>
          <w:tcPr>
            <w:tcW w:w="51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江干区科技局宣传费</w:t>
            </w:r>
          </w:p>
        </w:tc>
        <w:tc>
          <w:tcPr>
            <w:tcW w:w="2412"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70,000.00</w:t>
            </w:r>
          </w:p>
        </w:tc>
      </w:tr>
      <w:tr>
        <w:trPr>
          <w:trHeight w:val="714" w:hRule="exact"/>
        </w:trPr>
        <w:tc>
          <w:tcPr>
            <w:tcW w:w="51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红烛行动之</w:t>
            </w:r>
            <w:r>
              <w:rPr>
                <w:rFonts w:ascii="Times New Roman" w:hAnsi="Times New Roman" w:cs="Times New Roman" w:eastAsia="Times New Roman" w:hint="default"/>
                <w:sz w:val="18"/>
                <w:szCs w:val="18"/>
              </w:rPr>
              <w:t>"</w:t>
            </w:r>
            <w:r>
              <w:rPr>
                <w:rFonts w:ascii="宋体" w:hAnsi="宋体" w:cs="宋体" w:eastAsia="宋体" w:hint="default"/>
                <w:sz w:val="18"/>
                <w:szCs w:val="18"/>
              </w:rPr>
              <w:t>呵护心灵之光，温暖成长之路</w:t>
            </w:r>
            <w:r>
              <w:rPr>
                <w:rFonts w:ascii="Times New Roman" w:hAnsi="Times New Roman" w:cs="Times New Roman" w:eastAsia="Times New Roman" w:hint="default"/>
                <w:sz w:val="18"/>
                <w:szCs w:val="18"/>
              </w:rPr>
              <w:t>"</w:t>
            </w:r>
            <w:r>
              <w:rPr>
                <w:rFonts w:ascii="宋体" w:hAnsi="宋体" w:cs="宋体" w:eastAsia="宋体" w:hint="default"/>
                <w:sz w:val="18"/>
                <w:szCs w:val="18"/>
              </w:rPr>
              <w:t>帮扶昌平区和谐星火 学校开展课外活动</w:t>
            </w:r>
          </w:p>
        </w:tc>
        <w:tc>
          <w:tcPr>
            <w:tcW w:w="2412"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47,854.00</w:t>
            </w:r>
          </w:p>
        </w:tc>
      </w:tr>
      <w:tr>
        <w:trPr>
          <w:trHeight w:val="402" w:hRule="exact"/>
        </w:trPr>
        <w:tc>
          <w:tcPr>
            <w:tcW w:w="51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全国报业联盟百家媒体小镇行活动补助</w:t>
            </w:r>
          </w:p>
        </w:tc>
        <w:tc>
          <w:tcPr>
            <w:tcW w:w="2412"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30,000.00</w:t>
            </w:r>
          </w:p>
        </w:tc>
      </w:tr>
      <w:tr>
        <w:trPr>
          <w:trHeight w:val="402" w:hRule="exact"/>
        </w:trPr>
        <w:tc>
          <w:tcPr>
            <w:tcW w:w="51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年重点科普项目补助款</w:t>
            </w:r>
          </w:p>
        </w:tc>
        <w:tc>
          <w:tcPr>
            <w:tcW w:w="2412"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28,000.00</w:t>
            </w:r>
          </w:p>
        </w:tc>
      </w:tr>
      <w:tr>
        <w:trPr>
          <w:trHeight w:val="402" w:hRule="exact"/>
        </w:trPr>
        <w:tc>
          <w:tcPr>
            <w:tcW w:w="51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梦想小镇创新创业活动补助</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66,500.00</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30,000.00</w:t>
            </w:r>
          </w:p>
        </w:tc>
      </w:tr>
      <w:tr>
        <w:trPr>
          <w:trHeight w:val="402" w:hRule="exact"/>
        </w:trPr>
        <w:tc>
          <w:tcPr>
            <w:tcW w:w="51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收到未来科技城管委会梦想小镇孵化器考核奖励</w:t>
            </w:r>
          </w:p>
        </w:tc>
        <w:tc>
          <w:tcPr>
            <w:tcW w:w="2412"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12,000.00</w:t>
            </w:r>
          </w:p>
        </w:tc>
      </w:tr>
      <w:tr>
        <w:trPr>
          <w:trHeight w:val="402" w:hRule="exact"/>
        </w:trPr>
        <w:tc>
          <w:tcPr>
            <w:tcW w:w="51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10,968,146.32</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9,265,910.72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60</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67"/>
        <w:gridCol w:w="2693"/>
        <w:gridCol w:w="2196"/>
      </w:tblGrid>
      <w:tr>
        <w:trPr>
          <w:trHeight w:val="402" w:hRule="exact"/>
        </w:trPr>
        <w:tc>
          <w:tcPr>
            <w:tcW w:w="46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26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9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6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38,118,512.76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22,566,076.53</w:t>
            </w:r>
          </w:p>
        </w:tc>
      </w:tr>
      <w:tr>
        <w:trPr>
          <w:trHeight w:val="402" w:hRule="exact"/>
        </w:trPr>
        <w:tc>
          <w:tcPr>
            <w:tcW w:w="46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6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1,752,749.99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-2,712.30</w:t>
            </w:r>
          </w:p>
        </w:tc>
      </w:tr>
      <w:tr>
        <w:trPr>
          <w:trHeight w:val="714" w:hRule="exact"/>
        </w:trPr>
        <w:tc>
          <w:tcPr>
            <w:tcW w:w="46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43"/>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以公允价值计量且其变动计入当期损益的金融资产在持有 期间的投资收益</w:t>
            </w:r>
          </w:p>
        </w:tc>
        <w:tc>
          <w:tcPr>
            <w:tcW w:w="2693" w:type="dxa"/>
            <w:tcBorders>
              <w:top w:val="single" w:sz="4" w:space="0" w:color="000000"/>
              <w:left w:val="single" w:sz="13" w:space="0" w:color="D3D3D3"/>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94,424.26</w:t>
            </w:r>
          </w:p>
        </w:tc>
      </w:tr>
      <w:tr>
        <w:trPr>
          <w:trHeight w:val="402" w:hRule="exact"/>
        </w:trPr>
        <w:tc>
          <w:tcPr>
            <w:tcW w:w="46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26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-1,033,906.06</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丧失控制权后，剩余股权按公允价值重新计量产生的利得</w:t>
            </w:r>
          </w:p>
        </w:tc>
        <w:tc>
          <w:tcPr>
            <w:tcW w:w="26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4,553,629.50</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9,249,014.47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5,395,906.95</w:t>
            </w:r>
          </w:p>
        </w:tc>
      </w:tr>
      <w:tr>
        <w:trPr>
          <w:trHeight w:val="402" w:hRule="exact"/>
        </w:trPr>
        <w:tc>
          <w:tcPr>
            <w:tcW w:w="46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93"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48,162,310.53</w:t>
            </w:r>
          </w:p>
        </w:tc>
      </w:tr>
      <w:tr>
        <w:trPr>
          <w:trHeight w:val="402" w:hRule="exact"/>
        </w:trPr>
        <w:tc>
          <w:tcPr>
            <w:tcW w:w="46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52,640,000.66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76,216,005.97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61</w:t>
      </w:r>
      <w:r>
        <w:rPr/>
        <w:t>、公允价值变动收益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230"/>
        <w:gridCol w:w="2847"/>
        <w:gridCol w:w="2480"/>
      </w:tblGrid>
      <w:tr>
        <w:trPr>
          <w:trHeight w:val="402" w:hRule="exact"/>
        </w:trPr>
        <w:tc>
          <w:tcPr>
            <w:tcW w:w="4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40"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4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8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以公允价值计量的且其变动计入当期损益的金融资产</w:t>
            </w:r>
          </w:p>
        </w:tc>
        <w:tc>
          <w:tcPr>
            <w:tcW w:w="28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11,267.77</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105,622.40</w:t>
            </w:r>
          </w:p>
        </w:tc>
      </w:tr>
      <w:tr>
        <w:trPr>
          <w:trHeight w:val="403" w:hRule="exact"/>
        </w:trPr>
        <w:tc>
          <w:tcPr>
            <w:tcW w:w="4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11,267.77</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105,622.40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62</w:t>
      </w:r>
      <w:r>
        <w:rPr/>
        <w:t>、资产处置收益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固定资产处置损益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-233,295.06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3,512,242.63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63</w:t>
      </w:r>
      <w:r>
        <w:rPr/>
        <w:t>、营业外收入</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161" w:hRule="exact"/>
        </w:trPr>
        <w:tc>
          <w:tcPr>
            <w:tcW w:w="2389"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5"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8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89"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358,350.00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2,483,312.30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358,350.00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82,996.76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82,996.76</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其中：固定资产报废利得</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82,996.76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82,996.76</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盘盈利得</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0.54</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1,045,542.23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1,144,787.67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1,045,542.23</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1,486,889.53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3,628,339.97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1,486,889.53</w:t>
            </w:r>
          </w:p>
        </w:tc>
      </w:tr>
    </w:tbl>
    <w:p>
      <w:pPr>
        <w:pStyle w:val="BodyText"/>
        <w:spacing w:line="240" w:lineRule="auto" w:before="51"/>
        <w:ind w:right="0"/>
        <w:jc w:val="left"/>
      </w:pPr>
      <w:r>
        <w:rPr/>
        <w:t>计入当期损益的政府补助：</w:t>
      </w:r>
    </w:p>
    <w:p>
      <w:pPr>
        <w:pStyle w:val="BodyText"/>
        <w:spacing w:line="240" w:lineRule="auto" w:before="117"/>
        <w:ind w:left="0" w:right="1131"/>
        <w:jc w:val="right"/>
      </w:pPr>
      <w:r>
        <w:rPr/>
        <w:t>单位： 元</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2761"/>
        <w:gridCol w:w="552"/>
        <w:gridCol w:w="552"/>
        <w:gridCol w:w="553"/>
        <w:gridCol w:w="1186"/>
        <w:gridCol w:w="763"/>
        <w:gridCol w:w="1028"/>
        <w:gridCol w:w="1084"/>
        <w:gridCol w:w="1214"/>
      </w:tblGrid>
      <w:tr>
        <w:trPr>
          <w:trHeight w:val="714" w:hRule="exact"/>
        </w:trPr>
        <w:tc>
          <w:tcPr>
            <w:tcW w:w="2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1" w:right="89"/>
              <w:jc w:val="left"/>
              <w:rPr>
                <w:rFonts w:ascii="宋体" w:hAnsi="宋体" w:cs="宋体" w:eastAsia="宋体" w:hint="default"/>
                <w:sz w:val="18"/>
                <w:szCs w:val="18"/>
              </w:rPr>
            </w:pPr>
            <w:r>
              <w:rPr>
                <w:rFonts w:ascii="宋体" w:hAnsi="宋体" w:cs="宋体" w:eastAsia="宋体" w:hint="default"/>
                <w:sz w:val="18"/>
                <w:szCs w:val="18"/>
              </w:rPr>
              <w:t>发放 主体</w:t>
            </w:r>
          </w:p>
        </w:tc>
        <w:tc>
          <w:tcPr>
            <w:tcW w:w="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1" w:right="89"/>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2" w:right="89"/>
              <w:jc w:val="left"/>
              <w:rPr>
                <w:rFonts w:ascii="宋体" w:hAnsi="宋体" w:cs="宋体" w:eastAsia="宋体" w:hint="default"/>
                <w:sz w:val="18"/>
                <w:szCs w:val="18"/>
              </w:rPr>
            </w:pPr>
            <w:r>
              <w:rPr>
                <w:rFonts w:ascii="宋体" w:hAnsi="宋体" w:cs="宋体" w:eastAsia="宋体" w:hint="default"/>
                <w:sz w:val="18"/>
                <w:szCs w:val="18"/>
              </w:rPr>
              <w:t>性质 类型</w:t>
            </w:r>
          </w:p>
        </w:tc>
        <w:tc>
          <w:tcPr>
            <w:tcW w:w="1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6" w:right="47" w:hanging="180"/>
              <w:jc w:val="left"/>
              <w:rPr>
                <w:rFonts w:ascii="宋体" w:hAnsi="宋体" w:cs="宋体" w:eastAsia="宋体" w:hint="default"/>
                <w:sz w:val="18"/>
                <w:szCs w:val="18"/>
              </w:rPr>
            </w:pPr>
            <w:r>
              <w:rPr>
                <w:rFonts w:ascii="宋体" w:hAnsi="宋体" w:cs="宋体" w:eastAsia="宋体" w:hint="default"/>
                <w:sz w:val="18"/>
                <w:szCs w:val="18"/>
              </w:rPr>
              <w:t>补贴是否影响 当年盈亏</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06" w:right="104"/>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10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19" w:right="5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46" w:right="85"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2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42" w:right="35" w:hanging="20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 收益相关</w:t>
            </w:r>
          </w:p>
        </w:tc>
      </w:tr>
      <w:tr>
        <w:trPr>
          <w:trHeight w:val="714" w:hRule="exact"/>
        </w:trPr>
        <w:tc>
          <w:tcPr>
            <w:tcW w:w="27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2"/>
              <w:ind w:left="22" w:right="16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年杭州市科技型初创企业培 育工程经费（第一批）</w:t>
            </w:r>
          </w:p>
        </w:tc>
        <w:tc>
          <w:tcPr>
            <w:tcW w:w="55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314,200.00</w:t>
            </w:r>
          </w:p>
        </w:tc>
        <w:tc>
          <w:tcPr>
            <w:tcW w:w="108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7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财政局营收超额奖励</w:t>
            </w:r>
          </w:p>
        </w:tc>
        <w:tc>
          <w:tcPr>
            <w:tcW w:w="55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33,400.00</w:t>
            </w:r>
          </w:p>
        </w:tc>
        <w:tc>
          <w:tcPr>
            <w:tcW w:w="108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7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下城区科技局小微企业补贴</w:t>
            </w:r>
          </w:p>
        </w:tc>
        <w:tc>
          <w:tcPr>
            <w:tcW w:w="55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10,750.00</w:t>
            </w:r>
          </w:p>
        </w:tc>
        <w:tc>
          <w:tcPr>
            <w:tcW w:w="108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7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年度经济工作表彰奖励</w:t>
            </w:r>
          </w:p>
        </w:tc>
        <w:tc>
          <w:tcPr>
            <w:tcW w:w="55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1,206,600.00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7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残疾人保障金退回</w:t>
            </w:r>
          </w:p>
        </w:tc>
        <w:tc>
          <w:tcPr>
            <w:tcW w:w="55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69,629.52</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7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科技创新优秀企业奖励费</w:t>
            </w:r>
          </w:p>
        </w:tc>
        <w:tc>
          <w:tcPr>
            <w:tcW w:w="55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7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26"/>
              <w:jc w:val="left"/>
              <w:rPr>
                <w:rFonts w:ascii="宋体" w:hAnsi="宋体" w:cs="宋体" w:eastAsia="宋体" w:hint="default"/>
                <w:sz w:val="18"/>
                <w:szCs w:val="18"/>
              </w:rPr>
            </w:pPr>
            <w:r>
              <w:rPr>
                <w:rFonts w:ascii="宋体" w:hAnsi="宋体" w:cs="宋体" w:eastAsia="宋体" w:hint="default"/>
                <w:sz w:val="18"/>
                <w:szCs w:val="18"/>
              </w:rPr>
              <w:t>下城区科技局省科技型中小企业补 助</w:t>
            </w:r>
          </w:p>
        </w:tc>
        <w:tc>
          <w:tcPr>
            <w:tcW w:w="55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2761"/>
        <w:gridCol w:w="552"/>
        <w:gridCol w:w="552"/>
        <w:gridCol w:w="553"/>
        <w:gridCol w:w="1186"/>
        <w:gridCol w:w="763"/>
        <w:gridCol w:w="1028"/>
        <w:gridCol w:w="1084"/>
        <w:gridCol w:w="1214"/>
      </w:tblGrid>
      <w:tr>
        <w:trPr>
          <w:trHeight w:val="402" w:hRule="exact"/>
        </w:trPr>
        <w:tc>
          <w:tcPr>
            <w:tcW w:w="27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水利基金退税</w:t>
            </w:r>
          </w:p>
        </w:tc>
        <w:tc>
          <w:tcPr>
            <w:tcW w:w="55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86,883.20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7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减免税款</w:t>
            </w:r>
          </w:p>
        </w:tc>
        <w:tc>
          <w:tcPr>
            <w:tcW w:w="55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1,828.39</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7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文化创意产业专项补助资金</w:t>
            </w:r>
          </w:p>
        </w:tc>
        <w:tc>
          <w:tcPr>
            <w:tcW w:w="55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7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财政局新三板挂牌补助</w:t>
            </w:r>
          </w:p>
        </w:tc>
        <w:tc>
          <w:tcPr>
            <w:tcW w:w="55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7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6"/>
              <w:jc w:val="left"/>
              <w:rPr>
                <w:rFonts w:ascii="宋体" w:hAnsi="宋体" w:cs="宋体" w:eastAsia="宋体" w:hint="default"/>
                <w:sz w:val="18"/>
                <w:szCs w:val="18"/>
              </w:rPr>
            </w:pPr>
            <w:r>
              <w:rPr>
                <w:rFonts w:ascii="宋体" w:hAnsi="宋体" w:cs="宋体" w:eastAsia="宋体" w:hint="default"/>
                <w:sz w:val="18"/>
                <w:szCs w:val="18"/>
              </w:rPr>
              <w:t>杭州市就业管理服务局（稳定岗位 补贴）</w:t>
            </w:r>
          </w:p>
        </w:tc>
        <w:tc>
          <w:tcPr>
            <w:tcW w:w="55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348,771.19</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7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用工补助</w:t>
            </w:r>
          </w:p>
        </w:tc>
        <w:tc>
          <w:tcPr>
            <w:tcW w:w="55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7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5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 w:right="0"/>
              <w:jc w:val="left"/>
              <w:rPr>
                <w:rFonts w:ascii="Times New Roman" w:hAnsi="Times New Roman" w:cs="Times New Roman" w:eastAsia="Times New Roman" w:hint="default"/>
                <w:sz w:val="18"/>
                <w:szCs w:val="18"/>
              </w:rPr>
            </w:pPr>
            <w:r>
              <w:rPr>
                <w:rFonts w:ascii="Times New Roman"/>
                <w:sz w:val="18"/>
              </w:rPr>
              <w:t>358,350.00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2,483,312.30</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64</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161" w:hRule="exact"/>
        </w:trPr>
        <w:tc>
          <w:tcPr>
            <w:tcW w:w="2389"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5"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8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3D3D3"/>
          </w:tcPr>
          <w:p>
            <w:pPr/>
          </w:p>
        </w:tc>
      </w:tr>
      <w:tr>
        <w:trPr>
          <w:trHeight w:val="160" w:hRule="exact"/>
        </w:trPr>
        <w:tc>
          <w:tcPr>
            <w:tcW w:w="2389"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19,000.00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非流动资产损毁报废损失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661,937.64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645,423.68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661,937.64</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其中：固定资产报废损失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661,937.64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645,423.68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661,937.64</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387,184.38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411,591.66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387,184.38</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赔偿支出</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2,488,450.98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493,306.02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125,731.38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493,306.02</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1,561,428.04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3,796,197.70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1,561,428.04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65</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12,384,046.56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13,676,102.43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2,808,729.54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-3,412,131.25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15,192,776.10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10,263,971.18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6"/>
        <w:gridCol w:w="4800"/>
      </w:tblGrid>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171,945,887.60</w:t>
            </w:r>
          </w:p>
        </w:tc>
      </w:tr>
      <w:tr>
        <w:trPr>
          <w:trHeight w:val="403"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42,986,471.90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79"/>
        <w:gridCol w:w="4789"/>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-35,126,015.89</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-102,660.35</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-3,364,829.99</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621,679.08</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-423,101.26</w:t>
            </w:r>
          </w:p>
        </w:tc>
      </w:tr>
      <w:tr>
        <w:trPr>
          <w:trHeight w:val="714"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6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8,758,119.84</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税率调整导致年初递延所得税资产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25,701.77</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税法规定的额外扣除项目</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1,817,411.00</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15,192,776.10</w:t>
            </w:r>
          </w:p>
        </w:tc>
      </w:tr>
    </w:tbl>
    <w:p>
      <w:pPr>
        <w:spacing w:line="240" w:lineRule="auto" w:before="2"/>
        <w:rPr>
          <w:rFonts w:ascii="宋体" w:hAnsi="宋体" w:cs="宋体" w:eastAsia="宋体" w:hint="default"/>
          <w:sz w:val="19"/>
          <w:szCs w:val="19"/>
        </w:rPr>
      </w:pPr>
    </w:p>
    <w:p>
      <w:pPr>
        <w:spacing w:line="547" w:lineRule="auto" w:before="35"/>
        <w:ind w:left="154" w:right="88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66</w:t>
      </w:r>
      <w:r>
        <w:rPr>
          <w:rFonts w:ascii="宋体" w:hAnsi="宋体" w:cs="宋体" w:eastAsia="宋体" w:hint="default"/>
          <w:b/>
          <w:bCs/>
          <w:sz w:val="21"/>
          <w:szCs w:val="21"/>
        </w:rPr>
        <w:t>、其他综合收益</w:t>
      </w:r>
      <w:r>
        <w:rPr>
          <w:rFonts w:ascii="宋体" w:hAnsi="宋体" w:cs="宋体" w:eastAsia="宋体" w:hint="default"/>
          <w:b/>
          <w:bCs/>
          <w:spacing w:val="1"/>
          <w:w w:val="99"/>
          <w:sz w:val="21"/>
          <w:szCs w:val="21"/>
        </w:rPr>
        <w:t> </w:t>
      </w:r>
      <w:r>
        <w:rPr>
          <w:rFonts w:ascii="宋体" w:hAnsi="宋体" w:cs="宋体" w:eastAsia="宋体" w:hint="default"/>
          <w:sz w:val="18"/>
          <w:szCs w:val="18"/>
        </w:rPr>
        <w:t>详见附注七、</w:t>
      </w:r>
      <w:r>
        <w:rPr>
          <w:rFonts w:ascii="Times New Roman" w:hAnsi="Times New Roman" w:cs="Times New Roman" w:eastAsia="Times New Roman" w:hint="default"/>
          <w:sz w:val="18"/>
          <w:szCs w:val="18"/>
        </w:rPr>
        <w:t>48</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67</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5"/>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111"/>
        <w:gridCol w:w="2834"/>
        <w:gridCol w:w="2623"/>
      </w:tblGrid>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5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5,097,150.54</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5,520,956.56</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10,698,596.57</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10,885,123.19</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79,838,462.36</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128,406,524.16</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收回的不符合现金及现金等价物定义的货币资金</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23,197,201.80</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8,100,259.38</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118,831,411.27</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152,912,863.29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970"/>
        <w:gridCol w:w="2834"/>
        <w:gridCol w:w="2765"/>
      </w:tblGrid>
      <w:tr>
        <w:trPr>
          <w:trHeight w:val="402" w:hRule="exact"/>
        </w:trPr>
        <w:tc>
          <w:tcPr>
            <w:tcW w:w="3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费用支出</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134,297,885.27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115,625,371.51</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41,601,634.58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140,466,151.38</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支付的不符合现金及现金等价物定义的货币资金</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20,893,910.80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20,197,201.80</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196,793,430.65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276,288,724.69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收回对非金融机构借款的本金及利息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6,170,865.47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2,841,077.64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6,170,865.47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2,841,077.64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111"/>
        <w:gridCol w:w="2834"/>
        <w:gridCol w:w="2623"/>
      </w:tblGrid>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5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对非金融机构借款</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15,576,400.00</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12,650,000.00</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丧失子公司控制权日子公司现金及现金等价物金额</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11,692,569.30</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32,780,631.17</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27,268,969.30</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45,430,631.17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非金融机构借款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收到与资产相关的政府补助</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535,159.00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25,535,159.00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4269"/>
        <w:gridCol w:w="2704"/>
        <w:gridCol w:w="2720"/>
      </w:tblGrid>
      <w:tr>
        <w:trPr>
          <w:trHeight w:val="402" w:hRule="exact"/>
        </w:trPr>
        <w:tc>
          <w:tcPr>
            <w:tcW w:w="42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0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2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归还非金融机构的借款</w:t>
            </w:r>
          </w:p>
        </w:tc>
        <w:tc>
          <w:tcPr>
            <w:tcW w:w="2704"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27,221,461.72</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17,000,000.00</w:t>
            </w:r>
          </w:p>
        </w:tc>
      </w:tr>
      <w:tr>
        <w:trPr>
          <w:trHeight w:val="402" w:hRule="exact"/>
        </w:trPr>
        <w:tc>
          <w:tcPr>
            <w:tcW w:w="42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支付以前年度同一控制下企业合并支付的现金对价</w:t>
            </w:r>
          </w:p>
        </w:tc>
        <w:tc>
          <w:tcPr>
            <w:tcW w:w="2704"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71,271,950.00</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31,895,370.00</w:t>
            </w:r>
          </w:p>
        </w:tc>
      </w:tr>
      <w:tr>
        <w:trPr>
          <w:trHeight w:val="402" w:hRule="exact"/>
        </w:trPr>
        <w:tc>
          <w:tcPr>
            <w:tcW w:w="42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支付以前年度非同一控制下企业合并支付的现金对价</w:t>
            </w:r>
          </w:p>
        </w:tc>
        <w:tc>
          <w:tcPr>
            <w:tcW w:w="2704"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109,152,963.26</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139,142,921.37</w:t>
            </w:r>
          </w:p>
        </w:tc>
      </w:tr>
      <w:tr>
        <w:trPr>
          <w:trHeight w:val="402" w:hRule="exact"/>
        </w:trPr>
        <w:tc>
          <w:tcPr>
            <w:tcW w:w="42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收购少数股东股权支付对价</w:t>
            </w:r>
          </w:p>
        </w:tc>
        <w:tc>
          <w:tcPr>
            <w:tcW w:w="2704"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4,900,000.00</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1,450,000.00</w:t>
            </w:r>
          </w:p>
        </w:tc>
      </w:tr>
      <w:tr>
        <w:trPr>
          <w:trHeight w:val="402" w:hRule="exact"/>
        </w:trPr>
        <w:tc>
          <w:tcPr>
            <w:tcW w:w="42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04" w:type="dxa"/>
            <w:tcBorders>
              <w:top w:val="single" w:sz="4" w:space="0" w:color="000000"/>
              <w:left w:val="single" w:sz="13" w:space="0" w:color="C7EDCC"/>
              <w:bottom w:val="single" w:sz="4" w:space="0" w:color="000000"/>
              <w:right w:val="single" w:sz="4" w:space="0" w:color="000000"/>
            </w:tcBorders>
          </w:tcPr>
          <w:p>
            <w:pP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250,000.00</w:t>
            </w:r>
          </w:p>
        </w:tc>
      </w:tr>
      <w:tr>
        <w:trPr>
          <w:trHeight w:val="402" w:hRule="exact"/>
        </w:trPr>
        <w:tc>
          <w:tcPr>
            <w:tcW w:w="42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212,546,374.98</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189,738,291.37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68</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663"/>
        <w:gridCol w:w="3130"/>
        <w:gridCol w:w="2764"/>
      </w:tblGrid>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1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1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156,753,111.50</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210,138,101.93</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1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29,130,994.32</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16,477,859.05</w:t>
            </w:r>
          </w:p>
        </w:tc>
      </w:tr>
      <w:tr>
        <w:trPr>
          <w:trHeight w:val="714"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 产折旧</w:t>
            </w:r>
          </w:p>
        </w:tc>
        <w:tc>
          <w:tcPr>
            <w:tcW w:w="31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26,455,579.01</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35,243,947.80</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3,479,449.65</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5,288,002.01</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7,178,735.08</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4,807,956.68</w:t>
            </w:r>
          </w:p>
        </w:tc>
      </w:tr>
      <w:tr>
        <w:trPr>
          <w:trHeight w:val="714"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 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1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233,295.06</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-3,512,242.63</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1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578,940.88</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645,183.68</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1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-11,267.77</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-105,622.40</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1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14,552,419.42</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5,738,262.49</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1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-52,640,000.66</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-76,216,005.97</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1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2,817,761.61</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-2,868,833.06</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1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-9,032.07</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-543,298.19</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1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-11,848,136.15</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1,747,854.48</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1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-1,234,155.95</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-198,717,822.70</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1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88,387,278.29</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187,122,165.47</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-14,350.80</w:t>
            </w: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1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263,810,621.42</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185,245,508.64</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31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1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1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745,187,644.75</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731,355,688.83</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1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731,355,688.83</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777,107,117.31</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1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13,831,955.92</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-45,751,428.48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76"/>
        <w:gridCol w:w="4568"/>
      </w:tblGrid>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4,473,600.00</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景宁启文教育科技有限公司</w:t>
            </w:r>
          </w:p>
        </w:tc>
        <w:tc>
          <w:tcPr>
            <w:tcW w:w="4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北京朋智博信教育科技有限公司</w:t>
            </w:r>
          </w:p>
        </w:tc>
        <w:tc>
          <w:tcPr>
            <w:tcW w:w="4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3,273,600.00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988"/>
        <w:gridCol w:w="4579"/>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102,520.90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24"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景宁启文教育科技有限公司</w:t>
            </w:r>
          </w:p>
        </w:tc>
        <w:tc>
          <w:tcPr>
            <w:tcW w:w="4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北京朋智博信教育科技有限公司</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102,520.90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109,152,963.26</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24"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快点文化传播（上海）有限公司</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27,226,963.26</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中教未来国际教育科技（北京）有限公司</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69,426,000.00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智明远扬教育科技（北京）有限公司</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12,500,000.00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113,524,042.36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77"/>
        <w:gridCol w:w="4579"/>
      </w:tblGrid>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杭州云瞰科技有限公司</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491,970.97</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杭州云瞰科技有限公司</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491,970.97</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508,029.03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4"/>
        <w:gridCol w:w="3068"/>
        <w:gridCol w:w="3184"/>
      </w:tblGrid>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745,187,644.75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731,355,688.83</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706,930.11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902,439.69</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742,812,450.65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728,298,836.27</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1,668,263.99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2,154,412.87</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745,187,644.75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731,355,688.83</w:t>
            </w:r>
          </w:p>
        </w:tc>
      </w:tr>
    </w:tbl>
    <w:p>
      <w:pPr>
        <w:pStyle w:val="BodyText"/>
        <w:spacing w:line="240" w:lineRule="auto" w:before="51"/>
        <w:ind w:right="0"/>
        <w:jc w:val="left"/>
      </w:pPr>
      <w:r>
        <w:rPr/>
        <w:t>其他说明：</w:t>
      </w:r>
    </w:p>
    <w:p>
      <w:pPr>
        <w:pStyle w:val="BodyText"/>
        <w:spacing w:line="240" w:lineRule="auto" w:before="115"/>
        <w:ind w:left="444" w:right="0"/>
        <w:jc w:val="left"/>
      </w:pPr>
      <w:r>
        <w:rPr/>
        <w:t>现金和现金等价物不含母公司或集团内子公司使用受限制的现金和现金等价物。</w:t>
      </w:r>
    </w:p>
    <w:p>
      <w:pPr>
        <w:spacing w:after="0" w:line="240" w:lineRule="auto"/>
        <w:jc w:val="left"/>
        <w:sectPr>
          <w:pgSz w:w="11910" w:h="16840"/>
          <w:pgMar w:header="877" w:footer="982" w:top="1100" w:bottom="11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69</w:t>
      </w:r>
      <w:r>
        <w:rPr/>
        <w:t>、所有者权益变动表项目注释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70</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16"/>
        <w:gridCol w:w="3068"/>
        <w:gridCol w:w="3172"/>
      </w:tblGrid>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20,893,910.80</w:t>
            </w:r>
          </w:p>
        </w:tc>
        <w:tc>
          <w:tcPr>
            <w:tcW w:w="31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70,000,000.00</w:t>
            </w:r>
          </w:p>
        </w:tc>
        <w:tc>
          <w:tcPr>
            <w:tcW w:w="31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结构性存款</w:t>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31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不能随时支取的定期存款</w:t>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31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保函保证金</w:t>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06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195,196,522.66</w:t>
            </w:r>
          </w:p>
        </w:tc>
        <w:tc>
          <w:tcPr>
            <w:tcW w:w="31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长期借款股权质押</w:t>
            </w:r>
          </w:p>
        </w:tc>
      </w:tr>
      <w:tr>
        <w:trPr>
          <w:trHeight w:val="403" w:hRule="exact"/>
        </w:trPr>
        <w:tc>
          <w:tcPr>
            <w:tcW w:w="3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339,090,433.46</w:t>
            </w:r>
          </w:p>
        </w:tc>
        <w:tc>
          <w:tcPr>
            <w:tcW w:w="31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71</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72</w:t>
      </w:r>
      <w:r>
        <w:rPr/>
        <w:t>、套期</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73</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36"/>
        <w:gridCol w:w="1560"/>
        <w:gridCol w:w="1701"/>
        <w:gridCol w:w="1869"/>
      </w:tblGrid>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9"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杭州网改造升级补助款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w:t>
            </w:r>
          </w:p>
        </w:tc>
        <w:tc>
          <w:tcPr>
            <w:tcW w:w="17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3,500,000.00</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印刷补助款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2,300,000.00</w:t>
            </w:r>
          </w:p>
        </w:tc>
        <w:tc>
          <w:tcPr>
            <w:tcW w:w="17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2,300,000.00</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重构世界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区块链新经济杭州峰会市级补助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w:t>
            </w:r>
          </w:p>
        </w:tc>
        <w:tc>
          <w:tcPr>
            <w:tcW w:w="17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1,400,000.00</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网络问政平台补助费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700,000.00</w:t>
            </w:r>
          </w:p>
        </w:tc>
        <w:tc>
          <w:tcPr>
            <w:tcW w:w="17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700,000.00</w:t>
            </w:r>
          </w:p>
        </w:tc>
      </w:tr>
      <w:tr>
        <w:trPr>
          <w:trHeight w:val="714" w:hRule="exact"/>
        </w:trPr>
        <w:tc>
          <w:tcPr>
            <w:tcW w:w="45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区委宣传部（本级）</w:t>
            </w:r>
            <w:r>
              <w:rPr>
                <w:rFonts w:ascii="Times New Roman" w:hAnsi="Times New Roman" w:cs="Times New Roman" w:eastAsia="Times New Roman" w:hint="default"/>
                <w:sz w:val="18"/>
                <w:szCs w:val="18"/>
              </w:rPr>
              <w:t>"</w:t>
            </w:r>
            <w:r>
              <w:rPr>
                <w:rFonts w:ascii="宋体" w:hAnsi="宋体" w:cs="宋体" w:eastAsia="宋体" w:hint="default"/>
                <w:sz w:val="18"/>
                <w:szCs w:val="18"/>
              </w:rPr>
              <w:t>勇当排头兵萧山怎么干</w:t>
            </w:r>
            <w:r>
              <w:rPr>
                <w:rFonts w:ascii="Times New Roman" w:hAnsi="Times New Roman" w:cs="Times New Roman" w:eastAsia="Times New Roman" w:hint="default"/>
                <w:sz w:val="18"/>
                <w:szCs w:val="18"/>
              </w:rPr>
              <w:t>"</w:t>
            </w:r>
            <w:r>
              <w:rPr>
                <w:rFonts w:ascii="宋体" w:hAnsi="宋体" w:cs="宋体" w:eastAsia="宋体" w:hint="default"/>
                <w:sz w:val="18"/>
                <w:szCs w:val="18"/>
              </w:rPr>
              <w:t>网络访谈补 助经费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7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省优秀众创空间奖励</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7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第二课堂微信报送信息系统开发补助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17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300,000.00</w:t>
            </w:r>
          </w:p>
        </w:tc>
      </w:tr>
      <w:tr>
        <w:trPr>
          <w:trHeight w:val="714" w:hRule="exact"/>
        </w:trPr>
        <w:tc>
          <w:tcPr>
            <w:tcW w:w="45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年度中央补助文化产业发展专项资金：环保型绿色印</w:t>
            </w:r>
            <w:r>
              <w:rPr>
                <w:rFonts w:ascii="宋体" w:hAnsi="宋体" w:cs="宋体" w:eastAsia="宋体" w:hint="default"/>
                <w:sz w:val="18"/>
                <w:szCs w:val="18"/>
              </w:rPr>
              <w:t> 刷设备扩能改造及其应用示范项目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266,666.64</w:t>
            </w:r>
          </w:p>
        </w:tc>
        <w:tc>
          <w:tcPr>
            <w:tcW w:w="17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266,666.64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536"/>
        <w:gridCol w:w="1560"/>
        <w:gridCol w:w="1701"/>
        <w:gridCol w:w="1869"/>
      </w:tblGrid>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情暖恩施公益夏令营活动补助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160,000.00</w:t>
            </w:r>
          </w:p>
        </w:tc>
        <w:tc>
          <w:tcPr>
            <w:tcW w:w="17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160,000.00</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文化创意产业专项资金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160,000.00</w:t>
            </w:r>
          </w:p>
        </w:tc>
        <w:tc>
          <w:tcPr>
            <w:tcW w:w="17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160,000.00</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第二课堂微信公众号维护费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135,000.00</w:t>
            </w:r>
          </w:p>
        </w:tc>
        <w:tc>
          <w:tcPr>
            <w:tcW w:w="17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135,000.00</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稳定岗位补贴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112,673.55</w:t>
            </w:r>
          </w:p>
        </w:tc>
        <w:tc>
          <w:tcPr>
            <w:tcW w:w="17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112,673.55</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杭州城西科创产业集聚区创新发展专项资金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17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动漫游戏产业资助资金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w:t>
            </w:r>
          </w:p>
        </w:tc>
        <w:tc>
          <w:tcPr>
            <w:tcW w:w="17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90,000.00</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小微企业房租补助资金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89,900.00</w:t>
            </w:r>
          </w:p>
        </w:tc>
        <w:tc>
          <w:tcPr>
            <w:tcW w:w="17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89,900.00</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美德少年推选活动补助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tc>
        <w:tc>
          <w:tcPr>
            <w:tcW w:w="17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80,000.00</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就业补贴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79,460.40</w:t>
            </w:r>
          </w:p>
        </w:tc>
        <w:tc>
          <w:tcPr>
            <w:tcW w:w="17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79,460.40</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工业信息化财政补助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69,827.16</w:t>
            </w:r>
          </w:p>
        </w:tc>
        <w:tc>
          <w:tcPr>
            <w:tcW w:w="17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69,827.16</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梦想小镇创新创业活动补助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66,500.00</w:t>
            </w:r>
          </w:p>
        </w:tc>
        <w:tc>
          <w:tcPr>
            <w:tcW w:w="17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66,500.00</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用工补助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36,800.00</w:t>
            </w:r>
          </w:p>
        </w:tc>
        <w:tc>
          <w:tcPr>
            <w:tcW w:w="17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36,800.00</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梦想小镇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年第三批孵化器考核奖励资金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27,000.00</w:t>
            </w:r>
          </w:p>
        </w:tc>
        <w:tc>
          <w:tcPr>
            <w:tcW w:w="17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27,000.00</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增值税减免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26,823.42</w:t>
            </w:r>
          </w:p>
        </w:tc>
        <w:tc>
          <w:tcPr>
            <w:tcW w:w="17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26,823.42</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党员活动经费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9,574.20</w:t>
            </w:r>
          </w:p>
        </w:tc>
        <w:tc>
          <w:tcPr>
            <w:tcW w:w="17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9,574.20</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年杭州市科技型初创企业培育工程经费（第一批）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314,200.00</w:t>
            </w:r>
          </w:p>
        </w:tc>
        <w:tc>
          <w:tcPr>
            <w:tcW w:w="17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314,200.00</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财政局营收超额奖励</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33,400.00</w:t>
            </w:r>
          </w:p>
        </w:tc>
        <w:tc>
          <w:tcPr>
            <w:tcW w:w="17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33,400.00</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下城区科技局小微企业补贴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10,750.00</w:t>
            </w:r>
          </w:p>
        </w:tc>
        <w:tc>
          <w:tcPr>
            <w:tcW w:w="17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10,750.00</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11,068,575.37</w:t>
            </w:r>
          </w:p>
        </w:tc>
        <w:tc>
          <w:tcPr>
            <w:tcW w:w="170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11,068,575.37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spacing w:line="487" w:lineRule="auto" w:before="0"/>
        <w:ind w:left="154" w:right="83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八、合并范围的变更</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3"/>
        <w:ind w:left="153"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256"/>
        <w:gridCol w:w="908"/>
        <w:gridCol w:w="1063"/>
        <w:gridCol w:w="841"/>
        <w:gridCol w:w="629"/>
        <w:gridCol w:w="907"/>
        <w:gridCol w:w="786"/>
        <w:gridCol w:w="1612"/>
        <w:gridCol w:w="1691"/>
      </w:tblGrid>
      <w:tr>
        <w:trPr>
          <w:trHeight w:val="714" w:hRule="exact"/>
        </w:trPr>
        <w:tc>
          <w:tcPr>
            <w:tcW w:w="1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9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68" w:right="89"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5" w:right="54" w:hanging="180"/>
              <w:jc w:val="left"/>
              <w:rPr>
                <w:rFonts w:ascii="宋体" w:hAnsi="宋体" w:cs="宋体" w:eastAsia="宋体" w:hint="default"/>
                <w:sz w:val="18"/>
                <w:szCs w:val="18"/>
              </w:rPr>
            </w:pPr>
            <w:r>
              <w:rPr>
                <w:rFonts w:ascii="宋体" w:hAnsi="宋体" w:cs="宋体" w:eastAsia="宋体" w:hint="default"/>
                <w:sz w:val="18"/>
                <w:szCs w:val="18"/>
              </w:rPr>
              <w:t>股权取得 比例</w:t>
            </w:r>
          </w:p>
        </w:tc>
        <w:tc>
          <w:tcPr>
            <w:tcW w:w="6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9" w:right="37"/>
              <w:jc w:val="left"/>
              <w:rPr>
                <w:rFonts w:ascii="宋体" w:hAnsi="宋体" w:cs="宋体" w:eastAsia="宋体" w:hint="default"/>
                <w:sz w:val="18"/>
                <w:szCs w:val="18"/>
              </w:rPr>
            </w:pPr>
            <w:r>
              <w:rPr>
                <w:rFonts w:ascii="宋体" w:hAnsi="宋体" w:cs="宋体" w:eastAsia="宋体" w:hint="default"/>
                <w:sz w:val="18"/>
                <w:szCs w:val="18"/>
              </w:rPr>
              <w:t>股权取 得方式</w:t>
            </w:r>
          </w:p>
        </w:tc>
        <w:tc>
          <w:tcPr>
            <w:tcW w:w="9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 w:right="26"/>
              <w:jc w:val="left"/>
              <w:rPr>
                <w:rFonts w:ascii="宋体" w:hAnsi="宋体" w:cs="宋体" w:eastAsia="宋体" w:hint="default"/>
                <w:sz w:val="18"/>
                <w:szCs w:val="18"/>
              </w:rPr>
            </w:pPr>
            <w:r>
              <w:rPr>
                <w:rFonts w:ascii="宋体" w:hAnsi="宋体" w:cs="宋体" w:eastAsia="宋体" w:hint="default"/>
                <w:sz w:val="18"/>
                <w:szCs w:val="18"/>
              </w:rPr>
              <w:t>购买日的 确定依据</w:t>
            </w:r>
          </w:p>
        </w:tc>
        <w:tc>
          <w:tcPr>
            <w:tcW w:w="16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51" w:right="78" w:hanging="270"/>
              <w:jc w:val="left"/>
              <w:rPr>
                <w:rFonts w:ascii="宋体" w:hAnsi="宋体" w:cs="宋体" w:eastAsia="宋体" w:hint="default"/>
                <w:sz w:val="18"/>
                <w:szCs w:val="18"/>
              </w:rPr>
            </w:pPr>
            <w:r>
              <w:rPr>
                <w:rFonts w:ascii="宋体" w:hAnsi="宋体" w:cs="宋体" w:eastAsia="宋体" w:hint="default"/>
                <w:sz w:val="18"/>
                <w:szCs w:val="18"/>
              </w:rPr>
              <w:t>购买日至期末被购 买方的收入</w:t>
            </w:r>
          </w:p>
        </w:tc>
        <w:tc>
          <w:tcPr>
            <w:tcW w:w="16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89" w:right="29" w:hanging="360"/>
              <w:jc w:val="left"/>
              <w:rPr>
                <w:rFonts w:ascii="宋体" w:hAnsi="宋体" w:cs="宋体" w:eastAsia="宋体" w:hint="default"/>
                <w:sz w:val="18"/>
                <w:szCs w:val="18"/>
              </w:rPr>
            </w:pPr>
            <w:r>
              <w:rPr>
                <w:rFonts w:ascii="宋体" w:hAnsi="宋体" w:cs="宋体" w:eastAsia="宋体" w:hint="default"/>
                <w:sz w:val="18"/>
                <w:szCs w:val="18"/>
              </w:rPr>
              <w:t>购买日至期末被购买 方的净利润</w:t>
            </w:r>
          </w:p>
        </w:tc>
      </w:tr>
      <w:tr>
        <w:trPr>
          <w:trHeight w:val="1026" w:hRule="exact"/>
        </w:trPr>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3"/>
              <w:jc w:val="both"/>
              <w:rPr>
                <w:rFonts w:ascii="宋体" w:hAnsi="宋体" w:cs="宋体" w:eastAsia="宋体" w:hint="default"/>
                <w:sz w:val="18"/>
                <w:szCs w:val="18"/>
              </w:rPr>
            </w:pPr>
            <w:r>
              <w:rPr>
                <w:rFonts w:ascii="宋体" w:hAnsi="宋体" w:cs="宋体" w:eastAsia="宋体" w:hint="default"/>
                <w:sz w:val="18"/>
                <w:szCs w:val="18"/>
              </w:rPr>
              <w:t>北京朋智博信 教育科技有限 公司</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6,720,000.00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80.00%</w:t>
            </w:r>
          </w:p>
        </w:tc>
        <w:tc>
          <w:tcPr>
            <w:tcW w:w="6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53"/>
              <w:jc w:val="left"/>
              <w:rPr>
                <w:rFonts w:ascii="宋体" w:hAnsi="宋体" w:cs="宋体" w:eastAsia="宋体" w:hint="default"/>
                <w:sz w:val="18"/>
                <w:szCs w:val="18"/>
              </w:rPr>
            </w:pPr>
            <w:r>
              <w:rPr>
                <w:rFonts w:ascii="宋体" w:hAnsi="宋体" w:cs="宋体" w:eastAsia="宋体" w:hint="default"/>
                <w:sz w:val="18"/>
                <w:szCs w:val="18"/>
              </w:rPr>
              <w:t>股权转 让</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31"/>
              <w:jc w:val="left"/>
              <w:rPr>
                <w:rFonts w:ascii="宋体" w:hAnsi="宋体" w:cs="宋体" w:eastAsia="宋体" w:hint="default"/>
                <w:sz w:val="18"/>
                <w:szCs w:val="18"/>
              </w:rPr>
            </w:pPr>
            <w:r>
              <w:rPr>
                <w:rFonts w:ascii="宋体" w:hAnsi="宋体" w:cs="宋体" w:eastAsia="宋体" w:hint="default"/>
                <w:sz w:val="18"/>
                <w:szCs w:val="18"/>
              </w:rPr>
              <w:t>取得控制 权</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4" w:right="0"/>
              <w:jc w:val="left"/>
              <w:rPr>
                <w:rFonts w:ascii="Times New Roman" w:hAnsi="Times New Roman" w:cs="Times New Roman" w:eastAsia="Times New Roman" w:hint="default"/>
                <w:sz w:val="18"/>
                <w:szCs w:val="18"/>
              </w:rPr>
            </w:pPr>
            <w:r>
              <w:rPr>
                <w:rFonts w:ascii="Times New Roman"/>
                <w:sz w:val="18"/>
              </w:rPr>
              <w:t>2,518,794.59</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3" w:right="0"/>
              <w:jc w:val="left"/>
              <w:rPr>
                <w:rFonts w:ascii="Times New Roman" w:hAnsi="Times New Roman" w:cs="Times New Roman" w:eastAsia="Times New Roman" w:hint="default"/>
                <w:sz w:val="18"/>
                <w:szCs w:val="18"/>
              </w:rPr>
            </w:pPr>
            <w:r>
              <w:rPr>
                <w:rFonts w:ascii="Times New Roman"/>
                <w:sz w:val="18"/>
              </w:rPr>
              <w:t>1,399,410.00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256"/>
        <w:gridCol w:w="908"/>
        <w:gridCol w:w="1063"/>
        <w:gridCol w:w="842"/>
        <w:gridCol w:w="628"/>
        <w:gridCol w:w="908"/>
        <w:gridCol w:w="786"/>
        <w:gridCol w:w="1612"/>
        <w:gridCol w:w="1691"/>
      </w:tblGrid>
      <w:tr>
        <w:trPr>
          <w:trHeight w:val="714" w:hRule="exact"/>
        </w:trPr>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2"/>
              <w:jc w:val="left"/>
              <w:rPr>
                <w:rFonts w:ascii="宋体" w:hAnsi="宋体" w:cs="宋体" w:eastAsia="宋体" w:hint="default"/>
                <w:sz w:val="18"/>
                <w:szCs w:val="18"/>
              </w:rPr>
            </w:pPr>
            <w:r>
              <w:rPr>
                <w:rFonts w:ascii="宋体" w:hAnsi="宋体" w:cs="宋体" w:eastAsia="宋体" w:hint="default"/>
                <w:sz w:val="18"/>
                <w:szCs w:val="18"/>
              </w:rPr>
              <w:t>景宁启文教育 科技有限公司</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1,200,000.00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51.00%</w:t>
            </w:r>
          </w:p>
        </w:tc>
        <w:tc>
          <w:tcPr>
            <w:tcW w:w="62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52"/>
              <w:jc w:val="left"/>
              <w:rPr>
                <w:rFonts w:ascii="宋体" w:hAnsi="宋体" w:cs="宋体" w:eastAsia="宋体" w:hint="default"/>
                <w:sz w:val="18"/>
                <w:szCs w:val="18"/>
              </w:rPr>
            </w:pPr>
            <w:r>
              <w:rPr>
                <w:rFonts w:ascii="宋体" w:hAnsi="宋体" w:cs="宋体" w:eastAsia="宋体" w:hint="default"/>
                <w:sz w:val="18"/>
                <w:szCs w:val="18"/>
              </w:rPr>
              <w:t>股权转 让</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取得控制 权</w:t>
            </w:r>
          </w:p>
        </w:tc>
        <w:tc>
          <w:tcPr>
            <w:tcW w:w="1612" w:type="dxa"/>
            <w:tcBorders>
              <w:top w:val="single" w:sz="4" w:space="0" w:color="000000"/>
              <w:left w:val="single" w:sz="4" w:space="0" w:color="000000"/>
              <w:bottom w:val="single" w:sz="4" w:space="0" w:color="000000"/>
              <w:right w:val="single" w:sz="4" w:space="0" w:color="000000"/>
            </w:tcBorders>
          </w:tcPr>
          <w:p>
            <w:pPr/>
          </w:p>
        </w:tc>
        <w:tc>
          <w:tcPr>
            <w:tcW w:w="16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319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331" w:right="0"/>
              <w:jc w:val="left"/>
              <w:rPr>
                <w:rFonts w:ascii="宋体" w:hAnsi="宋体" w:cs="宋体" w:eastAsia="宋体" w:hint="default"/>
                <w:sz w:val="18"/>
                <w:szCs w:val="18"/>
              </w:rPr>
            </w:pPr>
            <w:r>
              <w:rPr>
                <w:rFonts w:ascii="宋体" w:hAnsi="宋体" w:cs="宋体" w:eastAsia="宋体" w:hint="default"/>
                <w:sz w:val="18"/>
                <w:szCs w:val="18"/>
              </w:rPr>
              <w:t>北京朋智博信教育科技有限公司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景宁启文教育科技有限公司</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1,206,015.29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1,278,264.00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 公允价值份额的金额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5,513,984.71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-78,264.00</w:t>
            </w:r>
          </w:p>
        </w:tc>
      </w:tr>
    </w:tbl>
    <w:p>
      <w:pPr>
        <w:pStyle w:val="BodyText"/>
        <w:spacing w:line="357" w:lineRule="auto" w:before="51"/>
        <w:ind w:left="513" w:right="0" w:hanging="360"/>
        <w:jc w:val="left"/>
      </w:pPr>
      <w:r>
        <w:rPr/>
        <w:t>合并成本公允价值的确定方法、或有对价及其变动的说明： </w:t>
      </w:r>
      <w:r>
        <w:rPr>
          <w:spacing w:val="-1"/>
        </w:rPr>
        <w:t>中教未来国际教育科技（北京）有限公司以</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18</w:t>
      </w:r>
      <w:r>
        <w:rPr>
          <w:spacing w:val="-1"/>
        </w:rPr>
        <w:t>日为购买日，支付人民币</w:t>
      </w:r>
      <w:r>
        <w:rPr>
          <w:rFonts w:ascii="Times New Roman" w:hAnsi="Times New Roman" w:cs="Times New Roman" w:eastAsia="Times New Roman" w:hint="default"/>
          <w:spacing w:val="-1"/>
        </w:rPr>
        <w:t>6,720,000.00</w:t>
      </w:r>
      <w:r>
        <w:rPr>
          <w:spacing w:val="-1"/>
        </w:rPr>
        <w:t>元作为合并成本购买北京</w:t>
      </w:r>
    </w:p>
    <w:p>
      <w:pPr>
        <w:pStyle w:val="BodyText"/>
        <w:spacing w:line="214" w:lineRule="exact"/>
        <w:ind w:right="0"/>
        <w:jc w:val="left"/>
      </w:pPr>
      <w:r>
        <w:rPr/>
        <w:t>朋智博信教育科技有限公司</w:t>
      </w:r>
      <w:r>
        <w:rPr>
          <w:rFonts w:ascii="Times New Roman" w:hAnsi="Times New Roman" w:cs="Times New Roman" w:eastAsia="Times New Roman" w:hint="default"/>
        </w:rPr>
        <w:t>80%</w:t>
      </w:r>
      <w:r>
        <w:rPr/>
        <w:t>的股权。</w:t>
      </w:r>
    </w:p>
    <w:p>
      <w:pPr>
        <w:pStyle w:val="BodyText"/>
        <w:spacing w:line="300" w:lineRule="auto" w:before="63"/>
        <w:ind w:right="0" w:firstLine="360"/>
        <w:jc w:val="left"/>
      </w:pPr>
      <w:r>
        <w:rPr>
          <w:spacing w:val="-2"/>
        </w:rPr>
        <w:t>浙江华媒优培资产管理有限公司以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30</w:t>
      </w:r>
      <w:r>
        <w:rPr>
          <w:spacing w:val="-2"/>
        </w:rPr>
        <w:t>日为购买日，根据浙江正大资产评估有限公司出具的浙正大评字【</w:t>
      </w:r>
      <w:r>
        <w:rPr>
          <w:rFonts w:ascii="Times New Roman" w:hAnsi="Times New Roman" w:cs="Times New Roman" w:eastAsia="Times New Roman" w:hint="default"/>
          <w:spacing w:val="-2"/>
        </w:rPr>
        <w:t>2018</w:t>
      </w:r>
      <w:r>
        <w:rPr>
          <w:spacing w:val="-2"/>
        </w:rPr>
        <w:t>】</w:t>
      </w:r>
      <w:r>
        <w:rPr/>
        <w:t> 第</w:t>
      </w:r>
      <w:r>
        <w:rPr>
          <w:rFonts w:ascii="Times New Roman" w:hAnsi="Times New Roman" w:cs="Times New Roman" w:eastAsia="Times New Roman" w:hint="default"/>
        </w:rPr>
        <w:t>0744</w:t>
      </w:r>
      <w:r>
        <w:rPr/>
        <w:t>号的评估报告，被购买方景宁启文教育科技有限公司于购买日可辨认净资产的公允价值为</w:t>
      </w:r>
      <w:r>
        <w:rPr>
          <w:rFonts w:ascii="Times New Roman" w:hAnsi="Times New Roman" w:cs="Times New Roman" w:eastAsia="Times New Roman" w:hint="default"/>
        </w:rPr>
        <w:t>2,506,400.00</w:t>
      </w:r>
      <w:r>
        <w:rPr/>
        <w:t>元，本公司支</w:t>
      </w:r>
      <w:r>
        <w:rPr>
          <w:spacing w:val="-47"/>
        </w:rPr>
        <w:t> </w:t>
      </w:r>
      <w:r>
        <w:rPr>
          <w:spacing w:val="-47"/>
        </w:rPr>
      </w:r>
      <w:r>
        <w:rPr/>
        <w:t>付现金人民币</w:t>
      </w:r>
      <w:r>
        <w:rPr>
          <w:rFonts w:ascii="Times New Roman" w:hAnsi="Times New Roman" w:cs="Times New Roman" w:eastAsia="Times New Roman" w:hint="default"/>
        </w:rPr>
        <w:t>1,200,000.00</w:t>
      </w:r>
      <w:r>
        <w:rPr/>
        <w:t>元作为合并成本购买景宁启文</w:t>
      </w:r>
      <w:r>
        <w:rPr>
          <w:rFonts w:ascii="Times New Roman" w:hAnsi="Times New Roman" w:cs="Times New Roman" w:eastAsia="Times New Roman" w:hint="default"/>
        </w:rPr>
        <w:t>51%</w:t>
      </w:r>
      <w:r>
        <w:rPr/>
        <w:t>的股权，景宁启文教育科技有限公司按收益法评估的价值与本</w:t>
      </w:r>
      <w:r>
        <w:rPr>
          <w:spacing w:val="-24"/>
        </w:rPr>
        <w:t> </w:t>
      </w:r>
      <w:r>
        <w:rPr>
          <w:spacing w:val="-24"/>
        </w:rPr>
      </w:r>
      <w:r>
        <w:rPr/>
        <w:t>次合并成本基本一致。</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03"/>
        <w:gridCol w:w="1925"/>
        <w:gridCol w:w="1914"/>
        <w:gridCol w:w="1914"/>
        <w:gridCol w:w="1914"/>
      </w:tblGrid>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839" w:type="dxa"/>
            <w:gridSpan w:val="2"/>
            <w:tcBorders>
              <w:top w:val="single" w:sz="4" w:space="0" w:color="000000"/>
              <w:left w:val="single" w:sz="9" w:space="0" w:color="D3D3D3"/>
              <w:bottom w:val="single" w:sz="4" w:space="0" w:color="000000"/>
              <w:right w:val="single" w:sz="4" w:space="0" w:color="000000"/>
            </w:tcBorders>
            <w:shd w:val="clear" w:color="auto" w:fill="E1FFFF"/>
          </w:tcPr>
          <w:p>
            <w:pPr>
              <w:pStyle w:val="TableParagraph"/>
              <w:spacing w:line="240" w:lineRule="auto" w:before="51"/>
              <w:ind w:left="652" w:right="0"/>
              <w:jc w:val="left"/>
              <w:rPr>
                <w:rFonts w:ascii="宋体" w:hAnsi="宋体" w:cs="宋体" w:eastAsia="宋体" w:hint="default"/>
                <w:sz w:val="18"/>
                <w:szCs w:val="18"/>
              </w:rPr>
            </w:pPr>
            <w:r>
              <w:rPr>
                <w:rFonts w:ascii="宋体" w:hAnsi="宋体" w:cs="宋体" w:eastAsia="宋体" w:hint="default"/>
                <w:sz w:val="18"/>
                <w:szCs w:val="18"/>
              </w:rPr>
              <w:t>北京朋智博信教育科技有限公司</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827" w:right="0"/>
              <w:jc w:val="left"/>
              <w:rPr>
                <w:rFonts w:ascii="宋体" w:hAnsi="宋体" w:cs="宋体" w:eastAsia="宋体" w:hint="default"/>
                <w:sz w:val="18"/>
                <w:szCs w:val="18"/>
              </w:rPr>
            </w:pPr>
            <w:r>
              <w:rPr>
                <w:rFonts w:ascii="宋体" w:hAnsi="宋体" w:cs="宋体" w:eastAsia="宋体" w:hint="default"/>
                <w:sz w:val="18"/>
                <w:szCs w:val="18"/>
              </w:rPr>
              <w:t>景宁启文教育科技有限公司</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3"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2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102,520.90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102,520.90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92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423,873.76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423,873.76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25"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2,506,400.00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25" w:type="dxa"/>
            <w:tcBorders>
              <w:top w:val="single" w:sz="4" w:space="0" w:color="000000"/>
              <w:left w:val="single" w:sz="9" w:space="0" w:color="E1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1,357,326.82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1,357,326.82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25" w:type="dxa"/>
            <w:tcBorders>
              <w:top w:val="single" w:sz="4" w:space="0" w:color="000000"/>
              <w:left w:val="single" w:sz="9" w:space="0" w:color="E1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15,759.49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15,759.49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92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29,006.45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29,006.45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925" w:type="dxa"/>
            <w:tcBorders>
              <w:top w:val="single" w:sz="4" w:space="0" w:color="000000"/>
              <w:left w:val="single" w:sz="9" w:space="0" w:color="E1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167,456.31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167,456.31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25" w:type="dxa"/>
            <w:tcBorders>
              <w:top w:val="single" w:sz="4" w:space="0" w:color="000000"/>
              <w:left w:val="single" w:sz="9" w:space="0" w:color="E1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48,944.00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48,944.00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925" w:type="dxa"/>
            <w:tcBorders>
              <w:top w:val="single" w:sz="4" w:space="0" w:color="000000"/>
              <w:left w:val="single" w:sz="9" w:space="0" w:color="E1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146,555.10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146,555.10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92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1,507,519.11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1,507,519.11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2,506,400.00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92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1,507,519.11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1,507,519.11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2,506,400.00</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是否存在通过多次交易分步实现企业合并且在报告期内取得控制权的交易</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是否存在单次处置对子公司投资即丧失控制权的情形</w:t>
      </w:r>
    </w:p>
    <w:p>
      <w:pPr>
        <w:pStyle w:val="BodyText"/>
        <w:spacing w:line="340" w:lineRule="auto" w:before="116"/>
        <w:ind w:right="49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pStyle w:val="BodyText"/>
        <w:spacing w:line="240" w:lineRule="auto" w:before="115"/>
        <w:ind w:left="561" w:right="8973"/>
        <w:jc w:val="center"/>
      </w:pPr>
      <w:r>
        <w:rPr/>
        <w:t>（</w:t>
      </w:r>
      <w:r>
        <w:rPr>
          <w:rFonts w:ascii="Times New Roman" w:hAnsi="Times New Roman" w:cs="Times New Roman" w:eastAsia="Times New Roman" w:hint="default"/>
        </w:rPr>
        <w:t>1</w:t>
      </w:r>
      <w:r>
        <w:rPr/>
        <w:t>）新设子公司</w:t>
      </w:r>
    </w:p>
    <w:p>
      <w:pPr>
        <w:spacing w:line="240" w:lineRule="auto" w:before="13"/>
        <w:rPr>
          <w:rFonts w:ascii="宋体" w:hAnsi="宋体" w:cs="宋体" w:eastAsia="宋体" w:hint="default"/>
          <w:sz w:val="3"/>
          <w:szCs w:val="3"/>
        </w:rPr>
      </w:pPr>
    </w:p>
    <w:tbl>
      <w:tblPr>
        <w:tblW w:w="0" w:type="auto"/>
        <w:jc w:val="left"/>
        <w:tblInd w:w="139" w:type="dxa"/>
        <w:tblLayout w:type="fixed"/>
        <w:tblCellMar>
          <w:top w:w="0" w:type="dxa"/>
          <w:left w:w="0" w:type="dxa"/>
          <w:bottom w:w="0" w:type="dxa"/>
          <w:right w:w="0" w:type="dxa"/>
        </w:tblCellMar>
        <w:tblLook w:val="01E0"/>
      </w:tblPr>
      <w:tblGrid>
        <w:gridCol w:w="2562"/>
        <w:gridCol w:w="802"/>
        <w:gridCol w:w="560"/>
        <w:gridCol w:w="698"/>
        <w:gridCol w:w="558"/>
        <w:gridCol w:w="560"/>
        <w:gridCol w:w="2148"/>
        <w:gridCol w:w="931"/>
        <w:gridCol w:w="838"/>
      </w:tblGrid>
      <w:tr>
        <w:trPr>
          <w:trHeight w:val="342" w:hRule="exact"/>
        </w:trPr>
        <w:tc>
          <w:tcPr>
            <w:tcW w:w="2562"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802" w:type="dxa"/>
            <w:vMerge w:val="restart"/>
            <w:tcBorders>
              <w:top w:val="single" w:sz="4" w:space="0" w:color="000000"/>
              <w:left w:val="single" w:sz="4" w:space="0" w:color="000000"/>
              <w:right w:val="single" w:sz="4" w:space="0" w:color="000000"/>
            </w:tcBorders>
            <w:shd w:val="clear" w:color="auto" w:fill="DDDDDD"/>
          </w:tcPr>
          <w:p>
            <w:pPr>
              <w:pStyle w:val="TableParagraph"/>
              <w:spacing w:line="316" w:lineRule="auto" w:before="37"/>
              <w:ind w:left="305" w:right="35" w:hanging="270"/>
              <w:jc w:val="left"/>
              <w:rPr>
                <w:rFonts w:ascii="宋体" w:hAnsi="宋体" w:cs="宋体" w:eastAsia="宋体" w:hint="default"/>
                <w:sz w:val="18"/>
                <w:szCs w:val="18"/>
              </w:rPr>
            </w:pPr>
            <w:r>
              <w:rPr>
                <w:rFonts w:ascii="宋体" w:hAnsi="宋体" w:cs="宋体" w:eastAsia="宋体" w:hint="default"/>
                <w:sz w:val="18"/>
                <w:szCs w:val="18"/>
              </w:rPr>
              <w:t>主要经营 地</w:t>
            </w:r>
          </w:p>
        </w:tc>
        <w:tc>
          <w:tcPr>
            <w:tcW w:w="560"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98" w:type="dxa"/>
            <w:vMerge w:val="restart"/>
            <w:tcBorders>
              <w:top w:val="single" w:sz="4" w:space="0" w:color="000000"/>
              <w:left w:val="single" w:sz="4" w:space="0" w:color="000000"/>
              <w:right w:val="single" w:sz="4" w:space="0" w:color="000000"/>
            </w:tcBorders>
            <w:shd w:val="clear" w:color="auto" w:fill="DDDDDD"/>
          </w:tcPr>
          <w:p>
            <w:pPr>
              <w:pStyle w:val="TableParagraph"/>
              <w:spacing w:line="316" w:lineRule="auto" w:before="37"/>
              <w:ind w:left="254" w:right="72"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1118"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持股比例（</w:t>
            </w:r>
            <w:r>
              <w:rPr>
                <w:rFonts w:ascii="Times New Roman" w:hAnsi="Times New Roman" w:cs="Times New Roman" w:eastAsia="Times New Roman" w:hint="default"/>
                <w:spacing w:val="-7"/>
                <w:sz w:val="18"/>
                <w:szCs w:val="18"/>
              </w:rPr>
              <w:t>%</w:t>
            </w:r>
          </w:p>
        </w:tc>
        <w:tc>
          <w:tcPr>
            <w:tcW w:w="2148" w:type="dxa"/>
            <w:vMerge w:val="restart"/>
            <w:tcBorders>
              <w:top w:val="single" w:sz="4" w:space="0" w:color="000000"/>
              <w:left w:val="single" w:sz="4" w:space="0" w:color="000000"/>
              <w:right w:val="single" w:sz="4" w:space="0" w:color="000000"/>
            </w:tcBorders>
            <w:shd w:val="clear" w:color="auto" w:fill="DDDDDD"/>
          </w:tcPr>
          <w:p>
            <w:pPr>
              <w:pStyle w:val="TableParagraph"/>
              <w:spacing w:line="204" w:lineRule="exact" w:before="21"/>
              <w:ind w:left="-10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投资方</w:t>
            </w:r>
          </w:p>
        </w:tc>
        <w:tc>
          <w:tcPr>
            <w:tcW w:w="931"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37"/>
              <w:ind w:left="99"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before="76"/>
              <w:ind w:left="9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38"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42" w:hRule="exact"/>
        </w:trPr>
        <w:tc>
          <w:tcPr>
            <w:tcW w:w="2562" w:type="dxa"/>
            <w:vMerge/>
            <w:tcBorders>
              <w:left w:val="single" w:sz="4" w:space="0" w:color="000000"/>
              <w:bottom w:val="single" w:sz="4" w:space="0" w:color="000000"/>
              <w:right w:val="single" w:sz="4" w:space="0" w:color="000000"/>
            </w:tcBorders>
            <w:shd w:val="clear" w:color="auto" w:fill="DDDDDD"/>
          </w:tcPr>
          <w:p>
            <w:pPr/>
          </w:p>
        </w:tc>
        <w:tc>
          <w:tcPr>
            <w:tcW w:w="802" w:type="dxa"/>
            <w:vMerge/>
            <w:tcBorders>
              <w:left w:val="single" w:sz="4" w:space="0" w:color="000000"/>
              <w:bottom w:val="single" w:sz="4" w:space="0" w:color="000000"/>
              <w:right w:val="single" w:sz="4" w:space="0" w:color="000000"/>
            </w:tcBorders>
            <w:shd w:val="clear" w:color="auto" w:fill="DDDDDD"/>
          </w:tcPr>
          <w:p>
            <w:pPr/>
          </w:p>
        </w:tc>
        <w:tc>
          <w:tcPr>
            <w:tcW w:w="560" w:type="dxa"/>
            <w:vMerge/>
            <w:tcBorders>
              <w:left w:val="single" w:sz="4" w:space="0" w:color="000000"/>
              <w:bottom w:val="single" w:sz="4" w:space="0" w:color="000000"/>
              <w:right w:val="single" w:sz="4" w:space="0" w:color="000000"/>
            </w:tcBorders>
            <w:shd w:val="clear" w:color="auto" w:fill="DDDDDD"/>
          </w:tcPr>
          <w:p>
            <w:pPr/>
          </w:p>
        </w:tc>
        <w:tc>
          <w:tcPr>
            <w:tcW w:w="698" w:type="dxa"/>
            <w:vMerge/>
            <w:tcBorders>
              <w:left w:val="single" w:sz="4" w:space="0" w:color="000000"/>
              <w:bottom w:val="single" w:sz="4" w:space="0" w:color="000000"/>
              <w:right w:val="single" w:sz="4" w:space="0" w:color="000000"/>
            </w:tcBorders>
            <w:shd w:val="clear" w:color="auto" w:fill="DDDDDD"/>
          </w:tcPr>
          <w:p>
            <w:pPr/>
          </w:p>
        </w:tc>
        <w:tc>
          <w:tcPr>
            <w:tcW w:w="55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left="93"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5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left="95"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2148" w:type="dxa"/>
            <w:vMerge/>
            <w:tcBorders>
              <w:left w:val="single" w:sz="4" w:space="0" w:color="000000"/>
              <w:bottom w:val="single" w:sz="4" w:space="0" w:color="000000"/>
              <w:right w:val="single" w:sz="4" w:space="0" w:color="000000"/>
            </w:tcBorders>
            <w:shd w:val="clear" w:color="auto" w:fill="DDDDDD"/>
          </w:tcPr>
          <w:p>
            <w:pPr/>
          </w:p>
        </w:tc>
        <w:tc>
          <w:tcPr>
            <w:tcW w:w="931" w:type="dxa"/>
            <w:vMerge/>
            <w:tcBorders>
              <w:left w:val="single" w:sz="4" w:space="0" w:color="000000"/>
              <w:bottom w:val="single" w:sz="4" w:space="0" w:color="000000"/>
              <w:right w:val="single" w:sz="4" w:space="0" w:color="000000"/>
            </w:tcBorders>
            <w:shd w:val="clear" w:color="auto" w:fill="DDDDDD"/>
          </w:tcPr>
          <w:p>
            <w:pPr/>
          </w:p>
        </w:tc>
        <w:tc>
          <w:tcPr>
            <w:tcW w:w="838" w:type="dxa"/>
            <w:vMerge/>
            <w:tcBorders>
              <w:left w:val="single" w:sz="4" w:space="0" w:color="000000"/>
              <w:bottom w:val="single" w:sz="4" w:space="0" w:color="000000"/>
              <w:right w:val="single" w:sz="4" w:space="0" w:color="000000"/>
            </w:tcBorders>
            <w:shd w:val="clear" w:color="auto" w:fill="DDDDDD"/>
          </w:tcPr>
          <w:p>
            <w:pPr/>
          </w:p>
        </w:tc>
      </w:tr>
      <w:tr>
        <w:trPr>
          <w:trHeight w:val="654" w:hRule="exact"/>
        </w:trPr>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3"/>
              <w:jc w:val="left"/>
              <w:rPr>
                <w:rFonts w:ascii="宋体" w:hAnsi="宋体" w:cs="宋体" w:eastAsia="宋体" w:hint="default"/>
                <w:sz w:val="18"/>
                <w:szCs w:val="18"/>
              </w:rPr>
            </w:pPr>
            <w:r>
              <w:rPr>
                <w:rFonts w:ascii="宋体" w:hAnsi="宋体" w:cs="宋体" w:eastAsia="宋体" w:hint="default"/>
                <w:sz w:val="18"/>
                <w:szCs w:val="18"/>
              </w:rPr>
              <w:t>哈尔滨哈报未来教育科技有限公</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司</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60.00</w:t>
            </w:r>
          </w:p>
        </w:tc>
        <w:tc>
          <w:tcPr>
            <w:tcW w:w="560"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4"/>
              <w:jc w:val="left"/>
              <w:rPr>
                <w:rFonts w:ascii="宋体" w:hAnsi="宋体" w:cs="宋体" w:eastAsia="宋体" w:hint="default"/>
                <w:sz w:val="18"/>
                <w:szCs w:val="18"/>
              </w:rPr>
            </w:pPr>
            <w:r>
              <w:rPr>
                <w:rFonts w:ascii="宋体" w:hAnsi="宋体" w:cs="宋体" w:eastAsia="宋体" w:hint="default"/>
                <w:spacing w:val="-3"/>
                <w:sz w:val="18"/>
                <w:szCs w:val="18"/>
              </w:rPr>
              <w:t>中教未来国际教育科技（北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京）有限公司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1,000.00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42" w:hRule="exact"/>
        </w:trPr>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杭州知政网络科技有限公司</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100.00</w:t>
            </w:r>
          </w:p>
        </w:tc>
        <w:tc>
          <w:tcPr>
            <w:tcW w:w="560"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杭州日报传媒有限公司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150.00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42" w:hRule="exact"/>
        </w:trPr>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浙江融艺典当有限公司</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65.00</w:t>
            </w:r>
          </w:p>
        </w:tc>
        <w:tc>
          <w:tcPr>
            <w:tcW w:w="560"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杭州每日传媒有限公司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2,000.00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654" w:hRule="exact"/>
        </w:trPr>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珠海市励耘自学考试辅导中心</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100.00</w:t>
            </w:r>
          </w:p>
        </w:tc>
        <w:tc>
          <w:tcPr>
            <w:tcW w:w="560"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27"/>
              <w:jc w:val="left"/>
              <w:rPr>
                <w:rFonts w:ascii="宋体" w:hAnsi="宋体" w:cs="宋体" w:eastAsia="宋体" w:hint="default"/>
                <w:sz w:val="18"/>
                <w:szCs w:val="18"/>
              </w:rPr>
            </w:pPr>
            <w:r>
              <w:rPr>
                <w:rFonts w:ascii="宋体" w:hAnsi="宋体" w:cs="宋体" w:eastAsia="宋体" w:hint="default"/>
                <w:sz w:val="18"/>
                <w:szCs w:val="18"/>
              </w:rPr>
              <w:t>励耘行知教育科技（北京） 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100.00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654" w:hRule="exact"/>
        </w:trPr>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北京未来大业教育科技有限公司</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70.00</w:t>
            </w:r>
          </w:p>
        </w:tc>
        <w:tc>
          <w:tcPr>
            <w:tcW w:w="560"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4"/>
              <w:jc w:val="left"/>
              <w:rPr>
                <w:rFonts w:ascii="宋体" w:hAnsi="宋体" w:cs="宋体" w:eastAsia="宋体" w:hint="default"/>
                <w:sz w:val="18"/>
                <w:szCs w:val="18"/>
              </w:rPr>
            </w:pPr>
            <w:r>
              <w:rPr>
                <w:rFonts w:ascii="宋体" w:hAnsi="宋体" w:cs="宋体" w:eastAsia="宋体" w:hint="default"/>
                <w:spacing w:val="-3"/>
                <w:sz w:val="18"/>
                <w:szCs w:val="18"/>
              </w:rPr>
              <w:t>中教未来国际教育科技（北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京）有限公司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200.00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967" w:hRule="exact"/>
        </w:trPr>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浙江华媒优培资产管理有限公司</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2"/>
              <w:jc w:val="right"/>
              <w:rPr>
                <w:rFonts w:ascii="Times New Roman" w:hAnsi="Times New Roman" w:cs="Times New Roman" w:eastAsia="Times New Roman" w:hint="default"/>
                <w:sz w:val="18"/>
                <w:szCs w:val="18"/>
              </w:rPr>
            </w:pPr>
            <w:r>
              <w:rPr>
                <w:rFonts w:ascii="Times New Roman"/>
                <w:sz w:val="18"/>
              </w:rPr>
              <w:t>51.00</w:t>
            </w:r>
          </w:p>
        </w:tc>
        <w:tc>
          <w:tcPr>
            <w:tcW w:w="560"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8"/>
              <w:jc w:val="left"/>
              <w:rPr>
                <w:rFonts w:ascii="宋体" w:hAnsi="宋体" w:cs="宋体" w:eastAsia="宋体" w:hint="default"/>
                <w:sz w:val="18"/>
                <w:szCs w:val="18"/>
              </w:rPr>
            </w:pPr>
            <w:r>
              <w:rPr>
                <w:rFonts w:ascii="宋体" w:hAnsi="宋体" w:cs="宋体" w:eastAsia="宋体" w:hint="default"/>
                <w:spacing w:val="14"/>
                <w:sz w:val="18"/>
                <w:szCs w:val="18"/>
              </w:rPr>
              <w:t>浙江华媒教育科技有限公 </w:t>
            </w:r>
            <w:r>
              <w:rPr>
                <w:rFonts w:ascii="宋体" w:hAnsi="宋体" w:cs="宋体" w:eastAsia="宋体" w:hint="default"/>
                <w:spacing w:val="-3"/>
                <w:sz w:val="18"/>
                <w:szCs w:val="18"/>
              </w:rPr>
              <w:t>司、中教未来国际教育科技</w:t>
            </w:r>
          </w:p>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（北京）有限公司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2"/>
              <w:jc w:val="right"/>
              <w:rPr>
                <w:rFonts w:ascii="Times New Roman" w:hAnsi="Times New Roman" w:cs="Times New Roman" w:eastAsia="Times New Roman" w:hint="default"/>
                <w:sz w:val="18"/>
                <w:szCs w:val="18"/>
              </w:rPr>
            </w:pPr>
            <w:r>
              <w:rPr>
                <w:rFonts w:ascii="Times New Roman"/>
                <w:sz w:val="18"/>
              </w:rPr>
              <w:t>1,000.00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39" w:type="dxa"/>
        <w:tblLayout w:type="fixed"/>
        <w:tblCellMar>
          <w:top w:w="0" w:type="dxa"/>
          <w:left w:w="0" w:type="dxa"/>
          <w:bottom w:w="0" w:type="dxa"/>
          <w:right w:w="0" w:type="dxa"/>
        </w:tblCellMar>
        <w:tblLook w:val="01E0"/>
      </w:tblPr>
      <w:tblGrid>
        <w:gridCol w:w="2562"/>
        <w:gridCol w:w="802"/>
        <w:gridCol w:w="560"/>
        <w:gridCol w:w="698"/>
        <w:gridCol w:w="558"/>
        <w:gridCol w:w="560"/>
        <w:gridCol w:w="2148"/>
        <w:gridCol w:w="931"/>
        <w:gridCol w:w="838"/>
      </w:tblGrid>
      <w:tr>
        <w:trPr>
          <w:trHeight w:val="654" w:hRule="exact"/>
        </w:trPr>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3"/>
              <w:jc w:val="left"/>
              <w:rPr>
                <w:rFonts w:ascii="宋体" w:hAnsi="宋体" w:cs="宋体" w:eastAsia="宋体" w:hint="default"/>
                <w:sz w:val="18"/>
                <w:szCs w:val="18"/>
              </w:rPr>
            </w:pPr>
            <w:r>
              <w:rPr>
                <w:rFonts w:ascii="宋体" w:hAnsi="宋体" w:cs="宋体" w:eastAsia="宋体" w:hint="default"/>
                <w:sz w:val="18"/>
                <w:szCs w:val="18"/>
              </w:rPr>
              <w:t>中教远大教育科技（北京）有限</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公司</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33" w:right="0"/>
              <w:jc w:val="center"/>
              <w:rPr>
                <w:rFonts w:ascii="Times New Roman" w:hAnsi="Times New Roman" w:cs="Times New Roman" w:eastAsia="Times New Roman" w:hint="default"/>
                <w:sz w:val="18"/>
                <w:szCs w:val="18"/>
              </w:rPr>
            </w:pPr>
            <w:r>
              <w:rPr>
                <w:rFonts w:ascii="Times New Roman"/>
                <w:sz w:val="18"/>
              </w:rPr>
              <w:t>70.00</w:t>
            </w:r>
          </w:p>
        </w:tc>
        <w:tc>
          <w:tcPr>
            <w:tcW w:w="560"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4"/>
              <w:jc w:val="left"/>
              <w:rPr>
                <w:rFonts w:ascii="宋体" w:hAnsi="宋体" w:cs="宋体" w:eastAsia="宋体" w:hint="default"/>
                <w:sz w:val="18"/>
                <w:szCs w:val="18"/>
              </w:rPr>
            </w:pPr>
            <w:r>
              <w:rPr>
                <w:rFonts w:ascii="宋体" w:hAnsi="宋体" w:cs="宋体" w:eastAsia="宋体" w:hint="default"/>
                <w:spacing w:val="-3"/>
                <w:sz w:val="18"/>
                <w:szCs w:val="18"/>
              </w:rPr>
              <w:t>中教未来国际教育科技（北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京）有限公司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200.00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654" w:hRule="exact"/>
        </w:trPr>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杭州市拱墅区华媒维翰幼儿园</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100.00</w:t>
            </w:r>
          </w:p>
        </w:tc>
        <w:tc>
          <w:tcPr>
            <w:tcW w:w="560"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8"/>
              <w:jc w:val="left"/>
              <w:rPr>
                <w:rFonts w:ascii="宋体" w:hAnsi="宋体" w:cs="宋体" w:eastAsia="宋体" w:hint="default"/>
                <w:sz w:val="18"/>
                <w:szCs w:val="18"/>
              </w:rPr>
            </w:pPr>
            <w:r>
              <w:rPr>
                <w:rFonts w:ascii="宋体" w:hAnsi="宋体" w:cs="宋体" w:eastAsia="宋体" w:hint="default"/>
                <w:spacing w:val="14"/>
                <w:sz w:val="18"/>
                <w:szCs w:val="18"/>
              </w:rPr>
              <w:t>浙江华媒优培资产管理有 </w:t>
            </w:r>
            <w:r>
              <w:rPr>
                <w:rFonts w:ascii="宋体" w:hAnsi="宋体" w:cs="宋体" w:eastAsia="宋体" w:hint="default"/>
                <w:sz w:val="18"/>
                <w:szCs w:val="18"/>
              </w:rPr>
              <w:t>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100.00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654" w:hRule="exact"/>
        </w:trPr>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福州风盛传媒有限公司</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33" w:right="0"/>
              <w:jc w:val="center"/>
              <w:rPr>
                <w:rFonts w:ascii="Times New Roman" w:hAnsi="Times New Roman" w:cs="Times New Roman" w:eastAsia="Times New Roman" w:hint="default"/>
                <w:sz w:val="18"/>
                <w:szCs w:val="18"/>
              </w:rPr>
            </w:pPr>
            <w:r>
              <w:rPr>
                <w:rFonts w:ascii="Times New Roman"/>
                <w:sz w:val="18"/>
              </w:rPr>
              <w:t>35.00</w:t>
            </w:r>
          </w:p>
        </w:tc>
        <w:tc>
          <w:tcPr>
            <w:tcW w:w="560"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8"/>
              <w:jc w:val="left"/>
              <w:rPr>
                <w:rFonts w:ascii="宋体" w:hAnsi="宋体" w:cs="宋体" w:eastAsia="宋体" w:hint="default"/>
                <w:sz w:val="18"/>
                <w:szCs w:val="18"/>
              </w:rPr>
            </w:pPr>
            <w:r>
              <w:rPr>
                <w:rFonts w:ascii="宋体" w:hAnsi="宋体" w:cs="宋体" w:eastAsia="宋体" w:hint="default"/>
                <w:spacing w:val="14"/>
                <w:sz w:val="18"/>
                <w:szCs w:val="18"/>
              </w:rPr>
              <w:t>浙江风盛传媒股份有限公 </w:t>
            </w:r>
            <w:r>
              <w:rPr>
                <w:rFonts w:ascii="宋体" w:hAnsi="宋体" w:cs="宋体" w:eastAsia="宋体" w:hint="default"/>
                <w:sz w:val="18"/>
                <w:szCs w:val="18"/>
              </w:rPr>
              <w:t>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300.00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pStyle w:val="BodyText"/>
        <w:spacing w:line="300" w:lineRule="auto" w:before="10"/>
        <w:ind w:left="580" w:right="1036"/>
        <w:jc w:val="left"/>
      </w:pPr>
      <w:r>
        <w:rPr/>
        <w:t>（</w:t>
      </w:r>
      <w:r>
        <w:rPr>
          <w:rFonts w:ascii="Times New Roman" w:hAnsi="Times New Roman" w:cs="Times New Roman" w:eastAsia="Times New Roman" w:hint="default"/>
        </w:rPr>
        <w:t>2</w:t>
      </w:r>
      <w:r>
        <w:rPr/>
        <w:t>）减资导致本年丧失控制权 </w:t>
      </w:r>
      <w:r>
        <w:rPr>
          <w:spacing w:val="-3"/>
        </w:rPr>
        <w:t>本公司之全资子公司浙江都市快报控股有限公司（以下简称都快控股公司）原拥有杭州云瞰科技有限公司</w:t>
      </w:r>
      <w:r>
        <w:rPr>
          <w:rFonts w:ascii="Times New Roman" w:hAnsi="Times New Roman" w:cs="Times New Roman" w:eastAsia="Times New Roman" w:hint="default"/>
          <w:spacing w:val="-3"/>
        </w:rPr>
        <w:t>400</w:t>
      </w:r>
      <w:r>
        <w:rPr>
          <w:spacing w:val="-3"/>
        </w:rPr>
        <w:t>万元股权。</w:t>
      </w:r>
    </w:p>
    <w:p>
      <w:pPr>
        <w:pStyle w:val="BodyText"/>
        <w:spacing w:line="300" w:lineRule="auto" w:before="13"/>
        <w:ind w:right="0"/>
        <w:jc w:val="left"/>
      </w:pPr>
      <w:r>
        <w:rPr>
          <w:spacing w:val="-2"/>
        </w:rPr>
        <w:t>根据</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16</w:t>
      </w:r>
      <w:r>
        <w:rPr>
          <w:spacing w:val="-2"/>
        </w:rPr>
        <w:t>日杭州云瞰科技有限公司股东会决议，同意都快控股公司减资</w:t>
      </w:r>
      <w:r>
        <w:rPr>
          <w:rFonts w:ascii="Times New Roman" w:hAnsi="Times New Roman" w:cs="Times New Roman" w:eastAsia="Times New Roman" w:hint="default"/>
          <w:spacing w:val="-2"/>
        </w:rPr>
        <w:t>400</w:t>
      </w:r>
      <w:r>
        <w:rPr>
          <w:spacing w:val="-2"/>
        </w:rPr>
        <w:t>万元。本次减资后，都快控股公司不再持</w:t>
      </w:r>
      <w:r>
        <w:rPr>
          <w:spacing w:val="-56"/>
        </w:rPr>
        <w:t> </w:t>
      </w:r>
      <w:r>
        <w:rPr>
          <w:spacing w:val="-56"/>
        </w:rPr>
      </w:r>
      <w:r>
        <w:rPr/>
        <w:t>有杭州云瞰科技有限公司股权。</w:t>
      </w:r>
    </w:p>
    <w:p>
      <w:pPr>
        <w:pStyle w:val="BodyText"/>
        <w:spacing w:line="300" w:lineRule="auto" w:before="31"/>
        <w:ind w:left="580" w:right="0"/>
        <w:jc w:val="left"/>
      </w:pPr>
      <w:r>
        <w:rPr/>
        <w:t>（</w:t>
      </w:r>
      <w:r>
        <w:rPr>
          <w:rFonts w:ascii="Times New Roman" w:hAnsi="Times New Roman" w:cs="Times New Roman" w:eastAsia="Times New Roman" w:hint="default"/>
        </w:rPr>
        <w:t>3</w:t>
      </w:r>
      <w:r>
        <w:rPr/>
        <w:t>）其他股东增资导致本年丧失控制权 都快控股公司原拥有杭州大快文化创意有限公司（以下简称大快文化公司）</w:t>
      </w:r>
      <w:r>
        <w:rPr>
          <w:rFonts w:ascii="Times New Roman" w:hAnsi="Times New Roman" w:cs="Times New Roman" w:eastAsia="Times New Roman" w:hint="default"/>
        </w:rPr>
        <w:t>100%</w:t>
      </w:r>
      <w:r>
        <w:rPr/>
        <w:t>股权。根据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日大快文化</w:t>
      </w:r>
    </w:p>
    <w:p>
      <w:pPr>
        <w:pStyle w:val="BodyText"/>
        <w:spacing w:line="300" w:lineRule="auto" w:before="13"/>
        <w:ind w:right="1128"/>
        <w:jc w:val="both"/>
      </w:pPr>
      <w:r>
        <w:rPr>
          <w:spacing w:val="-1"/>
        </w:rPr>
        <w:t>公司股东会决议，同意通过杭州文化产权交易所公开对大快文化公司增资扩股，增加注册资本人民币</w:t>
      </w:r>
      <w:r>
        <w:rPr>
          <w:rFonts w:ascii="Times New Roman" w:hAnsi="Times New Roman" w:cs="Times New Roman" w:eastAsia="Times New Roman" w:hint="default"/>
          <w:spacing w:val="-1"/>
        </w:rPr>
        <w:t>92.85</w:t>
      </w:r>
      <w:r>
        <w:rPr>
          <w:spacing w:val="-1"/>
        </w:rPr>
        <w:t>万元。</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9</w:t>
      </w:r>
      <w:r>
        <w:rPr>
          <w:spacing w:val="-1"/>
        </w:rPr>
        <w:t>月</w:t>
      </w:r>
      <w:r>
        <w:rPr>
          <w:spacing w:val="-69"/>
        </w:rPr>
        <w:t> </w:t>
      </w:r>
      <w:r>
        <w:rPr>
          <w:rFonts w:ascii="Times New Roman" w:hAnsi="Times New Roman" w:cs="Times New Roman" w:eastAsia="Times New Roman" w:hint="default"/>
        </w:rPr>
        <w:t>6</w:t>
      </w:r>
      <w:r>
        <w:rPr/>
        <w:t>日，都快控股公司与浙江普联资产管理有限公司、德清凯复文欣投资管理有限公司签订对大快文化公司的增资扩股协议，</w:t>
      </w:r>
      <w:r>
        <w:rPr>
          <w:spacing w:val="-83"/>
        </w:rPr>
        <w:t> </w:t>
      </w:r>
      <w:r>
        <w:rPr>
          <w:spacing w:val="-83"/>
        </w:rPr>
      </w:r>
      <w:r>
        <w:rPr>
          <w:spacing w:val="-1"/>
        </w:rPr>
        <w:t>其中浙江普联资产管理有限公司出资人民币</w:t>
      </w:r>
      <w:r>
        <w:rPr>
          <w:rFonts w:ascii="Times New Roman" w:hAnsi="Times New Roman" w:cs="Times New Roman" w:eastAsia="Times New Roman" w:hint="default"/>
          <w:spacing w:val="-1"/>
        </w:rPr>
        <w:t>533.00</w:t>
      </w:r>
      <w:r>
        <w:rPr>
          <w:spacing w:val="-1"/>
        </w:rPr>
        <w:t>万元，其中</w:t>
      </w:r>
      <w:r>
        <w:rPr>
          <w:rFonts w:ascii="Times New Roman" w:hAnsi="Times New Roman" w:cs="Times New Roman" w:eastAsia="Times New Roman" w:hint="default"/>
          <w:spacing w:val="-1"/>
        </w:rPr>
        <w:t>47.14</w:t>
      </w:r>
      <w:r>
        <w:rPr>
          <w:spacing w:val="-1"/>
        </w:rPr>
        <w:t>万元计入实收资本，</w:t>
      </w:r>
      <w:r>
        <w:rPr>
          <w:rFonts w:ascii="Times New Roman" w:hAnsi="Times New Roman" w:cs="Times New Roman" w:eastAsia="Times New Roman" w:hint="default"/>
          <w:spacing w:val="-1"/>
        </w:rPr>
        <w:t>485.86</w:t>
      </w:r>
      <w:r>
        <w:rPr>
          <w:spacing w:val="-1"/>
        </w:rPr>
        <w:t>万元计入资本公积，德清凯复</w:t>
      </w:r>
      <w:r>
        <w:rPr>
          <w:spacing w:val="-69"/>
        </w:rPr>
        <w:t> </w:t>
      </w:r>
      <w:r>
        <w:rPr>
          <w:spacing w:val="-69"/>
        </w:rPr>
      </w:r>
      <w:r>
        <w:rPr/>
        <w:t>文欣投资管理有限公司出资人民币</w:t>
      </w:r>
      <w:r>
        <w:rPr>
          <w:rFonts w:ascii="Times New Roman" w:hAnsi="Times New Roman" w:cs="Times New Roman" w:eastAsia="Times New Roman" w:hint="default"/>
        </w:rPr>
        <w:t>517</w:t>
      </w:r>
      <w:r>
        <w:rPr/>
        <w:t>万元，其中</w:t>
      </w:r>
      <w:r>
        <w:rPr>
          <w:rFonts w:ascii="Times New Roman" w:hAnsi="Times New Roman" w:cs="Times New Roman" w:eastAsia="Times New Roman" w:hint="default"/>
        </w:rPr>
        <w:t>45.71</w:t>
      </w:r>
      <w:r>
        <w:rPr/>
        <w:t>万元计入实收资本，</w:t>
      </w:r>
      <w:r>
        <w:rPr>
          <w:rFonts w:ascii="Times New Roman" w:hAnsi="Times New Roman" w:cs="Times New Roman" w:eastAsia="Times New Roman" w:hint="default"/>
        </w:rPr>
        <w:t>471.29</w:t>
      </w:r>
      <w:r>
        <w:rPr/>
        <w:t>万元计入资本公积。增资后，大快文化公</w:t>
      </w:r>
      <w:r>
        <w:rPr>
          <w:spacing w:val="-85"/>
        </w:rPr>
        <w:t> </w:t>
      </w:r>
      <w:r>
        <w:rPr>
          <w:spacing w:val="-85"/>
        </w:rPr>
      </w:r>
      <w:r>
        <w:rPr/>
        <w:t>司注册资本由</w:t>
      </w:r>
      <w:r>
        <w:rPr>
          <w:rFonts w:ascii="Times New Roman" w:hAnsi="Times New Roman" w:cs="Times New Roman" w:eastAsia="Times New Roman" w:hint="default"/>
        </w:rPr>
        <w:t>50.00</w:t>
      </w:r>
      <w:r>
        <w:rPr/>
        <w:t>万元增加到</w:t>
      </w:r>
      <w:r>
        <w:rPr>
          <w:rFonts w:ascii="Times New Roman" w:hAnsi="Times New Roman" w:cs="Times New Roman" w:eastAsia="Times New Roman" w:hint="default"/>
        </w:rPr>
        <w:t>142.85</w:t>
      </w:r>
      <w:r>
        <w:rPr/>
        <w:t>万元，都快控股公司对大快文化公司的持股比例从</w:t>
      </w:r>
      <w:r>
        <w:rPr>
          <w:rFonts w:ascii="Times New Roman" w:hAnsi="Times New Roman" w:cs="Times New Roman" w:eastAsia="Times New Roman" w:hint="default"/>
        </w:rPr>
        <w:t>100%</w:t>
      </w:r>
      <w:r>
        <w:rPr/>
        <w:t>下降到</w:t>
      </w:r>
      <w:r>
        <w:rPr>
          <w:rFonts w:ascii="Times New Roman" w:hAnsi="Times New Roman" w:cs="Times New Roman" w:eastAsia="Times New Roman" w:hint="default"/>
        </w:rPr>
        <w:t>35%</w:t>
      </w:r>
      <w:r>
        <w:rPr/>
        <w:t>，已丧失对杭州大</w:t>
      </w:r>
      <w:r>
        <w:rPr>
          <w:spacing w:val="-36"/>
        </w:rPr>
        <w:t> </w:t>
      </w:r>
      <w:r>
        <w:rPr>
          <w:spacing w:val="-36"/>
        </w:rPr>
      </w:r>
      <w:r>
        <w:rPr/>
        <w:t>快文化创意有限公司控制权。</w:t>
      </w:r>
    </w:p>
    <w:p>
      <w:pPr>
        <w:spacing w:line="240" w:lineRule="auto" w:before="6"/>
        <w:rPr>
          <w:rFonts w:ascii="宋体" w:hAnsi="宋体" w:cs="宋体" w:eastAsia="宋体" w:hint="default"/>
          <w:sz w:val="23"/>
          <w:szCs w:val="23"/>
        </w:rPr>
      </w:pPr>
    </w:p>
    <w:p>
      <w:pPr>
        <w:spacing w:line="487" w:lineRule="auto" w:before="0"/>
        <w:ind w:left="154" w:right="810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4"/>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3839"/>
        <w:gridCol w:w="1057"/>
        <w:gridCol w:w="659"/>
        <w:gridCol w:w="845"/>
        <w:gridCol w:w="785"/>
        <w:gridCol w:w="460"/>
        <w:gridCol w:w="2037"/>
      </w:tblGrid>
      <w:tr>
        <w:trPr>
          <w:trHeight w:val="402" w:hRule="exact"/>
        </w:trPr>
        <w:tc>
          <w:tcPr>
            <w:tcW w:w="383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05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73"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4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2"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203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65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3839" w:type="dxa"/>
            <w:vMerge/>
            <w:tcBorders>
              <w:left w:val="single" w:sz="4" w:space="0" w:color="000000"/>
              <w:bottom w:val="single" w:sz="4" w:space="0" w:color="000000"/>
              <w:right w:val="single" w:sz="4" w:space="0" w:color="000000"/>
            </w:tcBorders>
            <w:shd w:val="clear" w:color="auto" w:fill="D3D3D3"/>
          </w:tcPr>
          <w:p>
            <w:pPr/>
          </w:p>
        </w:tc>
        <w:tc>
          <w:tcPr>
            <w:tcW w:w="1057" w:type="dxa"/>
            <w:vMerge/>
            <w:tcBorders>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c>
          <w:tcPr>
            <w:tcW w:w="845" w:type="dxa"/>
            <w:vMerge/>
            <w:tcBorders>
              <w:left w:val="single" w:sz="4" w:space="0" w:color="000000"/>
              <w:bottom w:val="single" w:sz="4" w:space="0" w:color="000000"/>
              <w:right w:val="single" w:sz="4" w:space="0" w:color="000000"/>
            </w:tcBorders>
            <w:shd w:val="clear" w:color="auto" w:fill="D3D3D3"/>
          </w:tcPr>
          <w:p>
            <w:pPr/>
          </w:p>
        </w:tc>
        <w:tc>
          <w:tcPr>
            <w:tcW w:w="7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203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4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85" w:type="dxa"/>
            <w:tcBorders>
              <w:top w:val="single" w:sz="4" w:space="0" w:color="000000"/>
              <w:left w:val="single" w:sz="13" w:space="0" w:color="C7EDCC"/>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浙江都市快报控股有限公司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85"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杭州网络传媒有限公司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85"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杭州日报传媒有限公司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85"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杭州富阳日报传媒有限公司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w:t>
            </w:r>
          </w:p>
        </w:tc>
        <w:tc>
          <w:tcPr>
            <w:tcW w:w="8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85"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杭州萧山日报传媒有限公司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萧山</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萧山</w:t>
            </w:r>
          </w:p>
        </w:tc>
        <w:tc>
          <w:tcPr>
            <w:tcW w:w="8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85"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杭州每日传媒有限公司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85"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杭州日报报业集团每日送电子商务有限公司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85"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杭州日报报业集团盛元印务有限公司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785"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杭州余杭晨报传媒有限公司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余杭</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余杭</w:t>
            </w:r>
          </w:p>
        </w:tc>
        <w:tc>
          <w:tcPr>
            <w:tcW w:w="8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85"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63" w:right="0"/>
              <w:jc w:val="center"/>
              <w:rPr>
                <w:rFonts w:ascii="Times New Roman" w:hAnsi="Times New Roman" w:cs="Times New Roman" w:eastAsia="Times New Roman" w:hint="default"/>
                <w:sz w:val="18"/>
                <w:szCs w:val="18"/>
              </w:rPr>
            </w:pPr>
            <w:r>
              <w:rPr>
                <w:rFonts w:ascii="Times New Roman"/>
                <w:sz w:val="18"/>
              </w:rPr>
              <w:t>51.00%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杭州都市周报传媒有限公司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85"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63" w:right="0"/>
              <w:jc w:val="center"/>
              <w:rPr>
                <w:rFonts w:ascii="Times New Roman" w:hAnsi="Times New Roman" w:cs="Times New Roman" w:eastAsia="Times New Roman" w:hint="default"/>
                <w:sz w:val="18"/>
                <w:szCs w:val="18"/>
              </w:rPr>
            </w:pPr>
            <w:r>
              <w:rPr>
                <w:rFonts w:ascii="Times New Roman"/>
                <w:sz w:val="18"/>
              </w:rPr>
              <w:t>80.00%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3839"/>
        <w:gridCol w:w="1057"/>
        <w:gridCol w:w="659"/>
        <w:gridCol w:w="829"/>
        <w:gridCol w:w="802"/>
        <w:gridCol w:w="460"/>
        <w:gridCol w:w="2037"/>
      </w:tblGrid>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杭州华泰一媒文化传媒有限公司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浙江华媒投资有限公司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浙江华媒信息传播有限公司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51.00%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浙江华媒教育科技有限公司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中教未来国际教育科技（北京）有限公司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60.00%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02" w:type="dxa"/>
            <w:tcBorders>
              <w:top w:val="single" w:sz="4" w:space="0" w:color="000000"/>
              <w:left w:val="single" w:sz="13" w:space="0" w:color="C7EDCC"/>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杭州都健网络科技有限公司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69.46%</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杭州咏芝元中医诊所有限公司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杭州快房传媒有限公司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66.00%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杭州都市快报研学文化传播有限公司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60.00%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杭州休闲文化传媒有限公司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51.00%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杭州风景名胜传媒有限公司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杭州房产传媒有限公司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85.00%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杭州日报品牌策划有限公司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余杭</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余杭</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杭州日报华知投资有限公司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余杭</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余杭</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51.00%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杭州中韩德蔓特科技有限公司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余杭</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余杭</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70.00%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杭州富阳网络传媒有限公司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70.00%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杭州萧山网络传媒有限公司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萧山</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萧山</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51.00%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浙江风盛传媒股份有限公司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64.40%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杭州朗盛传媒有限公司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杭州悦报传媒有限公司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90.00%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杭州萧滨每日送发行有限公司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萧山</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萧山</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杭州盛友广告设计有限公司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上海盛元第高数码图文影像有限公司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48.00%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杭州余杭晨报文化创意有限公司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余杭</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余杭</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杭州都快投资管理有限公司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49.00%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北京翻译研修学院</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北京星干线文化传播有限公司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北京星干线艺术教育科技有限公司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贵州星干线新思维文化传播有限公司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贵阳</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贵阳</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85.00%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北京红舞星文化传播有限公司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80.00%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艾特嘉信息技术（北京）有限公司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80.00%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北京教培英才人力资源管理有限责任公司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北京青友联教育科技有限公司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51.00%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3839"/>
        <w:gridCol w:w="1057"/>
        <w:gridCol w:w="659"/>
        <w:gridCol w:w="829"/>
        <w:gridCol w:w="802"/>
        <w:gridCol w:w="460"/>
        <w:gridCol w:w="2037"/>
      </w:tblGrid>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云南求知教育信息咨询有限公司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中教未来科技（北京）有限公司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励耘行知教育科技（北京）有限公司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中教未来（北京）文化传播有限公司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北京加美环球教育咨询有限公司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51.00%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广州正索教育咨询有限公司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70.00%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北京文教英才科贸有限公司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云科未来科技（北京）有限公司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70.00%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中网世纪教育科技（北京）有限公司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65.00%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京师教培教育科技（北京）有限公司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55.00%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霍尔果斯中教未来教育咨询有限公司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北京产学研教育科技有限公司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80.00%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智云未来教育科技（北京）有限公司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70.00%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苏州中育教育科技有限公司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70.00%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智明远扬教育科技（北京）有限公司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北京领域兄弟教育咨询有限公司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贵州雅致思语教育科技有限公司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贵阳</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贵阳</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70.00%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北京未名环球教育科技有限公司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60.00%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广州励耘教育科技有限公司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杭州华媒企业管理有限公司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杭州萧山萧报教育咨询有限公司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杭州好声音风尚传媒有限公司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60.00%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浙江智骊文化传媒有限公司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51.00%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杭州今日大江东传媒有限公司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宁波华杭投资有限公司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浙江华媒实业有限公司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霍尔果斯东昂信息科技有限公司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昆明市五华区云师未来培训中心</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南京博彦教育科技有限公司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合肥中教正远教育科技有限公司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51.00%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中教知本教育科技（北京）有限公司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70.00%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杭州华媒教育科技有限公司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贵州中教未来教育科技有限公司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贵阳</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贵阳</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哈尔滨哈报未来教育科技有限公司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60.00%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3839"/>
        <w:gridCol w:w="1057"/>
        <w:gridCol w:w="659"/>
        <w:gridCol w:w="829"/>
        <w:gridCol w:w="802"/>
        <w:gridCol w:w="460"/>
        <w:gridCol w:w="2037"/>
      </w:tblGrid>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杭州知政网络科技有限公司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浙江融艺典当有限公司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65.00%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珠海市励耘自学考试辅导中心</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北京未来大业教育科技有限公司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70.00%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浙江华媒优培资产管理有限公司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51.00%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中教远大教育科技（北京）有限公司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70.00%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景宁启文教育科技有限公司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丽水</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丽水</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51.00%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北京朋智博信教育科技有限公司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80.00%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杭州市拱墅区华媒维翰幼儿园</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福州风盛传媒有限公司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35.00%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7"/>
        <w:gridCol w:w="1301"/>
        <w:gridCol w:w="1966"/>
        <w:gridCol w:w="2057"/>
        <w:gridCol w:w="1686"/>
      </w:tblGrid>
      <w:tr>
        <w:trPr>
          <w:trHeight w:val="762"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87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6"/>
              <w:ind w:left="464" w:right="104" w:hanging="360"/>
              <w:jc w:val="left"/>
              <w:rPr>
                <w:rFonts w:ascii="宋体" w:hAnsi="宋体" w:cs="宋体" w:eastAsia="宋体" w:hint="default"/>
                <w:sz w:val="18"/>
                <w:szCs w:val="18"/>
              </w:rPr>
            </w:pPr>
            <w:r>
              <w:rPr>
                <w:rFonts w:ascii="宋体" w:hAnsi="宋体" w:cs="宋体" w:eastAsia="宋体" w:hint="default"/>
                <w:sz w:val="18"/>
                <w:szCs w:val="18"/>
              </w:rPr>
              <w:t>少数股东持股 比例</w:t>
            </w:r>
          </w:p>
        </w:tc>
        <w:tc>
          <w:tcPr>
            <w:tcW w:w="1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6"/>
              <w:ind w:left="797" w:right="77"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6"/>
              <w:ind w:left="753" w:right="31" w:hanging="720"/>
              <w:jc w:val="left"/>
              <w:rPr>
                <w:rFonts w:ascii="宋体" w:hAnsi="宋体" w:cs="宋体" w:eastAsia="宋体" w:hint="default"/>
                <w:sz w:val="18"/>
                <w:szCs w:val="18"/>
              </w:rPr>
            </w:pPr>
            <w:r>
              <w:rPr>
                <w:rFonts w:ascii="宋体" w:hAnsi="宋体" w:cs="宋体" w:eastAsia="宋体" w:hint="default"/>
                <w:sz w:val="18"/>
                <w:szCs w:val="18"/>
              </w:rPr>
              <w:t>本期向少数股东宣告分派 的股利</w:t>
            </w:r>
          </w:p>
        </w:tc>
        <w:tc>
          <w:tcPr>
            <w:tcW w:w="1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6"/>
              <w:ind w:left="747" w:right="26" w:hanging="720"/>
              <w:jc w:val="left"/>
              <w:rPr>
                <w:rFonts w:ascii="宋体" w:hAnsi="宋体" w:cs="宋体" w:eastAsia="宋体" w:hint="default"/>
                <w:sz w:val="18"/>
                <w:szCs w:val="18"/>
              </w:rPr>
            </w:pPr>
            <w:r>
              <w:rPr>
                <w:rFonts w:ascii="宋体" w:hAnsi="宋体" w:cs="宋体" w:eastAsia="宋体" w:hint="default"/>
                <w:sz w:val="18"/>
                <w:szCs w:val="18"/>
              </w:rPr>
              <w:t>期末少数股东权益余 额</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杭州余杭晨报传媒有限公司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49.00%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9,152,641.80</w:t>
            </w:r>
          </w:p>
        </w:tc>
        <w:tc>
          <w:tcPr>
            <w:tcW w:w="205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69,230,179.70</w:t>
            </w:r>
          </w:p>
        </w:tc>
      </w:tr>
      <w:tr>
        <w:trPr>
          <w:trHeight w:val="714" w:hRule="exact"/>
        </w:trPr>
        <w:tc>
          <w:tcPr>
            <w:tcW w:w="26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02"/>
              <w:jc w:val="left"/>
              <w:rPr>
                <w:rFonts w:ascii="宋体" w:hAnsi="宋体" w:cs="宋体" w:eastAsia="宋体" w:hint="default"/>
                <w:sz w:val="18"/>
                <w:szCs w:val="18"/>
              </w:rPr>
            </w:pPr>
            <w:r>
              <w:rPr>
                <w:rFonts w:ascii="宋体" w:hAnsi="宋体" w:cs="宋体" w:eastAsia="宋体" w:hint="default"/>
                <w:sz w:val="18"/>
                <w:szCs w:val="18"/>
              </w:rPr>
              <w:t>中教未来国际教育科技（北京） 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27,911,673.25</w:t>
            </w:r>
          </w:p>
        </w:tc>
        <w:tc>
          <w:tcPr>
            <w:tcW w:w="205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78,502,712.30</w:t>
            </w:r>
          </w:p>
        </w:tc>
      </w:tr>
      <w:tr>
        <w:trPr>
          <w:trHeight w:val="403" w:hRule="exact"/>
        </w:trPr>
        <w:tc>
          <w:tcPr>
            <w:tcW w:w="26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浙江风盛传媒股份有限公司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35.60%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12,419,007.96</w:t>
            </w:r>
          </w:p>
        </w:tc>
        <w:tc>
          <w:tcPr>
            <w:tcW w:w="205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38,386,489.19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2"/>
        <w:rPr>
          <w:rFonts w:ascii="宋体" w:hAnsi="宋体" w:cs="宋体" w:eastAsia="宋体" w:hint="default"/>
          <w:sz w:val="24"/>
          <w:szCs w:val="24"/>
        </w:rPr>
      </w:pPr>
    </w:p>
    <w:p>
      <w:pPr>
        <w:pStyle w:val="Heading3"/>
        <w:spacing w:line="240" w:lineRule="auto"/>
        <w:ind w:left="579" w:right="0"/>
        <w:jc w:val="left"/>
        <w:rPr>
          <w:b w:val="0"/>
          <w:bCs w:val="0"/>
        </w:rPr>
      </w:pPr>
      <w:r>
        <w:rPr/>
        <w:pict>
          <v:group style="position:absolute;margin-left:70.490997pt;margin-top:-.396357pt;width:700.95pt;height:.1pt;mso-position-horizontal-relative:page;mso-position-vertical-relative:paragraph;z-index:2224" coordorigin="1410,-8" coordsize="14019,2">
            <v:shape style="position:absolute;left:1410;top:-8;width:14019;height:2" coordorigin="1410,-8" coordsize="14019,0" path="m1410,-8l15428,-8e" filled="false" stroked="true" strokeweight=".72pt" strokecolor="#000000">
              <v:path arrowok="t"/>
            </v:shape>
            <w10:wrap type="none"/>
          </v:group>
        </w:pict>
      </w:r>
      <w:r>
        <w:rPr>
          <w:w w:val="95"/>
        </w:rPr>
        <w:t>（</w:t>
      </w:r>
      <w:r>
        <w:rPr>
          <w:rFonts w:ascii="Times New Roman" w:hAnsi="Times New Roman" w:cs="Times New Roman" w:eastAsia="Times New Roman" w:hint="default"/>
          <w:w w:val="95"/>
        </w:rPr>
        <w:t>3</w:t>
      </w:r>
      <w:r>
        <w:rPr>
          <w:w w:val="95"/>
        </w:rPr>
        <w:t>）重要非全资子公司的主要财务信息</w:t>
      </w:r>
      <w:r>
        <w:rPr>
          <w:b w:val="0"/>
          <w:bCs w:val="0"/>
        </w:rPr>
      </w:r>
    </w:p>
    <w:p>
      <w:pPr>
        <w:pStyle w:val="BodyText"/>
        <w:spacing w:line="240" w:lineRule="auto" w:before="17"/>
        <w:ind w:left="579" w:right="0"/>
        <w:jc w:val="left"/>
      </w:pPr>
      <w:r>
        <w:rPr/>
        <w:br w:type="column"/>
      </w:r>
      <w:r>
        <w:rPr/>
        <w:t>浙江华媒控股股份有限公司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after="0" w:line="240" w:lineRule="auto"/>
        <w:jc w:val="left"/>
        <w:sectPr>
          <w:headerReference w:type="default" r:id="rId62"/>
          <w:footerReference w:type="default" r:id="rId63"/>
          <w:pgSz w:w="16840" w:h="11910" w:orient="landscape"/>
          <w:pgMar w:header="0" w:footer="0" w:top="800" w:bottom="0" w:left="860" w:right="860"/>
          <w:cols w:num="2" w:equalWidth="0">
            <w:col w:w="4268" w:space="5822"/>
            <w:col w:w="5030"/>
          </w:cols>
        </w:sectPr>
      </w:pPr>
    </w:p>
    <w:p>
      <w:pPr>
        <w:spacing w:line="240" w:lineRule="auto" w:before="3"/>
        <w:rPr>
          <w:rFonts w:ascii="宋体" w:hAnsi="宋体" w:cs="宋体" w:eastAsia="宋体" w:hint="default"/>
          <w:sz w:val="23"/>
          <w:szCs w:val="23"/>
        </w:rPr>
      </w:pPr>
    </w:p>
    <w:p>
      <w:pPr>
        <w:pStyle w:val="BodyText"/>
        <w:spacing w:line="240" w:lineRule="auto" w:before="44"/>
        <w:ind w:left="0" w:right="579"/>
        <w:jc w:val="right"/>
      </w:pPr>
      <w:r>
        <w:rPr/>
        <w:t>单位： 元</w:t>
      </w:r>
    </w:p>
    <w:p>
      <w:pPr>
        <w:spacing w:line="240" w:lineRule="auto" w:before="0"/>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895"/>
        <w:gridCol w:w="1181"/>
        <w:gridCol w:w="1181"/>
        <w:gridCol w:w="1181"/>
        <w:gridCol w:w="1182"/>
        <w:gridCol w:w="1091"/>
        <w:gridCol w:w="1183"/>
        <w:gridCol w:w="1182"/>
        <w:gridCol w:w="1181"/>
        <w:gridCol w:w="1181"/>
        <w:gridCol w:w="1181"/>
        <w:gridCol w:w="1091"/>
        <w:gridCol w:w="1186"/>
      </w:tblGrid>
      <w:tr>
        <w:trPr>
          <w:trHeight w:val="322" w:hRule="exact"/>
        </w:trPr>
        <w:tc>
          <w:tcPr>
            <w:tcW w:w="89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16"/>
              <w:ind w:left="351" w:right="82" w:hanging="270"/>
              <w:jc w:val="left"/>
              <w:rPr>
                <w:rFonts w:ascii="宋体" w:hAnsi="宋体" w:cs="宋体" w:eastAsia="宋体" w:hint="default"/>
                <w:sz w:val="18"/>
                <w:szCs w:val="18"/>
              </w:rPr>
            </w:pPr>
            <w:r>
              <w:rPr>
                <w:rFonts w:ascii="宋体" w:hAnsi="宋体" w:cs="宋体" w:eastAsia="宋体" w:hint="default"/>
                <w:sz w:val="18"/>
                <w:szCs w:val="18"/>
              </w:rPr>
              <w:t>子公司名 称</w:t>
            </w:r>
          </w:p>
        </w:tc>
        <w:tc>
          <w:tcPr>
            <w:tcW w:w="6998"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7001"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895" w:type="dxa"/>
            <w:vMerge/>
            <w:tcBorders>
              <w:left w:val="single" w:sz="4" w:space="0" w:color="000000"/>
              <w:bottom w:val="single" w:sz="4" w:space="0" w:color="000000"/>
              <w:right w:val="single" w:sz="4" w:space="0" w:color="000000"/>
            </w:tcBorders>
            <w:shd w:val="clear" w:color="auto" w:fill="D3D3D3"/>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3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非流动负债</w:t>
            </w:r>
          </w:p>
        </w:tc>
        <w:tc>
          <w:tcPr>
            <w:tcW w:w="1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6"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6"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3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非流动负债</w:t>
            </w:r>
          </w:p>
        </w:tc>
        <w:tc>
          <w:tcPr>
            <w:tcW w:w="1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6"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317" w:hRule="exact"/>
        </w:trPr>
        <w:tc>
          <w:tcPr>
            <w:tcW w:w="895" w:type="dxa"/>
            <w:tcBorders>
              <w:top w:val="single" w:sz="6" w:space="0" w:color="000000"/>
              <w:left w:val="single" w:sz="4" w:space="0" w:color="000000"/>
              <w:bottom w:val="nil" w:sz="6" w:space="0" w:color="auto"/>
              <w:right w:val="single" w:sz="4" w:space="0" w:color="000000"/>
            </w:tcBorders>
            <w:shd w:val="clear" w:color="auto" w:fill="C7EDCC"/>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杭州余杭</w:t>
            </w:r>
          </w:p>
        </w:tc>
        <w:tc>
          <w:tcPr>
            <w:tcW w:w="1181"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82" w:type="dxa"/>
            <w:tcBorders>
              <w:top w:val="single" w:sz="4" w:space="0" w:color="000000"/>
              <w:left w:val="single" w:sz="4" w:space="0" w:color="000000"/>
              <w:bottom w:val="nil" w:sz="6" w:space="0" w:color="auto"/>
              <w:right w:val="single" w:sz="4" w:space="0" w:color="000000"/>
            </w:tcBorders>
          </w:tcPr>
          <w:p>
            <w:pPr/>
          </w:p>
        </w:tc>
        <w:tc>
          <w:tcPr>
            <w:tcW w:w="1091" w:type="dxa"/>
            <w:vMerge w:val="restart"/>
            <w:tcBorders>
              <w:top w:val="single" w:sz="4" w:space="0" w:color="000000"/>
              <w:left w:val="single" w:sz="4" w:space="0" w:color="000000"/>
              <w:right w:val="single" w:sz="4" w:space="0" w:color="000000"/>
            </w:tcBorders>
          </w:tcPr>
          <w:p>
            <w:pPr/>
          </w:p>
        </w:tc>
        <w:tc>
          <w:tcPr>
            <w:tcW w:w="1183" w:type="dxa"/>
            <w:tcBorders>
              <w:top w:val="single" w:sz="4" w:space="0" w:color="000000"/>
              <w:left w:val="single" w:sz="4" w:space="0" w:color="000000"/>
              <w:bottom w:val="nil" w:sz="6" w:space="0" w:color="auto"/>
              <w:right w:val="single" w:sz="4" w:space="0" w:color="000000"/>
            </w:tcBorders>
          </w:tcPr>
          <w:p>
            <w:pPr/>
          </w:p>
        </w:tc>
        <w:tc>
          <w:tcPr>
            <w:tcW w:w="1182"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091" w:type="dxa"/>
            <w:vMerge w:val="restart"/>
            <w:tcBorders>
              <w:top w:val="single" w:sz="4" w:space="0" w:color="000000"/>
              <w:left w:val="single" w:sz="4" w:space="0" w:color="000000"/>
              <w:right w:val="single" w:sz="4" w:space="0" w:color="000000"/>
            </w:tcBorders>
          </w:tcPr>
          <w:p>
            <w:pPr/>
          </w:p>
        </w:tc>
        <w:tc>
          <w:tcPr>
            <w:tcW w:w="118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8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晨报传媒</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189,495,268.16</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654,659.95</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7" w:right="0"/>
              <w:jc w:val="center"/>
              <w:rPr>
                <w:rFonts w:ascii="Times New Roman" w:hAnsi="Times New Roman" w:cs="Times New Roman" w:eastAsia="Times New Roman" w:hint="default"/>
                <w:sz w:val="18"/>
                <w:szCs w:val="18"/>
              </w:rPr>
            </w:pPr>
            <w:r>
              <w:rPr>
                <w:rFonts w:ascii="Times New Roman"/>
                <w:sz w:val="18"/>
              </w:rPr>
              <w:t>190,149,928.11</w:t>
            </w:r>
          </w:p>
        </w:tc>
        <w:tc>
          <w:tcPr>
            <w:tcW w:w="118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93" w:right="0"/>
              <w:jc w:val="center"/>
              <w:rPr>
                <w:rFonts w:ascii="Times New Roman" w:hAnsi="Times New Roman" w:cs="Times New Roman" w:eastAsia="Times New Roman" w:hint="default"/>
                <w:sz w:val="18"/>
                <w:szCs w:val="18"/>
              </w:rPr>
            </w:pPr>
            <w:r>
              <w:rPr>
                <w:rFonts w:ascii="Times New Roman"/>
                <w:sz w:val="18"/>
              </w:rPr>
              <w:t>48,863,847.09</w:t>
            </w:r>
          </w:p>
        </w:tc>
        <w:tc>
          <w:tcPr>
            <w:tcW w:w="1091" w:type="dxa"/>
            <w:vMerge/>
            <w:tcBorders>
              <w:left w:val="single" w:sz="4" w:space="0" w:color="000000"/>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48,863,847.09</w:t>
            </w:r>
          </w:p>
        </w:tc>
        <w:tc>
          <w:tcPr>
            <w:tcW w:w="118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145,704,951.60</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187,559.46</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8" w:right="0"/>
              <w:jc w:val="center"/>
              <w:rPr>
                <w:rFonts w:ascii="Times New Roman" w:hAnsi="Times New Roman" w:cs="Times New Roman" w:eastAsia="Times New Roman" w:hint="default"/>
                <w:sz w:val="18"/>
                <w:szCs w:val="18"/>
              </w:rPr>
            </w:pPr>
            <w:r>
              <w:rPr>
                <w:rFonts w:ascii="Times New Roman"/>
                <w:sz w:val="18"/>
              </w:rPr>
              <w:t>145,892,511.06</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23,285,290.85</w:t>
            </w:r>
          </w:p>
        </w:tc>
        <w:tc>
          <w:tcPr>
            <w:tcW w:w="1091" w:type="dxa"/>
            <w:vMerge/>
            <w:tcBorders>
              <w:left w:val="single" w:sz="4" w:space="0" w:color="000000"/>
              <w:right w:val="single" w:sz="4" w:space="0" w:color="000000"/>
            </w:tcBorders>
          </w:tcPr>
          <w:p>
            <w:pPr/>
          </w:p>
        </w:tc>
        <w:tc>
          <w:tcPr>
            <w:tcW w:w="118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23,285,290.85</w:t>
            </w:r>
          </w:p>
        </w:tc>
      </w:tr>
      <w:tr>
        <w:trPr>
          <w:trHeight w:val="313" w:hRule="exact"/>
        </w:trPr>
        <w:tc>
          <w:tcPr>
            <w:tcW w:w="895"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81"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82" w:type="dxa"/>
            <w:tcBorders>
              <w:top w:val="nil" w:sz="6" w:space="0" w:color="auto"/>
              <w:left w:val="single" w:sz="4" w:space="0" w:color="000000"/>
              <w:bottom w:val="single" w:sz="4" w:space="0" w:color="000000"/>
              <w:right w:val="single" w:sz="4" w:space="0" w:color="000000"/>
            </w:tcBorders>
          </w:tcPr>
          <w:p>
            <w:pPr/>
          </w:p>
        </w:tc>
        <w:tc>
          <w:tcPr>
            <w:tcW w:w="1091" w:type="dxa"/>
            <w:vMerge/>
            <w:tcBorders>
              <w:left w:val="single" w:sz="4" w:space="0" w:color="000000"/>
              <w:bottom w:val="single" w:sz="4" w:space="0" w:color="000000"/>
              <w:right w:val="single" w:sz="4" w:space="0" w:color="000000"/>
            </w:tcBorders>
          </w:tcPr>
          <w:p>
            <w:pPr/>
          </w:p>
        </w:tc>
        <w:tc>
          <w:tcPr>
            <w:tcW w:w="1183" w:type="dxa"/>
            <w:tcBorders>
              <w:top w:val="nil" w:sz="6" w:space="0" w:color="auto"/>
              <w:left w:val="single" w:sz="4" w:space="0" w:color="000000"/>
              <w:bottom w:val="single" w:sz="4" w:space="0" w:color="000000"/>
              <w:right w:val="single" w:sz="4" w:space="0" w:color="000000"/>
            </w:tcBorders>
          </w:tcPr>
          <w:p>
            <w:pPr/>
          </w:p>
        </w:tc>
        <w:tc>
          <w:tcPr>
            <w:tcW w:w="1182"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091" w:type="dxa"/>
            <w:vMerge/>
            <w:tcBorders>
              <w:left w:val="single" w:sz="4" w:space="0" w:color="000000"/>
              <w:bottom w:val="single" w:sz="4" w:space="0" w:color="000000"/>
              <w:right w:val="single" w:sz="4" w:space="0" w:color="000000"/>
            </w:tcBorders>
          </w:tcPr>
          <w:p>
            <w:pPr/>
          </w:p>
        </w:tc>
        <w:tc>
          <w:tcPr>
            <w:tcW w:w="1186" w:type="dxa"/>
            <w:tcBorders>
              <w:top w:val="nil" w:sz="6" w:space="0" w:color="auto"/>
              <w:left w:val="single" w:sz="4" w:space="0" w:color="000000"/>
              <w:bottom w:val="single" w:sz="4" w:space="0" w:color="000000"/>
              <w:right w:val="single" w:sz="4" w:space="0" w:color="000000"/>
            </w:tcBorders>
          </w:tcPr>
          <w:p>
            <w:pPr/>
          </w:p>
        </w:tc>
      </w:tr>
      <w:tr>
        <w:trPr>
          <w:trHeight w:val="318" w:hRule="exact"/>
        </w:trPr>
        <w:tc>
          <w:tcPr>
            <w:tcW w:w="895"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中教未来</w:t>
            </w:r>
          </w:p>
        </w:tc>
        <w:tc>
          <w:tcPr>
            <w:tcW w:w="1181"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82" w:type="dxa"/>
            <w:tcBorders>
              <w:top w:val="single" w:sz="4" w:space="0" w:color="000000"/>
              <w:left w:val="single" w:sz="4" w:space="0" w:color="000000"/>
              <w:bottom w:val="nil" w:sz="6" w:space="0" w:color="auto"/>
              <w:right w:val="single" w:sz="4" w:space="0" w:color="000000"/>
            </w:tcBorders>
          </w:tcPr>
          <w:p>
            <w:pPr/>
          </w:p>
        </w:tc>
        <w:tc>
          <w:tcPr>
            <w:tcW w:w="1091" w:type="dxa"/>
            <w:tcBorders>
              <w:top w:val="single" w:sz="4" w:space="0" w:color="000000"/>
              <w:left w:val="single" w:sz="4" w:space="0" w:color="000000"/>
              <w:bottom w:val="nil" w:sz="6" w:space="0" w:color="auto"/>
              <w:right w:val="single" w:sz="4" w:space="0" w:color="000000"/>
            </w:tcBorders>
          </w:tcPr>
          <w:p>
            <w:pPr/>
          </w:p>
        </w:tc>
        <w:tc>
          <w:tcPr>
            <w:tcW w:w="1183" w:type="dxa"/>
            <w:tcBorders>
              <w:top w:val="single" w:sz="4" w:space="0" w:color="000000"/>
              <w:left w:val="single" w:sz="4" w:space="0" w:color="000000"/>
              <w:bottom w:val="nil" w:sz="6" w:space="0" w:color="auto"/>
              <w:right w:val="single" w:sz="4" w:space="0" w:color="000000"/>
            </w:tcBorders>
          </w:tcPr>
          <w:p>
            <w:pPr/>
          </w:p>
        </w:tc>
        <w:tc>
          <w:tcPr>
            <w:tcW w:w="1182"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091" w:type="dxa"/>
            <w:tcBorders>
              <w:top w:val="single" w:sz="4" w:space="0" w:color="000000"/>
              <w:left w:val="single" w:sz="4" w:space="0" w:color="000000"/>
              <w:bottom w:val="nil" w:sz="6" w:space="0" w:color="auto"/>
              <w:right w:val="single" w:sz="4" w:space="0" w:color="000000"/>
            </w:tcBorders>
          </w:tcPr>
          <w:p>
            <w:pPr/>
          </w:p>
        </w:tc>
        <w:tc>
          <w:tcPr>
            <w:tcW w:w="118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国际教育</w:t>
            </w: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2" w:type="dxa"/>
            <w:tcBorders>
              <w:top w:val="nil" w:sz="6" w:space="0" w:color="auto"/>
              <w:left w:val="single" w:sz="4" w:space="0" w:color="000000"/>
              <w:bottom w:val="nil" w:sz="6" w:space="0" w:color="auto"/>
              <w:right w:val="single" w:sz="4" w:space="0" w:color="000000"/>
            </w:tcBorders>
          </w:tcPr>
          <w:p>
            <w:pPr/>
          </w:p>
        </w:tc>
        <w:tc>
          <w:tcPr>
            <w:tcW w:w="1091" w:type="dxa"/>
            <w:tcBorders>
              <w:top w:val="nil" w:sz="6" w:space="0" w:color="auto"/>
              <w:left w:val="single" w:sz="4" w:space="0" w:color="000000"/>
              <w:bottom w:val="nil" w:sz="6" w:space="0" w:color="auto"/>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
        </w:tc>
        <w:tc>
          <w:tcPr>
            <w:tcW w:w="1182"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091" w:type="dxa"/>
            <w:tcBorders>
              <w:top w:val="nil" w:sz="6" w:space="0" w:color="auto"/>
              <w:left w:val="single" w:sz="4" w:space="0" w:color="000000"/>
              <w:bottom w:val="nil" w:sz="6" w:space="0" w:color="auto"/>
              <w:right w:val="single" w:sz="4" w:space="0" w:color="000000"/>
            </w:tcBorders>
          </w:tcPr>
          <w:p>
            <w:pPr/>
          </w:p>
        </w:tc>
        <w:tc>
          <w:tcPr>
            <w:tcW w:w="1186"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科技（北</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98,224,224.07</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307,659,990.90</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405,884,214.97</w:t>
            </w:r>
          </w:p>
        </w:tc>
        <w:tc>
          <w:tcPr>
            <w:tcW w:w="118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158,750,253.42</w:t>
            </w:r>
          </w:p>
        </w:tc>
        <w:tc>
          <w:tcPr>
            <w:tcW w:w="109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30,380,023.75</w:t>
            </w:r>
          </w:p>
        </w:tc>
        <w:tc>
          <w:tcPr>
            <w:tcW w:w="118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189,130,277.17</w:t>
            </w:r>
          </w:p>
        </w:tc>
        <w:tc>
          <w:tcPr>
            <w:tcW w:w="118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75,615,620.11</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247,864,178.59</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323,479,798.70</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134,517,062.89</w:t>
            </w:r>
          </w:p>
        </w:tc>
        <w:tc>
          <w:tcPr>
            <w:tcW w:w="109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47,630,000.00</w:t>
            </w:r>
          </w:p>
        </w:tc>
        <w:tc>
          <w:tcPr>
            <w:tcW w:w="118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182,147,062.89</w:t>
            </w:r>
          </w:p>
        </w:tc>
      </w:tr>
      <w:tr>
        <w:trPr>
          <w:trHeight w:val="308" w:hRule="exact"/>
        </w:trPr>
        <w:tc>
          <w:tcPr>
            <w:tcW w:w="8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pacing w:val="-13"/>
                <w:sz w:val="18"/>
                <w:szCs w:val="18"/>
              </w:rPr>
              <w:t>京）有限公</w:t>
            </w: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2" w:type="dxa"/>
            <w:tcBorders>
              <w:top w:val="nil" w:sz="6" w:space="0" w:color="auto"/>
              <w:left w:val="single" w:sz="4" w:space="0" w:color="000000"/>
              <w:bottom w:val="nil" w:sz="6" w:space="0" w:color="auto"/>
              <w:right w:val="single" w:sz="4" w:space="0" w:color="000000"/>
            </w:tcBorders>
          </w:tcPr>
          <w:p>
            <w:pPr/>
          </w:p>
        </w:tc>
        <w:tc>
          <w:tcPr>
            <w:tcW w:w="1091" w:type="dxa"/>
            <w:tcBorders>
              <w:top w:val="nil" w:sz="6" w:space="0" w:color="auto"/>
              <w:left w:val="single" w:sz="4" w:space="0" w:color="000000"/>
              <w:bottom w:val="nil" w:sz="6" w:space="0" w:color="auto"/>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
        </w:tc>
        <w:tc>
          <w:tcPr>
            <w:tcW w:w="1182"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091" w:type="dxa"/>
            <w:tcBorders>
              <w:top w:val="nil" w:sz="6" w:space="0" w:color="auto"/>
              <w:left w:val="single" w:sz="4" w:space="0" w:color="000000"/>
              <w:bottom w:val="nil" w:sz="6" w:space="0" w:color="auto"/>
              <w:right w:val="single" w:sz="4" w:space="0" w:color="000000"/>
            </w:tcBorders>
          </w:tcPr>
          <w:p>
            <w:pPr/>
          </w:p>
        </w:tc>
        <w:tc>
          <w:tcPr>
            <w:tcW w:w="118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95"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81"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82" w:type="dxa"/>
            <w:tcBorders>
              <w:top w:val="nil" w:sz="6" w:space="0" w:color="auto"/>
              <w:left w:val="single" w:sz="4" w:space="0" w:color="000000"/>
              <w:bottom w:val="single" w:sz="4" w:space="0" w:color="000000"/>
              <w:right w:val="single" w:sz="4" w:space="0" w:color="000000"/>
            </w:tcBorders>
          </w:tcPr>
          <w:p>
            <w:pPr/>
          </w:p>
        </w:tc>
        <w:tc>
          <w:tcPr>
            <w:tcW w:w="1091" w:type="dxa"/>
            <w:tcBorders>
              <w:top w:val="nil" w:sz="6" w:space="0" w:color="auto"/>
              <w:left w:val="single" w:sz="4" w:space="0" w:color="000000"/>
              <w:bottom w:val="single" w:sz="4" w:space="0" w:color="000000"/>
              <w:right w:val="single" w:sz="4" w:space="0" w:color="000000"/>
            </w:tcBorders>
          </w:tcPr>
          <w:p>
            <w:pPr/>
          </w:p>
        </w:tc>
        <w:tc>
          <w:tcPr>
            <w:tcW w:w="1183" w:type="dxa"/>
            <w:tcBorders>
              <w:top w:val="nil" w:sz="6" w:space="0" w:color="auto"/>
              <w:left w:val="single" w:sz="4" w:space="0" w:color="000000"/>
              <w:bottom w:val="single" w:sz="4" w:space="0" w:color="000000"/>
              <w:right w:val="single" w:sz="4" w:space="0" w:color="000000"/>
            </w:tcBorders>
          </w:tcPr>
          <w:p>
            <w:pPr/>
          </w:p>
        </w:tc>
        <w:tc>
          <w:tcPr>
            <w:tcW w:w="1182"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091" w:type="dxa"/>
            <w:tcBorders>
              <w:top w:val="nil" w:sz="6" w:space="0" w:color="auto"/>
              <w:left w:val="single" w:sz="4" w:space="0" w:color="000000"/>
              <w:bottom w:val="single" w:sz="4" w:space="0" w:color="000000"/>
              <w:right w:val="single" w:sz="4" w:space="0" w:color="000000"/>
            </w:tcBorders>
          </w:tcPr>
          <w:p>
            <w:pPr/>
          </w:p>
        </w:tc>
        <w:tc>
          <w:tcPr>
            <w:tcW w:w="1186" w:type="dxa"/>
            <w:tcBorders>
              <w:top w:val="nil" w:sz="6" w:space="0" w:color="auto"/>
              <w:left w:val="single" w:sz="4" w:space="0" w:color="000000"/>
              <w:bottom w:val="single" w:sz="4" w:space="0" w:color="000000"/>
              <w:right w:val="single" w:sz="4" w:space="0" w:color="000000"/>
            </w:tcBorders>
          </w:tcPr>
          <w:p>
            <w:pPr/>
          </w:p>
        </w:tc>
      </w:tr>
      <w:tr>
        <w:trPr>
          <w:trHeight w:val="317" w:hRule="exact"/>
        </w:trPr>
        <w:tc>
          <w:tcPr>
            <w:tcW w:w="895"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浙江风盛</w:t>
            </w:r>
          </w:p>
        </w:tc>
        <w:tc>
          <w:tcPr>
            <w:tcW w:w="1181"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82" w:type="dxa"/>
            <w:tcBorders>
              <w:top w:val="single" w:sz="4" w:space="0" w:color="000000"/>
              <w:left w:val="single" w:sz="4" w:space="0" w:color="000000"/>
              <w:bottom w:val="nil" w:sz="6" w:space="0" w:color="auto"/>
              <w:right w:val="single" w:sz="4" w:space="0" w:color="000000"/>
            </w:tcBorders>
          </w:tcPr>
          <w:p>
            <w:pPr/>
          </w:p>
        </w:tc>
        <w:tc>
          <w:tcPr>
            <w:tcW w:w="1091" w:type="dxa"/>
            <w:vMerge w:val="restart"/>
            <w:tcBorders>
              <w:top w:val="single" w:sz="4" w:space="0" w:color="000000"/>
              <w:left w:val="single" w:sz="4" w:space="0" w:color="000000"/>
              <w:right w:val="single" w:sz="4" w:space="0" w:color="000000"/>
            </w:tcBorders>
          </w:tcPr>
          <w:p>
            <w:pPr/>
          </w:p>
        </w:tc>
        <w:tc>
          <w:tcPr>
            <w:tcW w:w="1183" w:type="dxa"/>
            <w:tcBorders>
              <w:top w:val="single" w:sz="4" w:space="0" w:color="000000"/>
              <w:left w:val="single" w:sz="4" w:space="0" w:color="000000"/>
              <w:bottom w:val="nil" w:sz="6" w:space="0" w:color="auto"/>
              <w:right w:val="single" w:sz="4" w:space="0" w:color="000000"/>
            </w:tcBorders>
          </w:tcPr>
          <w:p>
            <w:pPr/>
          </w:p>
        </w:tc>
        <w:tc>
          <w:tcPr>
            <w:tcW w:w="1182"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091" w:type="dxa"/>
            <w:vMerge w:val="restart"/>
            <w:tcBorders>
              <w:top w:val="single" w:sz="4" w:space="0" w:color="000000"/>
              <w:left w:val="single" w:sz="4" w:space="0" w:color="000000"/>
              <w:right w:val="single" w:sz="4" w:space="0" w:color="000000"/>
            </w:tcBorders>
          </w:tcPr>
          <w:p>
            <w:pPr/>
          </w:p>
        </w:tc>
        <w:tc>
          <w:tcPr>
            <w:tcW w:w="118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8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传媒股份</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228,921,974.85</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16,307,338.33</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245,229,313.18</w:t>
            </w:r>
          </w:p>
        </w:tc>
        <w:tc>
          <w:tcPr>
            <w:tcW w:w="118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150,636,262.83</w:t>
            </w:r>
          </w:p>
        </w:tc>
        <w:tc>
          <w:tcPr>
            <w:tcW w:w="1091" w:type="dxa"/>
            <w:vMerge/>
            <w:tcBorders>
              <w:left w:val="single" w:sz="4" w:space="0" w:color="000000"/>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150,636,262.83</w:t>
            </w:r>
          </w:p>
        </w:tc>
        <w:tc>
          <w:tcPr>
            <w:tcW w:w="118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206,041,799.11</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17,408,145.50</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223,449,944.61</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160,274,739.73</w:t>
            </w:r>
          </w:p>
        </w:tc>
        <w:tc>
          <w:tcPr>
            <w:tcW w:w="1091" w:type="dxa"/>
            <w:vMerge/>
            <w:tcBorders>
              <w:left w:val="single" w:sz="4" w:space="0" w:color="000000"/>
              <w:right w:val="single" w:sz="4" w:space="0" w:color="000000"/>
            </w:tcBorders>
          </w:tcPr>
          <w:p>
            <w:pPr/>
          </w:p>
        </w:tc>
        <w:tc>
          <w:tcPr>
            <w:tcW w:w="118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160,274,739.73</w:t>
            </w:r>
          </w:p>
        </w:tc>
      </w:tr>
      <w:tr>
        <w:trPr>
          <w:trHeight w:val="313" w:hRule="exact"/>
        </w:trPr>
        <w:tc>
          <w:tcPr>
            <w:tcW w:w="895"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81"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82" w:type="dxa"/>
            <w:tcBorders>
              <w:top w:val="nil" w:sz="6" w:space="0" w:color="auto"/>
              <w:left w:val="single" w:sz="4" w:space="0" w:color="000000"/>
              <w:bottom w:val="single" w:sz="4" w:space="0" w:color="000000"/>
              <w:right w:val="single" w:sz="4" w:space="0" w:color="000000"/>
            </w:tcBorders>
          </w:tcPr>
          <w:p>
            <w:pPr/>
          </w:p>
        </w:tc>
        <w:tc>
          <w:tcPr>
            <w:tcW w:w="1091" w:type="dxa"/>
            <w:vMerge/>
            <w:tcBorders>
              <w:left w:val="single" w:sz="4" w:space="0" w:color="000000"/>
              <w:bottom w:val="single" w:sz="4" w:space="0" w:color="000000"/>
              <w:right w:val="single" w:sz="4" w:space="0" w:color="000000"/>
            </w:tcBorders>
          </w:tcPr>
          <w:p>
            <w:pPr/>
          </w:p>
        </w:tc>
        <w:tc>
          <w:tcPr>
            <w:tcW w:w="1183" w:type="dxa"/>
            <w:tcBorders>
              <w:top w:val="nil" w:sz="6" w:space="0" w:color="auto"/>
              <w:left w:val="single" w:sz="4" w:space="0" w:color="000000"/>
              <w:bottom w:val="single" w:sz="4" w:space="0" w:color="000000"/>
              <w:right w:val="single" w:sz="4" w:space="0" w:color="000000"/>
            </w:tcBorders>
          </w:tcPr>
          <w:p>
            <w:pPr/>
          </w:p>
        </w:tc>
        <w:tc>
          <w:tcPr>
            <w:tcW w:w="1182"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091" w:type="dxa"/>
            <w:vMerge/>
            <w:tcBorders>
              <w:left w:val="single" w:sz="4" w:space="0" w:color="000000"/>
              <w:bottom w:val="single" w:sz="4" w:space="0" w:color="000000"/>
              <w:right w:val="single" w:sz="4" w:space="0" w:color="000000"/>
            </w:tcBorders>
          </w:tcPr>
          <w:p>
            <w:pPr/>
          </w:p>
        </w:tc>
        <w:tc>
          <w:tcPr>
            <w:tcW w:w="1186"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51"/>
        <w:ind w:left="0" w:right="579"/>
        <w:jc w:val="right"/>
      </w:pPr>
      <w:r>
        <w:rPr/>
        <w:t>单位： 元</w:t>
      </w:r>
    </w:p>
    <w:p>
      <w:pPr>
        <w:spacing w:line="240" w:lineRule="auto" w:before="1"/>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1954"/>
        <w:gridCol w:w="1554"/>
        <w:gridCol w:w="1556"/>
        <w:gridCol w:w="1560"/>
        <w:gridCol w:w="1564"/>
        <w:gridCol w:w="1556"/>
        <w:gridCol w:w="1558"/>
        <w:gridCol w:w="1556"/>
        <w:gridCol w:w="2027"/>
      </w:tblGrid>
      <w:tr>
        <w:trPr>
          <w:trHeight w:val="322" w:hRule="exact"/>
        </w:trPr>
        <w:tc>
          <w:tcPr>
            <w:tcW w:w="195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623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669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1954" w:type="dxa"/>
            <w:vMerge/>
            <w:tcBorders>
              <w:left w:val="single" w:sz="4" w:space="0" w:color="000000"/>
              <w:bottom w:val="single" w:sz="4" w:space="0" w:color="000000"/>
              <w:right w:val="single" w:sz="4" w:space="0" w:color="000000"/>
            </w:tcBorders>
            <w:shd w:val="clear" w:color="auto" w:fill="D3D3D3"/>
          </w:tcPr>
          <w:p>
            <w:pPr/>
          </w:p>
        </w:tc>
        <w:tc>
          <w:tcPr>
            <w:tcW w:w="15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4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50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3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55"/>
              <w:jc w:val="right"/>
              <w:rPr>
                <w:rFonts w:ascii="宋体" w:hAnsi="宋体" w:cs="宋体" w:eastAsia="宋体" w:hint="default"/>
                <w:sz w:val="18"/>
                <w:szCs w:val="18"/>
              </w:rPr>
            </w:pPr>
            <w:r>
              <w:rPr>
                <w:rFonts w:ascii="宋体" w:hAnsi="宋体" w:cs="宋体" w:eastAsia="宋体" w:hint="default"/>
                <w:sz w:val="18"/>
                <w:szCs w:val="18"/>
              </w:rPr>
              <w:t>经营活动现金流量</w:t>
            </w:r>
          </w:p>
        </w:tc>
        <w:tc>
          <w:tcPr>
            <w:tcW w:w="15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4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50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3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0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88"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634" w:hRule="exact"/>
        </w:trPr>
        <w:tc>
          <w:tcPr>
            <w:tcW w:w="19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10"/>
              <w:ind w:left="23" w:right="119"/>
              <w:jc w:val="left"/>
              <w:rPr>
                <w:rFonts w:ascii="宋体" w:hAnsi="宋体" w:cs="宋体" w:eastAsia="宋体" w:hint="default"/>
                <w:sz w:val="18"/>
                <w:szCs w:val="18"/>
              </w:rPr>
            </w:pPr>
            <w:r>
              <w:rPr>
                <w:rFonts w:ascii="宋体" w:hAnsi="宋体" w:cs="宋体" w:eastAsia="宋体" w:hint="default"/>
                <w:sz w:val="18"/>
                <w:szCs w:val="18"/>
              </w:rPr>
              <w:t>杭州余杭晨报传媒有限 公司</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62,435,019.04</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9" w:right="0"/>
              <w:jc w:val="left"/>
              <w:rPr>
                <w:rFonts w:ascii="Times New Roman" w:hAnsi="Times New Roman" w:cs="Times New Roman" w:eastAsia="Times New Roman" w:hint="default"/>
                <w:sz w:val="18"/>
                <w:szCs w:val="18"/>
              </w:rPr>
            </w:pPr>
            <w:r>
              <w:rPr>
                <w:rFonts w:ascii="Times New Roman"/>
                <w:sz w:val="18"/>
              </w:rPr>
              <w:t>18,678,860.81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18,678,860.81</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35,046,794.75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47,514,120.63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9" w:right="0"/>
              <w:jc w:val="left"/>
              <w:rPr>
                <w:rFonts w:ascii="Times New Roman" w:hAnsi="Times New Roman" w:cs="Times New Roman" w:eastAsia="Times New Roman" w:hint="default"/>
                <w:sz w:val="18"/>
                <w:szCs w:val="18"/>
              </w:rPr>
            </w:pPr>
            <w:r>
              <w:rPr>
                <w:rFonts w:ascii="Times New Roman"/>
                <w:sz w:val="18"/>
              </w:rPr>
              <w:t>18,459,399.27</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18,459,399.27</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28,663,915.61</w:t>
            </w:r>
          </w:p>
        </w:tc>
      </w:tr>
      <w:tr>
        <w:trPr>
          <w:trHeight w:val="634" w:hRule="exact"/>
        </w:trPr>
        <w:tc>
          <w:tcPr>
            <w:tcW w:w="19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中教未来国际教育科技</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（北京）有限公司</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245,086,248.37</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9" w:right="0"/>
              <w:jc w:val="left"/>
              <w:rPr>
                <w:rFonts w:ascii="Times New Roman" w:hAnsi="Times New Roman" w:cs="Times New Roman" w:eastAsia="Times New Roman" w:hint="default"/>
                <w:sz w:val="18"/>
                <w:szCs w:val="18"/>
              </w:rPr>
            </w:pPr>
            <w:r>
              <w:rPr>
                <w:rFonts w:ascii="Times New Roman"/>
                <w:sz w:val="18"/>
              </w:rPr>
              <w:t>75,019,698.17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75,019,698.17</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78,707,846.61</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194,647,077.75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9" w:right="0"/>
              <w:jc w:val="left"/>
              <w:rPr>
                <w:rFonts w:ascii="Times New Roman" w:hAnsi="Times New Roman" w:cs="Times New Roman" w:eastAsia="Times New Roman" w:hint="default"/>
                <w:sz w:val="18"/>
                <w:szCs w:val="18"/>
              </w:rPr>
            </w:pPr>
            <w:r>
              <w:rPr>
                <w:rFonts w:ascii="Times New Roman"/>
                <w:sz w:val="18"/>
              </w:rPr>
              <w:t>67,585,074.35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67,585,074.35</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60,493,587.08</w:t>
            </w:r>
          </w:p>
        </w:tc>
      </w:tr>
      <w:tr>
        <w:trPr>
          <w:trHeight w:val="635" w:hRule="exact"/>
        </w:trPr>
        <w:tc>
          <w:tcPr>
            <w:tcW w:w="19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11"/>
              <w:ind w:left="23" w:right="119"/>
              <w:jc w:val="left"/>
              <w:rPr>
                <w:rFonts w:ascii="宋体" w:hAnsi="宋体" w:cs="宋体" w:eastAsia="宋体" w:hint="default"/>
                <w:sz w:val="18"/>
                <w:szCs w:val="18"/>
              </w:rPr>
            </w:pPr>
            <w:r>
              <w:rPr>
                <w:rFonts w:ascii="宋体" w:hAnsi="宋体" w:cs="宋体" w:eastAsia="宋体" w:hint="default"/>
                <w:sz w:val="18"/>
                <w:szCs w:val="18"/>
              </w:rPr>
              <w:t>浙江风盛传媒股份有限 公司</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265,463,759.42</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9" w:right="0"/>
              <w:jc w:val="left"/>
              <w:rPr>
                <w:rFonts w:ascii="Times New Roman" w:hAnsi="Times New Roman" w:cs="Times New Roman" w:eastAsia="Times New Roman" w:hint="default"/>
                <w:sz w:val="18"/>
                <w:szCs w:val="18"/>
              </w:rPr>
            </w:pPr>
            <w:r>
              <w:rPr>
                <w:rFonts w:ascii="Times New Roman"/>
                <w:sz w:val="18"/>
              </w:rPr>
              <w:t>29,667,845.47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29,667,845.47</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64,617,569.60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252,413,913.61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9" w:right="0"/>
              <w:jc w:val="left"/>
              <w:rPr>
                <w:rFonts w:ascii="Times New Roman" w:hAnsi="Times New Roman" w:cs="Times New Roman" w:eastAsia="Times New Roman" w:hint="default"/>
                <w:sz w:val="18"/>
                <w:szCs w:val="18"/>
              </w:rPr>
            </w:pPr>
            <w:r>
              <w:rPr>
                <w:rFonts w:ascii="Times New Roman"/>
                <w:sz w:val="18"/>
              </w:rPr>
              <w:t>20,493,744.83</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20,493,744.83</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-17,136,141.34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BodyText"/>
        <w:spacing w:line="240" w:lineRule="auto"/>
        <w:ind w:left="0" w:right="579"/>
        <w:jc w:val="right"/>
        <w:rPr>
          <w:rFonts w:ascii="Times New Roman" w:hAnsi="Times New Roman" w:cs="Times New Roman" w:eastAsia="Times New Roman" w:hint="default"/>
        </w:rPr>
      </w:pPr>
      <w:r>
        <w:rPr>
          <w:rFonts w:ascii="Times New Roman"/>
        </w:rPr>
        <w:t>151</w:t>
      </w: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3"/>
          <w:szCs w:val="23"/>
        </w:rPr>
      </w:pPr>
    </w:p>
    <w:p>
      <w:pPr>
        <w:spacing w:line="371" w:lineRule="exact"/>
        <w:ind w:left="1092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5" name="image1.jpeg" descr=""/>
            <wp:cNvGraphicFramePr>
              <a:graphicFrameLocks noChangeAspect="1"/>
            </wp:cNvGraphicFramePr>
            <a:graphic>
              <a:graphicData uri="http://schemas.openxmlformats.org/drawingml/2006/picture">
                <pic:pic>
                  <pic:nvPicPr>
                    <pic:cNvPr id="6" name="image1.jpeg"/>
                    <pic:cNvPicPr/>
                  </pic:nvPicPr>
                  <pic:blipFill>
                    <a:blip r:embed="rId14"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060" w:bottom="1180" w:left="860" w:right="860"/>
        </w:sectPr>
      </w:pPr>
    </w:p>
    <w:p>
      <w:pPr>
        <w:spacing w:line="240" w:lineRule="auto" w:before="7"/>
        <w:rPr>
          <w:rFonts w:ascii="Times New Roman" w:hAnsi="Times New Roman" w:cs="Times New Roman" w:eastAsia="Times New Roman" w:hint="default"/>
          <w:sz w:val="23"/>
          <w:szCs w:val="23"/>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0" w:firstLine="290"/>
        <w:jc w:val="left"/>
      </w:pPr>
      <w:r>
        <w:rPr/>
        <w:t>本公司于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月收购子公司浙江华媒信息传播有限公司少数股东持有的</w:t>
      </w:r>
      <w:r>
        <w:rPr>
          <w:rFonts w:ascii="Times New Roman" w:hAnsi="Times New Roman" w:cs="Times New Roman" w:eastAsia="Times New Roman" w:hint="default"/>
        </w:rPr>
        <w:t>35%</w:t>
      </w:r>
      <w:r>
        <w:rPr/>
        <w:t>的股权，因购买少数股权新取得的长期 </w:t>
      </w:r>
      <w:r>
        <w:rPr>
          <w:spacing w:val="-2"/>
        </w:rPr>
        <w:t>股权投资与按照新增持股比例计算应享有子公司自合并日开始持续计算的净资产份额之间的差额，调减盈余公积</w:t>
      </w:r>
      <w:r>
        <w:rPr>
          <w:rFonts w:ascii="Times New Roman" w:hAnsi="Times New Roman" w:cs="Times New Roman" w:eastAsia="Times New Roman" w:hint="default"/>
          <w:spacing w:val="-2"/>
        </w:rPr>
        <w:t>1,764.89</w:t>
      </w:r>
      <w:r>
        <w:rPr>
          <w:spacing w:val="-2"/>
        </w:rPr>
        <w:t>元。</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784" w:type="dxa"/>
            <w:tcBorders>
              <w:top w:val="single" w:sz="4" w:space="0" w:color="000000"/>
              <w:left w:val="single" w:sz="4" w:space="0" w:color="000000"/>
              <w:bottom w:val="single" w:sz="4" w:space="0" w:color="000000"/>
              <w:right w:val="single" w:sz="4" w:space="0" w:color="000000"/>
            </w:tcBorders>
            <w:shd w:val="clear" w:color="auto" w:fill="E1FFFF"/>
          </w:tcPr>
          <w:p>
            <w:pP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24,769,500.00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24,769,500.00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24,769,500.00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24,767,735.11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1,764.89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调整盈余公积</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1,764.89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3288"/>
        <w:gridCol w:w="768"/>
        <w:gridCol w:w="576"/>
        <w:gridCol w:w="745"/>
        <w:gridCol w:w="613"/>
        <w:gridCol w:w="558"/>
        <w:gridCol w:w="3134"/>
      </w:tblGrid>
      <w:tr>
        <w:trPr>
          <w:trHeight w:val="401" w:hRule="exact"/>
        </w:trPr>
        <w:tc>
          <w:tcPr>
            <w:tcW w:w="32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4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76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197" w:right="108" w:hanging="90"/>
              <w:jc w:val="left"/>
              <w:rPr>
                <w:rFonts w:ascii="宋体" w:hAnsi="宋体" w:cs="宋体" w:eastAsia="宋体" w:hint="default"/>
                <w:sz w:val="18"/>
                <w:szCs w:val="18"/>
              </w:rPr>
            </w:pPr>
            <w:r>
              <w:rPr>
                <w:rFonts w:ascii="宋体" w:hAnsi="宋体" w:cs="宋体" w:eastAsia="宋体" w:hint="default"/>
                <w:sz w:val="18"/>
                <w:szCs w:val="18"/>
              </w:rPr>
              <w:t>主要经 营地</w:t>
            </w:r>
          </w:p>
        </w:tc>
        <w:tc>
          <w:tcPr>
            <w:tcW w:w="57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191" w:right="102" w:hanging="90"/>
              <w:jc w:val="left"/>
              <w:rPr>
                <w:rFonts w:ascii="宋体" w:hAnsi="宋体" w:cs="宋体" w:eastAsia="宋体" w:hint="default"/>
                <w:sz w:val="18"/>
                <w:szCs w:val="18"/>
              </w:rPr>
            </w:pPr>
            <w:r>
              <w:rPr>
                <w:rFonts w:ascii="宋体" w:hAnsi="宋体" w:cs="宋体" w:eastAsia="宋体" w:hint="default"/>
                <w:sz w:val="18"/>
                <w:szCs w:val="18"/>
              </w:rPr>
              <w:t>注册 地</w:t>
            </w:r>
          </w:p>
        </w:tc>
        <w:tc>
          <w:tcPr>
            <w:tcW w:w="74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277" w:right="96"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117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313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1387" w:right="26" w:hanging="1350"/>
              <w:jc w:val="left"/>
              <w:rPr>
                <w:rFonts w:ascii="宋体" w:hAnsi="宋体" w:cs="宋体" w:eastAsia="宋体" w:hint="default"/>
                <w:sz w:val="18"/>
                <w:szCs w:val="18"/>
              </w:rPr>
            </w:pPr>
            <w:r>
              <w:rPr>
                <w:rFonts w:ascii="宋体" w:hAnsi="宋体" w:cs="宋体" w:eastAsia="宋体" w:hint="default"/>
                <w:sz w:val="18"/>
                <w:szCs w:val="18"/>
              </w:rPr>
              <w:t>对合营企业或联营企业投资的会计处理 方法</w:t>
            </w:r>
          </w:p>
        </w:tc>
      </w:tr>
      <w:tr>
        <w:trPr>
          <w:trHeight w:val="402" w:hRule="exact"/>
        </w:trPr>
        <w:tc>
          <w:tcPr>
            <w:tcW w:w="3288" w:type="dxa"/>
            <w:vMerge/>
            <w:tcBorders>
              <w:left w:val="single" w:sz="4" w:space="0" w:color="000000"/>
              <w:bottom w:val="single" w:sz="4" w:space="0" w:color="000000"/>
              <w:right w:val="single" w:sz="4" w:space="0" w:color="000000"/>
            </w:tcBorders>
            <w:shd w:val="clear" w:color="auto" w:fill="D3D3D3"/>
          </w:tcPr>
          <w:p>
            <w:pPr/>
          </w:p>
        </w:tc>
        <w:tc>
          <w:tcPr>
            <w:tcW w:w="768" w:type="dxa"/>
            <w:vMerge/>
            <w:tcBorders>
              <w:left w:val="single" w:sz="4" w:space="0" w:color="000000"/>
              <w:bottom w:val="single" w:sz="4" w:space="0" w:color="000000"/>
              <w:right w:val="single" w:sz="4" w:space="0" w:color="000000"/>
            </w:tcBorders>
            <w:shd w:val="clear" w:color="auto" w:fill="D3D3D3"/>
          </w:tcPr>
          <w:p>
            <w:pPr/>
          </w:p>
        </w:tc>
        <w:tc>
          <w:tcPr>
            <w:tcW w:w="576" w:type="dxa"/>
            <w:vMerge/>
            <w:tcBorders>
              <w:left w:val="single" w:sz="4" w:space="0" w:color="000000"/>
              <w:bottom w:val="single" w:sz="4" w:space="0" w:color="000000"/>
              <w:right w:val="single" w:sz="4" w:space="0" w:color="000000"/>
            </w:tcBorders>
            <w:shd w:val="clear" w:color="auto" w:fill="D3D3D3"/>
          </w:tcPr>
          <w:p>
            <w:pPr/>
          </w:p>
        </w:tc>
        <w:tc>
          <w:tcPr>
            <w:tcW w:w="745" w:type="dxa"/>
            <w:vMerge/>
            <w:tcBorders>
              <w:left w:val="single" w:sz="4" w:space="0" w:color="000000"/>
              <w:bottom w:val="single" w:sz="4" w:space="0" w:color="000000"/>
              <w:right w:val="single" w:sz="4" w:space="0" w:color="000000"/>
            </w:tcBorders>
            <w:shd w:val="clear" w:color="auto" w:fill="D3D3D3"/>
          </w:tcPr>
          <w:p>
            <w:pPr/>
          </w:p>
        </w:tc>
        <w:tc>
          <w:tcPr>
            <w:tcW w:w="6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5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3"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313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2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十九楼网络股份有限公司</w:t>
            </w:r>
          </w:p>
        </w:tc>
        <w:tc>
          <w:tcPr>
            <w:tcW w:w="7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5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7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19.95%</w:t>
            </w:r>
          </w:p>
        </w:tc>
        <w:tc>
          <w:tcPr>
            <w:tcW w:w="558" w:type="dxa"/>
            <w:tcBorders>
              <w:top w:val="single" w:sz="4" w:space="0" w:color="000000"/>
              <w:left w:val="single" w:sz="4" w:space="0" w:color="000000"/>
              <w:bottom w:val="single" w:sz="4" w:space="0" w:color="000000"/>
              <w:right w:val="single" w:sz="4" w:space="0" w:color="000000"/>
            </w:tcBorders>
          </w:tcPr>
          <w:p>
            <w:pPr/>
          </w:p>
        </w:tc>
        <w:tc>
          <w:tcPr>
            <w:tcW w:w="31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32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杭州都快交通久一点吧传媒有限公司</w:t>
            </w:r>
          </w:p>
        </w:tc>
        <w:tc>
          <w:tcPr>
            <w:tcW w:w="7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5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7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45.00%</w:t>
            </w:r>
          </w:p>
        </w:tc>
        <w:tc>
          <w:tcPr>
            <w:tcW w:w="558" w:type="dxa"/>
            <w:tcBorders>
              <w:top w:val="single" w:sz="4" w:space="0" w:color="000000"/>
              <w:left w:val="single" w:sz="4" w:space="0" w:color="000000"/>
              <w:bottom w:val="single" w:sz="4" w:space="0" w:color="000000"/>
              <w:right w:val="single" w:sz="4" w:space="0" w:color="000000"/>
            </w:tcBorders>
          </w:tcPr>
          <w:p>
            <w:pPr/>
          </w:p>
        </w:tc>
        <w:tc>
          <w:tcPr>
            <w:tcW w:w="31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32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德清今日传媒有限公司</w:t>
            </w:r>
          </w:p>
        </w:tc>
        <w:tc>
          <w:tcPr>
            <w:tcW w:w="7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德清</w:t>
            </w:r>
          </w:p>
        </w:tc>
        <w:tc>
          <w:tcPr>
            <w:tcW w:w="5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德清</w:t>
            </w:r>
          </w:p>
        </w:tc>
        <w:tc>
          <w:tcPr>
            <w:tcW w:w="7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50.00%</w:t>
            </w:r>
          </w:p>
        </w:tc>
        <w:tc>
          <w:tcPr>
            <w:tcW w:w="558" w:type="dxa"/>
            <w:tcBorders>
              <w:top w:val="single" w:sz="4" w:space="0" w:color="000000"/>
              <w:left w:val="single" w:sz="4" w:space="0" w:color="000000"/>
              <w:bottom w:val="single" w:sz="4" w:space="0" w:color="000000"/>
              <w:right w:val="single" w:sz="4" w:space="0" w:color="000000"/>
            </w:tcBorders>
          </w:tcPr>
          <w:p>
            <w:pPr/>
          </w:p>
        </w:tc>
        <w:tc>
          <w:tcPr>
            <w:tcW w:w="31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32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快点文化传播（上海）有限公司</w:t>
            </w:r>
          </w:p>
        </w:tc>
        <w:tc>
          <w:tcPr>
            <w:tcW w:w="7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5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39.00%</w:t>
            </w:r>
          </w:p>
        </w:tc>
        <w:tc>
          <w:tcPr>
            <w:tcW w:w="558" w:type="dxa"/>
            <w:tcBorders>
              <w:top w:val="single" w:sz="4" w:space="0" w:color="000000"/>
              <w:left w:val="single" w:sz="4" w:space="0" w:color="000000"/>
              <w:bottom w:val="single" w:sz="4" w:space="0" w:color="000000"/>
              <w:right w:val="single" w:sz="4" w:space="0" w:color="000000"/>
            </w:tcBorders>
          </w:tcPr>
          <w:p>
            <w:pPr/>
          </w:p>
        </w:tc>
        <w:tc>
          <w:tcPr>
            <w:tcW w:w="31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32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布朗睿智（北京）国际教育科技有限公司</w:t>
            </w:r>
          </w:p>
        </w:tc>
        <w:tc>
          <w:tcPr>
            <w:tcW w:w="7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5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36.00%</w:t>
            </w:r>
          </w:p>
        </w:tc>
        <w:tc>
          <w:tcPr>
            <w:tcW w:w="558" w:type="dxa"/>
            <w:tcBorders>
              <w:top w:val="single" w:sz="4" w:space="0" w:color="000000"/>
              <w:left w:val="single" w:sz="4" w:space="0" w:color="000000"/>
              <w:bottom w:val="single" w:sz="4" w:space="0" w:color="000000"/>
              <w:right w:val="single" w:sz="4" w:space="0" w:color="000000"/>
            </w:tcBorders>
          </w:tcPr>
          <w:p>
            <w:pPr/>
          </w:p>
        </w:tc>
        <w:tc>
          <w:tcPr>
            <w:tcW w:w="31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3" w:hRule="exact"/>
        </w:trPr>
        <w:tc>
          <w:tcPr>
            <w:tcW w:w="32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布朗时代（北京）教育投资有限公司</w:t>
            </w:r>
          </w:p>
        </w:tc>
        <w:tc>
          <w:tcPr>
            <w:tcW w:w="7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5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36.00%</w:t>
            </w:r>
          </w:p>
        </w:tc>
        <w:tc>
          <w:tcPr>
            <w:tcW w:w="558" w:type="dxa"/>
            <w:tcBorders>
              <w:top w:val="single" w:sz="4" w:space="0" w:color="000000"/>
              <w:left w:val="single" w:sz="4" w:space="0" w:color="000000"/>
              <w:bottom w:val="single" w:sz="4" w:space="0" w:color="000000"/>
              <w:right w:val="single" w:sz="4" w:space="0" w:color="000000"/>
            </w:tcBorders>
          </w:tcPr>
          <w:p>
            <w:pPr/>
          </w:p>
        </w:tc>
        <w:tc>
          <w:tcPr>
            <w:tcW w:w="31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right="0"/>
        <w:jc w:val="left"/>
      </w:pPr>
      <w:r>
        <w:rPr/>
        <w:t>在合营企业或联营企业的持股比例不同于表决权比例的说明：</w:t>
      </w:r>
    </w:p>
    <w:p>
      <w:pPr>
        <w:pStyle w:val="BodyText"/>
        <w:spacing w:line="240" w:lineRule="auto" w:before="115"/>
        <w:ind w:left="634" w:right="0"/>
        <w:jc w:val="left"/>
      </w:pPr>
      <w:r>
        <w:rPr>
          <w:rFonts w:ascii="Times New Roman" w:hAnsi="Times New Roman" w:cs="Times New Roman" w:eastAsia="Times New Roman" w:hint="default"/>
          <w:spacing w:val="-3"/>
        </w:rPr>
        <w:t>1</w:t>
      </w:r>
      <w:r>
        <w:rPr>
          <w:spacing w:val="-3"/>
        </w:rPr>
        <w:t>、本公司对十九楼网络股份有限公司的持股比例为</w:t>
      </w:r>
      <w:r>
        <w:rPr>
          <w:rFonts w:ascii="Times New Roman" w:hAnsi="Times New Roman" w:cs="Times New Roman" w:eastAsia="Times New Roman" w:hint="default"/>
          <w:spacing w:val="-3"/>
        </w:rPr>
        <w:t>19.95%</w:t>
      </w:r>
      <w:r>
        <w:rPr>
          <w:spacing w:val="-3"/>
        </w:rPr>
        <w:t>，且董事会成员中</w:t>
      </w:r>
      <w:r>
        <w:rPr>
          <w:rFonts w:ascii="Times New Roman" w:hAnsi="Times New Roman" w:cs="Times New Roman" w:eastAsia="Times New Roman" w:hint="default"/>
          <w:spacing w:val="-3"/>
        </w:rPr>
        <w:t>5</w:t>
      </w:r>
      <w:r>
        <w:rPr>
          <w:spacing w:val="-3"/>
        </w:rPr>
        <w:t>人，其中本公司派遣</w:t>
      </w:r>
      <w:r>
        <w:rPr>
          <w:rFonts w:ascii="Times New Roman" w:hAnsi="Times New Roman" w:cs="Times New Roman" w:eastAsia="Times New Roman" w:hint="default"/>
          <w:spacing w:val="-3"/>
        </w:rPr>
        <w:t>1</w:t>
      </w:r>
      <w:r>
        <w:rPr>
          <w:spacing w:val="-3"/>
        </w:rPr>
        <w:t>人，另外</w:t>
      </w:r>
      <w:r>
        <w:rPr>
          <w:rFonts w:ascii="Times New Roman" w:hAnsi="Times New Roman" w:cs="Times New Roman" w:eastAsia="Times New Roman" w:hint="default"/>
          <w:spacing w:val="-3"/>
        </w:rPr>
        <w:t>1</w:t>
      </w:r>
      <w:r>
        <w:rPr>
          <w:spacing w:val="-3"/>
        </w:rPr>
        <w:t>名监事、</w:t>
      </w:r>
    </w:p>
    <w:p>
      <w:pPr>
        <w:spacing w:after="0" w:line="240" w:lineRule="auto"/>
        <w:jc w:val="left"/>
        <w:sectPr>
          <w:footerReference w:type="default" r:id="rId64"/>
          <w:pgSz w:w="11910" w:h="16840"/>
          <w:pgMar w:footer="982" w:header="0" w:top="1100" w:bottom="1180" w:left="980" w:right="0"/>
          <w:pgNumType w:start="152"/>
        </w:sectPr>
      </w:pPr>
    </w:p>
    <w:p>
      <w:pPr>
        <w:spacing w:line="240" w:lineRule="auto" w:before="12"/>
        <w:rPr>
          <w:rFonts w:ascii="宋体" w:hAnsi="宋体" w:cs="宋体" w:eastAsia="宋体" w:hint="default"/>
          <w:sz w:val="21"/>
          <w:szCs w:val="21"/>
        </w:rPr>
      </w:pPr>
    </w:p>
    <w:p>
      <w:pPr>
        <w:pStyle w:val="BodyText"/>
        <w:spacing w:line="240" w:lineRule="auto" w:before="44"/>
        <w:ind w:left="153" w:right="0"/>
        <w:jc w:val="left"/>
      </w:pPr>
      <w:r>
        <w:rPr>
          <w:rFonts w:ascii="Times New Roman" w:hAnsi="Times New Roman" w:cs="Times New Roman" w:eastAsia="Times New Roman" w:hint="default"/>
        </w:rPr>
        <w:t>1</w:t>
      </w:r>
      <w:r>
        <w:rPr/>
        <w:t>名监事会主席由本公司派遣，所以对其相关活动能够施加重大影响。</w:t>
      </w:r>
    </w:p>
    <w:p>
      <w:pPr>
        <w:pStyle w:val="BodyText"/>
        <w:spacing w:line="300" w:lineRule="auto" w:before="63"/>
        <w:ind w:left="153" w:right="0" w:firstLine="480"/>
        <w:jc w:val="left"/>
      </w:pPr>
      <w:r>
        <w:rPr>
          <w:rFonts w:ascii="Times New Roman" w:hAnsi="Times New Roman" w:cs="Times New Roman" w:eastAsia="Times New Roman" w:hint="default"/>
        </w:rPr>
        <w:t>2</w:t>
      </w:r>
      <w:r>
        <w:rPr/>
        <w:t>、本公司对德清今日传媒有限公司持股比例为</w:t>
      </w:r>
      <w:r>
        <w:rPr>
          <w:rFonts w:ascii="Times New Roman" w:hAnsi="Times New Roman" w:cs="Times New Roman" w:eastAsia="Times New Roman" w:hint="default"/>
        </w:rPr>
        <w:t>50.00%</w:t>
      </w:r>
      <w:r>
        <w:rPr/>
        <w:t>，且董事会成员中</w:t>
      </w:r>
      <w:r>
        <w:rPr>
          <w:rFonts w:ascii="Times New Roman" w:hAnsi="Times New Roman" w:cs="Times New Roman" w:eastAsia="Times New Roman" w:hint="default"/>
        </w:rPr>
        <w:t>3</w:t>
      </w:r>
      <w:r>
        <w:rPr/>
        <w:t>人，其中本公司派遣</w:t>
      </w:r>
      <w:r>
        <w:rPr>
          <w:rFonts w:ascii="Times New Roman" w:hAnsi="Times New Roman" w:cs="Times New Roman" w:eastAsia="Times New Roman" w:hint="default"/>
        </w:rPr>
        <w:t>2</w:t>
      </w:r>
      <w:r>
        <w:rPr/>
        <w:t>人，总经理由对方公</w:t>
      </w:r>
      <w:r>
        <w:rPr>
          <w:spacing w:val="1"/>
        </w:rPr>
        <w:t> </w:t>
      </w:r>
      <w:r>
        <w:rPr/>
        <w:t>司派遣，由于该公司重大经营决策需要股东双方共同同意，因此对德清今日传媒有限公司不构成控制。</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5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02" w:type="dxa"/>
            <w:tcBorders>
              <w:top w:val="single" w:sz="4" w:space="0" w:color="000000"/>
              <w:left w:val="single" w:sz="13" w:space="0" w:color="D3D3D3"/>
              <w:bottom w:val="single" w:sz="4" w:space="0" w:color="000000"/>
              <w:right w:val="single" w:sz="4" w:space="0" w:color="000000"/>
            </w:tcBorders>
            <w:shd w:val="clear" w:color="auto" w:fill="E1FFFF"/>
          </w:tcPr>
          <w:p>
            <w:pPr>
              <w:pStyle w:val="TableParagraph"/>
              <w:spacing w:line="240" w:lineRule="auto" w:before="52"/>
              <w:ind w:left="691" w:right="0"/>
              <w:jc w:val="left"/>
              <w:rPr>
                <w:rFonts w:ascii="宋体" w:hAnsi="宋体" w:cs="宋体" w:eastAsia="宋体" w:hint="default"/>
                <w:sz w:val="18"/>
                <w:szCs w:val="18"/>
              </w:rPr>
            </w:pPr>
            <w:r>
              <w:rPr>
                <w:rFonts w:ascii="宋体" w:hAnsi="宋体" w:cs="宋体" w:eastAsia="宋体" w:hint="default"/>
                <w:sz w:val="18"/>
                <w:szCs w:val="18"/>
              </w:rPr>
              <w:t>德清今日传媒有限公司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德清今日传媒有限公司</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3,544,912.47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5,407,225.86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3,464,745.54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3,845,448.29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2" w:type="dxa"/>
            <w:tcBorders>
              <w:top w:val="single" w:sz="4" w:space="0" w:color="000000"/>
              <w:left w:val="single" w:sz="13" w:space="0" w:color="D3D3D3"/>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684,379.96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3,544,912.47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6,091,605.82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109,953.55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1,176,838.51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109,953.55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1,176,838.51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3,434,958.92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4,914,767.31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1,717,479.46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2,457,383.66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对合营企业权益投资的账面价值</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1,313,341.58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2,553,245.78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1,720,813.27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3,945,034.95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-27,904.45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-21,543.36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43,778.70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84,148.77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-479,808.39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377,967.65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-479,808.39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377,967.65</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本年度收到的来自合营企业的股利</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00" w:bottom="1180" w:left="980" w:right="0"/>
        </w:sectPr>
      </w:pPr>
    </w:p>
    <w:p>
      <w:pPr>
        <w:spacing w:line="240" w:lineRule="auto" w:before="2"/>
        <w:rPr>
          <w:rFonts w:ascii="宋体" w:hAnsi="宋体" w:cs="宋体" w:eastAsia="宋体" w:hint="default"/>
          <w:sz w:val="24"/>
          <w:szCs w:val="24"/>
        </w:rPr>
      </w:pPr>
    </w:p>
    <w:p>
      <w:pPr>
        <w:pStyle w:val="Heading3"/>
        <w:spacing w:line="240" w:lineRule="auto"/>
        <w:ind w:left="139" w:right="0"/>
        <w:jc w:val="left"/>
        <w:rPr>
          <w:b w:val="0"/>
          <w:bCs w:val="0"/>
        </w:rPr>
      </w:pPr>
      <w:r>
        <w:rPr/>
        <w:pict>
          <v:group style="position:absolute;margin-left:70.490997pt;margin-top:-.396357pt;width:700.95pt;height:.1pt;mso-position-horizontal-relative:page;mso-position-vertical-relative:paragraph;z-index:2248" coordorigin="1410,-8" coordsize="14019,2">
            <v:shape style="position:absolute;left:1410;top:-8;width:14019;height:2" coordorigin="1410,-8" coordsize="14019,0" path="m1410,-8l15428,-8e" filled="false" stroked="true" strokeweight=".72pt" strokecolor="#000000">
              <v:path arrowok="t"/>
            </v:shape>
            <w10:wrap type="none"/>
          </v:group>
        </w:pict>
      </w:r>
      <w:r>
        <w:rPr>
          <w:w w:val="95"/>
        </w:rPr>
        <w:t>（</w:t>
      </w:r>
      <w:r>
        <w:rPr>
          <w:rFonts w:ascii="Times New Roman" w:hAnsi="Times New Roman" w:cs="Times New Roman" w:eastAsia="Times New Roman" w:hint="default"/>
          <w:w w:val="95"/>
        </w:rPr>
        <w:t>3</w:t>
      </w:r>
      <w:r>
        <w:rPr>
          <w:w w:val="95"/>
        </w:rPr>
        <w:t>）重要联营企业的主要财务信息</w:t>
      </w:r>
      <w:r>
        <w:rPr>
          <w:b w:val="0"/>
          <w:bCs w:val="0"/>
        </w:rPr>
      </w:r>
    </w:p>
    <w:p>
      <w:pPr>
        <w:pStyle w:val="BodyText"/>
        <w:spacing w:line="240" w:lineRule="auto" w:before="17"/>
        <w:ind w:left="139" w:right="0"/>
        <w:jc w:val="left"/>
      </w:pPr>
      <w:r>
        <w:rPr/>
        <w:br w:type="column"/>
      </w:r>
      <w:r>
        <w:rPr/>
        <w:t>浙江华媒控股股份有限公司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after="0" w:line="240" w:lineRule="auto"/>
        <w:jc w:val="left"/>
        <w:sectPr>
          <w:headerReference w:type="default" r:id="rId65"/>
          <w:footerReference w:type="default" r:id="rId66"/>
          <w:pgSz w:w="16840" w:h="11910" w:orient="landscape"/>
          <w:pgMar w:header="0" w:footer="0" w:top="800" w:bottom="0" w:left="1300" w:right="1300"/>
          <w:cols w:num="2" w:equalWidth="0">
            <w:col w:w="3407" w:space="6683"/>
            <w:col w:w="4150"/>
          </w:cols>
        </w:sectPr>
      </w:pPr>
    </w:p>
    <w:p>
      <w:pPr>
        <w:spacing w:line="240" w:lineRule="auto" w:before="3"/>
        <w:rPr>
          <w:rFonts w:ascii="宋体" w:hAnsi="宋体" w:cs="宋体" w:eastAsia="宋体" w:hint="default"/>
          <w:sz w:val="23"/>
          <w:szCs w:val="23"/>
        </w:rPr>
      </w:pPr>
    </w:p>
    <w:p>
      <w:pPr>
        <w:pStyle w:val="BodyText"/>
        <w:spacing w:line="240" w:lineRule="auto" w:before="44"/>
        <w:ind w:left="0" w:right="139"/>
        <w:jc w:val="right"/>
      </w:pPr>
      <w:r>
        <w:rPr/>
        <w:t>单位： 元</w:t>
      </w:r>
    </w:p>
    <w:p>
      <w:pPr>
        <w:spacing w:line="240" w:lineRule="auto" w:before="13"/>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1253"/>
        <w:gridCol w:w="1287"/>
        <w:gridCol w:w="1277"/>
        <w:gridCol w:w="1274"/>
        <w:gridCol w:w="1276"/>
        <w:gridCol w:w="1274"/>
        <w:gridCol w:w="1276"/>
        <w:gridCol w:w="1274"/>
        <w:gridCol w:w="1276"/>
        <w:gridCol w:w="1274"/>
        <w:gridCol w:w="1261"/>
      </w:tblGrid>
      <w:tr>
        <w:trPr>
          <w:trHeight w:val="323"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38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636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17" w:hRule="exact"/>
        </w:trPr>
        <w:tc>
          <w:tcPr>
            <w:tcW w:w="1253" w:type="dxa"/>
            <w:tcBorders>
              <w:top w:val="single" w:sz="4" w:space="0" w:color="000000"/>
              <w:left w:val="single" w:sz="4" w:space="0" w:color="000000"/>
              <w:bottom w:val="nil" w:sz="6" w:space="0" w:color="auto"/>
              <w:right w:val="single" w:sz="4" w:space="0" w:color="000000"/>
            </w:tcBorders>
            <w:shd w:val="clear" w:color="auto" w:fill="D3D3D3"/>
          </w:tcPr>
          <w:p>
            <w:pPr/>
          </w:p>
        </w:tc>
        <w:tc>
          <w:tcPr>
            <w:tcW w:w="1287" w:type="dxa"/>
            <w:vMerge w:val="restart"/>
            <w:tcBorders>
              <w:top w:val="single" w:sz="4" w:space="0" w:color="000000"/>
              <w:left w:val="single" w:sz="9" w:space="0" w:color="D3D3D3"/>
              <w:right w:val="single" w:sz="4" w:space="0" w:color="000000"/>
            </w:tcBorders>
            <w:shd w:val="clear" w:color="auto" w:fill="E1FFFF"/>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87" w:right="91" w:hanging="90"/>
              <w:jc w:val="left"/>
              <w:rPr>
                <w:rFonts w:ascii="宋体" w:hAnsi="宋体" w:cs="宋体" w:eastAsia="宋体" w:hint="default"/>
                <w:sz w:val="18"/>
                <w:szCs w:val="18"/>
              </w:rPr>
            </w:pPr>
            <w:r>
              <w:rPr>
                <w:rFonts w:ascii="宋体" w:hAnsi="宋体" w:cs="宋体" w:eastAsia="宋体" w:hint="default"/>
                <w:sz w:val="18"/>
                <w:szCs w:val="18"/>
              </w:rPr>
              <w:t>十九楼网络股 份有限公司</w:t>
            </w:r>
          </w:p>
        </w:tc>
        <w:tc>
          <w:tcPr>
            <w:tcW w:w="1277" w:type="dxa"/>
            <w:vMerge w:val="restart"/>
            <w:tcBorders>
              <w:top w:val="single" w:sz="4" w:space="0" w:color="000000"/>
              <w:left w:val="single" w:sz="4" w:space="0" w:color="000000"/>
              <w:right w:val="single" w:sz="4" w:space="0" w:color="000000"/>
            </w:tcBorders>
            <w:shd w:val="clear" w:color="auto" w:fill="E1FFFF"/>
          </w:tcPr>
          <w:p>
            <w:pPr>
              <w:pStyle w:val="TableParagraph"/>
              <w:spacing w:line="316" w:lineRule="auto" w:before="10"/>
              <w:ind w:left="93" w:right="91"/>
              <w:jc w:val="center"/>
              <w:rPr>
                <w:rFonts w:ascii="宋体" w:hAnsi="宋体" w:cs="宋体" w:eastAsia="宋体" w:hint="default"/>
                <w:sz w:val="18"/>
                <w:szCs w:val="18"/>
              </w:rPr>
            </w:pPr>
            <w:r>
              <w:rPr>
                <w:rFonts w:ascii="宋体" w:hAnsi="宋体" w:cs="宋体" w:eastAsia="宋体" w:hint="default"/>
                <w:sz w:val="18"/>
                <w:szCs w:val="18"/>
              </w:rPr>
              <w:t>杭州都快交通 久一点吧传媒 有限公司</w:t>
            </w:r>
          </w:p>
        </w:tc>
        <w:tc>
          <w:tcPr>
            <w:tcW w:w="1274" w:type="dxa"/>
            <w:vMerge w:val="restart"/>
            <w:tcBorders>
              <w:top w:val="single" w:sz="4" w:space="0" w:color="000000"/>
              <w:left w:val="single" w:sz="4" w:space="0" w:color="000000"/>
              <w:right w:val="single" w:sz="4" w:space="0" w:color="000000"/>
            </w:tcBorders>
            <w:shd w:val="clear" w:color="auto" w:fill="E1FFFF"/>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快点文化传播</w:t>
            </w:r>
          </w:p>
          <w:p>
            <w:pPr>
              <w:pStyle w:val="TableParagraph"/>
              <w:spacing w:line="316" w:lineRule="auto" w:before="76"/>
              <w:ind w:left="542" w:right="20" w:hanging="520"/>
              <w:jc w:val="left"/>
              <w:rPr>
                <w:rFonts w:ascii="宋体" w:hAnsi="宋体" w:cs="宋体" w:eastAsia="宋体" w:hint="default"/>
                <w:sz w:val="18"/>
                <w:szCs w:val="18"/>
              </w:rPr>
            </w:pPr>
            <w:r>
              <w:rPr>
                <w:rFonts w:ascii="宋体" w:hAnsi="宋体" w:cs="宋体" w:eastAsia="宋体" w:hint="default"/>
                <w:spacing w:val="-6"/>
                <w:sz w:val="18"/>
                <w:szCs w:val="18"/>
              </w:rPr>
              <w:t>（上海）有限公</w:t>
            </w:r>
            <w:r>
              <w:rPr>
                <w:rFonts w:ascii="宋体" w:hAnsi="宋体" w:cs="宋体" w:eastAsia="宋体" w:hint="default"/>
                <w:sz w:val="18"/>
                <w:szCs w:val="18"/>
              </w:rPr>
              <w:t> 司</w:t>
            </w:r>
          </w:p>
        </w:tc>
        <w:tc>
          <w:tcPr>
            <w:tcW w:w="1276" w:type="dxa"/>
            <w:vMerge w:val="restart"/>
            <w:tcBorders>
              <w:top w:val="single" w:sz="4" w:space="0" w:color="000000"/>
              <w:left w:val="single" w:sz="4" w:space="0" w:color="000000"/>
              <w:right w:val="single" w:sz="4" w:space="0" w:color="000000"/>
            </w:tcBorders>
            <w:shd w:val="clear" w:color="auto" w:fill="E1FFFF"/>
          </w:tcPr>
          <w:p>
            <w:pPr>
              <w:pStyle w:val="TableParagraph"/>
              <w:spacing w:line="316" w:lineRule="auto" w:before="10"/>
              <w:ind w:left="22" w:right="22"/>
              <w:jc w:val="center"/>
              <w:rPr>
                <w:rFonts w:ascii="宋体" w:hAnsi="宋体" w:cs="宋体" w:eastAsia="宋体" w:hint="default"/>
                <w:sz w:val="18"/>
                <w:szCs w:val="18"/>
              </w:rPr>
            </w:pPr>
            <w:r>
              <w:rPr>
                <w:rFonts w:ascii="宋体" w:hAnsi="宋体" w:cs="宋体" w:eastAsia="宋体" w:hint="default"/>
                <w:sz w:val="18"/>
                <w:szCs w:val="18"/>
              </w:rPr>
              <w:t>布朗时代（北 </w:t>
            </w:r>
            <w:r>
              <w:rPr>
                <w:rFonts w:ascii="宋体" w:hAnsi="宋体" w:cs="宋体" w:eastAsia="宋体" w:hint="default"/>
                <w:spacing w:val="-6"/>
                <w:sz w:val="18"/>
                <w:szCs w:val="18"/>
              </w:rPr>
              <w:t>京）教育投资有</w:t>
            </w:r>
            <w:r>
              <w:rPr>
                <w:rFonts w:ascii="宋体" w:hAnsi="宋体" w:cs="宋体" w:eastAsia="宋体" w:hint="default"/>
                <w:sz w:val="18"/>
                <w:szCs w:val="18"/>
              </w:rPr>
              <w:t> 限公司</w:t>
            </w:r>
          </w:p>
        </w:tc>
        <w:tc>
          <w:tcPr>
            <w:tcW w:w="1274" w:type="dxa"/>
            <w:vMerge w:val="restart"/>
            <w:tcBorders>
              <w:top w:val="single" w:sz="4" w:space="0" w:color="000000"/>
              <w:left w:val="single" w:sz="4" w:space="0" w:color="000000"/>
              <w:right w:val="single" w:sz="4" w:space="0" w:color="000000"/>
            </w:tcBorders>
            <w:shd w:val="clear" w:color="auto" w:fill="E1FFFF"/>
          </w:tcPr>
          <w:p>
            <w:pPr>
              <w:pStyle w:val="TableParagraph"/>
              <w:spacing w:line="316" w:lineRule="auto" w:before="10"/>
              <w:ind w:left="22" w:right="20"/>
              <w:jc w:val="center"/>
              <w:rPr>
                <w:rFonts w:ascii="宋体" w:hAnsi="宋体" w:cs="宋体" w:eastAsia="宋体" w:hint="default"/>
                <w:sz w:val="18"/>
                <w:szCs w:val="18"/>
              </w:rPr>
            </w:pPr>
            <w:r>
              <w:rPr>
                <w:rFonts w:ascii="宋体" w:hAnsi="宋体" w:cs="宋体" w:eastAsia="宋体" w:hint="default"/>
                <w:sz w:val="18"/>
                <w:szCs w:val="18"/>
              </w:rPr>
              <w:t>布朗睿智（北 </w:t>
            </w:r>
            <w:r>
              <w:rPr>
                <w:rFonts w:ascii="宋体" w:hAnsi="宋体" w:cs="宋体" w:eastAsia="宋体" w:hint="default"/>
                <w:spacing w:val="-6"/>
                <w:sz w:val="18"/>
                <w:szCs w:val="18"/>
              </w:rPr>
              <w:t>京）国际教育科</w:t>
            </w:r>
            <w:r>
              <w:rPr>
                <w:rFonts w:ascii="宋体" w:hAnsi="宋体" w:cs="宋体" w:eastAsia="宋体" w:hint="default"/>
                <w:sz w:val="18"/>
                <w:szCs w:val="18"/>
              </w:rPr>
              <w:t> 技有限公司</w:t>
            </w:r>
          </w:p>
        </w:tc>
        <w:tc>
          <w:tcPr>
            <w:tcW w:w="1276" w:type="dxa"/>
            <w:vMerge w:val="restart"/>
            <w:tcBorders>
              <w:top w:val="single" w:sz="4" w:space="0" w:color="000000"/>
              <w:left w:val="single" w:sz="4" w:space="0" w:color="000000"/>
              <w:right w:val="single" w:sz="4" w:space="0" w:color="000000"/>
            </w:tcBorders>
            <w:shd w:val="clear" w:color="auto" w:fill="E1FFFF"/>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82" w:right="91" w:hanging="90"/>
              <w:jc w:val="left"/>
              <w:rPr>
                <w:rFonts w:ascii="宋体" w:hAnsi="宋体" w:cs="宋体" w:eastAsia="宋体" w:hint="default"/>
                <w:sz w:val="18"/>
                <w:szCs w:val="18"/>
              </w:rPr>
            </w:pPr>
            <w:r>
              <w:rPr>
                <w:rFonts w:ascii="宋体" w:hAnsi="宋体" w:cs="宋体" w:eastAsia="宋体" w:hint="default"/>
                <w:sz w:val="18"/>
                <w:szCs w:val="18"/>
              </w:rPr>
              <w:t>十九楼网络股 份有限公司</w:t>
            </w:r>
          </w:p>
        </w:tc>
        <w:tc>
          <w:tcPr>
            <w:tcW w:w="1274" w:type="dxa"/>
            <w:vMerge w:val="restart"/>
            <w:tcBorders>
              <w:top w:val="single" w:sz="4" w:space="0" w:color="000000"/>
              <w:left w:val="single" w:sz="4" w:space="0" w:color="000000"/>
              <w:right w:val="single" w:sz="4" w:space="0" w:color="000000"/>
            </w:tcBorders>
            <w:shd w:val="clear" w:color="auto" w:fill="E1FFFF"/>
          </w:tcPr>
          <w:p>
            <w:pPr>
              <w:pStyle w:val="TableParagraph"/>
              <w:spacing w:line="316" w:lineRule="auto" w:before="10"/>
              <w:ind w:left="92" w:right="90"/>
              <w:jc w:val="center"/>
              <w:rPr>
                <w:rFonts w:ascii="宋体" w:hAnsi="宋体" w:cs="宋体" w:eastAsia="宋体" w:hint="default"/>
                <w:sz w:val="18"/>
                <w:szCs w:val="18"/>
              </w:rPr>
            </w:pPr>
            <w:r>
              <w:rPr>
                <w:rFonts w:ascii="宋体" w:hAnsi="宋体" w:cs="宋体" w:eastAsia="宋体" w:hint="default"/>
                <w:sz w:val="18"/>
                <w:szCs w:val="18"/>
              </w:rPr>
              <w:t>杭州都快交通 久一点吧传媒 有限公司</w:t>
            </w:r>
          </w:p>
        </w:tc>
        <w:tc>
          <w:tcPr>
            <w:tcW w:w="1276" w:type="dxa"/>
            <w:vMerge w:val="restart"/>
            <w:tcBorders>
              <w:top w:val="single" w:sz="4" w:space="0" w:color="000000"/>
              <w:left w:val="single" w:sz="4" w:space="0" w:color="000000"/>
              <w:right w:val="single" w:sz="4" w:space="0" w:color="000000"/>
            </w:tcBorders>
            <w:shd w:val="clear" w:color="auto" w:fill="E1FFFF"/>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快点文化传播</w:t>
            </w:r>
          </w:p>
          <w:p>
            <w:pPr>
              <w:pStyle w:val="TableParagraph"/>
              <w:spacing w:line="316" w:lineRule="auto" w:before="76"/>
              <w:ind w:left="542" w:right="22" w:hanging="520"/>
              <w:jc w:val="left"/>
              <w:rPr>
                <w:rFonts w:ascii="宋体" w:hAnsi="宋体" w:cs="宋体" w:eastAsia="宋体" w:hint="default"/>
                <w:sz w:val="18"/>
                <w:szCs w:val="18"/>
              </w:rPr>
            </w:pPr>
            <w:r>
              <w:rPr>
                <w:rFonts w:ascii="宋体" w:hAnsi="宋体" w:cs="宋体" w:eastAsia="宋体" w:hint="default"/>
                <w:spacing w:val="-6"/>
                <w:sz w:val="18"/>
                <w:szCs w:val="18"/>
              </w:rPr>
              <w:t>（上海）有限公</w:t>
            </w:r>
            <w:r>
              <w:rPr>
                <w:rFonts w:ascii="宋体" w:hAnsi="宋体" w:cs="宋体" w:eastAsia="宋体" w:hint="default"/>
                <w:sz w:val="18"/>
                <w:szCs w:val="18"/>
              </w:rPr>
              <w:t> 司</w:t>
            </w:r>
          </w:p>
        </w:tc>
        <w:tc>
          <w:tcPr>
            <w:tcW w:w="1274" w:type="dxa"/>
            <w:vMerge w:val="restart"/>
            <w:tcBorders>
              <w:top w:val="single" w:sz="4" w:space="0" w:color="000000"/>
              <w:left w:val="single" w:sz="4" w:space="0" w:color="000000"/>
              <w:right w:val="single" w:sz="4" w:space="0" w:color="000000"/>
            </w:tcBorders>
            <w:shd w:val="clear" w:color="auto" w:fill="E1FFFF"/>
          </w:tcPr>
          <w:p>
            <w:pPr>
              <w:pStyle w:val="TableParagraph"/>
              <w:spacing w:line="316" w:lineRule="auto" w:before="10"/>
              <w:ind w:left="22" w:right="20"/>
              <w:jc w:val="center"/>
              <w:rPr>
                <w:rFonts w:ascii="宋体" w:hAnsi="宋体" w:cs="宋体" w:eastAsia="宋体" w:hint="default"/>
                <w:sz w:val="18"/>
                <w:szCs w:val="18"/>
              </w:rPr>
            </w:pPr>
            <w:r>
              <w:rPr>
                <w:rFonts w:ascii="宋体" w:hAnsi="宋体" w:cs="宋体" w:eastAsia="宋体" w:hint="default"/>
                <w:sz w:val="18"/>
                <w:szCs w:val="18"/>
              </w:rPr>
              <w:t>布朗时代（北 </w:t>
            </w:r>
            <w:r>
              <w:rPr>
                <w:rFonts w:ascii="宋体" w:hAnsi="宋体" w:cs="宋体" w:eastAsia="宋体" w:hint="default"/>
                <w:spacing w:val="-6"/>
                <w:sz w:val="18"/>
                <w:szCs w:val="18"/>
              </w:rPr>
              <w:t>京）教育投资有</w:t>
            </w:r>
            <w:r>
              <w:rPr>
                <w:rFonts w:ascii="宋体" w:hAnsi="宋体" w:cs="宋体" w:eastAsia="宋体" w:hint="default"/>
                <w:sz w:val="18"/>
                <w:szCs w:val="18"/>
              </w:rPr>
              <w:t> 限公司</w:t>
            </w:r>
          </w:p>
        </w:tc>
        <w:tc>
          <w:tcPr>
            <w:tcW w:w="1261" w:type="dxa"/>
            <w:vMerge w:val="restart"/>
            <w:tcBorders>
              <w:top w:val="single" w:sz="4" w:space="0" w:color="000000"/>
              <w:left w:val="single" w:sz="4" w:space="0" w:color="000000"/>
              <w:right w:val="single" w:sz="4" w:space="0" w:color="000000"/>
            </w:tcBorders>
            <w:shd w:val="clear" w:color="auto" w:fill="E1FFFF"/>
          </w:tcPr>
          <w:p>
            <w:pPr>
              <w:pStyle w:val="TableParagraph"/>
              <w:spacing w:line="316" w:lineRule="auto" w:before="10"/>
              <w:ind w:left="22" w:right="22"/>
              <w:jc w:val="center"/>
              <w:rPr>
                <w:rFonts w:ascii="宋体" w:hAnsi="宋体" w:cs="宋体" w:eastAsia="宋体" w:hint="default"/>
                <w:sz w:val="18"/>
                <w:szCs w:val="18"/>
              </w:rPr>
            </w:pPr>
            <w:r>
              <w:rPr>
                <w:rFonts w:ascii="宋体" w:hAnsi="宋体" w:cs="宋体" w:eastAsia="宋体" w:hint="default"/>
                <w:sz w:val="18"/>
                <w:szCs w:val="18"/>
              </w:rPr>
              <w:t>布朗睿智（北 </w:t>
            </w:r>
            <w:r>
              <w:rPr>
                <w:rFonts w:ascii="宋体" w:hAnsi="宋体" w:cs="宋体" w:eastAsia="宋体" w:hint="default"/>
                <w:spacing w:val="-8"/>
                <w:sz w:val="18"/>
                <w:szCs w:val="18"/>
              </w:rPr>
              <w:t>京）国际教育科</w:t>
            </w:r>
            <w:r>
              <w:rPr>
                <w:rFonts w:ascii="宋体" w:hAnsi="宋体" w:cs="宋体" w:eastAsia="宋体" w:hint="default"/>
                <w:sz w:val="18"/>
                <w:szCs w:val="18"/>
              </w:rPr>
              <w:t> 技有限公司</w:t>
            </w:r>
          </w:p>
        </w:tc>
      </w:tr>
      <w:tr>
        <w:trPr>
          <w:trHeight w:val="312" w:hRule="exact"/>
        </w:trPr>
        <w:tc>
          <w:tcPr>
            <w:tcW w:w="1253" w:type="dxa"/>
            <w:tcBorders>
              <w:top w:val="nil" w:sz="6" w:space="0" w:color="auto"/>
              <w:left w:val="single" w:sz="4" w:space="0" w:color="000000"/>
              <w:bottom w:val="nil" w:sz="6" w:space="0" w:color="auto"/>
              <w:right w:val="single" w:sz="4" w:space="0" w:color="000000"/>
            </w:tcBorders>
            <w:shd w:val="clear" w:color="auto" w:fill="D3D3D3"/>
          </w:tcPr>
          <w:p>
            <w:pPr/>
          </w:p>
        </w:tc>
        <w:tc>
          <w:tcPr>
            <w:tcW w:w="1287" w:type="dxa"/>
            <w:vMerge/>
            <w:tcBorders>
              <w:left w:val="single" w:sz="9" w:space="0" w:color="D3D3D3"/>
              <w:right w:val="single" w:sz="4" w:space="0" w:color="000000"/>
            </w:tcBorders>
            <w:shd w:val="clear" w:color="auto" w:fill="E1FFFF"/>
          </w:tcPr>
          <w:p>
            <w:pPr/>
          </w:p>
        </w:tc>
        <w:tc>
          <w:tcPr>
            <w:tcW w:w="1277" w:type="dxa"/>
            <w:vMerge/>
            <w:tcBorders>
              <w:left w:val="single" w:sz="4" w:space="0" w:color="000000"/>
              <w:right w:val="single" w:sz="4" w:space="0" w:color="000000"/>
            </w:tcBorders>
            <w:shd w:val="clear" w:color="auto" w:fill="E1FFFF"/>
          </w:tcPr>
          <w:p>
            <w:pPr/>
          </w:p>
        </w:tc>
        <w:tc>
          <w:tcPr>
            <w:tcW w:w="1274" w:type="dxa"/>
            <w:vMerge/>
            <w:tcBorders>
              <w:left w:val="single" w:sz="4" w:space="0" w:color="000000"/>
              <w:right w:val="single" w:sz="4" w:space="0" w:color="000000"/>
            </w:tcBorders>
            <w:shd w:val="clear" w:color="auto" w:fill="E1FFFF"/>
          </w:tcPr>
          <w:p>
            <w:pPr/>
          </w:p>
        </w:tc>
        <w:tc>
          <w:tcPr>
            <w:tcW w:w="1276" w:type="dxa"/>
            <w:vMerge/>
            <w:tcBorders>
              <w:left w:val="single" w:sz="4" w:space="0" w:color="000000"/>
              <w:right w:val="single" w:sz="4" w:space="0" w:color="000000"/>
            </w:tcBorders>
            <w:shd w:val="clear" w:color="auto" w:fill="E1FFFF"/>
          </w:tcPr>
          <w:p>
            <w:pPr/>
          </w:p>
        </w:tc>
        <w:tc>
          <w:tcPr>
            <w:tcW w:w="1274" w:type="dxa"/>
            <w:vMerge/>
            <w:tcBorders>
              <w:left w:val="single" w:sz="4" w:space="0" w:color="000000"/>
              <w:right w:val="single" w:sz="4" w:space="0" w:color="000000"/>
            </w:tcBorders>
            <w:shd w:val="clear" w:color="auto" w:fill="E1FFFF"/>
          </w:tcPr>
          <w:p>
            <w:pPr/>
          </w:p>
        </w:tc>
        <w:tc>
          <w:tcPr>
            <w:tcW w:w="1276" w:type="dxa"/>
            <w:vMerge/>
            <w:tcBorders>
              <w:left w:val="single" w:sz="4" w:space="0" w:color="000000"/>
              <w:right w:val="single" w:sz="4" w:space="0" w:color="000000"/>
            </w:tcBorders>
            <w:shd w:val="clear" w:color="auto" w:fill="E1FFFF"/>
          </w:tcPr>
          <w:p>
            <w:pPr/>
          </w:p>
        </w:tc>
        <w:tc>
          <w:tcPr>
            <w:tcW w:w="1274" w:type="dxa"/>
            <w:vMerge/>
            <w:tcBorders>
              <w:left w:val="single" w:sz="4" w:space="0" w:color="000000"/>
              <w:right w:val="single" w:sz="4" w:space="0" w:color="000000"/>
            </w:tcBorders>
            <w:shd w:val="clear" w:color="auto" w:fill="E1FFFF"/>
          </w:tcPr>
          <w:p>
            <w:pPr/>
          </w:p>
        </w:tc>
        <w:tc>
          <w:tcPr>
            <w:tcW w:w="1276" w:type="dxa"/>
            <w:vMerge/>
            <w:tcBorders>
              <w:left w:val="single" w:sz="4" w:space="0" w:color="000000"/>
              <w:right w:val="single" w:sz="4" w:space="0" w:color="000000"/>
            </w:tcBorders>
            <w:shd w:val="clear" w:color="auto" w:fill="E1FFFF"/>
          </w:tcPr>
          <w:p>
            <w:pPr/>
          </w:p>
        </w:tc>
        <w:tc>
          <w:tcPr>
            <w:tcW w:w="1274" w:type="dxa"/>
            <w:vMerge/>
            <w:tcBorders>
              <w:left w:val="single" w:sz="4" w:space="0" w:color="000000"/>
              <w:right w:val="single" w:sz="4" w:space="0" w:color="000000"/>
            </w:tcBorders>
            <w:shd w:val="clear" w:color="auto" w:fill="E1FFFF"/>
          </w:tcPr>
          <w:p>
            <w:pPr/>
          </w:p>
        </w:tc>
        <w:tc>
          <w:tcPr>
            <w:tcW w:w="1261" w:type="dxa"/>
            <w:vMerge/>
            <w:tcBorders>
              <w:left w:val="single" w:sz="4" w:space="0" w:color="000000"/>
              <w:right w:val="single" w:sz="4" w:space="0" w:color="000000"/>
            </w:tcBorders>
            <w:shd w:val="clear" w:color="auto" w:fill="E1FFFF"/>
          </w:tcPr>
          <w:p>
            <w:pPr/>
          </w:p>
        </w:tc>
      </w:tr>
      <w:tr>
        <w:trPr>
          <w:trHeight w:val="317" w:hRule="exact"/>
        </w:trPr>
        <w:tc>
          <w:tcPr>
            <w:tcW w:w="1253" w:type="dxa"/>
            <w:tcBorders>
              <w:top w:val="nil" w:sz="6" w:space="0" w:color="auto"/>
              <w:left w:val="single" w:sz="4" w:space="0" w:color="000000"/>
              <w:bottom w:val="single" w:sz="4" w:space="0" w:color="000000"/>
              <w:right w:val="single" w:sz="4" w:space="0" w:color="000000"/>
            </w:tcBorders>
            <w:shd w:val="clear" w:color="auto" w:fill="D3D3D3"/>
          </w:tcPr>
          <w:p>
            <w:pPr/>
          </w:p>
        </w:tc>
        <w:tc>
          <w:tcPr>
            <w:tcW w:w="1287" w:type="dxa"/>
            <w:vMerge/>
            <w:tcBorders>
              <w:left w:val="single" w:sz="9" w:space="0" w:color="D3D3D3"/>
              <w:bottom w:val="single" w:sz="4" w:space="0" w:color="000000"/>
              <w:right w:val="single" w:sz="4" w:space="0" w:color="000000"/>
            </w:tcBorders>
            <w:shd w:val="clear" w:color="auto" w:fill="E1FFFF"/>
          </w:tcPr>
          <w:p>
            <w:pPr/>
          </w:p>
        </w:tc>
        <w:tc>
          <w:tcPr>
            <w:tcW w:w="1277" w:type="dxa"/>
            <w:vMerge/>
            <w:tcBorders>
              <w:left w:val="single" w:sz="4" w:space="0" w:color="000000"/>
              <w:bottom w:val="single" w:sz="4" w:space="0" w:color="000000"/>
              <w:right w:val="single" w:sz="4" w:space="0" w:color="000000"/>
            </w:tcBorders>
            <w:shd w:val="clear" w:color="auto" w:fill="E1FFFF"/>
          </w:tcPr>
          <w:p>
            <w:pPr/>
          </w:p>
        </w:tc>
        <w:tc>
          <w:tcPr>
            <w:tcW w:w="1274" w:type="dxa"/>
            <w:vMerge/>
            <w:tcBorders>
              <w:left w:val="single" w:sz="4" w:space="0" w:color="000000"/>
              <w:bottom w:val="single" w:sz="4" w:space="0" w:color="000000"/>
              <w:right w:val="single" w:sz="4" w:space="0" w:color="000000"/>
            </w:tcBorders>
            <w:shd w:val="clear" w:color="auto" w:fill="E1FFFF"/>
          </w:tcPr>
          <w:p>
            <w:pPr/>
          </w:p>
        </w:tc>
        <w:tc>
          <w:tcPr>
            <w:tcW w:w="1276" w:type="dxa"/>
            <w:vMerge/>
            <w:tcBorders>
              <w:left w:val="single" w:sz="4" w:space="0" w:color="000000"/>
              <w:bottom w:val="single" w:sz="4" w:space="0" w:color="000000"/>
              <w:right w:val="single" w:sz="4" w:space="0" w:color="000000"/>
            </w:tcBorders>
            <w:shd w:val="clear" w:color="auto" w:fill="E1FFFF"/>
          </w:tcPr>
          <w:p>
            <w:pPr/>
          </w:p>
        </w:tc>
        <w:tc>
          <w:tcPr>
            <w:tcW w:w="1274" w:type="dxa"/>
            <w:vMerge/>
            <w:tcBorders>
              <w:left w:val="single" w:sz="4" w:space="0" w:color="000000"/>
              <w:bottom w:val="single" w:sz="4" w:space="0" w:color="000000"/>
              <w:right w:val="single" w:sz="4" w:space="0" w:color="000000"/>
            </w:tcBorders>
            <w:shd w:val="clear" w:color="auto" w:fill="E1FFFF"/>
          </w:tcPr>
          <w:p>
            <w:pPr/>
          </w:p>
        </w:tc>
        <w:tc>
          <w:tcPr>
            <w:tcW w:w="1276" w:type="dxa"/>
            <w:vMerge/>
            <w:tcBorders>
              <w:left w:val="single" w:sz="4" w:space="0" w:color="000000"/>
              <w:bottom w:val="single" w:sz="4" w:space="0" w:color="000000"/>
              <w:right w:val="single" w:sz="4" w:space="0" w:color="000000"/>
            </w:tcBorders>
            <w:shd w:val="clear" w:color="auto" w:fill="E1FFFF"/>
          </w:tcPr>
          <w:p>
            <w:pPr/>
          </w:p>
        </w:tc>
        <w:tc>
          <w:tcPr>
            <w:tcW w:w="1274" w:type="dxa"/>
            <w:vMerge/>
            <w:tcBorders>
              <w:left w:val="single" w:sz="4" w:space="0" w:color="000000"/>
              <w:bottom w:val="single" w:sz="4" w:space="0" w:color="000000"/>
              <w:right w:val="single" w:sz="4" w:space="0" w:color="000000"/>
            </w:tcBorders>
            <w:shd w:val="clear" w:color="auto" w:fill="E1FFFF"/>
          </w:tcPr>
          <w:p>
            <w:pPr/>
          </w:p>
        </w:tc>
        <w:tc>
          <w:tcPr>
            <w:tcW w:w="1276" w:type="dxa"/>
            <w:vMerge/>
            <w:tcBorders>
              <w:left w:val="single" w:sz="4" w:space="0" w:color="000000"/>
              <w:bottom w:val="single" w:sz="4" w:space="0" w:color="000000"/>
              <w:right w:val="single" w:sz="4" w:space="0" w:color="000000"/>
            </w:tcBorders>
            <w:shd w:val="clear" w:color="auto" w:fill="E1FFFF"/>
          </w:tcPr>
          <w:p>
            <w:pPr/>
          </w:p>
        </w:tc>
        <w:tc>
          <w:tcPr>
            <w:tcW w:w="1274" w:type="dxa"/>
            <w:vMerge/>
            <w:tcBorders>
              <w:left w:val="single" w:sz="4" w:space="0" w:color="000000"/>
              <w:bottom w:val="single" w:sz="4" w:space="0" w:color="000000"/>
              <w:right w:val="single" w:sz="4" w:space="0" w:color="000000"/>
            </w:tcBorders>
            <w:shd w:val="clear" w:color="auto" w:fill="E1FFFF"/>
          </w:tcPr>
          <w:p>
            <w:pPr/>
          </w:p>
        </w:tc>
        <w:tc>
          <w:tcPr>
            <w:tcW w:w="1261" w:type="dxa"/>
            <w:vMerge/>
            <w:tcBorders>
              <w:left w:val="single" w:sz="4" w:space="0" w:color="000000"/>
              <w:bottom w:val="single" w:sz="4" w:space="0" w:color="000000"/>
              <w:right w:val="single" w:sz="4" w:space="0" w:color="000000"/>
            </w:tcBorders>
            <w:shd w:val="clear" w:color="auto" w:fill="E1FFFF"/>
          </w:tcPr>
          <w:p>
            <w:pPr/>
          </w:p>
        </w:tc>
      </w:tr>
      <w:tr>
        <w:trPr>
          <w:trHeight w:val="322"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2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205,869,972.68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115,016,387.46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208,060,172.56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45,469,083.38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69,563,163.89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215,673,596.13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109,041,913.96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178,258,512.09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54,563,586.19</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47,473,488.90</w:t>
            </w:r>
          </w:p>
        </w:tc>
      </w:tr>
      <w:tr>
        <w:trPr>
          <w:trHeight w:val="323"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2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22,637,853.39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18,202.81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1,827,895.78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53,853,837.28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12,556,836.80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21,634,927.99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19,075.22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1,710,656.39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13,332,333.02</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13,904,399.76</w:t>
            </w:r>
          </w:p>
        </w:tc>
      </w:tr>
      <w:tr>
        <w:trPr>
          <w:trHeight w:val="322"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2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228,507,826.07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115,034,590.27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209,888,068.34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99,322,920.66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82,120,000.69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237,308,524.12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109,060,989.18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179,969,168.48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67,895,919.21</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61,377,888.66</w:t>
            </w:r>
          </w:p>
        </w:tc>
      </w:tr>
      <w:tr>
        <w:trPr>
          <w:trHeight w:val="322"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28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45,557,440.90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9,548,252.42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21,230,702.15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75,333,049.12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11,163,891.96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50,099,530.96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8,349,320.83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23,428,193.21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52,420,910.14</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4,315,831.73</w:t>
            </w:r>
          </w:p>
        </w:tc>
      </w:tr>
      <w:tr>
        <w:trPr>
          <w:trHeight w:val="323"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287" w:type="dxa"/>
            <w:tcBorders>
              <w:top w:val="single" w:sz="4" w:space="0" w:color="000000"/>
              <w:left w:val="single" w:sz="13" w:space="0" w:color="D3D3D3"/>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850,763.39</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1,214,288.18</w:t>
            </w:r>
          </w:p>
        </w:tc>
        <w:tc>
          <w:tcPr>
            <w:tcW w:w="12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2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45,557,440.90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9,548,252.42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21,230,702.15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76,183,812.51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11,163,891.96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50,099,530.96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8,349,320.83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23,428,193.21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53,635,198.32</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4,315,831.73</w:t>
            </w:r>
          </w:p>
        </w:tc>
      </w:tr>
      <w:tr>
        <w:trPr>
          <w:trHeight w:val="322"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2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7,090,104.13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2,519,976.97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-1,173,727.50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5,779,800.26</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2,182,341.52</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1"/>
              <w:ind w:left="11" w:right="149"/>
              <w:jc w:val="left"/>
              <w:rPr>
                <w:rFonts w:ascii="宋体" w:hAnsi="宋体" w:cs="宋体" w:eastAsia="宋体" w:hint="default"/>
                <w:sz w:val="18"/>
                <w:szCs w:val="18"/>
              </w:rPr>
            </w:pPr>
            <w:r>
              <w:rPr>
                <w:rFonts w:ascii="宋体" w:hAnsi="宋体" w:cs="宋体" w:eastAsia="宋体" w:hint="default"/>
                <w:sz w:val="18"/>
                <w:szCs w:val="18"/>
              </w:rPr>
              <w:t>归属于母公司 股东权益</w:t>
            </w:r>
          </w:p>
        </w:tc>
        <w:tc>
          <w:tcPr>
            <w:tcW w:w="12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175,860,281.04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105,486,337.85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186,137,389.22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24,312,835.65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70,956,108.73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181,429,192.90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100,711,668.35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154,358,633.75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14,260,720.89</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57,062,056.93</w:t>
            </w:r>
          </w:p>
        </w:tc>
      </w:tr>
      <w:tr>
        <w:trPr>
          <w:trHeight w:val="946"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11" w:right="149"/>
              <w:jc w:val="both"/>
              <w:rPr>
                <w:rFonts w:ascii="宋体" w:hAnsi="宋体" w:cs="宋体" w:eastAsia="宋体" w:hint="default"/>
                <w:sz w:val="18"/>
                <w:szCs w:val="18"/>
              </w:rPr>
            </w:pPr>
            <w:r>
              <w:rPr>
                <w:rFonts w:ascii="宋体" w:hAnsi="宋体" w:cs="宋体" w:eastAsia="宋体" w:hint="default"/>
                <w:sz w:val="18"/>
                <w:szCs w:val="18"/>
              </w:rPr>
              <w:t>按持股比例计 算的净资产份 额</w:t>
            </w:r>
          </w:p>
        </w:tc>
        <w:tc>
          <w:tcPr>
            <w:tcW w:w="12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35,084,126.07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47,468,852.03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72,593,581.80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8,752,620.83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25,544,199.14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36,195,123.98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45,320,250.76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60,199,867.16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4,278,216.27</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17,118,617.08</w:t>
            </w:r>
          </w:p>
        </w:tc>
      </w:tr>
      <w:tr>
        <w:trPr>
          <w:trHeight w:val="634"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10"/>
              <w:ind w:left="11"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 现利润</w:t>
            </w:r>
          </w:p>
        </w:tc>
        <w:tc>
          <w:tcPr>
            <w:tcW w:w="1287" w:type="dxa"/>
            <w:tcBorders>
              <w:top w:val="single" w:sz="4" w:space="0" w:color="000000"/>
              <w:left w:val="single" w:sz="13" w:space="0" w:color="D3D3D3"/>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281,302.51</w:t>
            </w:r>
          </w:p>
        </w:tc>
      </w:tr>
      <w:tr>
        <w:trPr>
          <w:trHeight w:val="947"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1"/>
              <w:ind w:left="11" w:right="149"/>
              <w:jc w:val="both"/>
              <w:rPr>
                <w:rFonts w:ascii="宋体" w:hAnsi="宋体" w:cs="宋体" w:eastAsia="宋体" w:hint="default"/>
                <w:sz w:val="18"/>
                <w:szCs w:val="18"/>
              </w:rPr>
            </w:pPr>
            <w:r>
              <w:rPr>
                <w:rFonts w:ascii="宋体" w:hAnsi="宋体" w:cs="宋体" w:eastAsia="宋体" w:hint="default"/>
                <w:sz w:val="18"/>
                <w:szCs w:val="18"/>
              </w:rPr>
              <w:t>对联营企业权 益投资的账面 价值</w:t>
            </w:r>
          </w:p>
        </w:tc>
        <w:tc>
          <w:tcPr>
            <w:tcW w:w="12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35,208,147.22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44,374,072.63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219,645,915.63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60,015,394.35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135,181,128.31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36,275,869.03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42,225,471.35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207,252,201.00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47,579,373.31</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109,110,864.36</w:t>
            </w:r>
          </w:p>
        </w:tc>
      </w:tr>
      <w:tr>
        <w:trPr>
          <w:trHeight w:val="322"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132,133,668.98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91,754,207.15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236,574,283.92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138,630,759.71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61,124,463.35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127,404,235.69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92,028,034.08</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79,026,639.67</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27,348,207.87</w:t>
            </w:r>
          </w:p>
        </w:tc>
      </w:tr>
      <w:tr>
        <w:trPr>
          <w:trHeight w:val="322"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2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-3,694,646.89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22,974,669.50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32,116,390.92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14,952,407.80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30,488,637.32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7,102,618.15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22,778,059.58</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8,363,244.38</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14,218,850.36</w:t>
            </w:r>
          </w:p>
        </w:tc>
      </w:tr>
      <w:tr>
        <w:trPr>
          <w:trHeight w:val="323"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2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-3,694,646.89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22,974,669.50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32,116,390.92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14,952,407.80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30,488,637.32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7,102,618.15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22,778,059.58</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8,363,244.38</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14,218,850.36</w:t>
            </w:r>
          </w:p>
        </w:tc>
      </w:tr>
      <w:tr>
        <w:trPr>
          <w:trHeight w:val="946"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11" w:right="149"/>
              <w:jc w:val="both"/>
              <w:rPr>
                <w:rFonts w:ascii="宋体" w:hAnsi="宋体" w:cs="宋体" w:eastAsia="宋体" w:hint="default"/>
                <w:sz w:val="18"/>
                <w:szCs w:val="18"/>
              </w:rPr>
            </w:pPr>
            <w:r>
              <w:rPr>
                <w:rFonts w:ascii="宋体" w:hAnsi="宋体" w:cs="宋体" w:eastAsia="宋体" w:hint="default"/>
                <w:sz w:val="18"/>
                <w:szCs w:val="18"/>
              </w:rPr>
              <w:t>本年度收到的 来自联营企业 的股利</w:t>
            </w:r>
          </w:p>
        </w:tc>
        <w:tc>
          <w:tcPr>
            <w:tcW w:w="1287" w:type="dxa"/>
            <w:tcBorders>
              <w:top w:val="single" w:sz="4" w:space="0" w:color="000000"/>
              <w:left w:val="single" w:sz="13" w:space="0" w:color="D3D3D3"/>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8,190,000.00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1,289,287.42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4,200,000.00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4,189,500.00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8,190,000.00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ind w:left="0" w:right="139"/>
        <w:jc w:val="right"/>
        <w:rPr>
          <w:rFonts w:ascii="Times New Roman" w:hAnsi="Times New Roman" w:cs="Times New Roman" w:eastAsia="Times New Roman" w:hint="default"/>
        </w:rPr>
      </w:pPr>
      <w:r>
        <w:rPr>
          <w:rFonts w:ascii="Times New Roman"/>
        </w:rPr>
        <w:t>154</w:t>
      </w: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3"/>
          <w:szCs w:val="23"/>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7" name="image1.jpeg" descr=""/>
            <wp:cNvGraphicFramePr>
              <a:graphicFrameLocks noChangeAspect="1"/>
            </wp:cNvGraphicFramePr>
            <a:graphic>
              <a:graphicData uri="http://schemas.openxmlformats.org/drawingml/2006/picture">
                <pic:pic>
                  <pic:nvPicPr>
                    <pic:cNvPr id="8" name="image1.jpeg"/>
                    <pic:cNvPicPr/>
                  </pic:nvPicPr>
                  <pic:blipFill>
                    <a:blip r:embed="rId14"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060" w:bottom="1180" w:left="1300" w:right="1300"/>
        </w:sectPr>
      </w:pPr>
    </w:p>
    <w:p>
      <w:pPr>
        <w:spacing w:line="240" w:lineRule="auto" w:before="7"/>
        <w:rPr>
          <w:rFonts w:ascii="Times New Roman" w:hAnsi="Times New Roman" w:cs="Times New Roman" w:eastAsia="Times New Roman" w:hint="default"/>
          <w:sz w:val="23"/>
          <w:szCs w:val="23"/>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96"/>
        <w:gridCol w:w="3075"/>
        <w:gridCol w:w="3186"/>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4"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154,042,455.85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88,357,448.84</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4"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2,553,171.55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201,616.28</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7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132,213.68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2,190,121.44</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2,685,385.23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2,391,737.72</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4"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4"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both"/>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both"/>
        <w:rPr>
          <w:b w:val="0"/>
          <w:bCs w:val="0"/>
        </w:rPr>
      </w:pP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153" w:right="1131" w:firstLine="480"/>
        <w:jc w:val="both"/>
      </w:pPr>
      <w:r>
        <w:rPr>
          <w:spacing w:val="-1"/>
        </w:rPr>
        <w:t>本公司的主要金融工具包括股权投资、借款、应收账款、应付账款等，各项金融工具的详细情况说明见本附注七相关</w:t>
      </w:r>
      <w:r>
        <w:rPr/>
        <w:t> </w:t>
      </w:r>
      <w:r>
        <w:rPr>
          <w:spacing w:val="-2"/>
        </w:rPr>
        <w:t>项目。与这些金融工具有关的风险，以及本公司为降低这些风险所采取的风险管理政策如下所述。本公司管理层对这些风险</w:t>
      </w:r>
      <w:r>
        <w:rPr>
          <w:spacing w:val="-66"/>
        </w:rPr>
        <w:t> </w:t>
      </w:r>
      <w:r>
        <w:rPr>
          <w:spacing w:val="-66"/>
        </w:rPr>
      </w:r>
      <w:r>
        <w:rPr/>
        <w:t>敞口进行管理和监控以确保将上述风险控制在限定的范围之内。</w:t>
      </w:r>
    </w:p>
    <w:p>
      <w:pPr>
        <w:pStyle w:val="BodyText"/>
        <w:spacing w:line="316" w:lineRule="auto" w:before="19"/>
        <w:ind w:left="153" w:right="1131" w:firstLine="480"/>
        <w:jc w:val="both"/>
      </w:pPr>
      <w:r>
        <w:rPr>
          <w:spacing w:val="-1"/>
        </w:rPr>
        <w:t>本公司采用敏感性分析技术分析风险变量的合理、可能变化对当期损益或股东权益可能产生的影响。由于任何风险变</w:t>
      </w:r>
      <w:r>
        <w:rPr/>
        <w:t> </w:t>
      </w:r>
      <w:r>
        <w:rPr>
          <w:spacing w:val="-2"/>
        </w:rPr>
        <w:t>量很少孤立地发生变化，而变量之间存在的相关性对某一风险变量的变化的最终影响金额将产生重大作用，因此下述内容是</w:t>
      </w:r>
      <w:r>
        <w:rPr>
          <w:spacing w:val="-64"/>
        </w:rPr>
        <w:t> </w:t>
      </w:r>
      <w:r>
        <w:rPr>
          <w:spacing w:val="-64"/>
        </w:rPr>
      </w:r>
      <w:r>
        <w:rPr/>
        <w:t>在假设每一变量的变化是在独立的情况下进行的。</w:t>
      </w:r>
    </w:p>
    <w:p>
      <w:pPr>
        <w:spacing w:line="316" w:lineRule="auto" w:before="19"/>
        <w:ind w:left="633" w:right="0" w:firstLine="0"/>
        <w:jc w:val="left"/>
        <w:rPr>
          <w:rFonts w:ascii="宋体" w:hAnsi="宋体" w:cs="宋体" w:eastAsia="宋体" w:hint="default"/>
          <w:sz w:val="18"/>
          <w:szCs w:val="18"/>
        </w:rPr>
      </w:pPr>
      <w:r>
        <w:rPr>
          <w:rFonts w:ascii="宋体" w:hAnsi="宋体" w:cs="宋体" w:eastAsia="宋体" w:hint="default"/>
          <w:b/>
          <w:bCs/>
          <w:sz w:val="18"/>
          <w:szCs w:val="18"/>
        </w:rPr>
        <w:t>（一）风险管理目标和政策</w:t>
      </w:r>
      <w:r>
        <w:rPr>
          <w:rFonts w:ascii="宋体" w:hAnsi="宋体" w:cs="宋体" w:eastAsia="宋体" w:hint="default"/>
          <w:b/>
          <w:bCs/>
          <w:w w:val="99"/>
          <w:sz w:val="18"/>
          <w:szCs w:val="18"/>
        </w:rPr>
        <w:t> </w:t>
      </w:r>
      <w:r>
        <w:rPr>
          <w:rFonts w:ascii="宋体" w:hAnsi="宋体" w:cs="宋体" w:eastAsia="宋体" w:hint="default"/>
          <w:spacing w:val="-1"/>
          <w:sz w:val="18"/>
          <w:szCs w:val="18"/>
        </w:rPr>
        <w:t>本公司从事风险管理的目标是在风险和收益之间取得适当的平衡，将风险对本公司经营业绩的负面影响降低到最低水</w:t>
      </w:r>
    </w:p>
    <w:p>
      <w:pPr>
        <w:pStyle w:val="BodyText"/>
        <w:spacing w:line="316" w:lineRule="auto" w:before="19"/>
        <w:ind w:left="153" w:right="1131"/>
        <w:jc w:val="both"/>
      </w:pPr>
      <w:r>
        <w:rPr>
          <w:spacing w:val="-2"/>
        </w:rPr>
        <w:t>平，使股东及其其他权益投资者的利益最大化。基于该风险管理目标，本公司风险管理的基本策略是确定和分析本公司所面</w:t>
      </w:r>
      <w:r>
        <w:rPr>
          <w:spacing w:val="-66"/>
        </w:rPr>
        <w:t> </w:t>
      </w:r>
      <w:r>
        <w:rPr>
          <w:spacing w:val="-66"/>
        </w:rPr>
      </w:r>
      <w:r>
        <w:rPr>
          <w:spacing w:val="-2"/>
        </w:rPr>
        <w:t>临的各种风险，建立适当的风险承受底线和进行风险管理，并及时可靠地对各种风险进行监督，将风险控制在限定的范围之</w:t>
      </w:r>
      <w:r>
        <w:rPr>
          <w:spacing w:val="-66"/>
        </w:rPr>
        <w:t> </w:t>
      </w:r>
      <w:r>
        <w:rPr>
          <w:spacing w:val="-66"/>
        </w:rPr>
      </w:r>
      <w:r>
        <w:rPr/>
        <w:t>内。</w:t>
      </w:r>
    </w:p>
    <w:p>
      <w:pPr>
        <w:pStyle w:val="Heading4"/>
        <w:spacing w:line="240" w:lineRule="auto" w:before="19"/>
        <w:ind w:left="633" w:right="0"/>
        <w:jc w:val="left"/>
        <w:rPr>
          <w:b w:val="0"/>
          <w:bCs w:val="0"/>
        </w:rPr>
      </w:pPr>
      <w:r>
        <w:rPr>
          <w:rFonts w:ascii="Times New Roman" w:hAnsi="Times New Roman" w:cs="Times New Roman" w:eastAsia="Times New Roman" w:hint="default"/>
        </w:rPr>
        <w:t>1</w:t>
      </w:r>
      <w:r>
        <w:rPr/>
        <w:t>、市场风险</w:t>
      </w:r>
      <w:r>
        <w:rPr>
          <w:b w:val="0"/>
          <w:bCs w:val="0"/>
        </w:rPr>
      </w:r>
    </w:p>
    <w:p>
      <w:pPr>
        <w:pStyle w:val="BodyText"/>
        <w:spacing w:line="240" w:lineRule="auto" w:before="63"/>
        <w:ind w:left="634" w:right="0"/>
        <w:jc w:val="left"/>
      </w:pPr>
      <w:r>
        <w:rPr/>
        <w:t>（</w:t>
      </w:r>
      <w:r>
        <w:rPr>
          <w:rFonts w:ascii="Times New Roman" w:hAnsi="Times New Roman" w:cs="Times New Roman" w:eastAsia="Times New Roman" w:hint="default"/>
        </w:rPr>
        <w:t>1</w:t>
      </w:r>
      <w:r>
        <w:rPr/>
        <w:t>）外汇风险</w:t>
      </w:r>
    </w:p>
    <w:p>
      <w:pPr>
        <w:spacing w:after="0" w:line="240" w:lineRule="auto"/>
        <w:jc w:val="left"/>
        <w:sectPr>
          <w:footerReference w:type="default" r:id="rId67"/>
          <w:pgSz w:w="11910" w:h="16840"/>
          <w:pgMar w:footer="982" w:header="0" w:top="1100" w:bottom="1180" w:left="980" w:right="0"/>
          <w:pgNumType w:start="155"/>
        </w:sectPr>
      </w:pPr>
    </w:p>
    <w:p>
      <w:pPr>
        <w:spacing w:line="240" w:lineRule="auto" w:before="12"/>
        <w:rPr>
          <w:rFonts w:ascii="宋体" w:hAnsi="宋体" w:cs="宋体" w:eastAsia="宋体" w:hint="default"/>
          <w:sz w:val="21"/>
          <w:szCs w:val="21"/>
        </w:rPr>
      </w:pPr>
    </w:p>
    <w:p>
      <w:pPr>
        <w:pStyle w:val="BodyText"/>
        <w:spacing w:line="316" w:lineRule="auto" w:before="44"/>
        <w:ind w:left="153" w:right="1131" w:firstLine="480"/>
        <w:jc w:val="both"/>
      </w:pPr>
      <w:r>
        <w:rPr>
          <w:spacing w:val="-1"/>
        </w:rPr>
        <w:t>外汇风险是因汇率变动产生的风险。本公司于中国内地经营，且活动以人民币计价。因此，本公司受到汇率变动风险</w:t>
      </w:r>
      <w:r>
        <w:rPr/>
        <w:t> 的影响不大。</w:t>
      </w:r>
    </w:p>
    <w:p>
      <w:pPr>
        <w:pStyle w:val="BodyText"/>
        <w:spacing w:line="300" w:lineRule="auto" w:before="19"/>
        <w:ind w:left="633" w:right="0"/>
        <w:jc w:val="left"/>
      </w:pPr>
      <w:r>
        <w:rPr/>
        <w:t>（</w:t>
      </w:r>
      <w:r>
        <w:rPr>
          <w:rFonts w:ascii="Times New Roman" w:hAnsi="Times New Roman" w:cs="Times New Roman" w:eastAsia="Times New Roman" w:hint="default"/>
        </w:rPr>
        <w:t>2</w:t>
      </w:r>
      <w:r>
        <w:rPr/>
        <w:t>）利率风险－现金流量变动风险 </w:t>
      </w:r>
      <w:r>
        <w:rPr>
          <w:spacing w:val="-1"/>
        </w:rPr>
        <w:t>利率风险，是指金融工具的公允价值或未来现金流量因市场利率变动而发生波动的风险。本公司面临的市场利率变动</w:t>
      </w:r>
    </w:p>
    <w:p>
      <w:pPr>
        <w:pStyle w:val="BodyText"/>
        <w:spacing w:line="240" w:lineRule="auto" w:before="31"/>
        <w:ind w:left="153" w:right="0"/>
        <w:jc w:val="left"/>
      </w:pPr>
      <w:r>
        <w:rPr>
          <w:spacing w:val="11"/>
        </w:rPr>
        <w:t>的风险主要与本公司以浮动利率计息的借款有关。截至</w:t>
      </w:r>
      <w:r>
        <w:rPr>
          <w:rFonts w:ascii="Times New Roman" w:hAnsi="Times New Roman" w:cs="Times New Roman" w:eastAsia="Times New Roman" w:hint="default"/>
          <w:spacing w:val="11"/>
        </w:rPr>
        <w:t>2018</w:t>
      </w:r>
      <w:r>
        <w:rPr>
          <w:spacing w:val="11"/>
        </w:rPr>
        <w:t>年</w:t>
      </w:r>
      <w:r>
        <w:rPr>
          <w:rFonts w:ascii="Times New Roman" w:hAnsi="Times New Roman" w:cs="Times New Roman" w:eastAsia="Times New Roman" w:hint="default"/>
          <w:spacing w:val="11"/>
        </w:rPr>
        <w:t>12</w:t>
      </w:r>
      <w:r>
        <w:rPr>
          <w:spacing w:val="11"/>
        </w:rPr>
        <w:t>月</w:t>
      </w:r>
      <w:r>
        <w:rPr>
          <w:rFonts w:ascii="Times New Roman" w:hAnsi="Times New Roman" w:cs="Times New Roman" w:eastAsia="Times New Roman" w:hint="default"/>
          <w:spacing w:val="11"/>
        </w:rPr>
        <w:t>31</w:t>
      </w:r>
      <w:r>
        <w:rPr>
          <w:spacing w:val="11"/>
        </w:rPr>
        <w:t>日，本公司以浮动利率计息的银行借款人民币</w:t>
      </w:r>
      <w:r>
        <w:rPr/>
      </w:r>
    </w:p>
    <w:p>
      <w:pPr>
        <w:pStyle w:val="BodyText"/>
        <w:spacing w:line="240" w:lineRule="auto" w:before="63"/>
        <w:ind w:left="153" w:right="0"/>
        <w:jc w:val="left"/>
      </w:pPr>
      <w:r>
        <w:rPr>
          <w:rFonts w:ascii="Times New Roman" w:hAnsi="Times New Roman" w:cs="Times New Roman" w:eastAsia="Times New Roman" w:hint="default"/>
          <w:spacing w:val="-3"/>
        </w:rPr>
        <w:t>60,630,023.75</w:t>
      </w:r>
      <w:r>
        <w:rPr>
          <w:spacing w:val="-3"/>
        </w:rPr>
        <w:t>元，在其他变量不变的假设下，假定利率变动</w:t>
      </w:r>
      <w:r>
        <w:rPr>
          <w:rFonts w:ascii="Times New Roman" w:hAnsi="Times New Roman" w:cs="Times New Roman" w:eastAsia="Times New Roman" w:hint="default"/>
          <w:spacing w:val="-3"/>
        </w:rPr>
        <w:t>50</w:t>
      </w:r>
      <w:r>
        <w:rPr>
          <w:spacing w:val="-3"/>
        </w:rPr>
        <w:t>个基准点，不会对本公司的利润总额和股东权益产生重大影响。</w:t>
      </w:r>
    </w:p>
    <w:p>
      <w:pPr>
        <w:pStyle w:val="BodyText"/>
        <w:spacing w:line="309" w:lineRule="auto" w:before="63"/>
        <w:ind w:left="633" w:right="1991"/>
        <w:jc w:val="left"/>
        <w:rPr>
          <w:rFonts w:ascii="宋体" w:hAnsi="宋体" w:cs="宋体" w:eastAsia="宋体" w:hint="default"/>
        </w:rPr>
      </w:pPr>
      <w:r>
        <w:rPr/>
        <w:t>（</w:t>
      </w:r>
      <w:r>
        <w:rPr>
          <w:rFonts w:ascii="Times New Roman" w:hAnsi="Times New Roman" w:cs="Times New Roman" w:eastAsia="Times New Roman" w:hint="default"/>
        </w:rPr>
        <w:t>3</w:t>
      </w:r>
      <w:r>
        <w:rPr/>
        <w:t>）其他价格风险 本公司管理层认为金融资产、金融负债的摊余成本与公允价值无重大差异，市场价格风险是可以接受的。 </w:t>
      </w:r>
      <w:r>
        <w:rPr>
          <w:rFonts w:ascii="Times New Roman" w:hAnsi="Times New Roman" w:cs="Times New Roman" w:eastAsia="Times New Roman" w:hint="default"/>
          <w:b/>
          <w:bCs/>
        </w:rPr>
        <w:t>2</w:t>
      </w:r>
      <w:r>
        <w:rPr>
          <w:rFonts w:ascii="宋体" w:hAnsi="宋体" w:cs="宋体" w:eastAsia="宋体" w:hint="default"/>
          <w:b/>
          <w:bCs/>
        </w:rPr>
        <w:t>、信用风险</w:t>
      </w:r>
      <w:r>
        <w:rPr>
          <w:rFonts w:ascii="宋体" w:hAnsi="宋体" w:cs="宋体" w:eastAsia="宋体" w:hint="default"/>
        </w:rPr>
      </w:r>
    </w:p>
    <w:p>
      <w:pPr>
        <w:pStyle w:val="BodyText"/>
        <w:spacing w:line="300" w:lineRule="auto" w:before="5"/>
        <w:ind w:left="153" w:right="1130" w:firstLine="480"/>
        <w:jc w:val="both"/>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日，可能引起本公司财务损失的最大信用风险敞口主要来自于合同另一方未能履行义务而导致本公司金</w:t>
      </w:r>
      <w:r>
        <w:rPr/>
        <w:t> 融资产产生的损失以及本公司承担的财务担保，具体包括：合并资产负债表中已确认的金融资产的账面金额。</w:t>
      </w:r>
    </w:p>
    <w:p>
      <w:pPr>
        <w:pStyle w:val="BodyText"/>
        <w:spacing w:line="316" w:lineRule="auto" w:before="31"/>
        <w:ind w:left="153" w:right="1130" w:firstLine="480"/>
        <w:jc w:val="both"/>
      </w:pPr>
      <w:r>
        <w:rPr>
          <w:spacing w:val="-1"/>
        </w:rPr>
        <w:t>为降低信用风险，本公司有相应部门负责确定信用额度、进行信用审批，并执行其他监控程序以确保采取必要的措施</w:t>
      </w:r>
      <w:r>
        <w:rPr/>
        <w:t> </w:t>
      </w:r>
      <w:r>
        <w:rPr>
          <w:spacing w:val="-2"/>
        </w:rPr>
        <w:t>回收过期债权。此外，本公司于每个资产负债表日审核每一单项应收款的回收情况，以确保就无法回收的款项计提充分的坏</w:t>
      </w:r>
      <w:r>
        <w:rPr>
          <w:spacing w:val="-66"/>
        </w:rPr>
        <w:t> </w:t>
      </w:r>
      <w:r>
        <w:rPr>
          <w:spacing w:val="-66"/>
        </w:rPr>
      </w:r>
      <w:r>
        <w:rPr/>
        <w:t>账准备。因此，本公司管理层认为本公司所承担的信用风险已经大为降低。</w:t>
      </w:r>
    </w:p>
    <w:p>
      <w:pPr>
        <w:pStyle w:val="BodyText"/>
        <w:spacing w:line="316" w:lineRule="auto" w:before="19"/>
        <w:ind w:left="633" w:right="0"/>
        <w:jc w:val="left"/>
      </w:pPr>
      <w:r>
        <w:rPr/>
        <w:t>本公司的流动资金存放在信用评级较高的银行，故流动资金的信用风险较低。 已发生单项减值的金融资产的分析，包括判断该金融资产发生减值所考虑的因素。 </w:t>
      </w:r>
      <w:r>
        <w:rPr>
          <w:spacing w:val="-1"/>
        </w:rPr>
        <w:t>本公司采用了必要的政策确保所有销售客户均具有良好的信用记录。除下表所列项目外，本公司无其他重大信用集中</w:t>
      </w:r>
    </w:p>
    <w:p>
      <w:pPr>
        <w:pStyle w:val="BodyText"/>
        <w:spacing w:line="240" w:lineRule="auto" w:before="19"/>
        <w:ind w:left="153" w:right="0"/>
        <w:jc w:val="left"/>
      </w:pPr>
      <w:r>
        <w:rPr/>
        <w:t>风险。</w:t>
      </w:r>
    </w:p>
    <w:p>
      <w:pPr>
        <w:spacing w:line="240" w:lineRule="auto" w:before="5"/>
        <w:rPr>
          <w:rFonts w:ascii="宋体" w:hAnsi="宋体" w:cs="宋体" w:eastAsia="宋体" w:hint="default"/>
          <w:sz w:val="5"/>
          <w:szCs w:val="5"/>
        </w:rPr>
      </w:pPr>
    </w:p>
    <w:tbl>
      <w:tblPr>
        <w:tblW w:w="0" w:type="auto"/>
        <w:jc w:val="left"/>
        <w:tblInd w:w="139" w:type="dxa"/>
        <w:tblLayout w:type="fixed"/>
        <w:tblCellMar>
          <w:top w:w="0" w:type="dxa"/>
          <w:left w:w="0" w:type="dxa"/>
          <w:bottom w:w="0" w:type="dxa"/>
          <w:right w:w="0" w:type="dxa"/>
        </w:tblCellMar>
        <w:tblLook w:val="01E0"/>
      </w:tblPr>
      <w:tblGrid>
        <w:gridCol w:w="5292"/>
        <w:gridCol w:w="2183"/>
        <w:gridCol w:w="2183"/>
      </w:tblGrid>
      <w:tr>
        <w:trPr>
          <w:trHeight w:val="337" w:hRule="exact"/>
        </w:trPr>
        <w:tc>
          <w:tcPr>
            <w:tcW w:w="529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8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年末数</w:t>
            </w:r>
          </w:p>
        </w:tc>
        <w:tc>
          <w:tcPr>
            <w:tcW w:w="218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2" w:hRule="exact"/>
        </w:trPr>
        <w:tc>
          <w:tcPr>
            <w:tcW w:w="529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昆山永丰余广告印务有限公司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10,839,490.06</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10,839,490.06</w:t>
            </w: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上海靓讯工贸有限公司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8,244,156.48</w:t>
            </w:r>
          </w:p>
        </w:tc>
        <w:tc>
          <w:tcPr>
            <w:tcW w:w="218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上海富行文化传播有限公司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1,245,279.80</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1,345,279.80</w:t>
            </w: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上海逸领电子商务有限公司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1,283,963.73</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1,283,963.73</w:t>
            </w: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上海永丰余印务有限公司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983,890.80</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983,890.80</w:t>
            </w: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上海恒泰书报刊发行有限公司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974,697.84</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974,697.84</w:t>
            </w: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上海馨恬邮购有限公司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827,404.00</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827,404.00</w:t>
            </w: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上海山垦印业有限公司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670,000.00</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670,000.00</w:t>
            </w: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上海尚居广告传播有限公司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495,680.00</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495,680.00</w:t>
            </w: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杭州奖门人广告有限公司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480,000.00</w:t>
            </w:r>
          </w:p>
        </w:tc>
        <w:tc>
          <w:tcPr>
            <w:tcW w:w="218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上海优莎丽姬</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402,000.00</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402,000.00</w:t>
            </w: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杭州诚耀速递有限公司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328,563.70</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328,563.70</w:t>
            </w: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杭州百安锦图广告有限公司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319,000.00</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319,000.00</w:t>
            </w: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杭州腾新房地产开发有限公司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243,400.00</w:t>
            </w:r>
          </w:p>
        </w:tc>
        <w:tc>
          <w:tcPr>
            <w:tcW w:w="218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杭州尚诚置业有限公司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237,365.74</w:t>
            </w:r>
          </w:p>
        </w:tc>
        <w:tc>
          <w:tcPr>
            <w:tcW w:w="218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浙江中意房地产开发有限公司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232,578.00</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270,000.00</w:t>
            </w: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上海余峰文化传播有限公司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175,540.00</w:t>
            </w:r>
          </w:p>
        </w:tc>
        <w:tc>
          <w:tcPr>
            <w:tcW w:w="218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云墨文化传播有限公司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168,900.00</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168,900.00</w:t>
            </w: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杭州国际旅行社有限公司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138,400.00</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138,400.00</w:t>
            </w: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杭州合源房地产开发有限公司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137,375.00</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137,375.00</w:t>
            </w: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金华华美整形医院有限责任公司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112,000.00</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112,000.00</w:t>
            </w: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杭州汗城汤泉健康管理有限公司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104,250.00</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104,250.00</w:t>
            </w: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杭州欣华置业有限公司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101,886.79</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101,886.79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39" w:type="dxa"/>
        <w:tblLayout w:type="fixed"/>
        <w:tblCellMar>
          <w:top w:w="0" w:type="dxa"/>
          <w:left w:w="0" w:type="dxa"/>
          <w:bottom w:w="0" w:type="dxa"/>
          <w:right w:w="0" w:type="dxa"/>
        </w:tblCellMar>
        <w:tblLook w:val="01E0"/>
      </w:tblPr>
      <w:tblGrid>
        <w:gridCol w:w="5292"/>
        <w:gridCol w:w="2183"/>
        <w:gridCol w:w="2183"/>
      </w:tblGrid>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浙江盛和居发展有限公司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66,944.88</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80,000.00</w:t>
            </w: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乐视体育文化产业发展（北京）有限公司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65,000.00</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65,000.00</w:t>
            </w: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天工艺苑股份有限公司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40,000.00</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40,000.00</w:t>
            </w: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杭州慧力包装印刷有限公司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36,364.40</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36,364.40</w:t>
            </w: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梵尔纳餐饮有限公司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34,000.00</w:t>
            </w:r>
          </w:p>
        </w:tc>
        <w:tc>
          <w:tcPr>
            <w:tcW w:w="218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浙江南奥文化创意有限公司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38,867.92</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38,867.92</w:t>
            </w: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上海新熠实业有限公司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33,601.74</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33,601.74</w:t>
            </w: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乐视</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33,000.00</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33,000.00</w:t>
            </w: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杭州市余杭区博文教育培训中心</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30,000.00</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30,000.00</w:t>
            </w: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杭州金都水灵有限公司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25,000.00</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25,000.00</w:t>
            </w: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杭州桃花源度假村有限公司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20,000.00</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20,000.00</w:t>
            </w: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湖北日报传媒集团</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14,980.00</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14,980.00</w:t>
            </w: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杭州益文广告有限公司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14,200.00</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14,200.00</w:t>
            </w: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杭州奕玥广告有限公司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11,900.00</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11,900.00</w:t>
            </w: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其他个人</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6,168.00</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6,168.00</w:t>
            </w: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德胜社区</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5,000.00</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5,000.00</w:t>
            </w: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双荡弄社区</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5,000.00</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5,000.00</w:t>
            </w: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石塘社区</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5,000.00</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5,000.00</w:t>
            </w: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杭州龙禧硅谷酒店有限公司福朋喜来登酒店</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5,000.00</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5,000.00</w:t>
            </w: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浙江信宇房地产开发有限公司</w:t>
            </w:r>
          </w:p>
        </w:tc>
        <w:tc>
          <w:tcPr>
            <w:tcW w:w="2183" w:type="dxa"/>
            <w:tcBorders>
              <w:top w:val="single" w:sz="4" w:space="0" w:color="000000"/>
              <w:left w:val="single" w:sz="4" w:space="0" w:color="000000"/>
              <w:bottom w:val="single" w:sz="4" w:space="0" w:color="000000"/>
              <w:right w:val="single" w:sz="4" w:space="0" w:color="000000"/>
            </w:tcBorders>
          </w:tcPr>
          <w:p>
            <w:pP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4,000.00</w:t>
            </w: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中国电信股份有限公司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300.00</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300.00</w:t>
            </w: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29,236,148.88</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19,976,163.78</w:t>
            </w:r>
          </w:p>
        </w:tc>
      </w:tr>
    </w:tbl>
    <w:p>
      <w:pPr>
        <w:pStyle w:val="BodyText"/>
        <w:spacing w:line="300" w:lineRule="auto" w:before="10"/>
        <w:ind w:left="634" w:right="1117"/>
        <w:jc w:val="left"/>
      </w:pPr>
      <w:r>
        <w:rPr>
          <w:rFonts w:ascii="Times New Roman" w:hAnsi="Times New Roman" w:cs="Times New Roman" w:eastAsia="Times New Roman" w:hint="default"/>
          <w:b/>
          <w:bCs/>
        </w:rPr>
        <w:t>3</w:t>
      </w:r>
      <w:r>
        <w:rPr>
          <w:rFonts w:ascii="宋体" w:hAnsi="宋体" w:cs="宋体" w:eastAsia="宋体" w:hint="default"/>
          <w:b/>
          <w:bCs/>
        </w:rPr>
        <w:t>、流动风险</w:t>
      </w:r>
      <w:r>
        <w:rPr>
          <w:rFonts w:ascii="宋体" w:hAnsi="宋体" w:cs="宋体" w:eastAsia="宋体" w:hint="default"/>
          <w:b/>
          <w:bCs/>
          <w:spacing w:val="1"/>
          <w:w w:val="99"/>
        </w:rPr>
        <w:t> </w:t>
      </w:r>
      <w:r>
        <w:rPr>
          <w:spacing w:val="-1"/>
        </w:rPr>
        <w:t>管理流动风险时，本公司保持管理层认为充分的现金及现金等价物并对其进行监控，以满足本公司经营需要，并降低</w:t>
      </w:r>
    </w:p>
    <w:p>
      <w:pPr>
        <w:pStyle w:val="BodyText"/>
        <w:spacing w:line="316" w:lineRule="auto" w:before="31"/>
        <w:ind w:left="633" w:right="3551" w:hanging="480"/>
        <w:jc w:val="left"/>
      </w:pPr>
      <w:r>
        <w:rPr/>
        <w:t>现金流量波动的影响。本公司管理层对银行借款的使用情况进行监控并确保遵守借款协议。 本公司持有的金融负债按未折现剩余合同义务的到期期限分析如下：</w:t>
      </w:r>
    </w:p>
    <w:tbl>
      <w:tblPr>
        <w:tblW w:w="0" w:type="auto"/>
        <w:jc w:val="left"/>
        <w:tblInd w:w="139" w:type="dxa"/>
        <w:tblLayout w:type="fixed"/>
        <w:tblCellMar>
          <w:top w:w="0" w:type="dxa"/>
          <w:left w:w="0" w:type="dxa"/>
          <w:bottom w:w="0" w:type="dxa"/>
          <w:right w:w="0" w:type="dxa"/>
        </w:tblCellMar>
        <w:tblLook w:val="01E0"/>
      </w:tblPr>
      <w:tblGrid>
        <w:gridCol w:w="1265"/>
        <w:gridCol w:w="1495"/>
        <w:gridCol w:w="1387"/>
        <w:gridCol w:w="1408"/>
        <w:gridCol w:w="1404"/>
        <w:gridCol w:w="1333"/>
        <w:gridCol w:w="1366"/>
      </w:tblGrid>
      <w:tr>
        <w:trPr>
          <w:trHeight w:val="342" w:hRule="exact"/>
        </w:trPr>
        <w:tc>
          <w:tcPr>
            <w:tcW w:w="126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9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left="38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8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right="59"/>
              <w:jc w:val="right"/>
              <w:rPr>
                <w:rFonts w:ascii="宋体" w:hAnsi="宋体" w:cs="宋体" w:eastAsia="宋体" w:hint="default"/>
                <w:sz w:val="18"/>
                <w:szCs w:val="18"/>
              </w:rPr>
            </w:pPr>
            <w:r>
              <w:rPr>
                <w:rFonts w:ascii="宋体" w:hAnsi="宋体" w:cs="宋体" w:eastAsia="宋体" w:hint="default"/>
                <w:sz w:val="18"/>
                <w:szCs w:val="18"/>
              </w:rPr>
              <w:t>未折现合同金额</w:t>
            </w:r>
          </w:p>
        </w:tc>
        <w:tc>
          <w:tcPr>
            <w:tcW w:w="140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33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36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342"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216,450,000.00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216,450,000.00</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216,450,000.00</w:t>
            </w:r>
          </w:p>
        </w:tc>
        <w:tc>
          <w:tcPr>
            <w:tcW w:w="1404"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52,234,777.00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52,234,777.00</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52,234,777.00</w:t>
            </w:r>
          </w:p>
        </w:tc>
        <w:tc>
          <w:tcPr>
            <w:tcW w:w="1404"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131,214,391.21</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131,214,391.21</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109,136,254.66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15,325,060.52</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6,082,796.94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670,279.09</w:t>
            </w:r>
          </w:p>
        </w:tc>
      </w:tr>
      <w:tr>
        <w:trPr>
          <w:trHeight w:val="342"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414,136.59</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414,136.59</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414,136.59</w:t>
            </w:r>
          </w:p>
        </w:tc>
        <w:tc>
          <w:tcPr>
            <w:tcW w:w="1404"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169,675,330.88</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169,675,330.88</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42,905,885.40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45,609,659.17</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76,679,608.24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4,480,178.07</w:t>
            </w:r>
          </w:p>
        </w:tc>
      </w:tr>
      <w:tr>
        <w:trPr>
          <w:trHeight w:val="654"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68"/>
              <w:jc w:val="left"/>
              <w:rPr>
                <w:rFonts w:ascii="宋体" w:hAnsi="宋体" w:cs="宋体" w:eastAsia="宋体" w:hint="default"/>
                <w:sz w:val="18"/>
                <w:szCs w:val="18"/>
              </w:rPr>
            </w:pPr>
            <w:r>
              <w:rPr>
                <w:rFonts w:ascii="宋体" w:hAnsi="宋体" w:cs="宋体" w:eastAsia="宋体" w:hint="default"/>
                <w:sz w:val="18"/>
                <w:szCs w:val="18"/>
              </w:rPr>
              <w:t>一年内到期的 非流动负债</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30,250,000.00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30,250,000.00</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30,250,000.00</w:t>
            </w:r>
          </w:p>
        </w:tc>
        <w:tc>
          <w:tcPr>
            <w:tcW w:w="1404"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30,380,023.75</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30,380,023.75</w:t>
            </w:r>
          </w:p>
        </w:tc>
        <w:tc>
          <w:tcPr>
            <w:tcW w:w="1408"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30,380,023.75</w:t>
            </w:r>
          </w:p>
        </w:tc>
        <w:tc>
          <w:tcPr>
            <w:tcW w:w="133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pStyle w:val="Heading4"/>
        <w:spacing w:line="316" w:lineRule="auto" w:before="19"/>
        <w:ind w:left="634" w:right="8644"/>
        <w:jc w:val="left"/>
        <w:rPr>
          <w:rFonts w:ascii="宋体" w:hAnsi="宋体" w:cs="宋体" w:eastAsia="宋体" w:hint="default"/>
          <w:b w:val="0"/>
          <w:bCs w:val="0"/>
        </w:rPr>
      </w:pPr>
      <w:r>
        <w:rPr/>
        <w:t>（二）金融资产转移</w:t>
      </w:r>
      <w:r>
        <w:rPr>
          <w:spacing w:val="1"/>
          <w:w w:val="99"/>
        </w:rPr>
        <w:t> </w:t>
      </w:r>
      <w:r>
        <w:rPr>
          <w:rFonts w:ascii="宋体" w:hAnsi="宋体" w:cs="宋体" w:eastAsia="宋体" w:hint="default"/>
          <w:b w:val="0"/>
          <w:bCs w:val="0"/>
        </w:rPr>
        <w:t>无。</w:t>
      </w:r>
    </w:p>
    <w:p>
      <w:pPr>
        <w:pStyle w:val="Heading4"/>
        <w:spacing w:line="316" w:lineRule="auto" w:before="19"/>
        <w:ind w:left="634" w:right="7559"/>
        <w:jc w:val="left"/>
        <w:rPr>
          <w:rFonts w:ascii="宋体" w:hAnsi="宋体" w:cs="宋体" w:eastAsia="宋体" w:hint="default"/>
          <w:b w:val="0"/>
          <w:bCs w:val="0"/>
        </w:rPr>
      </w:pPr>
      <w:r>
        <w:rPr/>
        <w:t>（三）金融资产与金融负债的抵销</w:t>
      </w:r>
      <w:r>
        <w:rPr>
          <w:spacing w:val="1"/>
          <w:w w:val="99"/>
        </w:rPr>
        <w:t> </w:t>
      </w:r>
      <w:r>
        <w:rPr>
          <w:rFonts w:ascii="宋体" w:hAnsi="宋体" w:cs="宋体" w:eastAsia="宋体" w:hint="default"/>
          <w:b w:val="0"/>
          <w:bCs w:val="0"/>
        </w:rPr>
        <w:t>无。</w:t>
      </w:r>
    </w:p>
    <w:p>
      <w:pPr>
        <w:spacing w:after="0" w:line="316" w:lineRule="auto"/>
        <w:jc w:val="left"/>
        <w:rPr>
          <w:rFonts w:ascii="宋体" w:hAnsi="宋体" w:cs="宋体" w:eastAsia="宋体" w:hint="default"/>
        </w:rPr>
        <w:sectPr>
          <w:pgSz w:w="11910" w:h="16840"/>
          <w:pgMar w:header="0" w:footer="982" w:top="1100" w:bottom="118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434"/>
        <w:gridCol w:w="2047"/>
        <w:gridCol w:w="2047"/>
        <w:gridCol w:w="2047"/>
        <w:gridCol w:w="1107"/>
      </w:tblGrid>
      <w:tr>
        <w:trPr>
          <w:trHeight w:val="206" w:hRule="exact"/>
        </w:trPr>
        <w:tc>
          <w:tcPr>
            <w:tcW w:w="2434" w:type="dxa"/>
            <w:tcBorders>
              <w:top w:val="single" w:sz="4" w:space="0" w:color="000000"/>
              <w:left w:val="single" w:sz="4" w:space="0" w:color="000000"/>
              <w:bottom w:val="nil" w:sz="6" w:space="0" w:color="auto"/>
              <w:right w:val="single" w:sz="4" w:space="0" w:color="000000"/>
            </w:tcBorders>
            <w:shd w:val="clear" w:color="auto" w:fill="D3D3D3"/>
          </w:tcPr>
          <w:p>
            <w:pPr/>
          </w:p>
        </w:tc>
        <w:tc>
          <w:tcPr>
            <w:tcW w:w="7248" w:type="dxa"/>
            <w:gridSpan w:val="4"/>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95" w:hRule="exact"/>
        </w:trPr>
        <w:tc>
          <w:tcPr>
            <w:tcW w:w="243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7248" w:type="dxa"/>
            <w:gridSpan w:val="4"/>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2434" w:type="dxa"/>
            <w:vMerge/>
            <w:tcBorders>
              <w:left w:val="single" w:sz="4" w:space="0" w:color="000000"/>
              <w:bottom w:val="nil" w:sz="6" w:space="0" w:color="auto"/>
              <w:right w:val="single" w:sz="4" w:space="0" w:color="000000"/>
            </w:tcBorders>
            <w:shd w:val="clear" w:color="auto" w:fill="D3D3D3"/>
          </w:tcPr>
          <w:p>
            <w:pPr/>
          </w:p>
        </w:tc>
        <w:tc>
          <w:tcPr>
            <w:tcW w:w="20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17" w:right="0"/>
              <w:jc w:val="left"/>
              <w:rPr>
                <w:rFonts w:ascii="宋体" w:hAnsi="宋体" w:cs="宋体" w:eastAsia="宋体" w:hint="default"/>
                <w:sz w:val="18"/>
                <w:szCs w:val="18"/>
              </w:rPr>
            </w:pPr>
            <w:r>
              <w:rPr>
                <w:rFonts w:ascii="宋体" w:hAnsi="宋体" w:cs="宋体" w:eastAsia="宋体" w:hint="default"/>
                <w:sz w:val="18"/>
                <w:szCs w:val="18"/>
              </w:rPr>
              <w:t>第一层次公允价值计量</w:t>
            </w:r>
          </w:p>
        </w:tc>
        <w:tc>
          <w:tcPr>
            <w:tcW w:w="20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18"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20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18"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10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5" w:hRule="exact"/>
        </w:trPr>
        <w:tc>
          <w:tcPr>
            <w:tcW w:w="2434" w:type="dxa"/>
            <w:tcBorders>
              <w:top w:val="nil" w:sz="6" w:space="0" w:color="auto"/>
              <w:left w:val="single" w:sz="4" w:space="0" w:color="000000"/>
              <w:bottom w:val="single" w:sz="4" w:space="0" w:color="000000"/>
              <w:right w:val="single" w:sz="4" w:space="0" w:color="000000"/>
            </w:tcBorders>
            <w:shd w:val="clear" w:color="auto" w:fill="D3D3D3"/>
          </w:tcPr>
          <w:p>
            <w:pPr/>
          </w:p>
        </w:tc>
        <w:tc>
          <w:tcPr>
            <w:tcW w:w="2047" w:type="dxa"/>
            <w:vMerge/>
            <w:tcBorders>
              <w:left w:val="single" w:sz="4" w:space="0" w:color="000000"/>
              <w:bottom w:val="single" w:sz="4" w:space="0" w:color="000000"/>
              <w:right w:val="single" w:sz="4" w:space="0" w:color="000000"/>
            </w:tcBorders>
            <w:shd w:val="clear" w:color="auto" w:fill="D3D3D3"/>
          </w:tcPr>
          <w:p>
            <w:pPr/>
          </w:p>
        </w:tc>
        <w:tc>
          <w:tcPr>
            <w:tcW w:w="2047" w:type="dxa"/>
            <w:vMerge/>
            <w:tcBorders>
              <w:left w:val="single" w:sz="4" w:space="0" w:color="000000"/>
              <w:bottom w:val="single" w:sz="4" w:space="0" w:color="000000"/>
              <w:right w:val="single" w:sz="4" w:space="0" w:color="000000"/>
            </w:tcBorders>
            <w:shd w:val="clear" w:color="auto" w:fill="D3D3D3"/>
          </w:tcPr>
          <w:p>
            <w:pPr/>
          </w:p>
        </w:tc>
        <w:tc>
          <w:tcPr>
            <w:tcW w:w="2047" w:type="dxa"/>
            <w:vMerge/>
            <w:tcBorders>
              <w:left w:val="single" w:sz="4" w:space="0" w:color="000000"/>
              <w:bottom w:val="single" w:sz="4" w:space="0" w:color="000000"/>
              <w:right w:val="single" w:sz="4" w:space="0" w:color="000000"/>
            </w:tcBorders>
            <w:shd w:val="clear" w:color="auto" w:fill="D3D3D3"/>
          </w:tcPr>
          <w:p>
            <w:pPr/>
          </w:p>
        </w:tc>
        <w:tc>
          <w:tcPr>
            <w:tcW w:w="110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4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20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957" w:right="0"/>
              <w:jc w:val="left"/>
              <w:rPr>
                <w:rFonts w:ascii="Times New Roman" w:hAnsi="Times New Roman" w:cs="Times New Roman" w:eastAsia="Times New Roman" w:hint="default"/>
                <w:sz w:val="18"/>
                <w:szCs w:val="18"/>
              </w:rPr>
            </w:pPr>
            <w:r>
              <w:rPr>
                <w:rFonts w:ascii="Times New Roman"/>
                <w:sz w:val="18"/>
              </w:rPr>
              <w:t>--</w:t>
            </w:r>
          </w:p>
        </w:tc>
        <w:tc>
          <w:tcPr>
            <w:tcW w:w="20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20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1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4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20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1057" w:right="0"/>
              <w:jc w:val="left"/>
              <w:rPr>
                <w:rFonts w:ascii="Times New Roman" w:hAnsi="Times New Roman" w:cs="Times New Roman" w:eastAsia="Times New Roman" w:hint="default"/>
                <w:sz w:val="18"/>
                <w:szCs w:val="18"/>
              </w:rPr>
            </w:pPr>
            <w:r>
              <w:rPr>
                <w:rFonts w:ascii="Times New Roman"/>
                <w:sz w:val="18"/>
              </w:rPr>
              <w:t>1,782,318.00</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8" w:right="0"/>
              <w:jc w:val="center"/>
              <w:rPr>
                <w:rFonts w:ascii="Times New Roman" w:hAnsi="Times New Roman" w:cs="Times New Roman" w:eastAsia="Times New Roman" w:hint="default"/>
                <w:sz w:val="18"/>
                <w:szCs w:val="18"/>
              </w:rPr>
            </w:pPr>
            <w:r>
              <w:rPr>
                <w:rFonts w:ascii="Times New Roman"/>
                <w:sz w:val="18"/>
              </w:rPr>
              <w:t>1,782,318.00</w:t>
            </w:r>
          </w:p>
        </w:tc>
      </w:tr>
      <w:tr>
        <w:trPr>
          <w:trHeight w:val="403" w:hRule="exact"/>
        </w:trPr>
        <w:tc>
          <w:tcPr>
            <w:tcW w:w="24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二、非持续的公允价值计量</w:t>
            </w:r>
          </w:p>
        </w:tc>
        <w:tc>
          <w:tcPr>
            <w:tcW w:w="20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957" w:right="0"/>
              <w:jc w:val="left"/>
              <w:rPr>
                <w:rFonts w:ascii="Times New Roman" w:hAnsi="Times New Roman" w:cs="Times New Roman" w:eastAsia="Times New Roman" w:hint="default"/>
                <w:sz w:val="18"/>
                <w:szCs w:val="18"/>
              </w:rPr>
            </w:pPr>
            <w:r>
              <w:rPr>
                <w:rFonts w:ascii="Times New Roman"/>
                <w:sz w:val="18"/>
              </w:rPr>
              <w:t>--</w:t>
            </w:r>
          </w:p>
        </w:tc>
        <w:tc>
          <w:tcPr>
            <w:tcW w:w="20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20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1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184" w:firstLine="290"/>
        <w:jc w:val="both"/>
      </w:pPr>
      <w:r>
        <w:rPr/>
        <w:t>本公司子公司浙江华媒投资有限公司持有的交易性金融资产为合信安胜</w:t>
      </w:r>
      <w:r>
        <w:rPr>
          <w:rFonts w:ascii="Times New Roman" w:hAnsi="Times New Roman" w:cs="Times New Roman" w:eastAsia="Times New Roman" w:hint="default"/>
        </w:rPr>
        <w:t>2</w:t>
      </w:r>
      <w:r>
        <w:rPr/>
        <w:t>号私募基金，</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日的公允价值以年 末最新市价计量，市价为</w:t>
      </w:r>
      <w:r>
        <w:rPr>
          <w:rFonts w:ascii="Times New Roman" w:hAnsi="Times New Roman" w:cs="Times New Roman" w:eastAsia="Times New Roman" w:hint="default"/>
        </w:rPr>
        <w:t>1,782,318.00</w:t>
      </w:r>
      <w:r>
        <w:rPr/>
        <w:t>元。本公司的子公司杭州余杭晨报传媒有限公司购买的结构性存款，分类为交易性金 融资产，按预计收益率作为公允价值估值基础。</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810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杭州日报报业集团 有限公司</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33"/>
              <w:jc w:val="right"/>
              <w:rPr>
                <w:rFonts w:ascii="宋体" w:hAnsi="宋体" w:cs="宋体" w:eastAsia="宋体" w:hint="default"/>
                <w:sz w:val="18"/>
                <w:szCs w:val="18"/>
              </w:rPr>
            </w:pPr>
            <w:r>
              <w:rPr>
                <w:rFonts w:ascii="Times New Roman" w:hAnsi="Times New Roman" w:cs="Times New Roman" w:eastAsia="Times New Roman" w:hint="default"/>
                <w:sz w:val="18"/>
                <w:szCs w:val="18"/>
              </w:rPr>
              <w:t>30,000.00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48.13%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48.13%</w:t>
            </w:r>
          </w:p>
        </w:tc>
      </w:tr>
    </w:tbl>
    <w:p>
      <w:pPr>
        <w:pStyle w:val="BodyText"/>
        <w:spacing w:line="360" w:lineRule="auto" w:before="51"/>
        <w:ind w:left="153" w:right="6351"/>
        <w:jc w:val="left"/>
      </w:pPr>
      <w:r>
        <w:rPr/>
        <w:t>本企业的母公司情况的说明 </w:t>
      </w:r>
      <w:r>
        <w:rPr>
          <w:spacing w:val="-4"/>
        </w:rPr>
        <w:t>本企业最终控制方是杭州日报报业集团（杭州日报社）。</w:t>
      </w:r>
    </w:p>
    <w:p>
      <w:pPr>
        <w:spacing w:after="0" w:line="360" w:lineRule="auto"/>
        <w:jc w:val="left"/>
        <w:sectPr>
          <w:pgSz w:w="11910" w:h="16840"/>
          <w:pgMar w:header="0" w:footer="982" w:top="1100" w:bottom="1180" w:left="980" w:right="0"/>
        </w:sectPr>
      </w:pPr>
    </w:p>
    <w:p>
      <w:pPr>
        <w:spacing w:line="240" w:lineRule="auto" w:before="9"/>
        <w:rPr>
          <w:rFonts w:ascii="宋体" w:hAnsi="宋体" w:cs="宋体" w:eastAsia="宋体" w:hint="default"/>
          <w:sz w:val="20"/>
          <w:szCs w:val="20"/>
        </w:rPr>
      </w:pPr>
    </w:p>
    <w:p>
      <w:pPr>
        <w:spacing w:line="547" w:lineRule="auto" w:before="35"/>
        <w:ind w:left="154" w:right="427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38" w:lineRule="auto" w:before="51"/>
        <w:ind w:left="153" w:right="2291"/>
        <w:jc w:val="left"/>
      </w:pPr>
      <w:r>
        <w:rPr/>
        <w:t>本企业重要的合营或联营企业详见附注九、</w:t>
      </w:r>
      <w:r>
        <w:rPr>
          <w:rFonts w:ascii="Times New Roman" w:hAnsi="Times New Roman" w:cs="Times New Roman" w:eastAsia="Times New Roman" w:hint="default"/>
        </w:rPr>
        <w:t>3</w:t>
      </w:r>
      <w:r>
        <w:rPr/>
        <w:t>、在合营企业或联营企业中的权益。 本期与本公司发生关联方交易，或前期与本公司发生关联方交易形成余额的其他合营或联营企业情况如下：</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5"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杭州文化产权交易所有限公司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德清今日传媒有限公司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杭州都快交通久一点吧传媒有限公司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十九楼网络股份有限公司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杭州一鼓智讯网络科技有限公司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浙江衢州盛元文创印业有限公司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杭州华媒科创园区管理有限公司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布朗睿智（北京）国际教育科技有限公司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北京市丰台区布朗幼儿园</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联营企业举办的幼儿园</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北京市海淀区布朗幼儿园</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联营企业举办的幼儿园</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广州市增城区新康小学</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联营企业举办的小学</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海口市布朗幼儿园</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联营企业举办的幼儿园</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天津开发区布朗幼儿园</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联营企业举办的幼儿园</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杭州十九楼电子商务有限公司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联营企业的子公司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杭州火鸟区块链有限公司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杭州萧山日报资本管理有限公司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廊坊市中关村智酷人才服务有限公司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联营企业的子公司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浙江弘致投资管理有限公司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北京中关村智酷双创人才服务股份有限公司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浙江都快金服信息服务有限公司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杭州城乡通商务有限公司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杭州大快文化创意有限公司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都市快报社</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每日商报社</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bl>
    <w:p>
      <w:pPr>
        <w:spacing w:after="0" w:line="240" w:lineRule="auto"/>
        <w:jc w:val="left"/>
        <w:rPr>
          <w:rFonts w:ascii="宋体" w:hAnsi="宋体" w:cs="宋体" w:eastAsia="宋体" w:hint="default"/>
          <w:sz w:val="18"/>
          <w:szCs w:val="18"/>
        </w:rPr>
        <w:sectPr>
          <w:pgSz w:w="11910" w:h="16840"/>
          <w:pgMar w:header="0"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萧山日报社</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富阳日报社</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杭州网络新闻中心</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杭州日报报业集团假日宾馆有限公司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杭州地铁文化传媒有限公司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杭州汉书数字出版传播有限公司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浙江杭报金都创意产业发展有限公司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浙江华朗实业有限公司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杭州城市通媒体有限公司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杭州读报人电子商务有限公司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杭州新旺财商贸有限公司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浙江都市艺术文化发展有限公司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余杭晨报社</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杭州风茂房地产代理有限公司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杭州富阳闻达电子商务有限公司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杭州风和会展有限公司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杭州萧文置业有限公司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杭州日报国际旅行社有限公司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国教视讯（北京）文化传媒有限公司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受子公司关键管理人员重大影响</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江苏省盛世广宏无线科技传播有限公司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受子公司关键管理人员重大影响</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深圳宏天高科技有限公司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受子公司关键管理人员重大影响</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曲水华航投资有限公司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子公司关键管理人员控制的公司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宁波高新区新愿景股权投资有限公司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子公司关键管理人员控制的公司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北京精典博维文化传媒有限公司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浙江华朗实业有限公司的投资公司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杭州今典博唯文化创意有限公司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北京精典博维文化传媒有限公司的子公司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吴井军</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子公司关键管理人员</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杭州市余杭新闻传媒中心</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浙江国大集团有限责任公司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杨治国</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林鹭华</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韩锋</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蒋谢珍</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郑美月</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刘志英</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r>
    </w:tbl>
    <w:p>
      <w:pPr>
        <w:spacing w:after="0" w:line="240" w:lineRule="auto"/>
        <w:jc w:val="left"/>
        <w:rPr>
          <w:rFonts w:ascii="宋体" w:hAnsi="宋体" w:cs="宋体" w:eastAsia="宋体" w:hint="default"/>
          <w:sz w:val="18"/>
          <w:szCs w:val="18"/>
        </w:rPr>
        <w:sectPr>
          <w:pgSz w:w="11910" w:h="16840"/>
          <w:pgMar w:header="0"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冯岚</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德清己任创汇投资合伙企业（有限合伙）</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西安时代尚优文化传媒集团有限公司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杨柳</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杭州丛人广告有限公司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子公司关键管理人员控制的公司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杭州西城文化传媒有限公司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杭州源素信息技术有限公司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杭州乐活公益服务中心</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子公司关键管理人员控制的公司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邓健</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哈尔滨报达集团有限公司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子公司少数股东的全资子公司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江苏凯启教育科技有限公司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李琪</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深圳市泽创投资发展有限公司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王建凯</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知本环球国际教育科技（北京）有限公司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浙江国大会展服务有限公司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子公司少数股东控制的公司</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1"/>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019"/>
        <w:gridCol w:w="1717"/>
        <w:gridCol w:w="1186"/>
        <w:gridCol w:w="1212"/>
        <w:gridCol w:w="1375"/>
        <w:gridCol w:w="1184"/>
      </w:tblGrid>
      <w:tr>
        <w:trPr>
          <w:trHeight w:val="714" w:hRule="exact"/>
        </w:trPr>
        <w:tc>
          <w:tcPr>
            <w:tcW w:w="30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10" w:right="60" w:hanging="450"/>
              <w:jc w:val="left"/>
              <w:rPr>
                <w:rFonts w:ascii="宋体" w:hAnsi="宋体" w:cs="宋体" w:eastAsia="宋体" w:hint="default"/>
                <w:sz w:val="18"/>
                <w:szCs w:val="18"/>
              </w:rPr>
            </w:pPr>
            <w:r>
              <w:rPr>
                <w:rFonts w:ascii="宋体" w:hAnsi="宋体" w:cs="宋体" w:eastAsia="宋体" w:hint="default"/>
                <w:sz w:val="18"/>
                <w:szCs w:val="18"/>
              </w:rPr>
              <w:t>获批的交易额 度</w:t>
            </w:r>
          </w:p>
        </w:tc>
        <w:tc>
          <w:tcPr>
            <w:tcW w:w="13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91" w:right="53" w:hanging="540"/>
              <w:jc w:val="left"/>
              <w:rPr>
                <w:rFonts w:ascii="宋体" w:hAnsi="宋体" w:cs="宋体" w:eastAsia="宋体" w:hint="default"/>
                <w:sz w:val="18"/>
                <w:szCs w:val="18"/>
              </w:rPr>
            </w:pPr>
            <w:r>
              <w:rPr>
                <w:rFonts w:ascii="宋体" w:hAnsi="宋体" w:cs="宋体" w:eastAsia="宋体" w:hint="default"/>
                <w:sz w:val="18"/>
                <w:szCs w:val="18"/>
              </w:rPr>
              <w:t>是否超过交易额 度</w:t>
            </w:r>
          </w:p>
        </w:tc>
        <w:tc>
          <w:tcPr>
            <w:tcW w:w="1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杭州新旺财商贸有限公司</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购买商品、活动费等</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195,702.89</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103,920.12</w:t>
            </w:r>
          </w:p>
        </w:tc>
      </w:tr>
      <w:tr>
        <w:trPr>
          <w:trHeight w:val="402"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都市快报社</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采编服务、版权分成</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85,537,736.15</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85,303,757.85</w:t>
            </w:r>
          </w:p>
        </w:tc>
      </w:tr>
      <w:tr>
        <w:trPr>
          <w:trHeight w:val="402"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采编服务、活动费等</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69,877,902.63</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64,246,478.25</w:t>
            </w:r>
          </w:p>
        </w:tc>
      </w:tr>
      <w:tr>
        <w:trPr>
          <w:trHeight w:val="402"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每日商报社</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采编服务</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18,696,195.28</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16,509,433.96</w:t>
            </w:r>
          </w:p>
        </w:tc>
      </w:tr>
      <w:tr>
        <w:trPr>
          <w:trHeight w:val="402"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萧山日报社</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采编服务</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21,505,807.75</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18,166,799.53</w:t>
            </w:r>
          </w:p>
        </w:tc>
      </w:tr>
      <w:tr>
        <w:trPr>
          <w:trHeight w:val="402"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余杭晨报社</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采编服务</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9,164,820.30</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11,461,706.81</w:t>
            </w:r>
          </w:p>
        </w:tc>
      </w:tr>
      <w:tr>
        <w:trPr>
          <w:trHeight w:val="402"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富阳日报社</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采编服务</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8,575,471.44</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10,339,014.88</w:t>
            </w:r>
          </w:p>
        </w:tc>
      </w:tr>
      <w:tr>
        <w:trPr>
          <w:trHeight w:val="402"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杭州富阳闻达电子商务有限公司</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发行费</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4,321,173.62</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3,759,886.88</w:t>
            </w:r>
          </w:p>
        </w:tc>
      </w:tr>
      <w:tr>
        <w:trPr>
          <w:trHeight w:val="402"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杭州汉书数字出版传播有限公司</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设计服务、活动费等</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58,820.29</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96,081.93</w:t>
            </w:r>
          </w:p>
        </w:tc>
      </w:tr>
      <w:tr>
        <w:trPr>
          <w:trHeight w:val="402"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浙江国大集团有限责任公司</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广告、电费</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1,139,872.05</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605,192.74</w:t>
            </w:r>
          </w:p>
        </w:tc>
      </w:tr>
      <w:tr>
        <w:trPr>
          <w:trHeight w:val="402"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杭州地铁文化传媒有限公司</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广告、订报费</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94,339.62</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180,860.37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3019"/>
        <w:gridCol w:w="1717"/>
        <w:gridCol w:w="1186"/>
        <w:gridCol w:w="1212"/>
        <w:gridCol w:w="1375"/>
        <w:gridCol w:w="1184"/>
      </w:tblGrid>
      <w:tr>
        <w:trPr>
          <w:trHeight w:val="402"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杭州风茂房地产代理有限公司</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广告代理</w:t>
            </w:r>
          </w:p>
        </w:tc>
        <w:tc>
          <w:tcPr>
            <w:tcW w:w="1186"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40,171.72</w:t>
            </w:r>
          </w:p>
        </w:tc>
      </w:tr>
      <w:tr>
        <w:trPr>
          <w:trHeight w:val="714"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场地使用费、活动费 等</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1,951,824.03</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1,765,898.89</w:t>
            </w:r>
          </w:p>
        </w:tc>
      </w:tr>
      <w:tr>
        <w:trPr>
          <w:trHeight w:val="402"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杭州城市通媒体有限公司</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广告、服务</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123,300.98</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27,184.47</w:t>
            </w:r>
          </w:p>
        </w:tc>
      </w:tr>
      <w:tr>
        <w:trPr>
          <w:trHeight w:val="402"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浙江衢州盛元文创印业有限公司</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印刷</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1,724,605.20</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1,716,789.04</w:t>
            </w:r>
          </w:p>
        </w:tc>
      </w:tr>
      <w:tr>
        <w:trPr>
          <w:trHeight w:val="402"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浙江都市艺术文化发展有限公司</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购买商品、活动费等</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387,122.97</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246,893.98</w:t>
            </w:r>
          </w:p>
        </w:tc>
      </w:tr>
      <w:tr>
        <w:trPr>
          <w:trHeight w:val="402"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杭州读报人电子商务有限公司</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广告、活动费</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5,056.89</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4,266.97</w:t>
            </w:r>
          </w:p>
        </w:tc>
      </w:tr>
      <w:tr>
        <w:trPr>
          <w:trHeight w:val="402"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十九楼网络股份有限公司</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广告、服务费</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441,226.42</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1,849,528.26</w:t>
            </w:r>
          </w:p>
        </w:tc>
      </w:tr>
      <w:tr>
        <w:trPr>
          <w:trHeight w:val="714"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04"/>
              <w:jc w:val="left"/>
              <w:rPr>
                <w:rFonts w:ascii="宋体" w:hAnsi="宋体" w:cs="宋体" w:eastAsia="宋体" w:hint="default"/>
                <w:sz w:val="18"/>
                <w:szCs w:val="18"/>
              </w:rPr>
            </w:pPr>
            <w:r>
              <w:rPr>
                <w:rFonts w:ascii="宋体" w:hAnsi="宋体" w:cs="宋体" w:eastAsia="宋体" w:hint="default"/>
                <w:sz w:val="18"/>
                <w:szCs w:val="18"/>
              </w:rPr>
              <w:t>江苏省盛世广宏无线科技传播有限公 司</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制作费</w:t>
            </w:r>
          </w:p>
        </w:tc>
        <w:tc>
          <w:tcPr>
            <w:tcW w:w="1186"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943,396.23</w:t>
            </w:r>
          </w:p>
        </w:tc>
      </w:tr>
      <w:tr>
        <w:trPr>
          <w:trHeight w:val="402"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北京精典博维文化传媒有限公司</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186"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464.00</w:t>
            </w:r>
          </w:p>
        </w:tc>
      </w:tr>
      <w:tr>
        <w:trPr>
          <w:trHeight w:val="402"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杭州都快交通久一点吧传媒有限公司</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548,139.45</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339,851.22</w:t>
            </w:r>
          </w:p>
        </w:tc>
      </w:tr>
      <w:tr>
        <w:trPr>
          <w:trHeight w:val="402"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德清今日传媒有限公司</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活动费</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159,067.92</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159,067.92</w:t>
            </w:r>
          </w:p>
        </w:tc>
      </w:tr>
      <w:tr>
        <w:trPr>
          <w:trHeight w:val="402"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杭州日报报业集团假日宾馆有限公司</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业务费、差旅费</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871.70</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2,651.66</w:t>
            </w:r>
          </w:p>
        </w:tc>
      </w:tr>
      <w:tr>
        <w:trPr>
          <w:trHeight w:val="402"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杭州文化产权交易所有限公司</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1186"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36,908.55</w:t>
            </w:r>
          </w:p>
        </w:tc>
      </w:tr>
      <w:tr>
        <w:trPr>
          <w:trHeight w:val="402"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杭州一鼓智讯网络科技有限公司</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设计制作费</w:t>
            </w:r>
          </w:p>
        </w:tc>
        <w:tc>
          <w:tcPr>
            <w:tcW w:w="1186"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970.87</w:t>
            </w:r>
          </w:p>
        </w:tc>
      </w:tr>
      <w:tr>
        <w:trPr>
          <w:trHeight w:val="402"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西安时代尚优文化传媒集团有限公司</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广告代理、咨询费</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42,641.51</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3,218,445.23</w:t>
            </w:r>
          </w:p>
        </w:tc>
      </w:tr>
      <w:tr>
        <w:trPr>
          <w:trHeight w:val="402"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杭州西城文化传媒有限公司</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广告策划</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562,106.93</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杭州源素信息技术有限公司</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323,624.60</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04"/>
              <w:jc w:val="left"/>
              <w:rPr>
                <w:rFonts w:ascii="宋体" w:hAnsi="宋体" w:cs="宋体" w:eastAsia="宋体" w:hint="default"/>
                <w:sz w:val="18"/>
                <w:szCs w:val="18"/>
              </w:rPr>
            </w:pPr>
            <w:r>
              <w:rPr>
                <w:rFonts w:ascii="宋体" w:hAnsi="宋体" w:cs="宋体" w:eastAsia="宋体" w:hint="default"/>
                <w:sz w:val="18"/>
                <w:szCs w:val="18"/>
              </w:rPr>
              <w:t>布朗睿智（北京）国际教育科技有限 公司</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图书、服务费</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89,172.00</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225,526,602.62</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221,125,622.33</w:t>
            </w:r>
          </w:p>
        </w:tc>
      </w:tr>
    </w:tbl>
    <w:p>
      <w:pPr>
        <w:pStyle w:val="BodyText"/>
        <w:spacing w:line="240" w:lineRule="auto" w:before="51"/>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1"/>
        <w:jc w:val="right"/>
      </w:pPr>
      <w:r>
        <w:rPr/>
        <w:t>单位： 元</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3920"/>
        <w:gridCol w:w="3311"/>
        <w:gridCol w:w="1231"/>
        <w:gridCol w:w="1231"/>
      </w:tblGrid>
      <w:tr>
        <w:trPr>
          <w:trHeight w:val="402" w:hRule="exact"/>
        </w:trPr>
        <w:tc>
          <w:tcPr>
            <w:tcW w:w="3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5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9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杭州萧文置业有限公司</w:t>
            </w:r>
          </w:p>
        </w:tc>
        <w:tc>
          <w:tcPr>
            <w:tcW w:w="3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刊登广告</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25,595.10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28,358.49</w:t>
            </w:r>
          </w:p>
        </w:tc>
      </w:tr>
      <w:tr>
        <w:trPr>
          <w:trHeight w:val="402" w:hRule="exact"/>
        </w:trPr>
        <w:tc>
          <w:tcPr>
            <w:tcW w:w="39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杭州风茂房地产代理有限公司</w:t>
            </w:r>
          </w:p>
        </w:tc>
        <w:tc>
          <w:tcPr>
            <w:tcW w:w="3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广告及发行收入</w:t>
            </w:r>
          </w:p>
        </w:tc>
        <w:tc>
          <w:tcPr>
            <w:tcW w:w="1231"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3,420.00</w:t>
            </w:r>
          </w:p>
        </w:tc>
      </w:tr>
      <w:tr>
        <w:trPr>
          <w:trHeight w:val="402" w:hRule="exact"/>
        </w:trPr>
        <w:tc>
          <w:tcPr>
            <w:tcW w:w="39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杭州日报报业集团假日宾馆有限公司</w:t>
            </w:r>
          </w:p>
        </w:tc>
        <w:tc>
          <w:tcPr>
            <w:tcW w:w="3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印刷收入</w:t>
            </w:r>
          </w:p>
        </w:tc>
        <w:tc>
          <w:tcPr>
            <w:tcW w:w="1231"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14.15</w:t>
            </w:r>
          </w:p>
        </w:tc>
      </w:tr>
      <w:tr>
        <w:trPr>
          <w:trHeight w:val="402" w:hRule="exact"/>
        </w:trPr>
        <w:tc>
          <w:tcPr>
            <w:tcW w:w="39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浙江国大会展服务有限公司</w:t>
            </w:r>
          </w:p>
        </w:tc>
        <w:tc>
          <w:tcPr>
            <w:tcW w:w="3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广告收入</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289,150.94</w:t>
            </w:r>
          </w:p>
        </w:tc>
        <w:tc>
          <w:tcPr>
            <w:tcW w:w="12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杭州网络新闻中心</w:t>
            </w:r>
          </w:p>
        </w:tc>
        <w:tc>
          <w:tcPr>
            <w:tcW w:w="3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广告、服务收入</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943,396.22</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849,056.60</w:t>
            </w:r>
          </w:p>
        </w:tc>
      </w:tr>
      <w:tr>
        <w:trPr>
          <w:trHeight w:val="402" w:hRule="exact"/>
        </w:trPr>
        <w:tc>
          <w:tcPr>
            <w:tcW w:w="39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浙江杭报金都创意产业发展有限公司</w:t>
            </w:r>
          </w:p>
        </w:tc>
        <w:tc>
          <w:tcPr>
            <w:tcW w:w="3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广告及印刷收入</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2,053,427.87</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289,801.85</w:t>
            </w:r>
          </w:p>
        </w:tc>
      </w:tr>
      <w:tr>
        <w:trPr>
          <w:trHeight w:val="402" w:hRule="exact"/>
        </w:trPr>
        <w:tc>
          <w:tcPr>
            <w:tcW w:w="39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杭州都快交通久一点吧传媒有限公司</w:t>
            </w:r>
          </w:p>
        </w:tc>
        <w:tc>
          <w:tcPr>
            <w:tcW w:w="3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广告及印刷收入</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1,277,063.79</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14,151.94</w:t>
            </w:r>
          </w:p>
        </w:tc>
      </w:tr>
      <w:tr>
        <w:trPr>
          <w:trHeight w:val="402" w:hRule="exact"/>
        </w:trPr>
        <w:tc>
          <w:tcPr>
            <w:tcW w:w="39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杭州城市通媒体有限公司</w:t>
            </w:r>
          </w:p>
        </w:tc>
        <w:tc>
          <w:tcPr>
            <w:tcW w:w="3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广告及印刷收入</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3"/>
                <w:sz w:val="18"/>
              </w:rPr>
              <w:t>11,111.60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21,056.60</w:t>
            </w:r>
          </w:p>
        </w:tc>
      </w:tr>
      <w:tr>
        <w:trPr>
          <w:trHeight w:val="402" w:hRule="exact"/>
        </w:trPr>
        <w:tc>
          <w:tcPr>
            <w:tcW w:w="39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富阳日报社</w:t>
            </w:r>
          </w:p>
        </w:tc>
        <w:tc>
          <w:tcPr>
            <w:tcW w:w="3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广告、会务活动及发行收入</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1,809,770.67</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5,782,157.43</w:t>
            </w:r>
          </w:p>
        </w:tc>
      </w:tr>
      <w:tr>
        <w:trPr>
          <w:trHeight w:val="403" w:hRule="exact"/>
        </w:trPr>
        <w:tc>
          <w:tcPr>
            <w:tcW w:w="39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十九楼网络股份有限公司</w:t>
            </w:r>
          </w:p>
        </w:tc>
        <w:tc>
          <w:tcPr>
            <w:tcW w:w="3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广告及出售商品</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891,270.85</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2,069,344.34</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3920"/>
        <w:gridCol w:w="3311"/>
        <w:gridCol w:w="1231"/>
        <w:gridCol w:w="1231"/>
      </w:tblGrid>
      <w:tr>
        <w:trPr>
          <w:trHeight w:val="402" w:hRule="exact"/>
        </w:trPr>
        <w:tc>
          <w:tcPr>
            <w:tcW w:w="39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杭州富阳闻达电子商务有限公司</w:t>
            </w:r>
          </w:p>
        </w:tc>
        <w:tc>
          <w:tcPr>
            <w:tcW w:w="3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物流配送、广告及发行收入</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628,948.04</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240,985.51</w:t>
            </w:r>
          </w:p>
        </w:tc>
      </w:tr>
      <w:tr>
        <w:trPr>
          <w:trHeight w:val="402" w:hRule="exact"/>
        </w:trPr>
        <w:tc>
          <w:tcPr>
            <w:tcW w:w="39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浙江都市艺术文化发展有限公司</w:t>
            </w:r>
          </w:p>
        </w:tc>
        <w:tc>
          <w:tcPr>
            <w:tcW w:w="3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广告、印刷、销售商品等收入</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301,651.00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71,527.44</w:t>
            </w:r>
          </w:p>
        </w:tc>
      </w:tr>
      <w:tr>
        <w:trPr>
          <w:trHeight w:val="402" w:hRule="exact"/>
        </w:trPr>
        <w:tc>
          <w:tcPr>
            <w:tcW w:w="39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杭州地铁文化传媒有限公司</w:t>
            </w:r>
          </w:p>
        </w:tc>
        <w:tc>
          <w:tcPr>
            <w:tcW w:w="3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印刷、广告、投递、销售商品等收入</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3,439,344.34</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4,217,718.50</w:t>
            </w:r>
          </w:p>
        </w:tc>
      </w:tr>
      <w:tr>
        <w:trPr>
          <w:trHeight w:val="402" w:hRule="exact"/>
        </w:trPr>
        <w:tc>
          <w:tcPr>
            <w:tcW w:w="39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浙江华朗实业有限公司</w:t>
            </w:r>
          </w:p>
        </w:tc>
        <w:tc>
          <w:tcPr>
            <w:tcW w:w="3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广告、印刷、销售商品等收入</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1,795.90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506,357.57</w:t>
            </w:r>
          </w:p>
        </w:tc>
      </w:tr>
      <w:tr>
        <w:trPr>
          <w:trHeight w:val="402" w:hRule="exact"/>
        </w:trPr>
        <w:tc>
          <w:tcPr>
            <w:tcW w:w="39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都市快报社</w:t>
            </w:r>
          </w:p>
        </w:tc>
        <w:tc>
          <w:tcPr>
            <w:tcW w:w="3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广告、印刷、销售商品等收入</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97,049.07</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97,324.29</w:t>
            </w:r>
          </w:p>
        </w:tc>
      </w:tr>
      <w:tr>
        <w:trPr>
          <w:trHeight w:val="402" w:hRule="exact"/>
        </w:trPr>
        <w:tc>
          <w:tcPr>
            <w:tcW w:w="39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杭州读报人电子商务有限公司</w:t>
            </w:r>
          </w:p>
        </w:tc>
        <w:tc>
          <w:tcPr>
            <w:tcW w:w="3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广告、印刷等收入</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21,259.90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34,667.36</w:t>
            </w:r>
          </w:p>
        </w:tc>
      </w:tr>
      <w:tr>
        <w:trPr>
          <w:trHeight w:val="402" w:hRule="exact"/>
        </w:trPr>
        <w:tc>
          <w:tcPr>
            <w:tcW w:w="39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杭州新旺财商贸有限公司</w:t>
            </w:r>
          </w:p>
        </w:tc>
        <w:tc>
          <w:tcPr>
            <w:tcW w:w="3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广告、印刷、销售商品等收入</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16,323.18</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27,029.06</w:t>
            </w:r>
          </w:p>
        </w:tc>
      </w:tr>
      <w:tr>
        <w:trPr>
          <w:trHeight w:val="402" w:hRule="exact"/>
        </w:trPr>
        <w:tc>
          <w:tcPr>
            <w:tcW w:w="39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c>
          <w:tcPr>
            <w:tcW w:w="3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广告、发行、印刷等收入</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13,607,097.29</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4,672,824.05</w:t>
            </w:r>
          </w:p>
        </w:tc>
      </w:tr>
      <w:tr>
        <w:trPr>
          <w:trHeight w:val="402" w:hRule="exact"/>
        </w:trPr>
        <w:tc>
          <w:tcPr>
            <w:tcW w:w="39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3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广告、印刷、活动等收入</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82,443.17</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283,976.61</w:t>
            </w:r>
          </w:p>
        </w:tc>
      </w:tr>
      <w:tr>
        <w:trPr>
          <w:trHeight w:val="402" w:hRule="exact"/>
        </w:trPr>
        <w:tc>
          <w:tcPr>
            <w:tcW w:w="39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上海合印科技股份有限公司</w:t>
            </w:r>
          </w:p>
        </w:tc>
        <w:tc>
          <w:tcPr>
            <w:tcW w:w="3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印刷收入</w:t>
            </w:r>
          </w:p>
        </w:tc>
        <w:tc>
          <w:tcPr>
            <w:tcW w:w="1231"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3,716,979.98</w:t>
            </w:r>
          </w:p>
        </w:tc>
      </w:tr>
      <w:tr>
        <w:trPr>
          <w:trHeight w:val="402" w:hRule="exact"/>
        </w:trPr>
        <w:tc>
          <w:tcPr>
            <w:tcW w:w="39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北京精典博维文化传媒有限公司</w:t>
            </w:r>
          </w:p>
        </w:tc>
        <w:tc>
          <w:tcPr>
            <w:tcW w:w="3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印刷收入</w:t>
            </w:r>
          </w:p>
        </w:tc>
        <w:tc>
          <w:tcPr>
            <w:tcW w:w="1231"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100,807.88</w:t>
            </w:r>
          </w:p>
        </w:tc>
      </w:tr>
      <w:tr>
        <w:trPr>
          <w:trHeight w:val="402" w:hRule="exact"/>
        </w:trPr>
        <w:tc>
          <w:tcPr>
            <w:tcW w:w="39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浙江衢州盛元文创印业有限公司</w:t>
            </w:r>
          </w:p>
        </w:tc>
        <w:tc>
          <w:tcPr>
            <w:tcW w:w="3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印刷、服务及出售商品</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6,920,856.41</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2,659,236.13</w:t>
            </w:r>
          </w:p>
        </w:tc>
      </w:tr>
      <w:tr>
        <w:trPr>
          <w:trHeight w:val="402" w:hRule="exact"/>
        </w:trPr>
        <w:tc>
          <w:tcPr>
            <w:tcW w:w="39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杭州汉书数字出版传播有限公司</w:t>
            </w:r>
          </w:p>
        </w:tc>
        <w:tc>
          <w:tcPr>
            <w:tcW w:w="3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印刷及出售商品</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25,954.86</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710.35</w:t>
            </w:r>
          </w:p>
        </w:tc>
      </w:tr>
      <w:tr>
        <w:trPr>
          <w:trHeight w:val="402" w:hRule="exact"/>
        </w:trPr>
        <w:tc>
          <w:tcPr>
            <w:tcW w:w="39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国教视讯（北京）文化传媒有限公司</w:t>
            </w:r>
          </w:p>
        </w:tc>
        <w:tc>
          <w:tcPr>
            <w:tcW w:w="3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231"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19,543,189.39</w:t>
            </w:r>
          </w:p>
        </w:tc>
      </w:tr>
      <w:tr>
        <w:trPr>
          <w:trHeight w:val="402" w:hRule="exact"/>
        </w:trPr>
        <w:tc>
          <w:tcPr>
            <w:tcW w:w="39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江苏省盛世广宏无线科技传播有限公司</w:t>
            </w:r>
          </w:p>
        </w:tc>
        <w:tc>
          <w:tcPr>
            <w:tcW w:w="3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231"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262,920.89</w:t>
            </w:r>
          </w:p>
        </w:tc>
      </w:tr>
      <w:tr>
        <w:trPr>
          <w:trHeight w:val="402" w:hRule="exact"/>
        </w:trPr>
        <w:tc>
          <w:tcPr>
            <w:tcW w:w="39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深圳宏天高科技有限公司</w:t>
            </w:r>
          </w:p>
        </w:tc>
        <w:tc>
          <w:tcPr>
            <w:tcW w:w="3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231"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248,669.26</w:t>
            </w:r>
          </w:p>
        </w:tc>
      </w:tr>
      <w:tr>
        <w:trPr>
          <w:trHeight w:val="402" w:hRule="exact"/>
        </w:trPr>
        <w:tc>
          <w:tcPr>
            <w:tcW w:w="39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每日商报社</w:t>
            </w:r>
          </w:p>
        </w:tc>
        <w:tc>
          <w:tcPr>
            <w:tcW w:w="3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出售商品、广告及印刷等收入</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43,730.17</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256,598.89</w:t>
            </w:r>
          </w:p>
        </w:tc>
      </w:tr>
      <w:tr>
        <w:trPr>
          <w:trHeight w:val="402" w:hRule="exact"/>
        </w:trPr>
        <w:tc>
          <w:tcPr>
            <w:tcW w:w="39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德清今日传媒有限公司</w:t>
            </w:r>
          </w:p>
        </w:tc>
        <w:tc>
          <w:tcPr>
            <w:tcW w:w="3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活动宣传收入、广告及策划收入</w:t>
            </w:r>
          </w:p>
        </w:tc>
        <w:tc>
          <w:tcPr>
            <w:tcW w:w="1231"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385,377.36</w:t>
            </w:r>
          </w:p>
        </w:tc>
      </w:tr>
      <w:tr>
        <w:trPr>
          <w:trHeight w:val="402" w:hRule="exact"/>
        </w:trPr>
        <w:tc>
          <w:tcPr>
            <w:tcW w:w="39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杭州日报国际旅行社有限公司</w:t>
            </w:r>
          </w:p>
        </w:tc>
        <w:tc>
          <w:tcPr>
            <w:tcW w:w="3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广告策划</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47,261.93</w:t>
            </w:r>
          </w:p>
        </w:tc>
        <w:tc>
          <w:tcPr>
            <w:tcW w:w="12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杭州文化产权交易所有限公司</w:t>
            </w:r>
          </w:p>
        </w:tc>
        <w:tc>
          <w:tcPr>
            <w:tcW w:w="3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广告、销售商品收入</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475,913.58</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3,704.27</w:t>
            </w:r>
          </w:p>
        </w:tc>
      </w:tr>
      <w:tr>
        <w:trPr>
          <w:trHeight w:val="402" w:hRule="exact"/>
        </w:trPr>
        <w:tc>
          <w:tcPr>
            <w:tcW w:w="39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杭州一鼓智讯网络科技有限公司</w:t>
            </w:r>
          </w:p>
        </w:tc>
        <w:tc>
          <w:tcPr>
            <w:tcW w:w="3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广告、销售商品收入</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337.15</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1,224.78</w:t>
            </w:r>
          </w:p>
        </w:tc>
      </w:tr>
      <w:tr>
        <w:trPr>
          <w:trHeight w:val="402" w:hRule="exact"/>
        </w:trPr>
        <w:tc>
          <w:tcPr>
            <w:tcW w:w="39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余杭晨报社</w:t>
            </w:r>
          </w:p>
        </w:tc>
        <w:tc>
          <w:tcPr>
            <w:tcW w:w="3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广告、销售商品收入</w:t>
            </w:r>
          </w:p>
        </w:tc>
        <w:tc>
          <w:tcPr>
            <w:tcW w:w="1231"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1,090,516.29</w:t>
            </w:r>
          </w:p>
        </w:tc>
      </w:tr>
      <w:tr>
        <w:trPr>
          <w:trHeight w:val="402" w:hRule="exact"/>
        </w:trPr>
        <w:tc>
          <w:tcPr>
            <w:tcW w:w="39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北京市海淀区布朗幼儿园</w:t>
            </w:r>
          </w:p>
        </w:tc>
        <w:tc>
          <w:tcPr>
            <w:tcW w:w="3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1231"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582,524.25</w:t>
            </w:r>
          </w:p>
        </w:tc>
      </w:tr>
      <w:tr>
        <w:trPr>
          <w:trHeight w:val="402" w:hRule="exact"/>
        </w:trPr>
        <w:tc>
          <w:tcPr>
            <w:tcW w:w="39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北京市丰台区布朗幼儿园</w:t>
            </w:r>
          </w:p>
        </w:tc>
        <w:tc>
          <w:tcPr>
            <w:tcW w:w="3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1231"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582,524.25</w:t>
            </w:r>
          </w:p>
        </w:tc>
      </w:tr>
      <w:tr>
        <w:trPr>
          <w:trHeight w:val="402" w:hRule="exact"/>
        </w:trPr>
        <w:tc>
          <w:tcPr>
            <w:tcW w:w="39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天津开发区布朗幼儿园</w:t>
            </w:r>
          </w:p>
        </w:tc>
        <w:tc>
          <w:tcPr>
            <w:tcW w:w="3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1231"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194,174.75</w:t>
            </w:r>
          </w:p>
        </w:tc>
      </w:tr>
      <w:tr>
        <w:trPr>
          <w:trHeight w:val="402" w:hRule="exact"/>
        </w:trPr>
        <w:tc>
          <w:tcPr>
            <w:tcW w:w="39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布朗睿智（北京）国际教育科技有限公司</w:t>
            </w:r>
          </w:p>
        </w:tc>
        <w:tc>
          <w:tcPr>
            <w:tcW w:w="3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咨询服务</w:t>
            </w:r>
          </w:p>
        </w:tc>
        <w:tc>
          <w:tcPr>
            <w:tcW w:w="1231"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13,333.33</w:t>
            </w:r>
          </w:p>
        </w:tc>
      </w:tr>
      <w:tr>
        <w:trPr>
          <w:trHeight w:val="402" w:hRule="exact"/>
        </w:trPr>
        <w:tc>
          <w:tcPr>
            <w:tcW w:w="39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广州市增城区新康小学</w:t>
            </w:r>
          </w:p>
        </w:tc>
        <w:tc>
          <w:tcPr>
            <w:tcW w:w="3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1231"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388,349.51</w:t>
            </w:r>
          </w:p>
        </w:tc>
      </w:tr>
      <w:tr>
        <w:trPr>
          <w:trHeight w:val="402" w:hRule="exact"/>
        </w:trPr>
        <w:tc>
          <w:tcPr>
            <w:tcW w:w="39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海口市布朗幼儿园</w:t>
            </w:r>
          </w:p>
        </w:tc>
        <w:tc>
          <w:tcPr>
            <w:tcW w:w="3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1231"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194,174.75</w:t>
            </w:r>
          </w:p>
        </w:tc>
      </w:tr>
      <w:tr>
        <w:trPr>
          <w:trHeight w:val="402" w:hRule="exact"/>
        </w:trPr>
        <w:tc>
          <w:tcPr>
            <w:tcW w:w="39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杭州华媒科创园区管理有限公司</w:t>
            </w:r>
          </w:p>
        </w:tc>
        <w:tc>
          <w:tcPr>
            <w:tcW w:w="3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3,625,943.30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4,269.59</w:t>
            </w:r>
          </w:p>
        </w:tc>
      </w:tr>
      <w:tr>
        <w:trPr>
          <w:trHeight w:val="402" w:hRule="exact"/>
        </w:trPr>
        <w:tc>
          <w:tcPr>
            <w:tcW w:w="39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杭州十九楼电子商务有限公司</w:t>
            </w:r>
          </w:p>
        </w:tc>
        <w:tc>
          <w:tcPr>
            <w:tcW w:w="3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广告及策划收入</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459,905.66</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549,056.61</w:t>
            </w:r>
          </w:p>
        </w:tc>
      </w:tr>
      <w:tr>
        <w:trPr>
          <w:trHeight w:val="402" w:hRule="exact"/>
        </w:trPr>
        <w:tc>
          <w:tcPr>
            <w:tcW w:w="39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西安时代尚优文化传媒集团有限公司</w:t>
            </w:r>
          </w:p>
        </w:tc>
        <w:tc>
          <w:tcPr>
            <w:tcW w:w="3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广告收入</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241,834.91</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140,604.81</w:t>
            </w:r>
          </w:p>
        </w:tc>
      </w:tr>
      <w:tr>
        <w:trPr>
          <w:trHeight w:val="402" w:hRule="exact"/>
        </w:trPr>
        <w:tc>
          <w:tcPr>
            <w:tcW w:w="39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北京中关村智酷双创人才服务股份有限公司</w:t>
            </w:r>
          </w:p>
        </w:tc>
        <w:tc>
          <w:tcPr>
            <w:tcW w:w="3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教育培训</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1,732,435.90</w:t>
            </w:r>
          </w:p>
        </w:tc>
        <w:tc>
          <w:tcPr>
            <w:tcW w:w="12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杭州火鸟区块链有限公司</w:t>
            </w:r>
          </w:p>
        </w:tc>
        <w:tc>
          <w:tcPr>
            <w:tcW w:w="3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广告、印刷</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77,892.24</w:t>
            </w:r>
          </w:p>
        </w:tc>
        <w:tc>
          <w:tcPr>
            <w:tcW w:w="12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杭州乐活公益服务中心</w:t>
            </w:r>
          </w:p>
        </w:tc>
        <w:tc>
          <w:tcPr>
            <w:tcW w:w="3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8,620.69</w:t>
            </w:r>
          </w:p>
        </w:tc>
        <w:tc>
          <w:tcPr>
            <w:tcW w:w="12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3920"/>
        <w:gridCol w:w="3311"/>
        <w:gridCol w:w="1231"/>
        <w:gridCol w:w="1231"/>
      </w:tblGrid>
      <w:tr>
        <w:trPr>
          <w:trHeight w:val="402" w:hRule="exact"/>
        </w:trPr>
        <w:tc>
          <w:tcPr>
            <w:tcW w:w="39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杭州西城文化传媒有限公司</w:t>
            </w:r>
          </w:p>
        </w:tc>
        <w:tc>
          <w:tcPr>
            <w:tcW w:w="3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广告及策划收入</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33,018.87</w:t>
            </w:r>
          </w:p>
        </w:tc>
        <w:tc>
          <w:tcPr>
            <w:tcW w:w="12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杭州萧山日报资本管理有限公司</w:t>
            </w:r>
          </w:p>
        </w:tc>
        <w:tc>
          <w:tcPr>
            <w:tcW w:w="3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广告及策划收入</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245,283.02</w:t>
            </w:r>
          </w:p>
        </w:tc>
        <w:tc>
          <w:tcPr>
            <w:tcW w:w="12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廊坊市中关村智酷人才服务有限公司</w:t>
            </w:r>
          </w:p>
        </w:tc>
        <w:tc>
          <w:tcPr>
            <w:tcW w:w="3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教育培训</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1,348,113.17</w:t>
            </w:r>
          </w:p>
        </w:tc>
        <w:tc>
          <w:tcPr>
            <w:tcW w:w="12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浙江都快金服信息服务有限公司</w:t>
            </w:r>
          </w:p>
        </w:tc>
        <w:tc>
          <w:tcPr>
            <w:tcW w:w="3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销售商品收入</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245.69</w:t>
            </w:r>
          </w:p>
        </w:tc>
        <w:tc>
          <w:tcPr>
            <w:tcW w:w="12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浙江国大集团有限责任公司</w:t>
            </w:r>
          </w:p>
        </w:tc>
        <w:tc>
          <w:tcPr>
            <w:tcW w:w="3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广告收入</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373,814.93</w:t>
            </w:r>
          </w:p>
        </w:tc>
        <w:tc>
          <w:tcPr>
            <w:tcW w:w="12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浙江弘致投资管理有限公司</w:t>
            </w:r>
          </w:p>
        </w:tc>
        <w:tc>
          <w:tcPr>
            <w:tcW w:w="3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服务收入</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97,087.38</w:t>
            </w:r>
          </w:p>
        </w:tc>
        <w:tc>
          <w:tcPr>
            <w:tcW w:w="12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杭州城乡通商务有限公司</w:t>
            </w:r>
          </w:p>
        </w:tc>
        <w:tc>
          <w:tcPr>
            <w:tcW w:w="3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物流配送收入</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18,600.00</w:t>
            </w:r>
          </w:p>
        </w:tc>
        <w:tc>
          <w:tcPr>
            <w:tcW w:w="12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41,273,548.79</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50,128,719.11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本公司作为出租方：</w:t>
      </w:r>
    </w:p>
    <w:p>
      <w:pPr>
        <w:pStyle w:val="BodyText"/>
        <w:spacing w:line="240" w:lineRule="auto" w:before="117"/>
        <w:ind w:left="0" w:right="113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19"/>
        <w:gridCol w:w="1663"/>
        <w:gridCol w:w="2393"/>
        <w:gridCol w:w="2393"/>
      </w:tblGrid>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承租方名称</w:t>
            </w:r>
          </w:p>
        </w:tc>
        <w:tc>
          <w:tcPr>
            <w:tcW w:w="1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5"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浙江衢州盛元文创印业有限公司</w:t>
            </w:r>
          </w:p>
        </w:tc>
        <w:tc>
          <w:tcPr>
            <w:tcW w:w="16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17,241.38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杭州今典博唯文化创意有限公司</w:t>
            </w:r>
          </w:p>
        </w:tc>
        <w:tc>
          <w:tcPr>
            <w:tcW w:w="16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工位</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14,414.41</w:t>
            </w:r>
          </w:p>
        </w:tc>
      </w:tr>
    </w:tbl>
    <w:p>
      <w:pPr>
        <w:pStyle w:val="BodyText"/>
        <w:spacing w:line="240" w:lineRule="auto" w:before="51"/>
        <w:ind w:right="0"/>
        <w:jc w:val="left"/>
      </w:pPr>
      <w:r>
        <w:rPr/>
        <w:t>本公司作为承租方：</w:t>
      </w:r>
    </w:p>
    <w:p>
      <w:pPr>
        <w:pStyle w:val="BodyText"/>
        <w:spacing w:line="240" w:lineRule="auto" w:before="117"/>
        <w:ind w:left="0" w:right="1131"/>
        <w:jc w:val="right"/>
      </w:pPr>
      <w:r>
        <w:rPr/>
        <w:t>单位： 元</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3510"/>
        <w:gridCol w:w="2604"/>
        <w:gridCol w:w="1789"/>
        <w:gridCol w:w="1790"/>
      </w:tblGrid>
      <w:tr>
        <w:trPr>
          <w:trHeight w:val="402" w:hRule="exact"/>
        </w:trPr>
        <w:tc>
          <w:tcPr>
            <w:tcW w:w="35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出租方名称</w:t>
            </w:r>
          </w:p>
        </w:tc>
        <w:tc>
          <w:tcPr>
            <w:tcW w:w="26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9"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1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1" w:hRule="exact"/>
        </w:trPr>
        <w:tc>
          <w:tcPr>
            <w:tcW w:w="35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c>
          <w:tcPr>
            <w:tcW w:w="26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8,915,722.16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8,205,686.30</w:t>
            </w:r>
          </w:p>
        </w:tc>
      </w:tr>
      <w:tr>
        <w:trPr>
          <w:trHeight w:val="402" w:hRule="exact"/>
        </w:trPr>
        <w:tc>
          <w:tcPr>
            <w:tcW w:w="35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26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562,335.25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1,092,924.82</w:t>
            </w:r>
          </w:p>
        </w:tc>
      </w:tr>
      <w:tr>
        <w:trPr>
          <w:trHeight w:val="402" w:hRule="exact"/>
        </w:trPr>
        <w:tc>
          <w:tcPr>
            <w:tcW w:w="35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浙江杭报金都创意产业发展有限公司</w:t>
            </w:r>
          </w:p>
        </w:tc>
        <w:tc>
          <w:tcPr>
            <w:tcW w:w="26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789"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482,176.71</w:t>
            </w:r>
          </w:p>
        </w:tc>
      </w:tr>
      <w:tr>
        <w:trPr>
          <w:trHeight w:val="402" w:hRule="exact"/>
        </w:trPr>
        <w:tc>
          <w:tcPr>
            <w:tcW w:w="35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萧山日报社</w:t>
            </w:r>
          </w:p>
        </w:tc>
        <w:tc>
          <w:tcPr>
            <w:tcW w:w="26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347,619.04</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347,619.04</w:t>
            </w:r>
          </w:p>
        </w:tc>
      </w:tr>
      <w:tr>
        <w:trPr>
          <w:trHeight w:val="402" w:hRule="exact"/>
        </w:trPr>
        <w:tc>
          <w:tcPr>
            <w:tcW w:w="35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余杭晨报社</w:t>
            </w:r>
          </w:p>
        </w:tc>
        <w:tc>
          <w:tcPr>
            <w:tcW w:w="26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114,371.42</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108,926.65</w:t>
            </w:r>
          </w:p>
        </w:tc>
      </w:tr>
      <w:tr>
        <w:trPr>
          <w:trHeight w:val="402" w:hRule="exact"/>
        </w:trPr>
        <w:tc>
          <w:tcPr>
            <w:tcW w:w="35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富阳日报社</w:t>
            </w:r>
          </w:p>
        </w:tc>
        <w:tc>
          <w:tcPr>
            <w:tcW w:w="26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60,000.00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60,000.00</w:t>
            </w:r>
          </w:p>
        </w:tc>
      </w:tr>
      <w:tr>
        <w:trPr>
          <w:trHeight w:val="402" w:hRule="exact"/>
        </w:trPr>
        <w:tc>
          <w:tcPr>
            <w:tcW w:w="35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浙江都市艺术文化发展有限公司</w:t>
            </w:r>
          </w:p>
        </w:tc>
        <w:tc>
          <w:tcPr>
            <w:tcW w:w="26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233,962.26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181,371.68</w:t>
            </w:r>
          </w:p>
        </w:tc>
      </w:tr>
      <w:tr>
        <w:trPr>
          <w:trHeight w:val="402" w:hRule="exact"/>
        </w:trPr>
        <w:tc>
          <w:tcPr>
            <w:tcW w:w="35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杭州丛人广告有限公司</w:t>
            </w:r>
          </w:p>
        </w:tc>
        <w:tc>
          <w:tcPr>
            <w:tcW w:w="26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场地</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528,131.07</w:t>
            </w: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西安时代尚优文化传媒集团有限公司</w:t>
            </w:r>
          </w:p>
        </w:tc>
        <w:tc>
          <w:tcPr>
            <w:tcW w:w="26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号线广告经营权费</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7,518,249.93</w:t>
            </w: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浙江国大集团有限责任公司</w:t>
            </w:r>
          </w:p>
        </w:tc>
        <w:tc>
          <w:tcPr>
            <w:tcW w:w="26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场地</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1,965,408.78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2,226,151.68</w:t>
            </w:r>
          </w:p>
        </w:tc>
      </w:tr>
      <w:tr>
        <w:trPr>
          <w:trHeight w:val="403" w:hRule="exact"/>
        </w:trPr>
        <w:tc>
          <w:tcPr>
            <w:tcW w:w="35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0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20,245,799.91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12,704,856.88</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本公司作为担保方：无</w:t>
      </w:r>
    </w:p>
    <w:p>
      <w:pPr>
        <w:spacing w:after="0" w:line="240" w:lineRule="auto"/>
        <w:jc w:val="left"/>
        <w:sectPr>
          <w:pgSz w:w="11910" w:h="16840"/>
          <w:pgMar w:header="0" w:footer="982" w:top="1100" w:bottom="1180" w:left="980" w:right="0"/>
        </w:sectPr>
      </w:pPr>
    </w:p>
    <w:p>
      <w:pPr>
        <w:spacing w:line="240" w:lineRule="auto" w:before="13"/>
        <w:rPr>
          <w:rFonts w:ascii="宋体" w:hAnsi="宋体" w:cs="宋体" w:eastAsia="宋体" w:hint="default"/>
          <w:sz w:val="21"/>
          <w:szCs w:val="21"/>
        </w:rPr>
      </w:pPr>
    </w:p>
    <w:p>
      <w:pPr>
        <w:pStyle w:val="BodyText"/>
        <w:spacing w:line="240" w:lineRule="auto" w:before="44"/>
        <w:ind w:left="153" w:right="0"/>
        <w:jc w:val="left"/>
      </w:pPr>
      <w:r>
        <w:rPr/>
        <w:t>本公司作为被担保方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10"/>
        <w:gridCol w:w="1418"/>
        <w:gridCol w:w="1914"/>
        <w:gridCol w:w="1914"/>
        <w:gridCol w:w="1914"/>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4"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浙江国大集团有限责任公司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浙江国大集团有限责任公司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曲水华航投资有限公司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宁波高新区新愿景股权投资有 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吴井军</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9,429,749.35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86"/>
        <w:gridCol w:w="1140"/>
        <w:gridCol w:w="1915"/>
        <w:gridCol w:w="1914"/>
        <w:gridCol w:w="1886"/>
      </w:tblGrid>
      <w:tr>
        <w:trPr>
          <w:trHeight w:val="401" w:hRule="exact"/>
        </w:trPr>
        <w:tc>
          <w:tcPr>
            <w:tcW w:w="2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9"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6"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4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26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曲水华航投资有限公司</w:t>
            </w:r>
          </w:p>
        </w:tc>
        <w:tc>
          <w:tcPr>
            <w:tcW w:w="1140"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计息拆借</w:t>
            </w:r>
          </w:p>
        </w:tc>
      </w:tr>
      <w:tr>
        <w:trPr>
          <w:trHeight w:val="402" w:hRule="exact"/>
        </w:trPr>
        <w:tc>
          <w:tcPr>
            <w:tcW w:w="26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曲水华航投资有限公司</w:t>
            </w:r>
          </w:p>
        </w:tc>
        <w:tc>
          <w:tcPr>
            <w:tcW w:w="1140"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计息拆借</w:t>
            </w:r>
          </w:p>
        </w:tc>
      </w:tr>
      <w:tr>
        <w:trPr>
          <w:trHeight w:val="402" w:hRule="exact"/>
        </w:trPr>
        <w:tc>
          <w:tcPr>
            <w:tcW w:w="26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曲水华航投资有限公司</w:t>
            </w:r>
          </w:p>
        </w:tc>
        <w:tc>
          <w:tcPr>
            <w:tcW w:w="1140"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计息拆借</w:t>
            </w:r>
          </w:p>
        </w:tc>
      </w:tr>
      <w:tr>
        <w:trPr>
          <w:trHeight w:val="402" w:hRule="exact"/>
        </w:trPr>
        <w:tc>
          <w:tcPr>
            <w:tcW w:w="26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曲水华航投资有限公司</w:t>
            </w:r>
          </w:p>
        </w:tc>
        <w:tc>
          <w:tcPr>
            <w:tcW w:w="1140"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计息拆借</w:t>
            </w:r>
          </w:p>
        </w:tc>
      </w:tr>
      <w:tr>
        <w:trPr>
          <w:trHeight w:val="402" w:hRule="exact"/>
        </w:trPr>
        <w:tc>
          <w:tcPr>
            <w:tcW w:w="26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曲水华航投资有限公司</w:t>
            </w:r>
          </w:p>
        </w:tc>
        <w:tc>
          <w:tcPr>
            <w:tcW w:w="1140"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计息拆借</w:t>
            </w:r>
          </w:p>
        </w:tc>
      </w:tr>
      <w:tr>
        <w:trPr>
          <w:trHeight w:val="402" w:hRule="exact"/>
        </w:trPr>
        <w:tc>
          <w:tcPr>
            <w:tcW w:w="26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曲水华航投资有限公司</w:t>
            </w:r>
          </w:p>
        </w:tc>
        <w:tc>
          <w:tcPr>
            <w:tcW w:w="1140"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计息拆借</w:t>
            </w:r>
          </w:p>
        </w:tc>
      </w:tr>
      <w:tr>
        <w:trPr>
          <w:trHeight w:val="403" w:hRule="exact"/>
        </w:trPr>
        <w:tc>
          <w:tcPr>
            <w:tcW w:w="26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40"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18,000,000.00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1" w:hRule="exact"/>
        </w:trPr>
        <w:tc>
          <w:tcPr>
            <w:tcW w:w="954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402" w:hRule="exact"/>
        </w:trPr>
        <w:tc>
          <w:tcPr>
            <w:tcW w:w="26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杭州华媒科创园区管理有限公司</w:t>
            </w:r>
          </w:p>
        </w:tc>
        <w:tc>
          <w:tcPr>
            <w:tcW w:w="1140"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计息拆借</w:t>
            </w:r>
          </w:p>
        </w:tc>
      </w:tr>
      <w:tr>
        <w:trPr>
          <w:trHeight w:val="402" w:hRule="exact"/>
        </w:trPr>
        <w:tc>
          <w:tcPr>
            <w:tcW w:w="26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杭州华媒科创园区管理有限公司</w:t>
            </w:r>
          </w:p>
        </w:tc>
        <w:tc>
          <w:tcPr>
            <w:tcW w:w="1140"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计息拆借</w:t>
            </w:r>
          </w:p>
        </w:tc>
      </w:tr>
      <w:tr>
        <w:trPr>
          <w:trHeight w:val="402" w:hRule="exact"/>
        </w:trPr>
        <w:tc>
          <w:tcPr>
            <w:tcW w:w="26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杭州华媒科创园区管理有限公司</w:t>
            </w:r>
          </w:p>
        </w:tc>
        <w:tc>
          <w:tcPr>
            <w:tcW w:w="1140"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计息拆借</w:t>
            </w:r>
          </w:p>
        </w:tc>
      </w:tr>
      <w:tr>
        <w:trPr>
          <w:trHeight w:val="402" w:hRule="exact"/>
        </w:trPr>
        <w:tc>
          <w:tcPr>
            <w:tcW w:w="26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杭州华媒科创园区管理有限公司</w:t>
            </w:r>
          </w:p>
        </w:tc>
        <w:tc>
          <w:tcPr>
            <w:tcW w:w="1140"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计息拆借</w:t>
            </w:r>
          </w:p>
        </w:tc>
      </w:tr>
      <w:tr>
        <w:trPr>
          <w:trHeight w:val="402" w:hRule="exact"/>
        </w:trPr>
        <w:tc>
          <w:tcPr>
            <w:tcW w:w="26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杭州华媒科创园区管理有限公司</w:t>
            </w:r>
          </w:p>
        </w:tc>
        <w:tc>
          <w:tcPr>
            <w:tcW w:w="1140"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计息拆借</w:t>
            </w:r>
          </w:p>
        </w:tc>
      </w:tr>
      <w:tr>
        <w:trPr>
          <w:trHeight w:val="403" w:hRule="exact"/>
        </w:trPr>
        <w:tc>
          <w:tcPr>
            <w:tcW w:w="26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40"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24,500,000.00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shd w:val="clear" w:color="auto" w:fill="C7EDCC"/>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浙江华朗实业有限公司</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北京精典博维股权</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130,200,000.00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杭州泰一指尚科技有限公司</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华泰一媒股权</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4,900,000.00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萧报教育股权</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15,752,900.00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华媒企业管理股权</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90,565,000.00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241,417,900.00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6,180,500.00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6,456,357.00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496"/>
        <w:gridCol w:w="3940"/>
        <w:gridCol w:w="1253"/>
        <w:gridCol w:w="882"/>
        <w:gridCol w:w="1241"/>
        <w:gridCol w:w="882"/>
      </w:tblGrid>
      <w:tr>
        <w:trPr>
          <w:trHeight w:val="402" w:hRule="exact"/>
        </w:trPr>
        <w:tc>
          <w:tcPr>
            <w:tcW w:w="14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94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1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0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2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6"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496" w:type="dxa"/>
            <w:vMerge/>
            <w:tcBorders>
              <w:left w:val="single" w:sz="4" w:space="0" w:color="000000"/>
              <w:bottom w:val="single" w:sz="4" w:space="0" w:color="000000"/>
              <w:right w:val="single" w:sz="4" w:space="0" w:color="000000"/>
            </w:tcBorders>
            <w:shd w:val="clear" w:color="auto" w:fill="D3D3D3"/>
          </w:tcPr>
          <w:p>
            <w:pPr/>
          </w:p>
        </w:tc>
        <w:tc>
          <w:tcPr>
            <w:tcW w:w="3940" w:type="dxa"/>
            <w:vMerge/>
            <w:tcBorders>
              <w:left w:val="single" w:sz="4" w:space="0" w:color="000000"/>
              <w:bottom w:val="single" w:sz="4" w:space="0" w:color="000000"/>
              <w:right w:val="single" w:sz="4" w:space="0" w:color="000000"/>
            </w:tcBorders>
            <w:shd w:val="clear" w:color="auto" w:fill="D3D3D3"/>
          </w:tcPr>
          <w:p>
            <w:pPr/>
          </w:p>
        </w:tc>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94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253" w:type="dxa"/>
            <w:tcBorders>
              <w:top w:val="single" w:sz="4" w:space="0" w:color="000000"/>
              <w:left w:val="single" w:sz="13" w:space="0" w:color="C7EDCC"/>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9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北京中关村智酷双创人才服务股份有限公司</w:t>
            </w:r>
          </w:p>
        </w:tc>
        <w:tc>
          <w:tcPr>
            <w:tcW w:w="125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1,441,518.22</w:t>
            </w:r>
          </w:p>
        </w:tc>
        <w:tc>
          <w:tcPr>
            <w:tcW w:w="88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9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杭州城乡通商务有限公司</w:t>
            </w:r>
          </w:p>
        </w:tc>
        <w:tc>
          <w:tcPr>
            <w:tcW w:w="125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19,716.00</w:t>
            </w:r>
          </w:p>
        </w:tc>
        <w:tc>
          <w:tcPr>
            <w:tcW w:w="88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9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杭州网络新闻中心</w:t>
            </w:r>
          </w:p>
        </w:tc>
        <w:tc>
          <w:tcPr>
            <w:tcW w:w="125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150,000.00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9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廊坊市中关村智酷人才服务有限公司</w:t>
            </w:r>
          </w:p>
        </w:tc>
        <w:tc>
          <w:tcPr>
            <w:tcW w:w="125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1,429,000.00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9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浙江国大会展服务有限公司</w:t>
            </w:r>
          </w:p>
        </w:tc>
        <w:tc>
          <w:tcPr>
            <w:tcW w:w="125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246,500.00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9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上海合印科技股份有限公司</w:t>
            </w:r>
          </w:p>
        </w:tc>
        <w:tc>
          <w:tcPr>
            <w:tcW w:w="1253" w:type="dxa"/>
            <w:tcBorders>
              <w:top w:val="single" w:sz="4" w:space="0" w:color="000000"/>
              <w:left w:val="single" w:sz="13" w:space="0" w:color="C7EDCC"/>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15,372,361.98</w:t>
            </w: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9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浙江都市艺术文化发展有限公司</w:t>
            </w:r>
          </w:p>
        </w:tc>
        <w:tc>
          <w:tcPr>
            <w:tcW w:w="125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300,020.00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300,000.00</w:t>
            </w: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9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c>
          <w:tcPr>
            <w:tcW w:w="125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143,197.72</w:t>
            </w:r>
          </w:p>
        </w:tc>
        <w:tc>
          <w:tcPr>
            <w:tcW w:w="88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139,925.00</w:t>
            </w: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9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125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114.99</w:t>
            </w:r>
          </w:p>
        </w:tc>
        <w:tc>
          <w:tcPr>
            <w:tcW w:w="88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9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浙江衢州盛元文创印业有限公司</w:t>
            </w:r>
          </w:p>
        </w:tc>
        <w:tc>
          <w:tcPr>
            <w:tcW w:w="1253" w:type="dxa"/>
            <w:tcBorders>
              <w:top w:val="single" w:sz="4" w:space="0" w:color="000000"/>
              <w:left w:val="single" w:sz="13" w:space="0" w:color="C7EDCC"/>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59,645.60</w:t>
            </w: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9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杭州萧文置业有限公司</w:t>
            </w:r>
          </w:p>
        </w:tc>
        <w:tc>
          <w:tcPr>
            <w:tcW w:w="1253" w:type="dxa"/>
            <w:tcBorders>
              <w:top w:val="single" w:sz="4" w:space="0" w:color="000000"/>
              <w:left w:val="single" w:sz="13" w:space="0" w:color="C7EDCC"/>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2,520.00</w:t>
            </w: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9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北京精典博维文化传媒有限公司</w:t>
            </w:r>
          </w:p>
        </w:tc>
        <w:tc>
          <w:tcPr>
            <w:tcW w:w="125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1,772,138.87</w:t>
            </w:r>
          </w:p>
        </w:tc>
        <w:tc>
          <w:tcPr>
            <w:tcW w:w="88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1,772,138.87</w:t>
            </w: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9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杭州地铁文化传媒有限公司</w:t>
            </w:r>
          </w:p>
        </w:tc>
        <w:tc>
          <w:tcPr>
            <w:tcW w:w="125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585,146.14</w:t>
            </w:r>
          </w:p>
        </w:tc>
        <w:tc>
          <w:tcPr>
            <w:tcW w:w="88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720,435.97</w:t>
            </w: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9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杭州新旺财商贸有限公司</w:t>
            </w:r>
          </w:p>
        </w:tc>
        <w:tc>
          <w:tcPr>
            <w:tcW w:w="1253" w:type="dxa"/>
            <w:tcBorders>
              <w:top w:val="single" w:sz="4" w:space="0" w:color="000000"/>
              <w:left w:val="single" w:sz="13" w:space="0" w:color="C7EDCC"/>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1,107.90</w:t>
            </w: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9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杭州读报人电子商务有限公司</w:t>
            </w:r>
          </w:p>
        </w:tc>
        <w:tc>
          <w:tcPr>
            <w:tcW w:w="125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68,724.57</w:t>
            </w:r>
          </w:p>
        </w:tc>
        <w:tc>
          <w:tcPr>
            <w:tcW w:w="88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47,628.37</w:t>
            </w: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9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十九楼网络股份有限公司</w:t>
            </w:r>
          </w:p>
        </w:tc>
        <w:tc>
          <w:tcPr>
            <w:tcW w:w="1253" w:type="dxa"/>
            <w:tcBorders>
              <w:top w:val="single" w:sz="4" w:space="0" w:color="000000"/>
              <w:left w:val="single" w:sz="13" w:space="0" w:color="C7EDCC"/>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50,100.00</w:t>
            </w: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9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杭州泰一指尚科技有限公司</w:t>
            </w:r>
          </w:p>
        </w:tc>
        <w:tc>
          <w:tcPr>
            <w:tcW w:w="1253" w:type="dxa"/>
            <w:tcBorders>
              <w:top w:val="single" w:sz="4" w:space="0" w:color="000000"/>
              <w:left w:val="single" w:sz="13" w:space="0" w:color="C7EDCC"/>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32,778.88</w:t>
            </w:r>
          </w:p>
        </w:tc>
        <w:tc>
          <w:tcPr>
            <w:tcW w:w="8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1496"/>
        <w:gridCol w:w="3923"/>
        <w:gridCol w:w="1270"/>
        <w:gridCol w:w="882"/>
        <w:gridCol w:w="1241"/>
        <w:gridCol w:w="882"/>
      </w:tblGrid>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每日商报社</w:t>
            </w:r>
          </w:p>
        </w:tc>
        <w:tc>
          <w:tcPr>
            <w:tcW w:w="1270" w:type="dxa"/>
            <w:tcBorders>
              <w:top w:val="single" w:sz="4" w:space="0" w:color="000000"/>
              <w:left w:val="single" w:sz="13" w:space="0" w:color="C7EDCC"/>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100,000.00</w:t>
            </w: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杭州文化产权交易所有限公司</w:t>
            </w:r>
          </w:p>
        </w:tc>
        <w:tc>
          <w:tcPr>
            <w:tcW w:w="1270"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334,556.00</w:t>
            </w:r>
          </w:p>
        </w:tc>
        <w:tc>
          <w:tcPr>
            <w:tcW w:w="88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广州市增城区新康小学</w:t>
            </w:r>
          </w:p>
        </w:tc>
        <w:tc>
          <w:tcPr>
            <w:tcW w:w="1270" w:type="dxa"/>
            <w:tcBorders>
              <w:top w:val="single" w:sz="4" w:space="0" w:color="000000"/>
              <w:left w:val="single" w:sz="13" w:space="0" w:color="C7EDCC"/>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400,000.00</w:t>
            </w: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海口市布朗幼儿园</w:t>
            </w:r>
          </w:p>
        </w:tc>
        <w:tc>
          <w:tcPr>
            <w:tcW w:w="1270" w:type="dxa"/>
            <w:tcBorders>
              <w:top w:val="single" w:sz="4" w:space="0" w:color="000000"/>
              <w:left w:val="single" w:sz="13" w:space="0" w:color="C7EDCC"/>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200,000.00</w:t>
            </w: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德清今日传媒有限公司</w:t>
            </w:r>
          </w:p>
        </w:tc>
        <w:tc>
          <w:tcPr>
            <w:tcW w:w="1270" w:type="dxa"/>
            <w:tcBorders>
              <w:top w:val="single" w:sz="4" w:space="0" w:color="000000"/>
              <w:left w:val="single" w:sz="13" w:space="0" w:color="C7EDCC"/>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125,000.00</w:t>
            </w: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杭州富阳闻达电子商务有限公司</w:t>
            </w:r>
          </w:p>
        </w:tc>
        <w:tc>
          <w:tcPr>
            <w:tcW w:w="1270"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147,957.00</w:t>
            </w:r>
          </w:p>
        </w:tc>
        <w:tc>
          <w:tcPr>
            <w:tcW w:w="88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杭州大快文化创意有限公司</w:t>
            </w:r>
          </w:p>
        </w:tc>
        <w:tc>
          <w:tcPr>
            <w:tcW w:w="1270"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380,000.00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西安时代尚优文化传媒集团有限公司</w:t>
            </w:r>
          </w:p>
        </w:tc>
        <w:tc>
          <w:tcPr>
            <w:tcW w:w="1270"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140,346.37</w:t>
            </w:r>
          </w:p>
        </w:tc>
        <w:tc>
          <w:tcPr>
            <w:tcW w:w="88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140,604.81</w:t>
            </w: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浙江国大集团有限责任公司</w:t>
            </w:r>
          </w:p>
        </w:tc>
        <w:tc>
          <w:tcPr>
            <w:tcW w:w="1270"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3,459.12</w:t>
            </w:r>
          </w:p>
        </w:tc>
        <w:tc>
          <w:tcPr>
            <w:tcW w:w="88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3,459.12</w:t>
            </w: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杭州火鸟区块链有限公司</w:t>
            </w:r>
          </w:p>
        </w:tc>
        <w:tc>
          <w:tcPr>
            <w:tcW w:w="1270"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2,681.03</w:t>
            </w:r>
          </w:p>
        </w:tc>
        <w:tc>
          <w:tcPr>
            <w:tcW w:w="88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0"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7,165,076.03</w:t>
            </w:r>
          </w:p>
        </w:tc>
        <w:tc>
          <w:tcPr>
            <w:tcW w:w="88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19,467,706.50</w:t>
            </w: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92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270" w:type="dxa"/>
            <w:tcBorders>
              <w:top w:val="single" w:sz="4" w:space="0" w:color="000000"/>
              <w:left w:val="single" w:sz="13" w:space="0" w:color="C7EDCC"/>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杭州华媒科创园区管理有限公司</w:t>
            </w:r>
          </w:p>
        </w:tc>
        <w:tc>
          <w:tcPr>
            <w:tcW w:w="1270"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500,000.01</w:t>
            </w:r>
          </w:p>
        </w:tc>
        <w:tc>
          <w:tcPr>
            <w:tcW w:w="88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0"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500,000.01</w:t>
            </w:r>
          </w:p>
        </w:tc>
        <w:tc>
          <w:tcPr>
            <w:tcW w:w="88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92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270" w:type="dxa"/>
            <w:tcBorders>
              <w:top w:val="single" w:sz="4" w:space="0" w:color="000000"/>
              <w:left w:val="single" w:sz="13" w:space="0" w:color="C7EDCC"/>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1270"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279.95</w:t>
            </w:r>
          </w:p>
        </w:tc>
        <w:tc>
          <w:tcPr>
            <w:tcW w:w="88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杭州源素信息技术有限公司</w:t>
            </w:r>
          </w:p>
        </w:tc>
        <w:tc>
          <w:tcPr>
            <w:tcW w:w="1270"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161,812.30</w:t>
            </w:r>
          </w:p>
        </w:tc>
        <w:tc>
          <w:tcPr>
            <w:tcW w:w="88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浙江杭报金都创意产业发展有限公司</w:t>
            </w:r>
          </w:p>
        </w:tc>
        <w:tc>
          <w:tcPr>
            <w:tcW w:w="1270" w:type="dxa"/>
            <w:tcBorders>
              <w:top w:val="single" w:sz="4" w:space="0" w:color="000000"/>
              <w:left w:val="single" w:sz="13" w:space="0" w:color="C7EDCC"/>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7,575.48</w:t>
            </w: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0"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162,092.25</w:t>
            </w:r>
          </w:p>
        </w:tc>
        <w:tc>
          <w:tcPr>
            <w:tcW w:w="88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7,575.48</w:t>
            </w: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92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270" w:type="dxa"/>
            <w:tcBorders>
              <w:top w:val="single" w:sz="4" w:space="0" w:color="000000"/>
              <w:left w:val="single" w:sz="13" w:space="0" w:color="C7EDCC"/>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浙江国大集团有限责任公司</w:t>
            </w:r>
          </w:p>
        </w:tc>
        <w:tc>
          <w:tcPr>
            <w:tcW w:w="1270"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51,100.62</w:t>
            </w:r>
          </w:p>
        </w:tc>
        <w:tc>
          <w:tcPr>
            <w:tcW w:w="88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杭州丛人广告有限公司</w:t>
            </w:r>
          </w:p>
        </w:tc>
        <w:tc>
          <w:tcPr>
            <w:tcW w:w="1270"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778,301.82</w:t>
            </w:r>
          </w:p>
        </w:tc>
        <w:tc>
          <w:tcPr>
            <w:tcW w:w="88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西安时代尚优文化传媒集团有限公司</w:t>
            </w:r>
          </w:p>
        </w:tc>
        <w:tc>
          <w:tcPr>
            <w:tcW w:w="1270"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1,973,151.34</w:t>
            </w:r>
          </w:p>
        </w:tc>
        <w:tc>
          <w:tcPr>
            <w:tcW w:w="88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1,670,637.61</w:t>
            </w: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c>
          <w:tcPr>
            <w:tcW w:w="1270"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145,480.78</w:t>
            </w:r>
          </w:p>
        </w:tc>
        <w:tc>
          <w:tcPr>
            <w:tcW w:w="88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0"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2,948,034.56</w:t>
            </w:r>
          </w:p>
        </w:tc>
        <w:tc>
          <w:tcPr>
            <w:tcW w:w="88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1,670,637.61</w:t>
            </w: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92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270" w:type="dxa"/>
            <w:tcBorders>
              <w:top w:val="single" w:sz="4" w:space="0" w:color="000000"/>
              <w:left w:val="single" w:sz="13" w:space="0" w:color="C7EDCC"/>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杭州丛人广告有限公司</w:t>
            </w:r>
          </w:p>
        </w:tc>
        <w:tc>
          <w:tcPr>
            <w:tcW w:w="1270"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萧山日报社</w:t>
            </w:r>
          </w:p>
        </w:tc>
        <w:tc>
          <w:tcPr>
            <w:tcW w:w="1270"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325,078.20</w:t>
            </w:r>
          </w:p>
        </w:tc>
        <w:tc>
          <w:tcPr>
            <w:tcW w:w="88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浙江杭报金都创意产业发展有限公司</w:t>
            </w:r>
          </w:p>
        </w:tc>
        <w:tc>
          <w:tcPr>
            <w:tcW w:w="1270" w:type="dxa"/>
            <w:tcBorders>
              <w:top w:val="single" w:sz="4" w:space="0" w:color="000000"/>
              <w:left w:val="single" w:sz="13" w:space="0" w:color="C7EDCC"/>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175,000.00</w:t>
            </w: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杭州华媒科创园区管理有限公司</w:t>
            </w:r>
          </w:p>
        </w:tc>
        <w:tc>
          <w:tcPr>
            <w:tcW w:w="1270"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20,000,699.00</w:t>
            </w:r>
          </w:p>
        </w:tc>
        <w:tc>
          <w:tcPr>
            <w:tcW w:w="88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c>
          <w:tcPr>
            <w:tcW w:w="1270"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45,000.00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45,000.00</w:t>
            </w: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西安时代尚优文化传媒集团有限公司</w:t>
            </w:r>
          </w:p>
        </w:tc>
        <w:tc>
          <w:tcPr>
            <w:tcW w:w="1270"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4,740,160.00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4,740,160.00</w:t>
            </w: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浙江华朗实业有限公司</w:t>
            </w:r>
          </w:p>
        </w:tc>
        <w:tc>
          <w:tcPr>
            <w:tcW w:w="1270" w:type="dxa"/>
            <w:tcBorders>
              <w:top w:val="single" w:sz="4" w:space="0" w:color="000000"/>
              <w:left w:val="single" w:sz="13" w:space="0" w:color="C7EDCC"/>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65,100,000.00</w:t>
            </w: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0"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26,110,937.20</w:t>
            </w:r>
          </w:p>
        </w:tc>
        <w:tc>
          <w:tcPr>
            <w:tcW w:w="88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80,060,160.00</w:t>
            </w:r>
          </w:p>
        </w:tc>
        <w:tc>
          <w:tcPr>
            <w:tcW w:w="8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00" w:bottom="1180" w:left="980" w:right="0"/>
        </w:sectPr>
      </w:pPr>
    </w:p>
    <w:p>
      <w:pPr>
        <w:spacing w:line="240" w:lineRule="auto" w:before="7"/>
        <w:rPr>
          <w:rFonts w:ascii="Times New Roman" w:hAnsi="Times New Roman" w:cs="Times New Roman" w:eastAsia="Times New Roman" w:hint="default"/>
          <w:sz w:val="23"/>
          <w:szCs w:val="23"/>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632"/>
        <w:gridCol w:w="4735"/>
        <w:gridCol w:w="1633"/>
        <w:gridCol w:w="1694"/>
      </w:tblGrid>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5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4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7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0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633"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都市快报社</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120,000.00</w:t>
            </w: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杭州城乡通商务有限公司</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177,236.87</w:t>
            </w: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杭州汉书数字出版传播有限公司</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30,000.00</w:t>
            </w: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杭州萧山日报资本管理有限公司</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122,408.86</w:t>
            </w: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每日商报社</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2,186,761.32</w:t>
            </w: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富阳日报社</w:t>
            </w:r>
          </w:p>
        </w:tc>
        <w:tc>
          <w:tcPr>
            <w:tcW w:w="1633"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289,034.36</w:t>
            </w: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5,980,398.78</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1,875,648.70</w:t>
            </w: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杭州富阳闻达电子商务有限公司</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264,613.53</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191,386.78</w:t>
            </w: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浙江衢州盛元文创印业有限公司</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337,795.11</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339,437.39</w:t>
            </w: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杭州读报人电子商务有限公司</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38,786.74</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38,786.74</w:t>
            </w: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469,462.50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1,400.68</w:t>
            </w: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萧山日报社</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3,946,751.08</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393,194.57</w:t>
            </w: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浙江国大集团有限责任公司</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2,244.26</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47,283.01</w:t>
            </w: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余杭晨报社</w:t>
            </w:r>
          </w:p>
        </w:tc>
        <w:tc>
          <w:tcPr>
            <w:tcW w:w="1633"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1,306,877.70</w:t>
            </w: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杭州文化产权交易所有限公</w:t>
            </w:r>
          </w:p>
        </w:tc>
        <w:tc>
          <w:tcPr>
            <w:tcW w:w="1633"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39,088.00</w:t>
            </w: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德清今日传媒有限公司</w:t>
            </w:r>
          </w:p>
        </w:tc>
        <w:tc>
          <w:tcPr>
            <w:tcW w:w="1633"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168,612.00</w:t>
            </w: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13,676,459.05</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4,690,749.93</w:t>
            </w: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633"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杭州华媒科创园区管理有限公司</w:t>
            </w:r>
          </w:p>
        </w:tc>
        <w:tc>
          <w:tcPr>
            <w:tcW w:w="1633"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2,980.00</w:t>
            </w: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浙江国大集团有限责任公司</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115,430.32</w:t>
            </w: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杭州地铁文化传媒有限公司</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24,352.78</w:t>
            </w: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浙江衢州盛元文创印业有限公司</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w:t>
            </w: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159,783.10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2,980.00</w:t>
            </w: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633"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杭州市余杭新闻传媒中心</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980,000.00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980,000.00</w:t>
            </w: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德清己任创汇投资合伙企业（有限合伙）</w:t>
            </w:r>
          </w:p>
        </w:tc>
        <w:tc>
          <w:tcPr>
            <w:tcW w:w="1633"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993,600.00</w:t>
            </w: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浙江国大集团有限责任公司</w:t>
            </w:r>
          </w:p>
        </w:tc>
        <w:tc>
          <w:tcPr>
            <w:tcW w:w="1633"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1,752,720.00</w:t>
            </w: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980,000.00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3,726,320.00</w:t>
            </w: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633"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曲水华航投资有限公司</w:t>
            </w:r>
          </w:p>
        </w:tc>
        <w:tc>
          <w:tcPr>
            <w:tcW w:w="1633"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133,324.52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632"/>
        <w:gridCol w:w="4735"/>
        <w:gridCol w:w="1633"/>
        <w:gridCol w:w="1694"/>
      </w:tblGrid>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33"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133,324.52</w:t>
            </w: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633"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邓健</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3,402.00</w:t>
            </w: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哈尔滨报达集团有限公司</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杭州文化产权交易所有限公司</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江苏凯启教育科技有限公司</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230,000.00</w:t>
            </w: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李琪</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深圳市泽创投资发展有限公司</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514,500.00</w:t>
            </w: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王建凯</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30,612.04</w:t>
            </w: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知本环球国际教育科技（北京）有限公司</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150,000.00</w:t>
            </w: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林鹭华</w:t>
            </w:r>
          </w:p>
        </w:tc>
        <w:tc>
          <w:tcPr>
            <w:tcW w:w="1633"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17,425,256.50</w:t>
            </w: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韩锋</w:t>
            </w:r>
          </w:p>
        </w:tc>
        <w:tc>
          <w:tcPr>
            <w:tcW w:w="1633"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3,811,774.86</w:t>
            </w: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杨治国</w:t>
            </w:r>
          </w:p>
        </w:tc>
        <w:tc>
          <w:tcPr>
            <w:tcW w:w="1633"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3,811,774.86</w:t>
            </w: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蒋谢珍</w:t>
            </w:r>
          </w:p>
        </w:tc>
        <w:tc>
          <w:tcPr>
            <w:tcW w:w="1633"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1,270,591.62</w:t>
            </w: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刘志英</w:t>
            </w:r>
          </w:p>
        </w:tc>
        <w:tc>
          <w:tcPr>
            <w:tcW w:w="1633"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544,539.26</w:t>
            </w: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1,125,815.26</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1,995,538.12</w:t>
            </w: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冯岚</w:t>
            </w:r>
          </w:p>
        </w:tc>
        <w:tc>
          <w:tcPr>
            <w:tcW w:w="1633"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181,513.08</w:t>
            </w: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郑美月</w:t>
            </w:r>
          </w:p>
        </w:tc>
        <w:tc>
          <w:tcPr>
            <w:tcW w:w="1633"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181,513.08</w:t>
            </w: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曲水华航投资有限公司</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46,284,000.00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100,568,000.00</w:t>
            </w: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宁波高新区新愿景股权投资有限公司</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23,142,000.00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46,284,000.00</w:t>
            </w: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杨柳</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400,000.00</w:t>
            </w: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3,400,677.08</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74,662,627.08</w:t>
            </w: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浙江衢州盛元文创印业有限公司</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24,000.00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24,000.00</w:t>
            </w: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杭州风茂房地产代理有限公司</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40,000.00</w:t>
            </w: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80,655,006.38</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251,201,128.46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874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十三、股份支付</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0" w:footer="982" w:top="1100" w:bottom="118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4" w:right="834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8"/>
        <w:ind w:right="0"/>
        <w:jc w:val="left"/>
      </w:pPr>
      <w:r>
        <w:rPr/>
        <w:t>资产负债表日存在的重要承诺</w:t>
      </w:r>
    </w:p>
    <w:p>
      <w:pPr>
        <w:spacing w:line="300" w:lineRule="auto" w:before="116"/>
        <w:ind w:left="634" w:right="4330" w:firstLine="58"/>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、重大承诺事项</w:t>
      </w:r>
      <w:r>
        <w:rPr>
          <w:rFonts w:ascii="宋体" w:hAnsi="宋体" w:cs="宋体" w:eastAsia="宋体" w:hint="default"/>
          <w:b/>
          <w:bCs/>
          <w:w w:val="99"/>
          <w:sz w:val="18"/>
          <w:szCs w:val="18"/>
        </w:rPr>
        <w:t> </w:t>
      </w:r>
      <w:r>
        <w:rPr>
          <w:rFonts w:ascii="宋体" w:hAnsi="宋体" w:cs="宋体" w:eastAsia="宋体" w:hint="default"/>
          <w:sz w:val="18"/>
          <w:szCs w:val="18"/>
        </w:rPr>
        <w:t>至资产负债表日止，本公司对外签订的不可撤销的经营租赁合约情况如下：</w:t>
      </w:r>
    </w:p>
    <w:tbl>
      <w:tblPr>
        <w:tblW w:w="0" w:type="auto"/>
        <w:jc w:val="left"/>
        <w:tblInd w:w="139" w:type="dxa"/>
        <w:tblLayout w:type="fixed"/>
        <w:tblCellMar>
          <w:top w:w="0" w:type="dxa"/>
          <w:left w:w="0" w:type="dxa"/>
          <w:bottom w:w="0" w:type="dxa"/>
          <w:right w:w="0" w:type="dxa"/>
        </w:tblCellMar>
        <w:tblLook w:val="01E0"/>
      </w:tblPr>
      <w:tblGrid>
        <w:gridCol w:w="4477"/>
        <w:gridCol w:w="2488"/>
        <w:gridCol w:w="2693"/>
      </w:tblGrid>
      <w:tr>
        <w:trPr>
          <w:trHeight w:val="327" w:hRule="exact"/>
        </w:trPr>
        <w:tc>
          <w:tcPr>
            <w:tcW w:w="447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69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7" w:hRule="exact"/>
        </w:trPr>
        <w:tc>
          <w:tcPr>
            <w:tcW w:w="447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9"/>
              <w:ind w:left="4" w:right="0"/>
              <w:jc w:val="left"/>
              <w:rPr>
                <w:rFonts w:ascii="宋体" w:hAnsi="宋体" w:cs="宋体" w:eastAsia="宋体" w:hint="default"/>
                <w:sz w:val="18"/>
                <w:szCs w:val="18"/>
              </w:rPr>
            </w:pPr>
            <w:r>
              <w:rPr>
                <w:rFonts w:ascii="宋体" w:hAnsi="宋体" w:cs="宋体" w:eastAsia="宋体" w:hint="default"/>
                <w:sz w:val="18"/>
                <w:szCs w:val="18"/>
              </w:rPr>
              <w:t>不可撤销经营租赁的最低租赁付款额：</w:t>
            </w:r>
          </w:p>
        </w:tc>
        <w:tc>
          <w:tcPr>
            <w:tcW w:w="2488" w:type="dxa"/>
            <w:tcBorders>
              <w:top w:val="single" w:sz="8" w:space="0" w:color="000000"/>
              <w:left w:val="single" w:sz="4" w:space="0" w:color="000000"/>
              <w:bottom w:val="single" w:sz="4" w:space="0" w:color="000000"/>
              <w:right w:val="single" w:sz="4" w:space="0" w:color="000000"/>
            </w:tcBorders>
          </w:tcPr>
          <w:p>
            <w:pPr/>
          </w:p>
        </w:tc>
        <w:tc>
          <w:tcPr>
            <w:tcW w:w="2693" w:type="dxa"/>
            <w:tcBorders>
              <w:top w:val="single" w:sz="8" w:space="0" w:color="000000"/>
              <w:left w:val="single" w:sz="4" w:space="0" w:color="000000"/>
              <w:bottom w:val="single" w:sz="4" w:space="0" w:color="000000"/>
              <w:right w:val="single" w:sz="4" w:space="0" w:color="000000"/>
            </w:tcBorders>
          </w:tcPr>
          <w:p>
            <w:pPr/>
          </w:p>
        </w:tc>
      </w:tr>
      <w:tr>
        <w:trPr>
          <w:trHeight w:val="342" w:hRule="exact"/>
        </w:trPr>
        <w:tc>
          <w:tcPr>
            <w:tcW w:w="4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163,389,845.69</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143,111,180.35</w:t>
            </w:r>
          </w:p>
        </w:tc>
      </w:tr>
      <w:tr>
        <w:trPr>
          <w:trHeight w:val="342" w:hRule="exact"/>
        </w:trPr>
        <w:tc>
          <w:tcPr>
            <w:tcW w:w="4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150,809,490.17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135,934,409.49</w:t>
            </w:r>
          </w:p>
        </w:tc>
      </w:tr>
      <w:tr>
        <w:trPr>
          <w:trHeight w:val="342" w:hRule="exact"/>
        </w:trPr>
        <w:tc>
          <w:tcPr>
            <w:tcW w:w="4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137,776,658.51</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130,807,251.65</w:t>
            </w:r>
          </w:p>
        </w:tc>
      </w:tr>
      <w:tr>
        <w:trPr>
          <w:trHeight w:val="342" w:hRule="exact"/>
        </w:trPr>
        <w:tc>
          <w:tcPr>
            <w:tcW w:w="4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以后年度</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34,240,656.90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127,564,469.87</w:t>
            </w:r>
          </w:p>
        </w:tc>
      </w:tr>
      <w:tr>
        <w:trPr>
          <w:trHeight w:val="342" w:hRule="exact"/>
        </w:trPr>
        <w:tc>
          <w:tcPr>
            <w:tcW w:w="4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486,216,651.27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537,417,311.36</w:t>
            </w:r>
          </w:p>
        </w:tc>
      </w:tr>
    </w:tbl>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、其他</w:t>
      </w:r>
      <w:r>
        <w:rPr>
          <w:b w:val="0"/>
          <w:bCs w:val="0"/>
        </w:rPr>
      </w:r>
    </w:p>
    <w:p>
      <w:pPr>
        <w:spacing w:after="0" w:line="240" w:lineRule="auto"/>
        <w:jc w:val="left"/>
        <w:sectPr>
          <w:pgSz w:w="11910" w:h="16840"/>
          <w:pgMar w:header="0" w:footer="982" w:top="1100" w:bottom="1180" w:left="980" w:right="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Heading2"/>
        <w:spacing w:line="240" w:lineRule="auto" w:before="26"/>
        <w:ind w:right="0"/>
        <w:jc w:val="left"/>
        <w:rPr>
          <w:b w:val="0"/>
          <w:bCs w:val="0"/>
        </w:rPr>
      </w:pPr>
      <w:r>
        <w:rPr/>
        <w:t>十五、资产负债表日后事项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7"/>
        <w:gridCol w:w="4885"/>
        <w:gridCol w:w="1326"/>
        <w:gridCol w:w="2655"/>
      </w:tblGrid>
      <w:tr>
        <w:trPr>
          <w:trHeight w:val="161" w:hRule="exact"/>
        </w:trPr>
        <w:tc>
          <w:tcPr>
            <w:tcW w:w="777" w:type="dxa"/>
            <w:tcBorders>
              <w:top w:val="single" w:sz="4" w:space="0" w:color="000000"/>
              <w:left w:val="single" w:sz="4" w:space="0" w:color="000000"/>
              <w:bottom w:val="nil" w:sz="6" w:space="0" w:color="auto"/>
              <w:right w:val="single" w:sz="4" w:space="0" w:color="000000"/>
            </w:tcBorders>
            <w:shd w:val="clear" w:color="auto" w:fill="D3D3D3"/>
          </w:tcPr>
          <w:p>
            <w:pPr/>
          </w:p>
        </w:tc>
        <w:tc>
          <w:tcPr>
            <w:tcW w:w="4885" w:type="dxa"/>
            <w:tcBorders>
              <w:top w:val="single" w:sz="4" w:space="0" w:color="000000"/>
              <w:left w:val="single" w:sz="4" w:space="0" w:color="000000"/>
              <w:bottom w:val="nil" w:sz="6" w:space="0" w:color="auto"/>
              <w:right w:val="single" w:sz="4" w:space="0" w:color="000000"/>
            </w:tcBorders>
            <w:shd w:val="clear" w:color="auto" w:fill="D3D3D3"/>
          </w:tcPr>
          <w:p>
            <w:pPr/>
          </w:p>
        </w:tc>
        <w:tc>
          <w:tcPr>
            <w:tcW w:w="132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10"/>
              <w:ind w:left="22" w:right="31"/>
              <w:jc w:val="left"/>
              <w:rPr>
                <w:rFonts w:ascii="宋体" w:hAnsi="宋体" w:cs="宋体" w:eastAsia="宋体" w:hint="default"/>
                <w:sz w:val="18"/>
                <w:szCs w:val="18"/>
              </w:rPr>
            </w:pPr>
            <w:r>
              <w:rPr>
                <w:rFonts w:ascii="宋体" w:hAnsi="宋体" w:cs="宋体" w:eastAsia="宋体" w:hint="default"/>
                <w:sz w:val="18"/>
                <w:szCs w:val="18"/>
              </w:rPr>
              <w:t>对财务状况和经 营成果的影响数</w:t>
            </w:r>
          </w:p>
        </w:tc>
        <w:tc>
          <w:tcPr>
            <w:tcW w:w="265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12" w:hRule="exact"/>
        </w:trPr>
        <w:tc>
          <w:tcPr>
            <w:tcW w:w="77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9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8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1"/>
              <w:jc w:val="center"/>
              <w:rPr>
                <w:rFonts w:ascii="宋体" w:hAnsi="宋体" w:cs="宋体" w:eastAsia="宋体" w:hint="default"/>
                <w:sz w:val="18"/>
                <w:szCs w:val="18"/>
              </w:rPr>
            </w:pPr>
            <w:r>
              <w:rPr>
                <w:rFonts w:ascii="宋体" w:hAnsi="宋体" w:cs="宋体" w:eastAsia="宋体" w:hint="default"/>
                <w:sz w:val="18"/>
                <w:szCs w:val="18"/>
              </w:rPr>
              <w:t>内容</w:t>
            </w:r>
          </w:p>
        </w:tc>
        <w:tc>
          <w:tcPr>
            <w:tcW w:w="1326" w:type="dxa"/>
            <w:vMerge/>
            <w:tcBorders>
              <w:left w:val="single" w:sz="4" w:space="0" w:color="000000"/>
              <w:right w:val="single" w:sz="4" w:space="0" w:color="000000"/>
            </w:tcBorders>
            <w:shd w:val="clear" w:color="auto" w:fill="D3D3D3"/>
          </w:tcPr>
          <w:p>
            <w:pPr/>
          </w:p>
        </w:tc>
        <w:tc>
          <w:tcPr>
            <w:tcW w:w="265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428"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161" w:hRule="exact"/>
        </w:trPr>
        <w:tc>
          <w:tcPr>
            <w:tcW w:w="777" w:type="dxa"/>
            <w:tcBorders>
              <w:top w:val="nil" w:sz="6" w:space="0" w:color="auto"/>
              <w:left w:val="single" w:sz="4" w:space="0" w:color="000000"/>
              <w:bottom w:val="single" w:sz="4" w:space="0" w:color="000000"/>
              <w:right w:val="single" w:sz="4" w:space="0" w:color="000000"/>
            </w:tcBorders>
            <w:shd w:val="clear" w:color="auto" w:fill="D3D3D3"/>
          </w:tcPr>
          <w:p>
            <w:pPr/>
          </w:p>
        </w:tc>
        <w:tc>
          <w:tcPr>
            <w:tcW w:w="4885" w:type="dxa"/>
            <w:tcBorders>
              <w:top w:val="nil" w:sz="6" w:space="0" w:color="auto"/>
              <w:left w:val="single" w:sz="4" w:space="0" w:color="000000"/>
              <w:bottom w:val="single" w:sz="4" w:space="0" w:color="000000"/>
              <w:right w:val="single" w:sz="4" w:space="0" w:color="000000"/>
            </w:tcBorders>
            <w:shd w:val="clear" w:color="auto" w:fill="D3D3D3"/>
          </w:tcPr>
          <w:p>
            <w:pPr/>
          </w:p>
        </w:tc>
        <w:tc>
          <w:tcPr>
            <w:tcW w:w="1326" w:type="dxa"/>
            <w:vMerge/>
            <w:tcBorders>
              <w:left w:val="single" w:sz="4" w:space="0" w:color="000000"/>
              <w:bottom w:val="single" w:sz="4" w:space="0" w:color="000000"/>
              <w:right w:val="single" w:sz="4" w:space="0" w:color="000000"/>
            </w:tcBorders>
            <w:shd w:val="clear" w:color="auto" w:fill="D3D3D3"/>
          </w:tcPr>
          <w:p>
            <w:pPr/>
          </w:p>
        </w:tc>
        <w:tc>
          <w:tcPr>
            <w:tcW w:w="265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61" w:hRule="exact"/>
        </w:trPr>
        <w:tc>
          <w:tcPr>
            <w:tcW w:w="777" w:type="dxa"/>
            <w:tcBorders>
              <w:top w:val="single" w:sz="4" w:space="0" w:color="000000"/>
              <w:left w:val="single" w:sz="4" w:space="0" w:color="000000"/>
              <w:bottom w:val="nil" w:sz="6" w:space="0" w:color="auto"/>
              <w:right w:val="single" w:sz="4" w:space="0" w:color="000000"/>
            </w:tcBorders>
            <w:shd w:val="clear" w:color="auto" w:fill="D3D3D3"/>
          </w:tcPr>
          <w:p>
            <w:pPr/>
          </w:p>
        </w:tc>
        <w:tc>
          <w:tcPr>
            <w:tcW w:w="4885" w:type="dxa"/>
            <w:vMerge w:val="restart"/>
            <w:tcBorders>
              <w:top w:val="single" w:sz="4" w:space="0" w:color="000000"/>
              <w:left w:val="single" w:sz="9" w:space="0" w:color="D3D3D3"/>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本公司发行</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年度第一期超短期融资券</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计划发行总额</w:t>
            </w:r>
            <w:r>
              <w:rPr>
                <w:rFonts w:ascii="宋体" w:hAnsi="宋体" w:cs="宋体" w:eastAsia="宋体" w:hint="default"/>
                <w:spacing w:val="-6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亿元</w:t>
            </w:r>
            <w:r>
              <w:rPr>
                <w:rFonts w:ascii="宋体" w:hAnsi="宋体" w:cs="宋体" w:eastAsia="宋体" w:hint="default"/>
                <w:spacing w:val="-90"/>
                <w:sz w:val="18"/>
                <w:szCs w:val="18"/>
              </w:rPr>
              <w:t>，</w:t>
            </w:r>
            <w:r>
              <w:rPr>
                <w:rFonts w:ascii="宋体" w:hAnsi="宋体" w:cs="宋体" w:eastAsia="宋体" w:hint="default"/>
                <w:sz w:val="18"/>
                <w:szCs w:val="18"/>
              </w:rPr>
              <w:t>实际</w:t>
            </w:r>
            <w:r>
              <w:rPr>
                <w:rFonts w:ascii="宋体" w:hAnsi="宋体" w:cs="宋体" w:eastAsia="宋体" w:hint="default"/>
                <w:spacing w:val="-2"/>
                <w:sz w:val="18"/>
                <w:szCs w:val="18"/>
              </w:rPr>
              <w:t>发</w:t>
            </w:r>
            <w:r>
              <w:rPr>
                <w:rFonts w:ascii="宋体" w:hAnsi="宋体" w:cs="宋体" w:eastAsia="宋体" w:hint="default"/>
                <w:sz w:val="18"/>
                <w:szCs w:val="18"/>
              </w:rPr>
              <w:t>行总额</w:t>
            </w:r>
            <w:r>
              <w:rPr>
                <w:rFonts w:ascii="宋体" w:hAnsi="宋体" w:cs="宋体" w:eastAsia="宋体" w:hint="default"/>
                <w:spacing w:val="-6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亿</w:t>
            </w:r>
            <w:r>
              <w:rPr>
                <w:rFonts w:ascii="宋体" w:hAnsi="宋体" w:cs="宋体" w:eastAsia="宋体" w:hint="default"/>
                <w:spacing w:val="-2"/>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发行利率</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3.9%</w:t>
            </w:r>
          </w:p>
        </w:tc>
        <w:tc>
          <w:tcPr>
            <w:tcW w:w="132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16"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42" w:lineRule="exact"/>
              <w:ind w:right="19"/>
              <w:jc w:val="right"/>
              <w:rPr>
                <w:rFonts w:ascii="Times New Roman" w:hAnsi="Times New Roman" w:cs="Times New Roman" w:eastAsia="Times New Roman" w:hint="default"/>
                <w:sz w:val="18"/>
                <w:szCs w:val="18"/>
              </w:rPr>
            </w:pPr>
            <w:r>
              <w:rPr>
                <w:rFonts w:ascii="Times New Roman"/>
                <w:sz w:val="18"/>
              </w:rPr>
              <w:t>0.00</w:t>
            </w:r>
          </w:p>
          <w:p>
            <w:pPr>
              <w:pStyle w:val="TableParagraph"/>
              <w:spacing w:line="190" w:lineRule="exact"/>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2655" w:type="dxa"/>
            <w:vMerge w:val="restart"/>
            <w:tcBorders>
              <w:top w:val="single" w:sz="4" w:space="0" w:color="000000"/>
              <w:left w:val="single" w:sz="4" w:space="0" w:color="000000"/>
              <w:right w:val="single" w:sz="4" w:space="0" w:color="000000"/>
            </w:tcBorders>
            <w:shd w:val="clear" w:color="auto" w:fill="C7EDCC"/>
          </w:tcPr>
          <w:p>
            <w:pPr>
              <w:pStyle w:val="TableParagraph"/>
              <w:spacing w:line="309" w:lineRule="auto" w:before="11"/>
              <w:ind w:left="23" w:right="10"/>
              <w:jc w:val="left"/>
              <w:rPr>
                <w:rFonts w:ascii="宋体" w:hAnsi="宋体" w:cs="宋体" w:eastAsia="宋体" w:hint="default"/>
                <w:sz w:val="18"/>
                <w:szCs w:val="18"/>
              </w:rPr>
            </w:pPr>
            <w:r>
              <w:rPr>
                <w:rFonts w:ascii="宋体" w:hAnsi="宋体" w:cs="宋体" w:eastAsia="宋体" w:hint="default"/>
                <w:sz w:val="18"/>
                <w:szCs w:val="18"/>
              </w:rPr>
              <w:t>该资产负债表日后事项对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度财务状况和经营成果不造成影 响。</w:t>
            </w:r>
          </w:p>
        </w:tc>
      </w:tr>
      <w:tr>
        <w:trPr>
          <w:trHeight w:val="624" w:hRule="exact"/>
        </w:trPr>
        <w:tc>
          <w:tcPr>
            <w:tcW w:w="77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11" w:right="35"/>
              <w:jc w:val="left"/>
              <w:rPr>
                <w:rFonts w:ascii="宋体" w:hAnsi="宋体" w:cs="宋体" w:eastAsia="宋体" w:hint="default"/>
                <w:sz w:val="18"/>
                <w:szCs w:val="18"/>
              </w:rPr>
            </w:pPr>
            <w:r>
              <w:rPr>
                <w:rFonts w:ascii="宋体" w:hAnsi="宋体" w:cs="宋体" w:eastAsia="宋体" w:hint="default"/>
                <w:sz w:val="18"/>
                <w:szCs w:val="18"/>
              </w:rPr>
              <w:t>股票和债 券的发行</w:t>
            </w:r>
          </w:p>
        </w:tc>
        <w:tc>
          <w:tcPr>
            <w:tcW w:w="4885" w:type="dxa"/>
            <w:vMerge/>
            <w:tcBorders>
              <w:left w:val="single" w:sz="9" w:space="0" w:color="D3D3D3"/>
              <w:right w:val="single" w:sz="4" w:space="0" w:color="000000"/>
            </w:tcBorders>
            <w:shd w:val="clear" w:color="auto" w:fill="C7EDCC"/>
          </w:tcPr>
          <w:p>
            <w:pPr/>
          </w:p>
        </w:tc>
        <w:tc>
          <w:tcPr>
            <w:tcW w:w="1326" w:type="dxa"/>
            <w:vMerge/>
            <w:tcBorders>
              <w:left w:val="single" w:sz="4" w:space="0" w:color="000000"/>
              <w:right w:val="single" w:sz="4" w:space="0" w:color="000000"/>
            </w:tcBorders>
          </w:tcPr>
          <w:p>
            <w:pPr/>
          </w:p>
        </w:tc>
        <w:tc>
          <w:tcPr>
            <w:tcW w:w="2655" w:type="dxa"/>
            <w:vMerge/>
            <w:tcBorders>
              <w:left w:val="single" w:sz="4" w:space="0" w:color="000000"/>
              <w:right w:val="single" w:sz="4" w:space="0" w:color="000000"/>
            </w:tcBorders>
            <w:shd w:val="clear" w:color="auto" w:fill="C7EDCC"/>
          </w:tcPr>
          <w:p>
            <w:pPr/>
          </w:p>
        </w:tc>
      </w:tr>
      <w:tr>
        <w:trPr>
          <w:trHeight w:val="161" w:hRule="exact"/>
        </w:trPr>
        <w:tc>
          <w:tcPr>
            <w:tcW w:w="777" w:type="dxa"/>
            <w:tcBorders>
              <w:top w:val="nil" w:sz="6" w:space="0" w:color="auto"/>
              <w:left w:val="single" w:sz="4" w:space="0" w:color="000000"/>
              <w:bottom w:val="single" w:sz="4" w:space="0" w:color="000000"/>
              <w:right w:val="single" w:sz="4" w:space="0" w:color="000000"/>
            </w:tcBorders>
            <w:shd w:val="clear" w:color="auto" w:fill="D3D3D3"/>
          </w:tcPr>
          <w:p>
            <w:pPr/>
          </w:p>
        </w:tc>
        <w:tc>
          <w:tcPr>
            <w:tcW w:w="4885" w:type="dxa"/>
            <w:vMerge/>
            <w:tcBorders>
              <w:left w:val="single" w:sz="9" w:space="0" w:color="D3D3D3"/>
              <w:bottom w:val="single" w:sz="4" w:space="0" w:color="000000"/>
              <w:right w:val="single" w:sz="4" w:space="0" w:color="000000"/>
            </w:tcBorders>
            <w:shd w:val="clear" w:color="auto" w:fill="C7EDCC"/>
          </w:tcPr>
          <w:p>
            <w:pPr/>
          </w:p>
        </w:tc>
        <w:tc>
          <w:tcPr>
            <w:tcW w:w="1326" w:type="dxa"/>
            <w:vMerge/>
            <w:tcBorders>
              <w:left w:val="single" w:sz="4" w:space="0" w:color="000000"/>
              <w:bottom w:val="single" w:sz="4" w:space="0" w:color="000000"/>
              <w:right w:val="single" w:sz="4" w:space="0" w:color="000000"/>
            </w:tcBorders>
          </w:tcPr>
          <w:p>
            <w:pPr/>
          </w:p>
        </w:tc>
        <w:tc>
          <w:tcPr>
            <w:tcW w:w="2655" w:type="dxa"/>
            <w:vMerge/>
            <w:tcBorders>
              <w:left w:val="single" w:sz="4" w:space="0" w:color="000000"/>
              <w:bottom w:val="single" w:sz="4" w:space="0" w:color="000000"/>
              <w:right w:val="single" w:sz="4" w:space="0" w:color="000000"/>
            </w:tcBorders>
            <w:shd w:val="clear" w:color="auto" w:fill="C7EDCC"/>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pict>
          <v:group style="position:absolute;margin-left:340.079987pt;margin-top:-59.885902pt;width:66.4pt;height:46.8pt;mso-position-horizontal-relative:page;mso-position-vertical-relative:paragraph;z-index:-1148440" coordorigin="6802,-1198" coordsize="1328,936">
            <v:group style="position:absolute;left:6802;top:-574;width:1328;height:312" coordorigin="6802,-574" coordsize="1328,312">
              <v:shape style="position:absolute;left:6802;top:-574;width:1328;height:312" coordorigin="6802,-574" coordsize="1328,312" path="m6802,-262l8129,-262,8129,-574,6802,-574,6802,-262xe" filled="true" fillcolor="#ffffff" stroked="false">
                <v:path arrowok="t"/>
                <v:fill type="solid"/>
              </v:shape>
            </v:group>
            <v:group style="position:absolute;left:6802;top:-1198;width:1328;height:312" coordorigin="6802,-1198" coordsize="1328,312">
              <v:shape style="position:absolute;left:6802;top:-1198;width:1328;height:312" coordorigin="6802,-1198" coordsize="1328,312" path="m6802,-886l8129,-886,8129,-1198,6802,-1198,6802,-886xe" filled="true" fillcolor="#ffffff" stroked="false">
                <v:path arrowok="t"/>
                <v:fill type="solid"/>
              </v:shape>
            </v:group>
            <v:group style="position:absolute;left:6824;top:-885;width:1282;height:312" coordorigin="6824,-885" coordsize="1282,312">
              <v:shape style="position:absolute;left:6824;top:-885;width:1282;height:312" coordorigin="6824,-885" coordsize="1282,312" path="m6824,-573l8106,-573,8106,-885,6824,-885,6824,-573xe" filled="true" fillcolor="#ffffff" stroked="false">
                <v:path arrowok="t"/>
                <v:fill type="solid"/>
              </v:shape>
            </v:group>
            <w10:wrap type="none"/>
          </v:group>
        </w:pict>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11,194,682.51</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11,194,682.51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（1）德清今日传媒有限公司已于2019年1月16日经德清县市场监督管理局核准注销。</w:t>
      </w:r>
    </w:p>
    <w:p>
      <w:pPr>
        <w:pStyle w:val="BodyText"/>
        <w:spacing w:line="316" w:lineRule="auto" w:before="76"/>
        <w:ind w:right="1131" w:firstLine="360"/>
        <w:jc w:val="both"/>
      </w:pPr>
      <w:r>
        <w:rPr>
          <w:spacing w:val="-2"/>
        </w:rPr>
        <w:t>（2）2019年1月17日，本公司发行2019年度第一期超短期融资券，计划发行总额2.5亿元，实际发行总额2.5亿元，发行</w:t>
      </w:r>
      <w:r>
        <w:rPr/>
        <w:t> 利率3.9%。</w:t>
      </w:r>
    </w:p>
    <w:p>
      <w:pPr>
        <w:pStyle w:val="BodyText"/>
        <w:spacing w:line="316" w:lineRule="auto" w:before="19"/>
        <w:ind w:left="153" w:right="1129" w:firstLine="360"/>
        <w:jc w:val="both"/>
      </w:pPr>
      <w:r>
        <w:rPr>
          <w:spacing w:val="-2"/>
        </w:rPr>
        <w:t>（3）根据2019年4月26日公司第九届董事会第六次会议，第九届监事会第四次会议，通过的2018年度利润分配方案，以</w:t>
      </w:r>
      <w:r>
        <w:rPr/>
        <w:t> </w:t>
      </w:r>
      <w:r>
        <w:rPr>
          <w:spacing w:val="-2"/>
        </w:rPr>
        <w:t>2018年12月31日总股本1,017,698,410股为基数，每10股派发现金红利0.11元（含税），合计11,194,682.51元（含税），上</w:t>
      </w:r>
      <w:r>
        <w:rPr>
          <w:spacing w:val="-25"/>
        </w:rPr>
        <w:t> </w:t>
      </w:r>
      <w:r>
        <w:rPr>
          <w:spacing w:val="-25"/>
        </w:rPr>
      </w:r>
      <w:r>
        <w:rPr/>
        <w:t>述利润分配预案尚待股东大会审议批准。</w:t>
      </w:r>
    </w:p>
    <w:p>
      <w:pPr>
        <w:spacing w:line="240" w:lineRule="auto" w:before="10"/>
        <w:rPr>
          <w:rFonts w:ascii="宋体" w:hAnsi="宋体" w:cs="宋体" w:eastAsia="宋体" w:hint="default"/>
          <w:sz w:val="20"/>
          <w:szCs w:val="20"/>
        </w:rPr>
      </w:pPr>
    </w:p>
    <w:p>
      <w:pPr>
        <w:pStyle w:val="Heading2"/>
        <w:spacing w:line="240" w:lineRule="auto"/>
        <w:ind w:left="153" w:right="0"/>
        <w:jc w:val="left"/>
        <w:rPr>
          <w:b w:val="0"/>
          <w:bCs w:val="0"/>
        </w:rPr>
      </w:pP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after="0" w:line="240" w:lineRule="auto"/>
        <w:jc w:val="left"/>
        <w:sectPr>
          <w:pgSz w:w="11910" w:h="16840"/>
          <w:pgMar w:header="0" w:footer="982" w:top="1100" w:bottom="1180" w:left="980" w:right="0"/>
        </w:sectPr>
      </w:pPr>
    </w:p>
    <w:p>
      <w:pPr>
        <w:spacing w:line="240" w:lineRule="auto" w:before="9"/>
        <w:rPr>
          <w:rFonts w:ascii="宋体" w:hAnsi="宋体" w:cs="宋体" w:eastAsia="宋体" w:hint="default"/>
          <w:b/>
          <w:bCs/>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444" w:right="1117" w:firstLine="18"/>
        <w:jc w:val="left"/>
      </w:pPr>
      <w:r>
        <w:rPr>
          <w:rFonts w:ascii="Times New Roman" w:hAnsi="Times New Roman" w:cs="Times New Roman" w:eastAsia="Times New Roman" w:hint="default"/>
          <w:b/>
          <w:bCs/>
        </w:rPr>
        <w:t>1</w:t>
      </w:r>
      <w:r>
        <w:rPr>
          <w:rFonts w:ascii="宋体" w:hAnsi="宋体" w:cs="宋体" w:eastAsia="宋体" w:hint="default"/>
          <w:b/>
          <w:bCs/>
        </w:rPr>
        <w:t>）分部信息</w:t>
      </w:r>
      <w:r>
        <w:rPr>
          <w:rFonts w:ascii="宋体" w:hAnsi="宋体" w:cs="宋体" w:eastAsia="宋体" w:hint="default"/>
          <w:b/>
          <w:bCs/>
          <w:w w:val="99"/>
        </w:rPr>
        <w:t> </w:t>
      </w:r>
      <w:r>
        <w:rPr/>
        <w:t>根据本公司的内部组织结构、管理要求及内部报告制度，本公司的经营业务划分为</w:t>
      </w:r>
      <w:r>
        <w:rPr>
          <w:rFonts w:ascii="Times New Roman" w:hAnsi="Times New Roman" w:cs="Times New Roman" w:eastAsia="Times New Roman" w:hint="default"/>
        </w:rPr>
        <w:t>2</w:t>
      </w:r>
      <w:r>
        <w:rPr/>
        <w:t>个经营分部，本公司的管理层定期</w:t>
      </w:r>
    </w:p>
    <w:p>
      <w:pPr>
        <w:pStyle w:val="BodyText"/>
        <w:spacing w:line="314" w:lineRule="auto" w:before="13"/>
        <w:ind w:left="153" w:right="0"/>
        <w:jc w:val="left"/>
      </w:pPr>
      <w:r>
        <w:rPr/>
        <w:t>评价这些分部的经营成果，以决定向其分配资源及评价其业绩。在经营分部的基础上本公司确定了</w:t>
      </w:r>
      <w:r>
        <w:rPr>
          <w:rFonts w:ascii="Times New Roman" w:hAnsi="Times New Roman" w:cs="Times New Roman" w:eastAsia="Times New Roman" w:hint="default"/>
        </w:rPr>
        <w:t>2</w:t>
      </w:r>
      <w:r>
        <w:rPr/>
        <w:t>个报告分部，分别为报</w:t>
      </w:r>
      <w:r>
        <w:rPr>
          <w:spacing w:val="-84"/>
        </w:rPr>
        <w:t> </w:t>
      </w:r>
      <w:r>
        <w:rPr>
          <w:spacing w:val="-84"/>
        </w:rPr>
      </w:r>
      <w:r>
        <w:rPr>
          <w:spacing w:val="-2"/>
        </w:rPr>
        <w:t>刊发行业广告策划及印刷相关业务、教育培训业务。这些报告分部是以主营业务收入的性质不同为基础确定的。本公司的报</w:t>
      </w:r>
      <w:r>
        <w:rPr>
          <w:spacing w:val="-66"/>
        </w:rPr>
        <w:t> </w:t>
      </w:r>
      <w:r>
        <w:rPr>
          <w:spacing w:val="-66"/>
        </w:rPr>
      </w:r>
      <w:r>
        <w:rPr>
          <w:spacing w:val="-7"/>
        </w:rPr>
        <w:t>刊发行业广告策划及印刷相关业务分部主要提供的主要产品及劳务为：设计、制作、代理、发布国内广告（除网络广告发布），</w:t>
      </w:r>
      <w:r>
        <w:rPr>
          <w:spacing w:val="-52"/>
        </w:rPr>
        <w:t> </w:t>
      </w:r>
      <w:r>
        <w:rPr>
          <w:spacing w:val="-52"/>
        </w:rPr>
      </w:r>
      <w:r>
        <w:rPr>
          <w:spacing w:val="-2"/>
        </w:rPr>
        <w:t>文化艺术交流活动策划、会展服务，出版物、包装装潢、其他印刷品印刷（限分支机构经营），批发、零售，印刷器材、印</w:t>
      </w:r>
      <w:r>
        <w:rPr>
          <w:spacing w:val="-71"/>
        </w:rPr>
        <w:t> </w:t>
      </w:r>
      <w:r>
        <w:rPr>
          <w:spacing w:val="-71"/>
        </w:rPr>
      </w:r>
      <w:r>
        <w:rPr>
          <w:spacing w:val="-2"/>
        </w:rPr>
        <w:t>刷物资；教育培训业务分部提供的主要产品和劳务为教育管理、教育咨询、声乐培训、舞蹈培训、技术开发、技术转让、技</w:t>
      </w:r>
      <w:r>
        <w:rPr>
          <w:spacing w:val="-65"/>
        </w:rPr>
        <w:t> </w:t>
      </w:r>
      <w:r>
        <w:rPr>
          <w:spacing w:val="-65"/>
        </w:rPr>
      </w:r>
      <w:r>
        <w:rPr/>
        <w:t>术咨询、技术服务、技术培训。</w:t>
      </w:r>
    </w:p>
    <w:p>
      <w:pPr>
        <w:pStyle w:val="BodyText"/>
        <w:spacing w:line="316" w:lineRule="auto" w:before="20"/>
        <w:ind w:left="153" w:right="0" w:firstLine="290"/>
        <w:jc w:val="left"/>
      </w:pPr>
      <w:r>
        <w:rPr>
          <w:spacing w:val="-1"/>
        </w:rPr>
        <w:t>分部报告信息根据各分部向管理层报告时采用的会计政策及计量标准披露，这些计量基础与编制财务报表时的会计与计</w:t>
      </w:r>
      <w:r>
        <w:rPr/>
        <w:t> 量基础保持一致。</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1"/>
        <w:gridCol w:w="1925"/>
        <w:gridCol w:w="1914"/>
        <w:gridCol w:w="1914"/>
        <w:gridCol w:w="1914"/>
      </w:tblGrid>
      <w:tr>
        <w:trPr>
          <w:trHeight w:val="161" w:hRule="exact"/>
        </w:trPr>
        <w:tc>
          <w:tcPr>
            <w:tcW w:w="1891" w:type="dxa"/>
            <w:vMerge w:val="restart"/>
            <w:tcBorders>
              <w:top w:val="single" w:sz="4" w:space="0" w:color="000000"/>
              <w:left w:val="single" w:sz="4" w:space="0" w:color="000000"/>
              <w:right w:val="single" w:sz="13" w:space="0" w:color="E1FFFF"/>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5" w:type="dxa"/>
            <w:vMerge w:val="restart"/>
            <w:tcBorders>
              <w:top w:val="single" w:sz="4" w:space="0" w:color="000000"/>
              <w:left w:val="single" w:sz="4" w:space="0" w:color="000000"/>
              <w:right w:val="single" w:sz="4" w:space="0" w:color="000000"/>
            </w:tcBorders>
            <w:shd w:val="clear" w:color="auto" w:fill="E1FFFF"/>
          </w:tcPr>
          <w:p>
            <w:pPr>
              <w:pStyle w:val="TableParagraph"/>
              <w:spacing w:line="319" w:lineRule="auto" w:before="51"/>
              <w:ind w:left="243" w:right="50" w:hanging="180"/>
              <w:jc w:val="left"/>
              <w:rPr>
                <w:rFonts w:ascii="宋体" w:hAnsi="宋体" w:cs="宋体" w:eastAsia="宋体" w:hint="default"/>
                <w:sz w:val="18"/>
                <w:szCs w:val="18"/>
              </w:rPr>
            </w:pPr>
            <w:r>
              <w:rPr>
                <w:rFonts w:ascii="宋体" w:hAnsi="宋体" w:cs="宋体" w:eastAsia="宋体" w:hint="default"/>
                <w:sz w:val="18"/>
                <w:szCs w:val="18"/>
              </w:rPr>
              <w:t>报刊发行业广告策划及 印刷相关业务分部</w:t>
            </w:r>
          </w:p>
        </w:tc>
        <w:tc>
          <w:tcPr>
            <w:tcW w:w="1914" w:type="dxa"/>
            <w:tcBorders>
              <w:top w:val="single" w:sz="4" w:space="0" w:color="000000"/>
              <w:left w:val="single" w:sz="4" w:space="0" w:color="000000"/>
              <w:bottom w:val="nil" w:sz="6" w:space="0" w:color="auto"/>
              <w:right w:val="single" w:sz="4" w:space="0" w:color="000000"/>
            </w:tcBorders>
            <w:shd w:val="clear" w:color="auto" w:fill="E1FFFF"/>
          </w:tcPr>
          <w:p>
            <w:pPr/>
          </w:p>
        </w:tc>
        <w:tc>
          <w:tcPr>
            <w:tcW w:w="1914" w:type="dxa"/>
            <w:vMerge w:val="restart"/>
            <w:tcBorders>
              <w:top w:val="single" w:sz="4" w:space="0" w:color="000000"/>
              <w:left w:val="single" w:sz="9" w:space="0" w:color="E1FFFF"/>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4"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2" w:hRule="exact"/>
        </w:trPr>
        <w:tc>
          <w:tcPr>
            <w:tcW w:w="1891" w:type="dxa"/>
            <w:vMerge/>
            <w:tcBorders>
              <w:left w:val="single" w:sz="4" w:space="0" w:color="000000"/>
              <w:right w:val="single" w:sz="13" w:space="0" w:color="E1FFFF"/>
            </w:tcBorders>
            <w:shd w:val="clear" w:color="auto" w:fill="D3D3D3"/>
          </w:tcPr>
          <w:p>
            <w:pPr/>
          </w:p>
        </w:tc>
        <w:tc>
          <w:tcPr>
            <w:tcW w:w="1925" w:type="dxa"/>
            <w:vMerge/>
            <w:tcBorders>
              <w:left w:val="single" w:sz="4" w:space="0" w:color="000000"/>
              <w:right w:val="single" w:sz="4" w:space="0" w:color="000000"/>
            </w:tcBorders>
            <w:shd w:val="clear" w:color="auto" w:fill="E1FFFF"/>
          </w:tcPr>
          <w:p>
            <w:pPr/>
          </w:p>
        </w:tc>
        <w:tc>
          <w:tcPr>
            <w:tcW w:w="1914" w:type="dxa"/>
            <w:tcBorders>
              <w:top w:val="nil" w:sz="6" w:space="0" w:color="auto"/>
              <w:left w:val="single" w:sz="4" w:space="0" w:color="000000"/>
              <w:bottom w:val="nil" w:sz="6" w:space="0" w:color="auto"/>
              <w:right w:val="single" w:sz="4" w:space="0" w:color="000000"/>
            </w:tcBorders>
            <w:shd w:val="clear" w:color="auto" w:fill="E1FFFF"/>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教育培训业务分部</w:t>
            </w:r>
          </w:p>
        </w:tc>
        <w:tc>
          <w:tcPr>
            <w:tcW w:w="1914" w:type="dxa"/>
            <w:vMerge/>
            <w:tcBorders>
              <w:left w:val="single" w:sz="9" w:space="0" w:color="E1FFFF"/>
              <w:right w:val="single" w:sz="4" w:space="0" w:color="000000"/>
            </w:tcBorders>
            <w:shd w:val="clear" w:color="auto" w:fill="D3D3D3"/>
          </w:tcPr>
          <w:p>
            <w:pPr/>
          </w:p>
        </w:tc>
        <w:tc>
          <w:tcPr>
            <w:tcW w:w="1914" w:type="dxa"/>
            <w:vMerge/>
            <w:tcBorders>
              <w:left w:val="single" w:sz="4" w:space="0" w:color="000000"/>
              <w:right w:val="single" w:sz="4" w:space="0" w:color="000000"/>
            </w:tcBorders>
            <w:shd w:val="clear" w:color="auto" w:fill="D3D3D3"/>
          </w:tcPr>
          <w:p>
            <w:pPr/>
          </w:p>
        </w:tc>
      </w:tr>
      <w:tr>
        <w:trPr>
          <w:trHeight w:val="161" w:hRule="exact"/>
        </w:trPr>
        <w:tc>
          <w:tcPr>
            <w:tcW w:w="1891" w:type="dxa"/>
            <w:vMerge/>
            <w:tcBorders>
              <w:left w:val="single" w:sz="4" w:space="0" w:color="000000"/>
              <w:bottom w:val="single" w:sz="4" w:space="0" w:color="000000"/>
              <w:right w:val="single" w:sz="13" w:space="0" w:color="E1FFFF"/>
            </w:tcBorders>
            <w:shd w:val="clear" w:color="auto" w:fill="D3D3D3"/>
          </w:tcPr>
          <w:p>
            <w:pPr/>
          </w:p>
        </w:tc>
        <w:tc>
          <w:tcPr>
            <w:tcW w:w="1925" w:type="dxa"/>
            <w:vMerge/>
            <w:tcBorders>
              <w:left w:val="single" w:sz="4" w:space="0" w:color="000000"/>
              <w:bottom w:val="single" w:sz="4" w:space="0" w:color="000000"/>
              <w:right w:val="single" w:sz="4" w:space="0" w:color="000000"/>
            </w:tcBorders>
            <w:shd w:val="clear" w:color="auto" w:fill="E1FFFF"/>
          </w:tcPr>
          <w:p>
            <w:pPr/>
          </w:p>
        </w:tc>
        <w:tc>
          <w:tcPr>
            <w:tcW w:w="1914" w:type="dxa"/>
            <w:tcBorders>
              <w:top w:val="nil" w:sz="6" w:space="0" w:color="auto"/>
              <w:left w:val="single" w:sz="4" w:space="0" w:color="000000"/>
              <w:bottom w:val="single" w:sz="4" w:space="0" w:color="000000"/>
              <w:right w:val="single" w:sz="4" w:space="0" w:color="000000"/>
            </w:tcBorders>
            <w:shd w:val="clear" w:color="auto" w:fill="E1FFFF"/>
          </w:tcPr>
          <w:p>
            <w:pPr/>
          </w:p>
        </w:tc>
        <w:tc>
          <w:tcPr>
            <w:tcW w:w="1914" w:type="dxa"/>
            <w:vMerge/>
            <w:tcBorders>
              <w:left w:val="single" w:sz="9" w:space="0" w:color="E1FFFF"/>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89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25" w:type="dxa"/>
            <w:tcBorders>
              <w:top w:val="single" w:sz="4" w:space="0" w:color="000000"/>
              <w:left w:val="single" w:sz="9" w:space="0" w:color="E1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1,412,237,209.42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249,220,108.23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1,661,457,317.65</w:t>
            </w:r>
          </w:p>
        </w:tc>
      </w:tr>
      <w:tr>
        <w:trPr>
          <w:trHeight w:val="402" w:hRule="exact"/>
        </w:trPr>
        <w:tc>
          <w:tcPr>
            <w:tcW w:w="189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925" w:type="dxa"/>
            <w:tcBorders>
              <w:top w:val="single" w:sz="4" w:space="0" w:color="000000"/>
              <w:left w:val="single" w:sz="9" w:space="0" w:color="E1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1,086,143,696.05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99,618,681.19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1,185,762,377.24</w:t>
            </w:r>
          </w:p>
        </w:tc>
      </w:tr>
      <w:tr>
        <w:trPr>
          <w:trHeight w:val="402" w:hRule="exact"/>
        </w:trPr>
        <w:tc>
          <w:tcPr>
            <w:tcW w:w="189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925" w:type="dxa"/>
            <w:tcBorders>
              <w:top w:val="single" w:sz="4" w:space="0" w:color="000000"/>
              <w:left w:val="single" w:sz="9" w:space="0" w:color="E1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2,818,690,260.11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429,913,750.33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3,248,604,010.44</w:t>
            </w:r>
          </w:p>
        </w:tc>
      </w:tr>
      <w:tr>
        <w:trPr>
          <w:trHeight w:val="402" w:hRule="exact"/>
        </w:trPr>
        <w:tc>
          <w:tcPr>
            <w:tcW w:w="189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925" w:type="dxa"/>
            <w:tcBorders>
              <w:top w:val="single" w:sz="4" w:space="0" w:color="000000"/>
              <w:left w:val="single" w:sz="9" w:space="0" w:color="E1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920,075,495.91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206,531,508.77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1,126,607,004.68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2" w:firstLine="325"/>
        <w:jc w:val="left"/>
      </w:pPr>
      <w:r>
        <w:rPr>
          <w:spacing w:val="-1"/>
        </w:rPr>
        <w:t>（</w:t>
      </w:r>
      <w:r>
        <w:rPr>
          <w:rFonts w:ascii="Times New Roman" w:hAnsi="Times New Roman" w:cs="Times New Roman" w:eastAsia="Times New Roman" w:hint="default"/>
          <w:spacing w:val="-1"/>
        </w:rPr>
        <w:t>1</w:t>
      </w:r>
      <w:r>
        <w:rPr>
          <w:spacing w:val="-1"/>
        </w:rPr>
        <w:t>）本公司为子公司杭州日报报业集团盛元印务有限公司在</w:t>
      </w:r>
      <w:r>
        <w:rPr>
          <w:rFonts w:ascii="Times New Roman" w:hAnsi="Times New Roman" w:cs="Times New Roman" w:eastAsia="Times New Roman" w:hint="default"/>
          <w:spacing w:val="-1"/>
        </w:rPr>
        <w:t>8,000.00</w:t>
      </w:r>
      <w:r>
        <w:rPr>
          <w:spacing w:val="-1"/>
        </w:rPr>
        <w:t>万元的最高余额内提供连带责任担保，本次担保的</w:t>
      </w:r>
      <w:r>
        <w:rPr/>
        <w:t> 期限自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日止。</w:t>
      </w:r>
    </w:p>
    <w:p>
      <w:pPr>
        <w:pStyle w:val="BodyText"/>
        <w:spacing w:line="300" w:lineRule="auto" w:before="13"/>
        <w:ind w:right="1116" w:firstLine="325"/>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日，本公司与杭州日报报业集团有限公司签署《股权收购协议》，约定以自有资金 </w:t>
      </w:r>
      <w:r>
        <w:rPr>
          <w:rFonts w:ascii="Times New Roman" w:hAnsi="Times New Roman" w:cs="Times New Roman" w:eastAsia="Times New Roman" w:hint="default"/>
        </w:rPr>
        <w:t>30,817.33</w:t>
      </w:r>
      <w:r>
        <w:rPr>
          <w:rFonts w:ascii="Times New Roman" w:hAnsi="Times New Roman" w:cs="Times New Roman" w:eastAsia="Times New Roman" w:hint="default"/>
          <w:spacing w:val="-6"/>
        </w:rPr>
        <w:t> </w:t>
      </w:r>
      <w:r>
        <w:rPr/>
        <w:t>万元收 购杭州日报报业集团有限公司持有的杭州萧文置业有限公司</w:t>
      </w:r>
      <w:r>
        <w:rPr>
          <w:rFonts w:ascii="Times New Roman" w:hAnsi="Times New Roman" w:cs="Times New Roman" w:eastAsia="Times New Roman" w:hint="default"/>
        </w:rPr>
        <w:t>55%</w:t>
      </w:r>
      <w:r>
        <w:rPr/>
        <w:t>股权。截止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日，股权交割尚未完成。</w:t>
      </w:r>
    </w:p>
    <w:p>
      <w:pPr>
        <w:spacing w:line="240" w:lineRule="auto" w:before="1"/>
        <w:rPr>
          <w:rFonts w:ascii="宋体" w:hAnsi="宋体" w:cs="宋体" w:eastAsia="宋体" w:hint="default"/>
          <w:sz w:val="22"/>
          <w:szCs w:val="22"/>
        </w:rPr>
      </w:pPr>
    </w:p>
    <w:p>
      <w:pPr>
        <w:spacing w:line="487" w:lineRule="auto" w:before="0"/>
        <w:ind w:left="154" w:right="68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、应收票据及应收账款</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312,237.03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56,986.30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312,237.03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56,986.30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899"/>
        <w:gridCol w:w="866"/>
        <w:gridCol w:w="712"/>
        <w:gridCol w:w="365"/>
        <w:gridCol w:w="658"/>
        <w:gridCol w:w="866"/>
        <w:gridCol w:w="776"/>
        <w:gridCol w:w="712"/>
        <w:gridCol w:w="365"/>
        <w:gridCol w:w="646"/>
        <w:gridCol w:w="788"/>
      </w:tblGrid>
      <w:tr>
        <w:trPr>
          <w:trHeight w:val="402" w:hRule="exact"/>
        </w:trPr>
        <w:tc>
          <w:tcPr>
            <w:tcW w:w="2899" w:type="dxa"/>
            <w:vMerge w:val="restart"/>
            <w:tcBorders>
              <w:top w:val="single" w:sz="4" w:space="0" w:color="000000"/>
              <w:left w:val="single" w:sz="4" w:space="0" w:color="000000"/>
              <w:right w:val="single" w:sz="4" w:space="0" w:color="000000"/>
            </w:tcBorders>
            <w:shd w:val="clear" w:color="auto" w:fill="D3D3D3"/>
          </w:tcPr>
          <w:p>
            <w:pPr/>
          </w:p>
        </w:tc>
        <w:tc>
          <w:tcPr>
            <w:tcW w:w="346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2899" w:type="dxa"/>
            <w:vMerge/>
            <w:tcBorders>
              <w:left w:val="single" w:sz="4" w:space="0" w:color="000000"/>
              <w:bottom w:val="nil" w:sz="6" w:space="0" w:color="auto"/>
              <w:right w:val="single" w:sz="4" w:space="0" w:color="000000"/>
            </w:tcBorders>
            <w:shd w:val="clear" w:color="auto" w:fill="D3D3D3"/>
          </w:tcPr>
          <w:p>
            <w:pPr/>
          </w:p>
        </w:tc>
        <w:tc>
          <w:tcPr>
            <w:tcW w:w="157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2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66" w:type="dxa"/>
            <w:vMerge w:val="restart"/>
            <w:tcBorders>
              <w:top w:val="single" w:sz="4" w:space="0" w:color="000000"/>
              <w:left w:val="single" w:sz="4" w:space="0" w:color="000000"/>
              <w:right w:val="single" w:sz="4" w:space="0" w:color="000000"/>
            </w:tcBorders>
            <w:shd w:val="clear" w:color="auto" w:fill="D3D3D3"/>
          </w:tcPr>
          <w:p>
            <w:pPr/>
          </w:p>
        </w:tc>
        <w:tc>
          <w:tcPr>
            <w:tcW w:w="148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1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3D3D3"/>
          </w:tcPr>
          <w:p>
            <w:pPr/>
          </w:p>
        </w:tc>
      </w:tr>
      <w:tr>
        <w:trPr>
          <w:trHeight w:val="241" w:hRule="exact"/>
        </w:trPr>
        <w:tc>
          <w:tcPr>
            <w:tcW w:w="289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类别</w:t>
            </w:r>
          </w:p>
        </w:tc>
        <w:tc>
          <w:tcPr>
            <w:tcW w:w="1579" w:type="dxa"/>
            <w:gridSpan w:val="2"/>
            <w:vMerge/>
            <w:tcBorders>
              <w:left w:val="single" w:sz="4" w:space="0" w:color="000000"/>
              <w:bottom w:val="single" w:sz="4" w:space="0" w:color="000000"/>
              <w:right w:val="single" w:sz="4" w:space="0" w:color="000000"/>
            </w:tcBorders>
            <w:shd w:val="clear" w:color="auto" w:fill="D3D3D3"/>
          </w:tcPr>
          <w:p>
            <w:pPr/>
          </w:p>
        </w:tc>
        <w:tc>
          <w:tcPr>
            <w:tcW w:w="1023" w:type="dxa"/>
            <w:gridSpan w:val="2"/>
            <w:vMerge/>
            <w:tcBorders>
              <w:left w:val="single" w:sz="4" w:space="0" w:color="000000"/>
              <w:bottom w:val="single" w:sz="4" w:space="0" w:color="000000"/>
              <w:right w:val="single" w:sz="4" w:space="0" w:color="000000"/>
            </w:tcBorders>
            <w:shd w:val="clear" w:color="auto" w:fill="D3D3D3"/>
          </w:tcPr>
          <w:p>
            <w:pPr/>
          </w:p>
        </w:tc>
        <w:tc>
          <w:tcPr>
            <w:tcW w:w="866" w:type="dxa"/>
            <w:vMerge/>
            <w:tcBorders>
              <w:left w:val="single" w:sz="4" w:space="0" w:color="000000"/>
              <w:bottom w:val="nil" w:sz="6" w:space="0" w:color="auto"/>
              <w:right w:val="single" w:sz="4" w:space="0" w:color="000000"/>
            </w:tcBorders>
            <w:shd w:val="clear" w:color="auto" w:fill="D3D3D3"/>
          </w:tcPr>
          <w:p>
            <w:pPr/>
          </w:p>
        </w:tc>
        <w:tc>
          <w:tcPr>
            <w:tcW w:w="1489" w:type="dxa"/>
            <w:gridSpan w:val="2"/>
            <w:vMerge/>
            <w:tcBorders>
              <w:left w:val="single" w:sz="4" w:space="0" w:color="000000"/>
              <w:bottom w:val="single" w:sz="4" w:space="0" w:color="000000"/>
              <w:right w:val="single" w:sz="4" w:space="0" w:color="000000"/>
            </w:tcBorders>
            <w:shd w:val="clear" w:color="auto" w:fill="D3D3D3"/>
          </w:tcPr>
          <w:p>
            <w:pPr/>
          </w:p>
        </w:tc>
        <w:tc>
          <w:tcPr>
            <w:tcW w:w="1012" w:type="dxa"/>
            <w:gridSpan w:val="2"/>
            <w:vMerge/>
            <w:tcBorders>
              <w:left w:val="single" w:sz="4" w:space="0" w:color="000000"/>
              <w:bottom w:val="single" w:sz="4" w:space="0" w:color="000000"/>
              <w:right w:val="single" w:sz="4" w:space="0" w:color="000000"/>
            </w:tcBorders>
            <w:shd w:val="clear" w:color="auto" w:fill="D3D3D3"/>
          </w:tcPr>
          <w:p>
            <w:pPr/>
          </w:p>
        </w:tc>
        <w:tc>
          <w:tcPr>
            <w:tcW w:w="788" w:type="dxa"/>
            <w:vMerge/>
            <w:tcBorders>
              <w:left w:val="single" w:sz="4" w:space="0" w:color="000000"/>
              <w:bottom w:val="nil" w:sz="6" w:space="0" w:color="auto"/>
              <w:right w:val="single" w:sz="4" w:space="0" w:color="000000"/>
            </w:tcBorders>
            <w:shd w:val="clear" w:color="auto" w:fill="D3D3D3"/>
          </w:tcPr>
          <w:p>
            <w:pPr/>
          </w:p>
        </w:tc>
      </w:tr>
      <w:tr>
        <w:trPr>
          <w:trHeight w:val="156" w:hRule="exact"/>
        </w:trPr>
        <w:tc>
          <w:tcPr>
            <w:tcW w:w="2899" w:type="dxa"/>
            <w:vMerge/>
            <w:tcBorders>
              <w:left w:val="single" w:sz="4" w:space="0" w:color="000000"/>
              <w:bottom w:val="nil" w:sz="6" w:space="0" w:color="auto"/>
              <w:right w:val="single" w:sz="4" w:space="0" w:color="000000"/>
            </w:tcBorders>
            <w:shd w:val="clear" w:color="auto" w:fill="D3D3D3"/>
          </w:tcPr>
          <w:p>
            <w:pPr/>
          </w:p>
        </w:tc>
        <w:tc>
          <w:tcPr>
            <w:tcW w:w="866" w:type="dxa"/>
            <w:tcBorders>
              <w:top w:val="single" w:sz="4" w:space="0" w:color="000000"/>
              <w:left w:val="single" w:sz="4" w:space="0" w:color="000000"/>
              <w:bottom w:val="nil" w:sz="6" w:space="0" w:color="auto"/>
              <w:right w:val="single" w:sz="4" w:space="0" w:color="000000"/>
            </w:tcBorders>
            <w:shd w:val="clear" w:color="auto" w:fill="D3D3D3"/>
          </w:tcPr>
          <w:p>
            <w:pPr/>
          </w:p>
        </w:tc>
        <w:tc>
          <w:tcPr>
            <w:tcW w:w="712" w:type="dxa"/>
            <w:tcBorders>
              <w:top w:val="single" w:sz="4" w:space="0" w:color="000000"/>
              <w:left w:val="single" w:sz="4" w:space="0" w:color="000000"/>
              <w:bottom w:val="nil" w:sz="6" w:space="0" w:color="auto"/>
              <w:right w:val="single" w:sz="4" w:space="0" w:color="000000"/>
            </w:tcBorders>
            <w:shd w:val="clear" w:color="auto" w:fill="D3D3D3"/>
          </w:tcPr>
          <w:p>
            <w:pPr/>
          </w:p>
        </w:tc>
        <w:tc>
          <w:tcPr>
            <w:tcW w:w="365"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82" w:right="91"/>
              <w:jc w:val="left"/>
              <w:rPr>
                <w:rFonts w:ascii="宋体" w:hAnsi="宋体" w:cs="宋体" w:eastAsia="宋体" w:hint="default"/>
                <w:sz w:val="18"/>
                <w:szCs w:val="18"/>
              </w:rPr>
            </w:pPr>
            <w:r>
              <w:rPr>
                <w:rFonts w:ascii="宋体" w:hAnsi="宋体" w:cs="宋体" w:eastAsia="宋体" w:hint="default"/>
                <w:sz w:val="18"/>
                <w:szCs w:val="18"/>
              </w:rPr>
              <w:t>金 额</w:t>
            </w:r>
          </w:p>
        </w:tc>
        <w:tc>
          <w:tcPr>
            <w:tcW w:w="658"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33" w:right="5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6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left="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6" w:type="dxa"/>
            <w:tcBorders>
              <w:top w:val="single" w:sz="4" w:space="0" w:color="000000"/>
              <w:left w:val="single" w:sz="4" w:space="0" w:color="000000"/>
              <w:bottom w:val="nil" w:sz="6" w:space="0" w:color="auto"/>
              <w:right w:val="single" w:sz="4" w:space="0" w:color="000000"/>
            </w:tcBorders>
            <w:shd w:val="clear" w:color="auto" w:fill="D3D3D3"/>
          </w:tcPr>
          <w:p>
            <w:pPr/>
          </w:p>
        </w:tc>
        <w:tc>
          <w:tcPr>
            <w:tcW w:w="712" w:type="dxa"/>
            <w:tcBorders>
              <w:top w:val="single" w:sz="4" w:space="0" w:color="000000"/>
              <w:left w:val="single" w:sz="4" w:space="0" w:color="000000"/>
              <w:bottom w:val="nil" w:sz="6" w:space="0" w:color="auto"/>
              <w:right w:val="single" w:sz="4" w:space="0" w:color="000000"/>
            </w:tcBorders>
            <w:shd w:val="clear" w:color="auto" w:fill="D3D3D3"/>
          </w:tcPr>
          <w:p>
            <w:pPr/>
          </w:p>
        </w:tc>
        <w:tc>
          <w:tcPr>
            <w:tcW w:w="365"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82" w:right="91"/>
              <w:jc w:val="left"/>
              <w:rPr>
                <w:rFonts w:ascii="宋体" w:hAnsi="宋体" w:cs="宋体" w:eastAsia="宋体" w:hint="default"/>
                <w:sz w:val="18"/>
                <w:szCs w:val="18"/>
              </w:rPr>
            </w:pPr>
            <w:r>
              <w:rPr>
                <w:rFonts w:ascii="宋体" w:hAnsi="宋体" w:cs="宋体" w:eastAsia="宋体" w:hint="default"/>
                <w:sz w:val="18"/>
                <w:szCs w:val="18"/>
              </w:rPr>
              <w:t>金 额</w:t>
            </w:r>
          </w:p>
        </w:tc>
        <w:tc>
          <w:tcPr>
            <w:tcW w:w="64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34" w:right="40"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7" w:hRule="exact"/>
        </w:trPr>
        <w:tc>
          <w:tcPr>
            <w:tcW w:w="2899" w:type="dxa"/>
            <w:vMerge w:val="restart"/>
            <w:tcBorders>
              <w:top w:val="nil" w:sz="6" w:space="0" w:color="auto"/>
              <w:left w:val="single" w:sz="4" w:space="0" w:color="000000"/>
              <w:right w:val="single" w:sz="4" w:space="0" w:color="000000"/>
            </w:tcBorders>
            <w:shd w:val="clear" w:color="auto" w:fill="D3D3D3"/>
          </w:tcPr>
          <w:p>
            <w:pPr/>
          </w:p>
        </w:tc>
        <w:tc>
          <w:tcPr>
            <w:tcW w:w="86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24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1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365" w:type="dxa"/>
            <w:vMerge/>
            <w:tcBorders>
              <w:left w:val="single" w:sz="4" w:space="0" w:color="000000"/>
              <w:right w:val="single" w:sz="4" w:space="0" w:color="000000"/>
            </w:tcBorders>
            <w:shd w:val="clear" w:color="auto" w:fill="D3D3D3"/>
          </w:tcPr>
          <w:p>
            <w:pPr/>
          </w:p>
        </w:tc>
        <w:tc>
          <w:tcPr>
            <w:tcW w:w="658" w:type="dxa"/>
            <w:vMerge/>
            <w:tcBorders>
              <w:left w:val="single" w:sz="4" w:space="0" w:color="000000"/>
              <w:right w:val="single" w:sz="4" w:space="0" w:color="000000"/>
            </w:tcBorders>
            <w:shd w:val="clear" w:color="auto" w:fill="D3D3D3"/>
          </w:tcPr>
          <w:p>
            <w:pPr/>
          </w:p>
        </w:tc>
        <w:tc>
          <w:tcPr>
            <w:tcW w:w="866" w:type="dxa"/>
            <w:vMerge/>
            <w:tcBorders>
              <w:left w:val="single" w:sz="4" w:space="0" w:color="000000"/>
              <w:bottom w:val="nil" w:sz="6" w:space="0" w:color="auto"/>
              <w:right w:val="single" w:sz="4" w:space="0" w:color="000000"/>
            </w:tcBorders>
            <w:shd w:val="clear" w:color="auto" w:fill="D3D3D3"/>
          </w:tcPr>
          <w:p>
            <w:pPr/>
          </w:p>
        </w:tc>
        <w:tc>
          <w:tcPr>
            <w:tcW w:w="77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20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1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365" w:type="dxa"/>
            <w:vMerge/>
            <w:tcBorders>
              <w:left w:val="single" w:sz="4" w:space="0" w:color="000000"/>
              <w:right w:val="single" w:sz="4" w:space="0" w:color="000000"/>
            </w:tcBorders>
            <w:shd w:val="clear" w:color="auto" w:fill="D3D3D3"/>
          </w:tcPr>
          <w:p>
            <w:pPr/>
          </w:p>
        </w:tc>
        <w:tc>
          <w:tcPr>
            <w:tcW w:w="646" w:type="dxa"/>
            <w:vMerge/>
            <w:tcBorders>
              <w:left w:val="single" w:sz="4" w:space="0" w:color="000000"/>
              <w:right w:val="single" w:sz="4" w:space="0" w:color="000000"/>
            </w:tcBorders>
            <w:shd w:val="clear" w:color="auto" w:fill="D3D3D3"/>
          </w:tcPr>
          <w:p>
            <w:pPr/>
          </w:p>
        </w:tc>
        <w:tc>
          <w:tcPr>
            <w:tcW w:w="788" w:type="dxa"/>
            <w:vMerge/>
            <w:tcBorders>
              <w:left w:val="single" w:sz="4" w:space="0" w:color="000000"/>
              <w:bottom w:val="nil" w:sz="6" w:space="0" w:color="auto"/>
              <w:right w:val="single" w:sz="4" w:space="0" w:color="000000"/>
            </w:tcBorders>
            <w:shd w:val="clear" w:color="auto" w:fill="D3D3D3"/>
          </w:tcPr>
          <w:p>
            <w:pPr/>
          </w:p>
        </w:tc>
      </w:tr>
      <w:tr>
        <w:trPr>
          <w:trHeight w:val="200" w:hRule="exact"/>
        </w:trPr>
        <w:tc>
          <w:tcPr>
            <w:tcW w:w="2899" w:type="dxa"/>
            <w:vMerge/>
            <w:tcBorders>
              <w:left w:val="single" w:sz="4" w:space="0" w:color="000000"/>
              <w:right w:val="single" w:sz="4" w:space="0" w:color="000000"/>
            </w:tcBorders>
            <w:shd w:val="clear" w:color="auto" w:fill="D3D3D3"/>
          </w:tcPr>
          <w:p>
            <w:pPr/>
          </w:p>
        </w:tc>
        <w:tc>
          <w:tcPr>
            <w:tcW w:w="866" w:type="dxa"/>
            <w:vMerge/>
            <w:tcBorders>
              <w:left w:val="single" w:sz="4" w:space="0" w:color="000000"/>
              <w:bottom w:val="nil" w:sz="6" w:space="0" w:color="auto"/>
              <w:right w:val="single" w:sz="4" w:space="0" w:color="000000"/>
            </w:tcBorders>
            <w:shd w:val="clear" w:color="auto" w:fill="D3D3D3"/>
          </w:tcPr>
          <w:p>
            <w:pPr/>
          </w:p>
        </w:tc>
        <w:tc>
          <w:tcPr>
            <w:tcW w:w="712" w:type="dxa"/>
            <w:vMerge/>
            <w:tcBorders>
              <w:left w:val="single" w:sz="4" w:space="0" w:color="000000"/>
              <w:bottom w:val="nil" w:sz="6" w:space="0" w:color="auto"/>
              <w:right w:val="single" w:sz="4" w:space="0" w:color="000000"/>
            </w:tcBorders>
            <w:shd w:val="clear" w:color="auto" w:fill="D3D3D3"/>
          </w:tcPr>
          <w:p>
            <w:pPr/>
          </w:p>
        </w:tc>
        <w:tc>
          <w:tcPr>
            <w:tcW w:w="365" w:type="dxa"/>
            <w:vMerge/>
            <w:tcBorders>
              <w:left w:val="single" w:sz="4" w:space="0" w:color="000000"/>
              <w:right w:val="single" w:sz="4" w:space="0" w:color="000000"/>
            </w:tcBorders>
            <w:shd w:val="clear" w:color="auto" w:fill="D3D3D3"/>
          </w:tcPr>
          <w:p>
            <w:pPr/>
          </w:p>
        </w:tc>
        <w:tc>
          <w:tcPr>
            <w:tcW w:w="658" w:type="dxa"/>
            <w:vMerge/>
            <w:tcBorders>
              <w:left w:val="single" w:sz="4" w:space="0" w:color="000000"/>
              <w:right w:val="single" w:sz="4" w:space="0" w:color="000000"/>
            </w:tcBorders>
            <w:shd w:val="clear" w:color="auto" w:fill="D3D3D3"/>
          </w:tcPr>
          <w:p>
            <w:pPr/>
          </w:p>
        </w:tc>
        <w:tc>
          <w:tcPr>
            <w:tcW w:w="866" w:type="dxa"/>
            <w:vMerge w:val="restart"/>
            <w:tcBorders>
              <w:top w:val="nil" w:sz="6" w:space="0" w:color="auto"/>
              <w:left w:val="single" w:sz="4" w:space="0" w:color="000000"/>
              <w:right w:val="single" w:sz="4" w:space="0" w:color="000000"/>
            </w:tcBorders>
            <w:shd w:val="clear" w:color="auto" w:fill="D3D3D3"/>
          </w:tcPr>
          <w:p>
            <w:pPr/>
          </w:p>
        </w:tc>
        <w:tc>
          <w:tcPr>
            <w:tcW w:w="776" w:type="dxa"/>
            <w:vMerge/>
            <w:tcBorders>
              <w:left w:val="single" w:sz="4" w:space="0" w:color="000000"/>
              <w:bottom w:val="nil" w:sz="6" w:space="0" w:color="auto"/>
              <w:right w:val="single" w:sz="4" w:space="0" w:color="000000"/>
            </w:tcBorders>
            <w:shd w:val="clear" w:color="auto" w:fill="D3D3D3"/>
          </w:tcPr>
          <w:p>
            <w:pPr/>
          </w:p>
        </w:tc>
        <w:tc>
          <w:tcPr>
            <w:tcW w:w="712" w:type="dxa"/>
            <w:vMerge/>
            <w:tcBorders>
              <w:left w:val="single" w:sz="4" w:space="0" w:color="000000"/>
              <w:bottom w:val="nil" w:sz="6" w:space="0" w:color="auto"/>
              <w:right w:val="single" w:sz="4" w:space="0" w:color="000000"/>
            </w:tcBorders>
            <w:shd w:val="clear" w:color="auto" w:fill="D3D3D3"/>
          </w:tcPr>
          <w:p>
            <w:pPr/>
          </w:p>
        </w:tc>
        <w:tc>
          <w:tcPr>
            <w:tcW w:w="365" w:type="dxa"/>
            <w:vMerge/>
            <w:tcBorders>
              <w:left w:val="single" w:sz="4" w:space="0" w:color="000000"/>
              <w:right w:val="single" w:sz="4" w:space="0" w:color="000000"/>
            </w:tcBorders>
            <w:shd w:val="clear" w:color="auto" w:fill="D3D3D3"/>
          </w:tcPr>
          <w:p>
            <w:pPr/>
          </w:p>
        </w:tc>
        <w:tc>
          <w:tcPr>
            <w:tcW w:w="646" w:type="dxa"/>
            <w:vMerge/>
            <w:tcBorders>
              <w:left w:val="single" w:sz="4" w:space="0" w:color="000000"/>
              <w:right w:val="single" w:sz="4" w:space="0" w:color="000000"/>
            </w:tcBorders>
            <w:shd w:val="clear" w:color="auto" w:fill="D3D3D3"/>
          </w:tcPr>
          <w:p>
            <w:pPr/>
          </w:p>
        </w:tc>
        <w:tc>
          <w:tcPr>
            <w:tcW w:w="788" w:type="dxa"/>
            <w:vMerge w:val="restart"/>
            <w:tcBorders>
              <w:top w:val="nil" w:sz="6" w:space="0" w:color="auto"/>
              <w:left w:val="single" w:sz="4" w:space="0" w:color="000000"/>
              <w:right w:val="single" w:sz="4" w:space="0" w:color="000000"/>
            </w:tcBorders>
            <w:shd w:val="clear" w:color="auto" w:fill="D3D3D3"/>
          </w:tcPr>
          <w:p>
            <w:pPr/>
          </w:p>
        </w:tc>
      </w:tr>
      <w:tr>
        <w:trPr>
          <w:trHeight w:val="160" w:hRule="exact"/>
        </w:trPr>
        <w:tc>
          <w:tcPr>
            <w:tcW w:w="2899" w:type="dxa"/>
            <w:vMerge/>
            <w:tcBorders>
              <w:left w:val="single" w:sz="4" w:space="0" w:color="000000"/>
              <w:bottom w:val="single" w:sz="4" w:space="0" w:color="000000"/>
              <w:right w:val="single" w:sz="4" w:space="0" w:color="000000"/>
            </w:tcBorders>
            <w:shd w:val="clear" w:color="auto" w:fill="D3D3D3"/>
          </w:tcPr>
          <w:p>
            <w:pPr/>
          </w:p>
        </w:tc>
        <w:tc>
          <w:tcPr>
            <w:tcW w:w="866" w:type="dxa"/>
            <w:tcBorders>
              <w:top w:val="nil" w:sz="6" w:space="0" w:color="auto"/>
              <w:left w:val="single" w:sz="4" w:space="0" w:color="000000"/>
              <w:bottom w:val="single" w:sz="4" w:space="0" w:color="000000"/>
              <w:right w:val="single" w:sz="4" w:space="0" w:color="000000"/>
            </w:tcBorders>
            <w:shd w:val="clear" w:color="auto" w:fill="D3D3D3"/>
          </w:tcPr>
          <w:p>
            <w:pPr/>
          </w:p>
        </w:tc>
        <w:tc>
          <w:tcPr>
            <w:tcW w:w="712" w:type="dxa"/>
            <w:tcBorders>
              <w:top w:val="nil" w:sz="6" w:space="0" w:color="auto"/>
              <w:left w:val="single" w:sz="4" w:space="0" w:color="000000"/>
              <w:bottom w:val="single" w:sz="4" w:space="0" w:color="000000"/>
              <w:right w:val="single" w:sz="4" w:space="0" w:color="000000"/>
            </w:tcBorders>
            <w:shd w:val="clear" w:color="auto" w:fill="D3D3D3"/>
          </w:tcPr>
          <w:p>
            <w:pPr/>
          </w:p>
        </w:tc>
        <w:tc>
          <w:tcPr>
            <w:tcW w:w="365" w:type="dxa"/>
            <w:vMerge/>
            <w:tcBorders>
              <w:left w:val="single" w:sz="4" w:space="0" w:color="000000"/>
              <w:bottom w:val="single" w:sz="4" w:space="0" w:color="000000"/>
              <w:right w:val="single" w:sz="4" w:space="0" w:color="000000"/>
            </w:tcBorders>
            <w:shd w:val="clear" w:color="auto" w:fill="D3D3D3"/>
          </w:tcPr>
          <w:p>
            <w:pPr/>
          </w:p>
        </w:tc>
        <w:tc>
          <w:tcPr>
            <w:tcW w:w="658" w:type="dxa"/>
            <w:vMerge/>
            <w:tcBorders>
              <w:left w:val="single" w:sz="4" w:space="0" w:color="000000"/>
              <w:bottom w:val="single" w:sz="4" w:space="0" w:color="000000"/>
              <w:right w:val="single" w:sz="4" w:space="0" w:color="000000"/>
            </w:tcBorders>
            <w:shd w:val="clear" w:color="auto" w:fill="D3D3D3"/>
          </w:tcPr>
          <w:p>
            <w:pPr/>
          </w:p>
        </w:tc>
        <w:tc>
          <w:tcPr>
            <w:tcW w:w="866" w:type="dxa"/>
            <w:vMerge/>
            <w:tcBorders>
              <w:left w:val="single" w:sz="4" w:space="0" w:color="000000"/>
              <w:bottom w:val="single" w:sz="4" w:space="0" w:color="000000"/>
              <w:right w:val="single" w:sz="4" w:space="0" w:color="000000"/>
            </w:tcBorders>
            <w:shd w:val="clear" w:color="auto" w:fill="D3D3D3"/>
          </w:tcPr>
          <w:p>
            <w:pPr/>
          </w:p>
        </w:tc>
        <w:tc>
          <w:tcPr>
            <w:tcW w:w="776" w:type="dxa"/>
            <w:tcBorders>
              <w:top w:val="nil" w:sz="6" w:space="0" w:color="auto"/>
              <w:left w:val="single" w:sz="4" w:space="0" w:color="000000"/>
              <w:bottom w:val="single" w:sz="4" w:space="0" w:color="000000"/>
              <w:right w:val="single" w:sz="4" w:space="0" w:color="000000"/>
            </w:tcBorders>
            <w:shd w:val="clear" w:color="auto" w:fill="D3D3D3"/>
          </w:tcPr>
          <w:p>
            <w:pPr/>
          </w:p>
        </w:tc>
        <w:tc>
          <w:tcPr>
            <w:tcW w:w="712" w:type="dxa"/>
            <w:tcBorders>
              <w:top w:val="nil" w:sz="6" w:space="0" w:color="auto"/>
              <w:left w:val="single" w:sz="4" w:space="0" w:color="000000"/>
              <w:bottom w:val="single" w:sz="4" w:space="0" w:color="000000"/>
              <w:right w:val="single" w:sz="4" w:space="0" w:color="000000"/>
            </w:tcBorders>
            <w:shd w:val="clear" w:color="auto" w:fill="D3D3D3"/>
          </w:tcPr>
          <w:p>
            <w:pPr/>
          </w:p>
        </w:tc>
        <w:tc>
          <w:tcPr>
            <w:tcW w:w="365" w:type="dxa"/>
            <w:vMerge/>
            <w:tcBorders>
              <w:left w:val="single" w:sz="4" w:space="0" w:color="000000"/>
              <w:bottom w:val="single" w:sz="4" w:space="0" w:color="000000"/>
              <w:right w:val="single" w:sz="4" w:space="0" w:color="000000"/>
            </w:tcBorders>
            <w:shd w:val="clear" w:color="auto" w:fill="D3D3D3"/>
          </w:tcPr>
          <w:p>
            <w:pPr/>
          </w:p>
        </w:tc>
        <w:tc>
          <w:tcPr>
            <w:tcW w:w="646" w:type="dxa"/>
            <w:vMerge/>
            <w:tcBorders>
              <w:left w:val="single" w:sz="4" w:space="0" w:color="000000"/>
              <w:bottom w:val="single" w:sz="4" w:space="0" w:color="000000"/>
              <w:right w:val="single" w:sz="4" w:space="0" w:color="000000"/>
            </w:tcBorders>
            <w:shd w:val="clear" w:color="auto" w:fill="D3D3D3"/>
          </w:tcPr>
          <w:p>
            <w:pPr/>
          </w:p>
        </w:tc>
        <w:tc>
          <w:tcPr>
            <w:tcW w:w="788"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8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75"/>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按信用风险特征组合计提坏账准备 的应收账款</w:t>
            </w:r>
          </w:p>
        </w:tc>
        <w:tc>
          <w:tcPr>
            <w:tcW w:w="86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312,237.03</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100.00%</w:t>
            </w:r>
          </w:p>
        </w:tc>
        <w:tc>
          <w:tcPr>
            <w:tcW w:w="3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312,237.03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56,986.30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w:t>
            </w:r>
          </w:p>
        </w:tc>
        <w:tc>
          <w:tcPr>
            <w:tcW w:w="365"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56,986.30</w:t>
            </w:r>
          </w:p>
        </w:tc>
      </w:tr>
      <w:tr>
        <w:trPr>
          <w:trHeight w:val="402" w:hRule="exact"/>
        </w:trPr>
        <w:tc>
          <w:tcPr>
            <w:tcW w:w="28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312,237.03</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1"/>
              <w:jc w:val="right"/>
              <w:rPr>
                <w:rFonts w:ascii="Times New Roman" w:hAnsi="Times New Roman" w:cs="Times New Roman" w:eastAsia="Times New Roman" w:hint="default"/>
                <w:sz w:val="18"/>
                <w:szCs w:val="18"/>
              </w:rPr>
            </w:pPr>
            <w:r>
              <w:rPr>
                <w:rFonts w:ascii="Times New Roman"/>
                <w:sz w:val="18"/>
              </w:rPr>
              <w:t>100.00%</w:t>
            </w:r>
          </w:p>
        </w:tc>
        <w:tc>
          <w:tcPr>
            <w:tcW w:w="3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312,237.03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56,986.30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100.00%</w:t>
            </w:r>
          </w:p>
        </w:tc>
        <w:tc>
          <w:tcPr>
            <w:tcW w:w="365"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56,986.30</w:t>
            </w:r>
          </w:p>
        </w:tc>
      </w:tr>
    </w:tbl>
    <w:p>
      <w:pPr>
        <w:pStyle w:val="BodyText"/>
        <w:spacing w:line="240" w:lineRule="auto" w:before="51"/>
        <w:ind w:right="0"/>
        <w:jc w:val="left"/>
      </w:pPr>
      <w:r>
        <w:rPr/>
        <w:t>期末单项金额重大并单项计提坏账准备的应收账款：</w:t>
      </w:r>
    </w:p>
    <w:p>
      <w:pPr>
        <w:pStyle w:val="BodyText"/>
        <w:spacing w:line="338" w:lineRule="auto" w:before="117"/>
        <w:ind w:right="67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0" w:footer="982" w:top="1100" w:bottom="1180" w:left="980" w:right="0"/>
        </w:sectPr>
      </w:pPr>
    </w:p>
    <w:p>
      <w:pPr>
        <w:spacing w:line="240" w:lineRule="auto" w:before="13"/>
        <w:rPr>
          <w:rFonts w:ascii="宋体" w:hAnsi="宋体" w:cs="宋体" w:eastAsia="宋体" w:hint="default"/>
          <w:sz w:val="21"/>
          <w:szCs w:val="21"/>
        </w:rPr>
      </w:pPr>
    </w:p>
    <w:p>
      <w:pPr>
        <w:pStyle w:val="BodyText"/>
        <w:spacing w:line="240" w:lineRule="auto" w:before="44"/>
        <w:ind w:left="153" w:right="0"/>
        <w:jc w:val="left"/>
      </w:pPr>
      <w:r>
        <w:rPr/>
        <w:t>组合中，采用余额百分比法计提坏账准备的应收账款：</w:t>
      </w:r>
    </w:p>
    <w:p>
      <w:pPr>
        <w:pStyle w:val="BodyText"/>
        <w:spacing w:line="340" w:lineRule="auto" w:before="116"/>
        <w:ind w:right="67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338" w:lineRule="auto" w:before="39"/>
        <w:ind w:right="1117" w:firstLine="290"/>
        <w:jc w:val="left"/>
      </w:pPr>
      <w:r>
        <w:rPr>
          <w:spacing w:val="-1"/>
        </w:rPr>
        <w:t>除已单独计提减值准备的应收账款外，公司根据以前年度与之相同或相类似的、按账龄段划分的具有类似信用风险特征</w:t>
      </w:r>
      <w:r>
        <w:rPr/>
        <w:t> 的应收账款组合的实际损失率为基础，结合现时情况分析法确定坏账准备计提的比例。 </w:t>
      </w:r>
      <w:r>
        <w:rPr>
          <w:rFonts w:ascii="Times New Roman" w:hAnsi="Times New Roman" w:cs="Times New Roman" w:eastAsia="Times New Roman" w:hint="default"/>
        </w:rPr>
        <w:t>2)</w:t>
      </w:r>
      <w:r>
        <w:rPr/>
        <w:t>本期计提、收回或转回的坏账准备情况</w:t>
      </w:r>
    </w:p>
    <w:p>
      <w:pPr>
        <w:pStyle w:val="BodyText"/>
        <w:spacing w:line="348" w:lineRule="auto" w:before="22"/>
        <w:ind w:right="5084"/>
        <w:jc w:val="left"/>
      </w:pPr>
      <w:r>
        <w:rPr/>
        <w:t>本期计提坏账准备金额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其中本期坏账准备收回或转回金额重要的：无 </w:t>
      </w:r>
      <w:r>
        <w:rPr>
          <w:rFonts w:ascii="Times New Roman" w:hAnsi="Times New Roman" w:cs="Times New Roman" w:eastAsia="Times New Roman" w:hint="default"/>
        </w:rPr>
        <w:t>3)</w:t>
      </w:r>
      <w:r>
        <w:rPr/>
        <w:t>本期实际核销的应收账款情况：无</w:t>
      </w:r>
    </w:p>
    <w:p>
      <w:pPr>
        <w:pStyle w:val="BodyText"/>
        <w:spacing w:line="240" w:lineRule="auto" w:before="14"/>
        <w:ind w:right="0"/>
        <w:jc w:val="left"/>
      </w:pPr>
      <w:r>
        <w:rPr/>
        <w:t>其中重要的应收账款核销情况：无</w:t>
      </w:r>
    </w:p>
    <w:p>
      <w:pPr>
        <w:pStyle w:val="BodyText"/>
        <w:spacing w:line="338" w:lineRule="auto" w:before="116"/>
        <w:ind w:left="634" w:right="0" w:hanging="480"/>
        <w:jc w:val="left"/>
      </w:pPr>
      <w:r>
        <w:rPr>
          <w:rFonts w:ascii="Times New Roman" w:hAnsi="Times New Roman" w:cs="Times New Roman" w:eastAsia="Times New Roman" w:hint="default"/>
        </w:rPr>
        <w:t>4)</w:t>
      </w:r>
      <w:r>
        <w:rPr/>
        <w:t>按欠款方归集的期末余额前五名的应收账款情况 </w:t>
      </w:r>
      <w:r>
        <w:rPr>
          <w:spacing w:val="7"/>
        </w:rPr>
        <w:t>本公司本年按欠款方归集的年末余额前五名应收账款汇总金额</w:t>
      </w:r>
      <w:r>
        <w:rPr>
          <w:rFonts w:ascii="Times New Roman" w:hAnsi="Times New Roman" w:cs="Times New Roman" w:eastAsia="Times New Roman" w:hint="default"/>
          <w:spacing w:val="7"/>
        </w:rPr>
        <w:t>312,237.03</w:t>
      </w:r>
      <w:r>
        <w:rPr>
          <w:spacing w:val="7"/>
        </w:rPr>
        <w:t>元，占应收账款年末余额合计数的比例</w:t>
      </w:r>
      <w:r>
        <w:rPr/>
      </w:r>
    </w:p>
    <w:p>
      <w:pPr>
        <w:pStyle w:val="BodyText"/>
        <w:spacing w:line="230" w:lineRule="exact"/>
        <w:ind w:right="0"/>
        <w:jc w:val="left"/>
      </w:pPr>
      <w:r>
        <w:rPr>
          <w:rFonts w:ascii="Times New Roman" w:hAnsi="Times New Roman" w:cs="Times New Roman" w:eastAsia="Times New Roman" w:hint="default"/>
        </w:rPr>
        <w:t>100.00%</w:t>
      </w:r>
      <w:r>
        <w:rPr/>
        <w:t>，相应计提的坏账准备年末余额汇总金额</w:t>
      </w:r>
      <w:r>
        <w:rPr>
          <w:rFonts w:ascii="Times New Roman" w:hAnsi="Times New Roman" w:cs="Times New Roman" w:eastAsia="Times New Roman" w:hint="default"/>
        </w:rPr>
        <w:t>0.00</w:t>
      </w:r>
      <w:r>
        <w:rPr/>
        <w:t>元。</w:t>
      </w:r>
    </w:p>
    <w:p>
      <w:pPr>
        <w:pStyle w:val="BodyText"/>
        <w:spacing w:line="240" w:lineRule="auto" w:before="103"/>
        <w:ind w:left="153" w:right="0"/>
        <w:jc w:val="left"/>
      </w:pPr>
      <w:r>
        <w:rPr>
          <w:rFonts w:ascii="Times New Roman" w:hAnsi="Times New Roman" w:cs="Times New Roman" w:eastAsia="Times New Roman" w:hint="default"/>
        </w:rPr>
        <w:t>5)</w:t>
      </w:r>
      <w:r>
        <w:rPr/>
        <w:t>因金融资产转移而终止确认的应收账款：无</w:t>
      </w:r>
    </w:p>
    <w:p>
      <w:pPr>
        <w:pStyle w:val="BodyText"/>
        <w:spacing w:line="240" w:lineRule="auto" w:before="103"/>
        <w:ind w:left="153" w:right="0"/>
        <w:jc w:val="left"/>
      </w:pPr>
      <w:r>
        <w:rPr>
          <w:rFonts w:ascii="Times New Roman" w:hAnsi="Times New Roman" w:cs="Times New Roman" w:eastAsia="Times New Roman" w:hint="default"/>
        </w:rPr>
        <w:t>6)</w:t>
      </w:r>
      <w:r>
        <w:rPr/>
        <w:t>转移应收账款且继续涉入形成的资产、负债金额：无</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500,000.01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205,000,000.00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287,624,991.90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309,493,229.17</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493,124,991.91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514,493,229.17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应收利息分类</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8"/>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借款利息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500,000.01</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500,000.01</w:t>
            </w:r>
          </w:p>
        </w:tc>
        <w:tc>
          <w:tcPr>
            <w:tcW w:w="318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rFonts w:ascii="Times New Roman" w:hAnsi="Times New Roman" w:cs="Times New Roman" w:eastAsia="Times New Roman" w:hint="default"/>
        </w:rPr>
        <w:t>2)</w:t>
      </w:r>
      <w:r>
        <w:rPr/>
        <w:t>重要逾期利息：无</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应收股利</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8"/>
      </w:tblGrid>
      <w:tr>
        <w:trPr>
          <w:trHeight w:val="32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8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浙江都市快报控股有限公司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33" w:right="0"/>
              <w:jc w:val="left"/>
              <w:rPr>
                <w:rFonts w:ascii="Times New Roman" w:hAnsi="Times New Roman" w:cs="Times New Roman" w:eastAsia="Times New Roman" w:hint="default"/>
                <w:sz w:val="18"/>
                <w:szCs w:val="18"/>
              </w:rPr>
            </w:pPr>
            <w:r>
              <w:rPr>
                <w:rFonts w:ascii="Times New Roman"/>
                <w:sz w:val="18"/>
              </w:rPr>
              <w:t>105,000,000.00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31" w:right="0"/>
              <w:jc w:val="left"/>
              <w:rPr>
                <w:rFonts w:ascii="Times New Roman" w:hAnsi="Times New Roman" w:cs="Times New Roman" w:eastAsia="Times New Roman" w:hint="default"/>
                <w:sz w:val="18"/>
                <w:szCs w:val="18"/>
              </w:rPr>
            </w:pPr>
            <w:r>
              <w:rPr>
                <w:rFonts w:ascii="Times New Roman"/>
                <w:sz w:val="18"/>
              </w:rPr>
              <w:t>105,000,000.00</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8"/>
      </w:tblGrid>
      <w:tr>
        <w:trPr>
          <w:trHeight w:val="32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杭州日报报业集团盛元印务有限公司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205,000,000.00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205,000,000.00</w:t>
            </w:r>
          </w:p>
        </w:tc>
      </w:tr>
    </w:tbl>
    <w:p>
      <w:pPr>
        <w:pStyle w:val="BodyText"/>
        <w:spacing w:line="240" w:lineRule="auto" w:before="51"/>
        <w:ind w:right="0"/>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年的应收股利：无</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026"/>
        <w:gridCol w:w="1044"/>
        <w:gridCol w:w="630"/>
        <w:gridCol w:w="416"/>
        <w:gridCol w:w="622"/>
        <w:gridCol w:w="1068"/>
        <w:gridCol w:w="1044"/>
        <w:gridCol w:w="630"/>
        <w:gridCol w:w="497"/>
        <w:gridCol w:w="610"/>
        <w:gridCol w:w="1067"/>
      </w:tblGrid>
      <w:tr>
        <w:trPr>
          <w:trHeight w:val="402" w:hRule="exact"/>
        </w:trPr>
        <w:tc>
          <w:tcPr>
            <w:tcW w:w="2026" w:type="dxa"/>
            <w:vMerge w:val="restart"/>
            <w:tcBorders>
              <w:top w:val="single" w:sz="4" w:space="0" w:color="000000"/>
              <w:left w:val="single" w:sz="4" w:space="0" w:color="000000"/>
              <w:right w:val="single" w:sz="4" w:space="0" w:color="000000"/>
            </w:tcBorders>
            <w:shd w:val="clear" w:color="auto" w:fill="D3D3D3"/>
          </w:tcPr>
          <w:p>
            <w:pPr/>
          </w:p>
        </w:tc>
        <w:tc>
          <w:tcPr>
            <w:tcW w:w="378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4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0" w:hRule="exact"/>
        </w:trPr>
        <w:tc>
          <w:tcPr>
            <w:tcW w:w="2026" w:type="dxa"/>
            <w:vMerge/>
            <w:tcBorders>
              <w:left w:val="single" w:sz="4" w:space="0" w:color="000000"/>
              <w:bottom w:val="nil" w:sz="6" w:space="0" w:color="auto"/>
              <w:right w:val="single" w:sz="4" w:space="0" w:color="000000"/>
            </w:tcBorders>
            <w:shd w:val="clear" w:color="auto" w:fill="D3D3D3"/>
          </w:tcPr>
          <w:p>
            <w:pPr/>
          </w:p>
        </w:tc>
        <w:tc>
          <w:tcPr>
            <w:tcW w:w="167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3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5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68" w:type="dxa"/>
            <w:vMerge w:val="restart"/>
            <w:tcBorders>
              <w:top w:val="single" w:sz="4" w:space="0" w:color="000000"/>
              <w:left w:val="single" w:sz="4" w:space="0" w:color="000000"/>
              <w:right w:val="single" w:sz="4" w:space="0" w:color="000000"/>
            </w:tcBorders>
            <w:shd w:val="clear" w:color="auto" w:fill="D3D3D3"/>
          </w:tcPr>
          <w:p>
            <w:pPr/>
          </w:p>
        </w:tc>
        <w:tc>
          <w:tcPr>
            <w:tcW w:w="167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0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67" w:type="dxa"/>
            <w:vMerge w:val="restart"/>
            <w:tcBorders>
              <w:top w:val="single" w:sz="4" w:space="0" w:color="000000"/>
              <w:left w:val="single" w:sz="4" w:space="0" w:color="000000"/>
              <w:right w:val="single" w:sz="4" w:space="0" w:color="000000"/>
            </w:tcBorders>
            <w:shd w:val="clear" w:color="auto" w:fill="D3D3D3"/>
          </w:tcPr>
          <w:p>
            <w:pPr/>
          </w:p>
        </w:tc>
      </w:tr>
      <w:tr>
        <w:trPr>
          <w:trHeight w:val="242" w:hRule="exact"/>
        </w:trPr>
        <w:tc>
          <w:tcPr>
            <w:tcW w:w="202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21"/>
              <w:jc w:val="center"/>
              <w:rPr>
                <w:rFonts w:ascii="宋体" w:hAnsi="宋体" w:cs="宋体" w:eastAsia="宋体" w:hint="default"/>
                <w:sz w:val="18"/>
                <w:szCs w:val="18"/>
              </w:rPr>
            </w:pPr>
            <w:r>
              <w:rPr>
                <w:rFonts w:ascii="宋体" w:hAnsi="宋体" w:cs="宋体" w:eastAsia="宋体" w:hint="default"/>
                <w:sz w:val="18"/>
                <w:szCs w:val="18"/>
              </w:rPr>
              <w:t>类别</w:t>
            </w:r>
          </w:p>
        </w:tc>
        <w:tc>
          <w:tcPr>
            <w:tcW w:w="1674" w:type="dxa"/>
            <w:gridSpan w:val="2"/>
            <w:vMerge/>
            <w:tcBorders>
              <w:left w:val="single" w:sz="4" w:space="0" w:color="000000"/>
              <w:bottom w:val="single" w:sz="4" w:space="0" w:color="000000"/>
              <w:right w:val="single" w:sz="4" w:space="0" w:color="000000"/>
            </w:tcBorders>
            <w:shd w:val="clear" w:color="auto" w:fill="D3D3D3"/>
          </w:tcPr>
          <w:p>
            <w:pPr/>
          </w:p>
        </w:tc>
        <w:tc>
          <w:tcPr>
            <w:tcW w:w="1038" w:type="dxa"/>
            <w:gridSpan w:val="2"/>
            <w:vMerge/>
            <w:tcBorders>
              <w:left w:val="single" w:sz="4" w:space="0" w:color="000000"/>
              <w:bottom w:val="single" w:sz="4" w:space="0" w:color="000000"/>
              <w:right w:val="single" w:sz="4" w:space="0" w:color="000000"/>
            </w:tcBorders>
            <w:shd w:val="clear" w:color="auto" w:fill="D3D3D3"/>
          </w:tcPr>
          <w:p>
            <w:pPr/>
          </w:p>
        </w:tc>
        <w:tc>
          <w:tcPr>
            <w:tcW w:w="1068" w:type="dxa"/>
            <w:vMerge/>
            <w:tcBorders>
              <w:left w:val="single" w:sz="4" w:space="0" w:color="000000"/>
              <w:bottom w:val="nil" w:sz="6" w:space="0" w:color="auto"/>
              <w:right w:val="single" w:sz="4" w:space="0" w:color="000000"/>
            </w:tcBorders>
            <w:shd w:val="clear" w:color="auto" w:fill="D3D3D3"/>
          </w:tcPr>
          <w:p>
            <w:pPr/>
          </w:p>
        </w:tc>
        <w:tc>
          <w:tcPr>
            <w:tcW w:w="1674" w:type="dxa"/>
            <w:gridSpan w:val="2"/>
            <w:vMerge/>
            <w:tcBorders>
              <w:left w:val="single" w:sz="4" w:space="0" w:color="000000"/>
              <w:bottom w:val="single" w:sz="4" w:space="0" w:color="000000"/>
              <w:right w:val="single" w:sz="4" w:space="0" w:color="000000"/>
            </w:tcBorders>
            <w:shd w:val="clear" w:color="auto" w:fill="D3D3D3"/>
          </w:tcPr>
          <w:p>
            <w:pPr/>
          </w:p>
        </w:tc>
        <w:tc>
          <w:tcPr>
            <w:tcW w:w="1107" w:type="dxa"/>
            <w:gridSpan w:val="2"/>
            <w:vMerge/>
            <w:tcBorders>
              <w:left w:val="single" w:sz="4" w:space="0" w:color="000000"/>
              <w:bottom w:val="single" w:sz="4" w:space="0" w:color="000000"/>
              <w:right w:val="single" w:sz="4" w:space="0" w:color="000000"/>
            </w:tcBorders>
            <w:shd w:val="clear" w:color="auto" w:fill="D3D3D3"/>
          </w:tcPr>
          <w:p>
            <w:pPr/>
          </w:p>
        </w:tc>
        <w:tc>
          <w:tcPr>
            <w:tcW w:w="1067" w:type="dxa"/>
            <w:vMerge/>
            <w:tcBorders>
              <w:left w:val="single" w:sz="4" w:space="0" w:color="000000"/>
              <w:bottom w:val="nil" w:sz="6" w:space="0" w:color="auto"/>
              <w:right w:val="single" w:sz="4" w:space="0" w:color="000000"/>
            </w:tcBorders>
            <w:shd w:val="clear" w:color="auto" w:fill="D3D3D3"/>
          </w:tcPr>
          <w:p>
            <w:pPr/>
          </w:p>
        </w:tc>
      </w:tr>
      <w:tr>
        <w:trPr>
          <w:trHeight w:val="158" w:hRule="exact"/>
        </w:trPr>
        <w:tc>
          <w:tcPr>
            <w:tcW w:w="2026" w:type="dxa"/>
            <w:vMerge/>
            <w:tcBorders>
              <w:left w:val="single" w:sz="4" w:space="0" w:color="000000"/>
              <w:bottom w:val="single" w:sz="4" w:space="0" w:color="FFFFFF"/>
              <w:right w:val="single" w:sz="4" w:space="0" w:color="000000"/>
            </w:tcBorders>
            <w:shd w:val="clear" w:color="auto" w:fill="D3D3D3"/>
          </w:tcPr>
          <w:p>
            <w:pPr/>
          </w:p>
        </w:tc>
        <w:tc>
          <w:tcPr>
            <w:tcW w:w="1044" w:type="dxa"/>
            <w:tcBorders>
              <w:top w:val="single" w:sz="4" w:space="0" w:color="000000"/>
              <w:left w:val="single" w:sz="4" w:space="0" w:color="000000"/>
              <w:bottom w:val="single" w:sz="4" w:space="0" w:color="FFFFFF"/>
              <w:right w:val="single" w:sz="4" w:space="0" w:color="000000"/>
            </w:tcBorders>
            <w:shd w:val="clear" w:color="auto" w:fill="D3D3D3"/>
          </w:tcPr>
          <w:p>
            <w:pPr/>
          </w:p>
        </w:tc>
        <w:tc>
          <w:tcPr>
            <w:tcW w:w="630" w:type="dxa"/>
            <w:tcBorders>
              <w:top w:val="single" w:sz="4" w:space="0" w:color="000000"/>
              <w:left w:val="single" w:sz="4" w:space="0" w:color="000000"/>
              <w:bottom w:val="single" w:sz="4" w:space="0" w:color="FFFFFF"/>
              <w:right w:val="single" w:sz="4" w:space="0" w:color="000000"/>
            </w:tcBorders>
            <w:shd w:val="clear" w:color="auto" w:fill="D3D3D3"/>
          </w:tcPr>
          <w:p>
            <w:pPr/>
          </w:p>
        </w:tc>
        <w:tc>
          <w:tcPr>
            <w:tcW w:w="416" w:type="dxa"/>
            <w:tcBorders>
              <w:top w:val="single" w:sz="4" w:space="0" w:color="000000"/>
              <w:left w:val="single" w:sz="4" w:space="0" w:color="000000"/>
              <w:bottom w:val="single" w:sz="4" w:space="0" w:color="FFFFFF"/>
              <w:right w:val="single" w:sz="4" w:space="0" w:color="000000"/>
            </w:tcBorders>
            <w:shd w:val="clear" w:color="auto" w:fill="D3D3D3"/>
          </w:tcPr>
          <w:p>
            <w:pPr/>
          </w:p>
        </w:tc>
        <w:tc>
          <w:tcPr>
            <w:tcW w:w="62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16" w:right="3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06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left="16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44" w:type="dxa"/>
            <w:tcBorders>
              <w:top w:val="single" w:sz="4" w:space="0" w:color="000000"/>
              <w:left w:val="single" w:sz="4" w:space="0" w:color="000000"/>
              <w:bottom w:val="nil" w:sz="6" w:space="0" w:color="auto"/>
              <w:right w:val="single" w:sz="4" w:space="0" w:color="000000"/>
            </w:tcBorders>
            <w:shd w:val="clear" w:color="auto" w:fill="D3D3D3"/>
          </w:tcPr>
          <w:p>
            <w:pPr/>
          </w:p>
        </w:tc>
        <w:tc>
          <w:tcPr>
            <w:tcW w:w="630" w:type="dxa"/>
            <w:tcBorders>
              <w:top w:val="single" w:sz="4" w:space="0" w:color="000000"/>
              <w:left w:val="single" w:sz="4" w:space="0" w:color="000000"/>
              <w:bottom w:val="nil" w:sz="6" w:space="0" w:color="auto"/>
              <w:right w:val="single" w:sz="4" w:space="0" w:color="000000"/>
            </w:tcBorders>
            <w:shd w:val="clear" w:color="auto" w:fill="D3D3D3"/>
          </w:tcPr>
          <w:p>
            <w:pPr/>
          </w:p>
        </w:tc>
        <w:tc>
          <w:tcPr>
            <w:tcW w:w="497" w:type="dxa"/>
            <w:tcBorders>
              <w:top w:val="single" w:sz="4" w:space="0" w:color="000000"/>
              <w:left w:val="single" w:sz="4" w:space="0" w:color="000000"/>
              <w:bottom w:val="nil" w:sz="6" w:space="0" w:color="auto"/>
              <w:right w:val="single" w:sz="4" w:space="0" w:color="000000"/>
            </w:tcBorders>
            <w:shd w:val="clear" w:color="auto" w:fill="D3D3D3"/>
          </w:tcPr>
          <w:p>
            <w:pPr/>
          </w:p>
        </w:tc>
        <w:tc>
          <w:tcPr>
            <w:tcW w:w="61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16" w:right="22"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06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left="17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5" w:hRule="exact"/>
        </w:trPr>
        <w:tc>
          <w:tcPr>
            <w:tcW w:w="2026" w:type="dxa"/>
            <w:vMerge w:val="restart"/>
            <w:tcBorders>
              <w:top w:val="single" w:sz="4" w:space="0" w:color="FFFFFF"/>
              <w:left w:val="single" w:sz="4" w:space="0" w:color="000000"/>
              <w:right w:val="single" w:sz="4" w:space="0" w:color="000000"/>
            </w:tcBorders>
            <w:shd w:val="clear" w:color="auto" w:fill="D3D3D3"/>
          </w:tcPr>
          <w:p>
            <w:pPr/>
          </w:p>
        </w:tc>
        <w:tc>
          <w:tcPr>
            <w:tcW w:w="1044" w:type="dxa"/>
            <w:vMerge w:val="restart"/>
            <w:tcBorders>
              <w:top w:val="single" w:sz="4" w:space="0" w:color="FFFFFF"/>
              <w:left w:val="single" w:sz="4" w:space="0" w:color="000000"/>
              <w:right w:val="single" w:sz="4" w:space="0" w:color="000000"/>
            </w:tcBorders>
            <w:shd w:val="clear" w:color="auto" w:fill="D3D3D3"/>
          </w:tcPr>
          <w:p>
            <w:pPr>
              <w:pStyle w:val="TableParagraph"/>
              <w:spacing w:line="240" w:lineRule="auto" w:before="50"/>
              <w:ind w:left="33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30" w:type="dxa"/>
            <w:vMerge w:val="restart"/>
            <w:tcBorders>
              <w:top w:val="single" w:sz="4" w:space="0" w:color="FFFFFF"/>
              <w:left w:val="single" w:sz="4" w:space="0" w:color="000000"/>
              <w:right w:val="single" w:sz="4" w:space="0" w:color="000000"/>
            </w:tcBorders>
            <w:shd w:val="clear" w:color="auto" w:fill="D3D3D3"/>
          </w:tcPr>
          <w:p>
            <w:pPr>
              <w:pStyle w:val="TableParagraph"/>
              <w:spacing w:line="240" w:lineRule="auto" w:before="50"/>
              <w:ind w:left="13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416" w:type="dxa"/>
            <w:vMerge w:val="restart"/>
            <w:tcBorders>
              <w:top w:val="single" w:sz="4" w:space="0" w:color="FFFFFF"/>
              <w:left w:val="single" w:sz="4" w:space="0" w:color="000000"/>
              <w:right w:val="single" w:sz="4" w:space="0" w:color="000000"/>
            </w:tcBorders>
            <w:shd w:val="clear" w:color="auto" w:fill="D3D3D3"/>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22" w:type="dxa"/>
            <w:vMerge/>
            <w:tcBorders>
              <w:left w:val="single" w:sz="4" w:space="0" w:color="000000"/>
              <w:right w:val="single" w:sz="4" w:space="0" w:color="000000"/>
            </w:tcBorders>
            <w:shd w:val="clear" w:color="auto" w:fill="D3D3D3"/>
          </w:tcPr>
          <w:p>
            <w:pPr/>
          </w:p>
        </w:tc>
        <w:tc>
          <w:tcPr>
            <w:tcW w:w="1068" w:type="dxa"/>
            <w:vMerge/>
            <w:tcBorders>
              <w:left w:val="single" w:sz="4" w:space="0" w:color="000000"/>
              <w:bottom w:val="nil" w:sz="6" w:space="0" w:color="auto"/>
              <w:right w:val="single" w:sz="4" w:space="0" w:color="000000"/>
            </w:tcBorders>
            <w:shd w:val="clear" w:color="auto" w:fill="D3D3D3"/>
          </w:tcPr>
          <w:p>
            <w:pPr/>
          </w:p>
        </w:tc>
        <w:tc>
          <w:tcPr>
            <w:tcW w:w="104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33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3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3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49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6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10" w:type="dxa"/>
            <w:vMerge/>
            <w:tcBorders>
              <w:left w:val="single" w:sz="4" w:space="0" w:color="000000"/>
              <w:right w:val="single" w:sz="4" w:space="0" w:color="000000"/>
            </w:tcBorders>
            <w:shd w:val="clear" w:color="auto" w:fill="D3D3D3"/>
          </w:tcPr>
          <w:p>
            <w:pPr/>
          </w:p>
        </w:tc>
        <w:tc>
          <w:tcPr>
            <w:tcW w:w="1067" w:type="dxa"/>
            <w:vMerge/>
            <w:tcBorders>
              <w:left w:val="single" w:sz="4" w:space="0" w:color="000000"/>
              <w:bottom w:val="nil" w:sz="6" w:space="0" w:color="auto"/>
              <w:right w:val="single" w:sz="4" w:space="0" w:color="000000"/>
            </w:tcBorders>
            <w:shd w:val="clear" w:color="auto" w:fill="D3D3D3"/>
          </w:tcPr>
          <w:p>
            <w:pPr/>
          </w:p>
        </w:tc>
      </w:tr>
      <w:tr>
        <w:trPr>
          <w:trHeight w:val="202" w:hRule="exact"/>
        </w:trPr>
        <w:tc>
          <w:tcPr>
            <w:tcW w:w="2026" w:type="dxa"/>
            <w:vMerge/>
            <w:tcBorders>
              <w:left w:val="single" w:sz="4" w:space="0" w:color="000000"/>
              <w:right w:val="single" w:sz="4" w:space="0" w:color="000000"/>
            </w:tcBorders>
            <w:shd w:val="clear" w:color="auto" w:fill="D3D3D3"/>
          </w:tcPr>
          <w:p>
            <w:pPr/>
          </w:p>
        </w:tc>
        <w:tc>
          <w:tcPr>
            <w:tcW w:w="1044" w:type="dxa"/>
            <w:vMerge/>
            <w:tcBorders>
              <w:left w:val="single" w:sz="4" w:space="0" w:color="000000"/>
              <w:bottom w:val="nil" w:sz="6" w:space="0" w:color="auto"/>
              <w:right w:val="single" w:sz="4" w:space="0" w:color="000000"/>
            </w:tcBorders>
            <w:shd w:val="clear" w:color="auto" w:fill="D3D3D3"/>
          </w:tcPr>
          <w:p>
            <w:pPr/>
          </w:p>
        </w:tc>
        <w:tc>
          <w:tcPr>
            <w:tcW w:w="630" w:type="dxa"/>
            <w:vMerge/>
            <w:tcBorders>
              <w:left w:val="single" w:sz="4" w:space="0" w:color="000000"/>
              <w:bottom w:val="nil" w:sz="6" w:space="0" w:color="auto"/>
              <w:right w:val="single" w:sz="4" w:space="0" w:color="000000"/>
            </w:tcBorders>
            <w:shd w:val="clear" w:color="auto" w:fill="D3D3D3"/>
          </w:tcPr>
          <w:p>
            <w:pPr/>
          </w:p>
        </w:tc>
        <w:tc>
          <w:tcPr>
            <w:tcW w:w="416" w:type="dxa"/>
            <w:vMerge/>
            <w:tcBorders>
              <w:left w:val="single" w:sz="4" w:space="0" w:color="000000"/>
              <w:bottom w:val="nil" w:sz="6" w:space="0" w:color="auto"/>
              <w:right w:val="single" w:sz="4" w:space="0" w:color="000000"/>
            </w:tcBorders>
            <w:shd w:val="clear" w:color="auto" w:fill="D3D3D3"/>
          </w:tcPr>
          <w:p>
            <w:pPr/>
          </w:p>
        </w:tc>
        <w:tc>
          <w:tcPr>
            <w:tcW w:w="622" w:type="dxa"/>
            <w:vMerge/>
            <w:tcBorders>
              <w:left w:val="single" w:sz="4" w:space="0" w:color="000000"/>
              <w:right w:val="single" w:sz="4" w:space="0" w:color="000000"/>
            </w:tcBorders>
            <w:shd w:val="clear" w:color="auto" w:fill="D3D3D3"/>
          </w:tcPr>
          <w:p>
            <w:pPr/>
          </w:p>
        </w:tc>
        <w:tc>
          <w:tcPr>
            <w:tcW w:w="1068" w:type="dxa"/>
            <w:vMerge w:val="restart"/>
            <w:tcBorders>
              <w:top w:val="nil" w:sz="6" w:space="0" w:color="auto"/>
              <w:left w:val="single" w:sz="4" w:space="0" w:color="000000"/>
              <w:right w:val="single" w:sz="4" w:space="0" w:color="000000"/>
            </w:tcBorders>
            <w:shd w:val="clear" w:color="auto" w:fill="D3D3D3"/>
          </w:tcPr>
          <w:p>
            <w:pPr/>
          </w:p>
        </w:tc>
        <w:tc>
          <w:tcPr>
            <w:tcW w:w="1044" w:type="dxa"/>
            <w:vMerge/>
            <w:tcBorders>
              <w:left w:val="single" w:sz="4" w:space="0" w:color="000000"/>
              <w:bottom w:val="nil" w:sz="6" w:space="0" w:color="auto"/>
              <w:right w:val="single" w:sz="4" w:space="0" w:color="000000"/>
            </w:tcBorders>
            <w:shd w:val="clear" w:color="auto" w:fill="D3D3D3"/>
          </w:tcPr>
          <w:p>
            <w:pPr/>
          </w:p>
        </w:tc>
        <w:tc>
          <w:tcPr>
            <w:tcW w:w="630" w:type="dxa"/>
            <w:vMerge/>
            <w:tcBorders>
              <w:left w:val="single" w:sz="4" w:space="0" w:color="000000"/>
              <w:bottom w:val="nil" w:sz="6" w:space="0" w:color="auto"/>
              <w:right w:val="single" w:sz="4" w:space="0" w:color="000000"/>
            </w:tcBorders>
            <w:shd w:val="clear" w:color="auto" w:fill="D3D3D3"/>
          </w:tcPr>
          <w:p>
            <w:pPr/>
          </w:p>
        </w:tc>
        <w:tc>
          <w:tcPr>
            <w:tcW w:w="497" w:type="dxa"/>
            <w:vMerge/>
            <w:tcBorders>
              <w:left w:val="single" w:sz="4" w:space="0" w:color="000000"/>
              <w:bottom w:val="nil" w:sz="6" w:space="0" w:color="auto"/>
              <w:right w:val="single" w:sz="4" w:space="0" w:color="000000"/>
            </w:tcBorders>
            <w:shd w:val="clear" w:color="auto" w:fill="D3D3D3"/>
          </w:tcPr>
          <w:p>
            <w:pPr/>
          </w:p>
        </w:tc>
        <w:tc>
          <w:tcPr>
            <w:tcW w:w="610" w:type="dxa"/>
            <w:vMerge/>
            <w:tcBorders>
              <w:left w:val="single" w:sz="4" w:space="0" w:color="000000"/>
              <w:right w:val="single" w:sz="4" w:space="0" w:color="000000"/>
            </w:tcBorders>
            <w:shd w:val="clear" w:color="auto" w:fill="D3D3D3"/>
          </w:tcPr>
          <w:p>
            <w:pPr/>
          </w:p>
        </w:tc>
        <w:tc>
          <w:tcPr>
            <w:tcW w:w="1067" w:type="dxa"/>
            <w:vMerge w:val="restart"/>
            <w:tcBorders>
              <w:top w:val="nil" w:sz="6" w:space="0" w:color="auto"/>
              <w:left w:val="single" w:sz="4" w:space="0" w:color="000000"/>
              <w:right w:val="single" w:sz="4" w:space="0" w:color="000000"/>
            </w:tcBorders>
            <w:shd w:val="clear" w:color="auto" w:fill="D3D3D3"/>
          </w:tcPr>
          <w:p>
            <w:pPr/>
          </w:p>
        </w:tc>
      </w:tr>
      <w:tr>
        <w:trPr>
          <w:trHeight w:val="160" w:hRule="exact"/>
        </w:trPr>
        <w:tc>
          <w:tcPr>
            <w:tcW w:w="2026" w:type="dxa"/>
            <w:vMerge/>
            <w:tcBorders>
              <w:left w:val="single" w:sz="4" w:space="0" w:color="000000"/>
              <w:bottom w:val="single" w:sz="4" w:space="0" w:color="000000"/>
              <w:right w:val="single" w:sz="4" w:space="0" w:color="000000"/>
            </w:tcBorders>
            <w:shd w:val="clear" w:color="auto" w:fill="D3D3D3"/>
          </w:tcPr>
          <w:p>
            <w:pPr/>
          </w:p>
        </w:tc>
        <w:tc>
          <w:tcPr>
            <w:tcW w:w="1044" w:type="dxa"/>
            <w:tcBorders>
              <w:top w:val="nil" w:sz="6" w:space="0" w:color="auto"/>
              <w:left w:val="single" w:sz="4" w:space="0" w:color="000000"/>
              <w:bottom w:val="single" w:sz="4" w:space="0" w:color="000000"/>
              <w:right w:val="single" w:sz="4" w:space="0" w:color="000000"/>
            </w:tcBorders>
            <w:shd w:val="clear" w:color="auto" w:fill="D3D3D3"/>
          </w:tcPr>
          <w:p>
            <w:pPr/>
          </w:p>
        </w:tc>
        <w:tc>
          <w:tcPr>
            <w:tcW w:w="630" w:type="dxa"/>
            <w:tcBorders>
              <w:top w:val="nil" w:sz="6" w:space="0" w:color="auto"/>
              <w:left w:val="single" w:sz="4" w:space="0" w:color="000000"/>
              <w:bottom w:val="single" w:sz="4" w:space="0" w:color="000000"/>
              <w:right w:val="single" w:sz="4" w:space="0" w:color="000000"/>
            </w:tcBorders>
            <w:shd w:val="clear" w:color="auto" w:fill="D3D3D3"/>
          </w:tcPr>
          <w:p>
            <w:pPr/>
          </w:p>
        </w:tc>
        <w:tc>
          <w:tcPr>
            <w:tcW w:w="416" w:type="dxa"/>
            <w:tcBorders>
              <w:top w:val="nil" w:sz="6" w:space="0" w:color="auto"/>
              <w:left w:val="single" w:sz="4" w:space="0" w:color="000000"/>
              <w:bottom w:val="single" w:sz="4" w:space="0" w:color="000000"/>
              <w:right w:val="single" w:sz="4" w:space="0" w:color="000000"/>
            </w:tcBorders>
            <w:shd w:val="clear" w:color="auto" w:fill="D3D3D3"/>
          </w:tcPr>
          <w:p>
            <w:pPr/>
          </w:p>
        </w:tc>
        <w:tc>
          <w:tcPr>
            <w:tcW w:w="622" w:type="dxa"/>
            <w:vMerge/>
            <w:tcBorders>
              <w:left w:val="single" w:sz="4" w:space="0" w:color="000000"/>
              <w:bottom w:val="single" w:sz="4" w:space="0" w:color="000000"/>
              <w:right w:val="single" w:sz="4" w:space="0" w:color="000000"/>
            </w:tcBorders>
            <w:shd w:val="clear" w:color="auto" w:fill="D3D3D3"/>
          </w:tcPr>
          <w:p>
            <w:pPr/>
          </w:p>
        </w:tc>
        <w:tc>
          <w:tcPr>
            <w:tcW w:w="1068" w:type="dxa"/>
            <w:vMerge/>
            <w:tcBorders>
              <w:left w:val="single" w:sz="4" w:space="0" w:color="000000"/>
              <w:bottom w:val="single" w:sz="4" w:space="0" w:color="000000"/>
              <w:right w:val="single" w:sz="4" w:space="0" w:color="000000"/>
            </w:tcBorders>
            <w:shd w:val="clear" w:color="auto" w:fill="D3D3D3"/>
          </w:tcPr>
          <w:p>
            <w:pPr/>
          </w:p>
        </w:tc>
        <w:tc>
          <w:tcPr>
            <w:tcW w:w="1044" w:type="dxa"/>
            <w:tcBorders>
              <w:top w:val="nil" w:sz="6" w:space="0" w:color="auto"/>
              <w:left w:val="single" w:sz="4" w:space="0" w:color="000000"/>
              <w:bottom w:val="single" w:sz="4" w:space="0" w:color="000000"/>
              <w:right w:val="single" w:sz="4" w:space="0" w:color="000000"/>
            </w:tcBorders>
            <w:shd w:val="clear" w:color="auto" w:fill="D3D3D3"/>
          </w:tcPr>
          <w:p>
            <w:pPr/>
          </w:p>
        </w:tc>
        <w:tc>
          <w:tcPr>
            <w:tcW w:w="630" w:type="dxa"/>
            <w:tcBorders>
              <w:top w:val="nil" w:sz="6" w:space="0" w:color="auto"/>
              <w:left w:val="single" w:sz="4" w:space="0" w:color="000000"/>
              <w:bottom w:val="single" w:sz="4" w:space="0" w:color="000000"/>
              <w:right w:val="single" w:sz="4" w:space="0" w:color="000000"/>
            </w:tcBorders>
            <w:shd w:val="clear" w:color="auto" w:fill="D3D3D3"/>
          </w:tcPr>
          <w:p>
            <w:pPr/>
          </w:p>
        </w:tc>
        <w:tc>
          <w:tcPr>
            <w:tcW w:w="497" w:type="dxa"/>
            <w:tcBorders>
              <w:top w:val="nil" w:sz="6" w:space="0" w:color="auto"/>
              <w:left w:val="single" w:sz="4" w:space="0" w:color="000000"/>
              <w:bottom w:val="single" w:sz="4" w:space="0" w:color="000000"/>
              <w:right w:val="single" w:sz="4" w:space="0" w:color="000000"/>
            </w:tcBorders>
            <w:shd w:val="clear" w:color="auto" w:fill="D3D3D3"/>
          </w:tcPr>
          <w:p>
            <w:pPr/>
          </w:p>
        </w:tc>
        <w:tc>
          <w:tcPr>
            <w:tcW w:w="610" w:type="dxa"/>
            <w:vMerge/>
            <w:tcBorders>
              <w:left w:val="single" w:sz="4" w:space="0" w:color="000000"/>
              <w:bottom w:val="single" w:sz="4" w:space="0" w:color="000000"/>
              <w:right w:val="single" w:sz="4" w:space="0" w:color="000000"/>
            </w:tcBorders>
            <w:shd w:val="clear" w:color="auto" w:fill="D3D3D3"/>
          </w:tcPr>
          <w:p>
            <w:pPr/>
          </w:p>
        </w:tc>
        <w:tc>
          <w:tcPr>
            <w:tcW w:w="1067"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2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03"/>
              <w:jc w:val="both"/>
              <w:rPr>
                <w:rFonts w:ascii="宋体" w:hAnsi="宋体" w:cs="宋体" w:eastAsia="宋体" w:hint="default"/>
                <w:sz w:val="18"/>
                <w:szCs w:val="18"/>
              </w:rPr>
            </w:pPr>
            <w:r>
              <w:rPr>
                <w:rFonts w:ascii="宋体" w:hAnsi="宋体" w:cs="宋体" w:eastAsia="宋体" w:hint="default"/>
                <w:sz w:val="18"/>
                <w:szCs w:val="18"/>
              </w:rPr>
              <w:t>按信用风险特征组合计 提坏账准备的其他应收 款</w:t>
            </w:r>
          </w:p>
        </w:tc>
        <w:tc>
          <w:tcPr>
            <w:tcW w:w="104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left"/>
              <w:rPr>
                <w:rFonts w:ascii="Times New Roman" w:hAnsi="Times New Roman" w:cs="Times New Roman" w:eastAsia="Times New Roman" w:hint="default"/>
                <w:sz w:val="16"/>
                <w:szCs w:val="16"/>
              </w:rPr>
            </w:pPr>
            <w:r>
              <w:rPr>
                <w:rFonts w:ascii="Times New Roman"/>
                <w:sz w:val="16"/>
              </w:rPr>
              <w:t>287,625,054.90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6"/>
                <w:szCs w:val="16"/>
              </w:rPr>
            </w:pPr>
            <w:r>
              <w:rPr>
                <w:rFonts w:ascii="Times New Roman"/>
                <w:sz w:val="16"/>
              </w:rPr>
              <w:t>100.00%</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6"/>
                <w:szCs w:val="16"/>
              </w:rPr>
            </w:pPr>
            <w:r>
              <w:rPr>
                <w:rFonts w:ascii="Times New Roman"/>
                <w:sz w:val="16"/>
              </w:rPr>
              <w:t>63.00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6"/>
                <w:szCs w:val="16"/>
              </w:rPr>
            </w:pPr>
            <w:r>
              <w:rPr>
                <w:rFonts w:ascii="Times New Roman"/>
                <w:sz w:val="16"/>
              </w:rPr>
              <w:t>287,624,991.90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center"/>
              <w:rPr>
                <w:rFonts w:ascii="Times New Roman" w:hAnsi="Times New Roman" w:cs="Times New Roman" w:eastAsia="Times New Roman" w:hint="default"/>
                <w:sz w:val="16"/>
                <w:szCs w:val="16"/>
              </w:rPr>
            </w:pPr>
            <w:r>
              <w:rPr>
                <w:rFonts w:ascii="Times New Roman"/>
                <w:sz w:val="16"/>
              </w:rPr>
              <w:t>309,493,439.67</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6"/>
                <w:szCs w:val="16"/>
              </w:rPr>
            </w:pPr>
            <w:r>
              <w:rPr>
                <w:rFonts w:ascii="Times New Roman"/>
                <w:sz w:val="16"/>
              </w:rPr>
              <w:t>100.00%</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6"/>
                <w:szCs w:val="16"/>
              </w:rPr>
            </w:pPr>
            <w:r>
              <w:rPr>
                <w:rFonts w:ascii="Times New Roman"/>
                <w:sz w:val="16"/>
              </w:rPr>
              <w:t>210.50</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
              <w:jc w:val="right"/>
              <w:rPr>
                <w:rFonts w:ascii="Times New Roman" w:hAnsi="Times New Roman" w:cs="Times New Roman" w:eastAsia="Times New Roman" w:hint="default"/>
                <w:sz w:val="16"/>
                <w:szCs w:val="16"/>
              </w:rPr>
            </w:pPr>
            <w:r>
              <w:rPr>
                <w:rFonts w:ascii="Times New Roman"/>
                <w:spacing w:val="-1"/>
                <w:sz w:val="16"/>
              </w:rPr>
              <w:t>0.00%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 w:right="0"/>
              <w:jc w:val="center"/>
              <w:rPr>
                <w:rFonts w:ascii="Times New Roman" w:hAnsi="Times New Roman" w:cs="Times New Roman" w:eastAsia="Times New Roman" w:hint="default"/>
                <w:sz w:val="16"/>
                <w:szCs w:val="16"/>
              </w:rPr>
            </w:pPr>
            <w:r>
              <w:rPr>
                <w:rFonts w:ascii="Times New Roman"/>
                <w:sz w:val="16"/>
              </w:rPr>
              <w:t>309,493,229.17</w:t>
            </w:r>
          </w:p>
        </w:tc>
      </w:tr>
      <w:tr>
        <w:trPr>
          <w:trHeight w:val="402" w:hRule="exact"/>
        </w:trPr>
        <w:tc>
          <w:tcPr>
            <w:tcW w:w="2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4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2"/>
              <w:ind w:right="0"/>
              <w:jc w:val="left"/>
              <w:rPr>
                <w:rFonts w:ascii="Times New Roman" w:hAnsi="Times New Roman" w:cs="Times New Roman" w:eastAsia="Times New Roman" w:hint="default"/>
                <w:sz w:val="16"/>
                <w:szCs w:val="16"/>
              </w:rPr>
            </w:pPr>
            <w:r>
              <w:rPr>
                <w:rFonts w:ascii="Times New Roman"/>
                <w:sz w:val="16"/>
              </w:rPr>
              <w:t>287,625,054.90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Times New Roman" w:hAnsi="Times New Roman" w:cs="Times New Roman" w:eastAsia="Times New Roman" w:hint="default"/>
                <w:sz w:val="16"/>
                <w:szCs w:val="16"/>
              </w:rPr>
            </w:pPr>
            <w:r>
              <w:rPr>
                <w:rFonts w:ascii="Times New Roman"/>
                <w:sz w:val="16"/>
              </w:rPr>
              <w:t>100.00%</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6"/>
                <w:szCs w:val="16"/>
              </w:rPr>
            </w:pPr>
            <w:r>
              <w:rPr>
                <w:rFonts w:ascii="Times New Roman"/>
                <w:sz w:val="16"/>
              </w:rPr>
              <w:t>63.00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6"/>
                <w:szCs w:val="16"/>
              </w:rPr>
            </w:pPr>
            <w:r>
              <w:rPr>
                <w:rFonts w:ascii="Times New Roman"/>
                <w:sz w:val="16"/>
              </w:rPr>
              <w:t>287,624,991.90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center"/>
              <w:rPr>
                <w:rFonts w:ascii="Times New Roman" w:hAnsi="Times New Roman" w:cs="Times New Roman" w:eastAsia="Times New Roman" w:hint="default"/>
                <w:sz w:val="16"/>
                <w:szCs w:val="16"/>
              </w:rPr>
            </w:pPr>
            <w:r>
              <w:rPr>
                <w:rFonts w:ascii="Times New Roman"/>
                <w:sz w:val="16"/>
              </w:rPr>
              <w:t>309,493,439.67</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Times New Roman" w:hAnsi="Times New Roman" w:cs="Times New Roman" w:eastAsia="Times New Roman" w:hint="default"/>
                <w:sz w:val="16"/>
                <w:szCs w:val="16"/>
              </w:rPr>
            </w:pPr>
            <w:r>
              <w:rPr>
                <w:rFonts w:ascii="Times New Roman"/>
                <w:sz w:val="16"/>
              </w:rPr>
              <w:t>100.00%</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Times New Roman" w:hAnsi="Times New Roman" w:cs="Times New Roman" w:eastAsia="Times New Roman" w:hint="default"/>
                <w:sz w:val="16"/>
                <w:szCs w:val="16"/>
              </w:rPr>
            </w:pPr>
            <w:r>
              <w:rPr>
                <w:rFonts w:ascii="Times New Roman"/>
                <w:sz w:val="16"/>
              </w:rPr>
              <w:t>210.50</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
              <w:jc w:val="right"/>
              <w:rPr>
                <w:rFonts w:ascii="Times New Roman" w:hAnsi="Times New Roman" w:cs="Times New Roman" w:eastAsia="Times New Roman" w:hint="default"/>
                <w:sz w:val="16"/>
                <w:szCs w:val="16"/>
              </w:rPr>
            </w:pPr>
            <w:r>
              <w:rPr>
                <w:rFonts w:ascii="Times New Roman"/>
                <w:spacing w:val="-1"/>
                <w:sz w:val="16"/>
              </w:rPr>
              <w:t>0.00%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 w:right="0"/>
              <w:jc w:val="center"/>
              <w:rPr>
                <w:rFonts w:ascii="Times New Roman" w:hAnsi="Times New Roman" w:cs="Times New Roman" w:eastAsia="Times New Roman" w:hint="default"/>
                <w:sz w:val="16"/>
                <w:szCs w:val="16"/>
              </w:rPr>
            </w:pPr>
            <w:r>
              <w:rPr>
                <w:rFonts w:ascii="Times New Roman"/>
                <w:sz w:val="16"/>
              </w:rPr>
              <w:t>309,493,229.17</w:t>
            </w:r>
          </w:p>
        </w:tc>
      </w:tr>
    </w:tbl>
    <w:p>
      <w:pPr>
        <w:spacing w:after="0" w:line="240" w:lineRule="auto"/>
        <w:jc w:val="center"/>
        <w:rPr>
          <w:rFonts w:ascii="Times New Roman" w:hAnsi="Times New Roman" w:cs="Times New Roman" w:eastAsia="Times New Roman" w:hint="default"/>
          <w:sz w:val="16"/>
          <w:szCs w:val="16"/>
        </w:rPr>
        <w:sectPr>
          <w:pgSz w:w="11910" w:h="16840"/>
          <w:pgMar w:header="0" w:footer="982" w:top="1100" w:bottom="1180" w:left="980" w:right="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0"/>
          <w:cols w:num="2" w:equalWidth="0">
            <w:col w:w="4475" w:space="4354"/>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0"/>
        <w:gridCol w:w="2390"/>
        <w:gridCol w:w="2389"/>
      </w:tblGrid>
      <w:tr>
        <w:trPr>
          <w:trHeight w:val="401" w:hRule="exact"/>
        </w:trPr>
        <w:tc>
          <w:tcPr>
            <w:tcW w:w="24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3D3D3"/>
          </w:tcPr>
          <w:p>
            <w:pPr/>
          </w:p>
        </w:tc>
        <w:tc>
          <w:tcPr>
            <w:tcW w:w="2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r>
              <w:rPr>
                <w:rFonts w:ascii="Times New Roman" w:hAnsi="Times New Roman" w:cs="Times New Roman" w:eastAsia="Times New Roman" w:hint="default"/>
                <w:sz w:val="18"/>
                <w:szCs w:val="18"/>
              </w:rPr>
              <w:t>]</w:t>
            </w:r>
          </w:p>
        </w:tc>
        <w:tc>
          <w:tcPr>
            <w:tcW w:w="2300"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29,041.27</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w:t>
            </w:r>
          </w:p>
        </w:tc>
        <w:tc>
          <w:tcPr>
            <w:tcW w:w="2300" w:type="dxa"/>
            <w:tcBorders>
              <w:top w:val="single" w:sz="4" w:space="0" w:color="000000"/>
              <w:left w:val="single" w:sz="13" w:space="0" w:color="C7EDCC"/>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29,041.27</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29,671.27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0.21%</w:t>
            </w:r>
          </w:p>
        </w:tc>
      </w:tr>
    </w:tbl>
    <w:p>
      <w:pPr>
        <w:pStyle w:val="BodyText"/>
        <w:spacing w:line="357" w:lineRule="auto" w:before="51"/>
        <w:ind w:left="444" w:right="0" w:hanging="291"/>
        <w:jc w:val="left"/>
      </w:pPr>
      <w:r>
        <w:rPr/>
        <w:t>确定该组合依据的说明： </w:t>
      </w:r>
      <w:r>
        <w:rPr>
          <w:spacing w:val="-1"/>
        </w:rPr>
        <w:t>除已单独计提减值准备的其他应收款和按关联方组合、无风险组合计提坏账准备的其他应收款外，公司根据以前年度与</w:t>
      </w:r>
    </w:p>
    <w:p>
      <w:pPr>
        <w:pStyle w:val="BodyText"/>
        <w:spacing w:line="224" w:lineRule="exact"/>
        <w:ind w:left="153" w:right="0"/>
        <w:jc w:val="left"/>
      </w:pPr>
      <w:r>
        <w:rPr/>
        <w:t>之相同或相类似的、按账龄段划分的具有类似信用风险特征的其他应收款组合的实际损失率为基础，结合现时情况分析法确</w:t>
      </w:r>
    </w:p>
    <w:p>
      <w:pPr>
        <w:pStyle w:val="BodyText"/>
        <w:spacing w:line="360" w:lineRule="auto" w:before="76"/>
        <w:ind w:left="153" w:right="6251"/>
        <w:jc w:val="left"/>
      </w:pPr>
      <w:r>
        <w:rPr/>
        <w:t>定坏账准备计提的比例。 组合中，采用余额百分比法计提坏账准备的其他应收款：</w:t>
      </w:r>
    </w:p>
    <w:p>
      <w:pPr>
        <w:pStyle w:val="BodyText"/>
        <w:spacing w:line="338" w:lineRule="auto" w:before="27"/>
        <w:ind w:right="66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rFonts w:ascii="Times New Roman" w:hAnsi="Times New Roman" w:cs="Times New Roman" w:eastAsia="Times New Roman" w:hint="default"/>
        </w:rPr>
        <w:t>2)</w:t>
      </w:r>
      <w:r>
        <w:rPr/>
        <w:t>本期计提、收回或转回的坏账准备情况</w:t>
      </w:r>
    </w:p>
    <w:p>
      <w:pPr>
        <w:spacing w:after="0" w:line="240" w:lineRule="auto"/>
        <w:jc w:val="left"/>
        <w:sectPr>
          <w:type w:val="continuous"/>
          <w:pgSz w:w="11910" w:h="16840"/>
          <w:pgMar w:top="1060" w:bottom="1180" w:left="980" w:right="0"/>
        </w:sectPr>
      </w:pPr>
    </w:p>
    <w:p>
      <w:pPr>
        <w:spacing w:line="240" w:lineRule="auto" w:before="1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0" w:footer="982" w:top="1100" w:bottom="1180" w:left="980" w:right="0"/>
        </w:sectPr>
      </w:pPr>
    </w:p>
    <w:p>
      <w:pPr>
        <w:pStyle w:val="BodyText"/>
        <w:spacing w:line="345" w:lineRule="auto" w:before="44"/>
        <w:ind w:right="-16"/>
        <w:jc w:val="left"/>
      </w:pPr>
      <w:r>
        <w:rPr/>
        <w:t>本期计提坏账准备金额</w:t>
      </w:r>
      <w:r>
        <w:rPr>
          <w:rFonts w:ascii="Times New Roman" w:hAnsi="Times New Roman" w:cs="Times New Roman" w:eastAsia="Times New Roman" w:hint="default"/>
        </w:rPr>
        <w:t>-147.50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其中本期坏账准备转回或收回金额重要的：无 </w:t>
      </w:r>
      <w:r>
        <w:rPr>
          <w:rFonts w:ascii="Times New Roman" w:hAnsi="Times New Roman" w:cs="Times New Roman" w:eastAsia="Times New Roman" w:hint="default"/>
        </w:rPr>
        <w:t>3)</w:t>
      </w:r>
      <w:r>
        <w:rPr/>
        <w:t>本期实际核销的其他应收款情况：无 其中重要的其他应收款核销情况：无</w:t>
      </w:r>
    </w:p>
    <w:p>
      <w:pPr>
        <w:pStyle w:val="BodyText"/>
        <w:spacing w:line="240" w:lineRule="auto" w:before="37"/>
        <w:ind w:right="-16"/>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6"/>
        <w:ind w:left="153" w:right="0"/>
        <w:jc w:val="left"/>
      </w:pPr>
      <w:r>
        <w:rPr/>
        <w:t>单位： 元</w:t>
      </w:r>
    </w:p>
    <w:p>
      <w:pPr>
        <w:spacing w:after="0" w:line="240" w:lineRule="auto"/>
        <w:jc w:val="left"/>
        <w:sectPr>
          <w:type w:val="continuous"/>
          <w:pgSz w:w="11910" w:h="16840"/>
          <w:pgMar w:top="1060" w:bottom="1180" w:left="980" w:right="0"/>
          <w:cols w:num="2" w:equalWidth="0">
            <w:col w:w="6018" w:space="2811"/>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267,592,702.60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239,384,068.37</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65,100,000.00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6,852.30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3,867.30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5,005,304.00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287,625,054.90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309,493,439.67</w:t>
            </w:r>
          </w:p>
        </w:tc>
      </w:tr>
    </w:tbl>
    <w:p>
      <w:pPr>
        <w:pStyle w:val="BodyText"/>
        <w:spacing w:line="240" w:lineRule="auto" w:before="51"/>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523"/>
        <w:gridCol w:w="773"/>
        <w:gridCol w:w="1276"/>
        <w:gridCol w:w="3850"/>
        <w:gridCol w:w="1536"/>
        <w:gridCol w:w="737"/>
      </w:tblGrid>
      <w:tr>
        <w:trPr>
          <w:trHeight w:val="1026"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9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7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01" w:right="109" w:hanging="90"/>
              <w:jc w:val="left"/>
              <w:rPr>
                <w:rFonts w:ascii="宋体" w:hAnsi="宋体" w:cs="宋体" w:eastAsia="宋体" w:hint="default"/>
                <w:sz w:val="18"/>
                <w:szCs w:val="18"/>
              </w:rPr>
            </w:pPr>
            <w:r>
              <w:rPr>
                <w:rFonts w:ascii="宋体" w:hAnsi="宋体" w:cs="宋体" w:eastAsia="宋体" w:hint="default"/>
                <w:sz w:val="18"/>
                <w:szCs w:val="18"/>
              </w:rPr>
              <w:t>款项的 性质</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2" w:right="42"/>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3" w:right="91"/>
              <w:jc w:val="both"/>
              <w:rPr>
                <w:rFonts w:ascii="宋体" w:hAnsi="宋体" w:cs="宋体" w:eastAsia="宋体" w:hint="default"/>
                <w:sz w:val="18"/>
                <w:szCs w:val="18"/>
              </w:rPr>
            </w:pPr>
            <w:r>
              <w:rPr>
                <w:rFonts w:ascii="宋体" w:hAnsi="宋体" w:cs="宋体" w:eastAsia="宋体" w:hint="default"/>
                <w:sz w:val="18"/>
                <w:szCs w:val="18"/>
              </w:rPr>
              <w:t>坏账准 备期末 余额</w:t>
            </w:r>
          </w:p>
        </w:tc>
      </w:tr>
      <w:tr>
        <w:trPr>
          <w:trHeight w:val="1026" w:hRule="exact"/>
        </w:trPr>
        <w:tc>
          <w:tcPr>
            <w:tcW w:w="15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48"/>
              <w:jc w:val="left"/>
              <w:rPr>
                <w:rFonts w:ascii="宋体" w:hAnsi="宋体" w:cs="宋体" w:eastAsia="宋体" w:hint="default"/>
                <w:sz w:val="18"/>
                <w:szCs w:val="18"/>
              </w:rPr>
            </w:pPr>
            <w:r>
              <w:rPr>
                <w:rFonts w:ascii="宋体" w:hAnsi="宋体" w:cs="宋体" w:eastAsia="宋体" w:hint="default"/>
                <w:sz w:val="18"/>
                <w:szCs w:val="18"/>
              </w:rPr>
              <w:t>杭州网络传媒有限 公司</w:t>
            </w:r>
          </w:p>
        </w:tc>
        <w:tc>
          <w:tcPr>
            <w:tcW w:w="7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94,792,695.63</w:t>
            </w:r>
          </w:p>
        </w:tc>
        <w:tc>
          <w:tcPr>
            <w:tcW w:w="38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w:t>
            </w:r>
            <w:r>
              <w:rPr>
                <w:rFonts w:ascii="Times New Roman" w:hAnsi="Times New Roman" w:cs="Times New Roman" w:eastAsia="Times New Roman" w:hint="default"/>
                <w:sz w:val="18"/>
                <w:szCs w:val="18"/>
              </w:rPr>
              <w:t>27,226,963.26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27,225,602.00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27,224,921.37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13,115,209.00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32.96%</w:t>
            </w: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48"/>
              <w:jc w:val="left"/>
              <w:rPr>
                <w:rFonts w:ascii="宋体" w:hAnsi="宋体" w:cs="宋体" w:eastAsia="宋体" w:hint="default"/>
                <w:sz w:val="18"/>
                <w:szCs w:val="18"/>
              </w:rPr>
            </w:pPr>
            <w:r>
              <w:rPr>
                <w:rFonts w:ascii="宋体" w:hAnsi="宋体" w:cs="宋体" w:eastAsia="宋体" w:hint="default"/>
                <w:sz w:val="18"/>
                <w:szCs w:val="18"/>
              </w:rPr>
              <w:t>宁波华杭投资有限 公司</w:t>
            </w:r>
          </w:p>
        </w:tc>
        <w:tc>
          <w:tcPr>
            <w:tcW w:w="7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38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20.86%</w:t>
            </w: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48"/>
              <w:jc w:val="left"/>
              <w:rPr>
                <w:rFonts w:ascii="宋体" w:hAnsi="宋体" w:cs="宋体" w:eastAsia="宋体" w:hint="default"/>
                <w:sz w:val="18"/>
                <w:szCs w:val="18"/>
              </w:rPr>
            </w:pPr>
            <w:r>
              <w:rPr>
                <w:rFonts w:ascii="宋体" w:hAnsi="宋体" w:cs="宋体" w:eastAsia="宋体" w:hint="default"/>
                <w:sz w:val="18"/>
                <w:szCs w:val="18"/>
              </w:rPr>
              <w:t>浙江华媒教育科技 有限公司</w:t>
            </w:r>
          </w:p>
        </w:tc>
        <w:tc>
          <w:tcPr>
            <w:tcW w:w="7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58,801,989.00</w:t>
            </w:r>
          </w:p>
        </w:tc>
        <w:tc>
          <w:tcPr>
            <w:tcW w:w="38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个月 </w:t>
            </w:r>
            <w:r>
              <w:rPr>
                <w:rFonts w:ascii="Times New Roman" w:hAnsi="Times New Roman" w:cs="Times New Roman" w:eastAsia="Times New Roman" w:hint="default"/>
                <w:sz w:val="18"/>
                <w:szCs w:val="18"/>
              </w:rPr>
              <w:t>3,000,699.00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7-12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个月 </w:t>
            </w:r>
            <w:r>
              <w:rPr>
                <w:rFonts w:ascii="Times New Roman" w:hAnsi="Times New Roman" w:cs="Times New Roman" w:eastAsia="Times New Roman" w:hint="default"/>
                <w:sz w:val="18"/>
                <w:szCs w:val="18"/>
              </w:rPr>
              <w:t>55,801,2</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20.44%</w:t>
            </w: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48"/>
              <w:jc w:val="left"/>
              <w:rPr>
                <w:rFonts w:ascii="宋体" w:hAnsi="宋体" w:cs="宋体" w:eastAsia="宋体" w:hint="default"/>
                <w:sz w:val="18"/>
                <w:szCs w:val="18"/>
              </w:rPr>
            </w:pPr>
            <w:r>
              <w:rPr>
                <w:rFonts w:ascii="宋体" w:hAnsi="宋体" w:cs="宋体" w:eastAsia="宋体" w:hint="default"/>
                <w:sz w:val="18"/>
                <w:szCs w:val="18"/>
              </w:rPr>
              <w:t>杭州日报报业集团 盛元印务有限公司</w:t>
            </w:r>
          </w:p>
        </w:tc>
        <w:tc>
          <w:tcPr>
            <w:tcW w:w="7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38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5,000,000.00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10.43%</w:t>
            </w: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48"/>
              <w:jc w:val="both"/>
              <w:rPr>
                <w:rFonts w:ascii="宋体" w:hAnsi="宋体" w:cs="宋体" w:eastAsia="宋体" w:hint="default"/>
                <w:sz w:val="18"/>
                <w:szCs w:val="18"/>
              </w:rPr>
            </w:pPr>
            <w:r>
              <w:rPr>
                <w:rFonts w:ascii="宋体" w:hAnsi="宋体" w:cs="宋体" w:eastAsia="宋体" w:hint="default"/>
                <w:sz w:val="18"/>
                <w:szCs w:val="18"/>
              </w:rPr>
              <w:t>杭州日报报业集团 每日送电子商务有 限公司</w:t>
            </w:r>
          </w:p>
        </w:tc>
        <w:tc>
          <w:tcPr>
            <w:tcW w:w="7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24,000,000.00</w:t>
            </w:r>
          </w:p>
        </w:tc>
        <w:tc>
          <w:tcPr>
            <w:tcW w:w="38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8,000,000.00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11,000,000.00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8.35%</w:t>
            </w: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267,594,684.63</w:t>
            </w:r>
          </w:p>
        </w:tc>
        <w:tc>
          <w:tcPr>
            <w:tcW w:w="3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93.04%</w:t>
            </w:r>
          </w:p>
        </w:tc>
        <w:tc>
          <w:tcPr>
            <w:tcW w:w="7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rFonts w:ascii="Times New Roman" w:hAnsi="Times New Roman" w:cs="Times New Roman" w:eastAsia="Times New Roman" w:hint="default"/>
        </w:rPr>
        <w:t>6)</w:t>
      </w:r>
      <w:r>
        <w:rPr/>
        <w:t>涉及政府补助的应收款项：无</w:t>
      </w:r>
    </w:p>
    <w:p>
      <w:pPr>
        <w:pStyle w:val="BodyText"/>
        <w:spacing w:line="240" w:lineRule="auto" w:before="102"/>
        <w:ind w:right="0"/>
        <w:jc w:val="left"/>
      </w:pPr>
      <w:r>
        <w:rPr>
          <w:rFonts w:ascii="Times New Roman" w:hAnsi="Times New Roman" w:cs="Times New Roman" w:eastAsia="Times New Roman" w:hint="default"/>
        </w:rPr>
        <w:t>7)</w:t>
      </w:r>
      <w:r>
        <w:rPr/>
        <w:t>因金融资产转移而终止确认的其他应收款：无</w:t>
      </w:r>
    </w:p>
    <w:p>
      <w:pPr>
        <w:pStyle w:val="BodyText"/>
        <w:spacing w:line="240" w:lineRule="auto" w:before="103"/>
        <w:ind w:left="153" w:right="0"/>
        <w:jc w:val="left"/>
      </w:pPr>
      <w:r>
        <w:rPr>
          <w:rFonts w:ascii="Times New Roman" w:hAnsi="Times New Roman" w:cs="Times New Roman" w:eastAsia="Times New Roman" w:hint="default"/>
        </w:rPr>
        <w:t>8)</w:t>
      </w:r>
      <w:r>
        <w:rPr/>
        <w:t>转移其他应收款且继续涉入形成的资产、负债金额：无</w:t>
      </w:r>
    </w:p>
    <w:p>
      <w:pPr>
        <w:spacing w:after="0" w:line="240" w:lineRule="auto"/>
        <w:jc w:val="left"/>
        <w:sectPr>
          <w:type w:val="continuous"/>
          <w:pgSz w:w="11910" w:h="16840"/>
          <w:pgMar w:top="1060" w:bottom="118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2062"/>
        <w:gridCol w:w="1471"/>
        <w:gridCol w:w="866"/>
        <w:gridCol w:w="1471"/>
        <w:gridCol w:w="1472"/>
        <w:gridCol w:w="866"/>
        <w:gridCol w:w="1472"/>
      </w:tblGrid>
      <w:tr>
        <w:trPr>
          <w:trHeight w:val="206" w:hRule="exact"/>
        </w:trPr>
        <w:tc>
          <w:tcPr>
            <w:tcW w:w="2062" w:type="dxa"/>
            <w:tcBorders>
              <w:top w:val="single" w:sz="4" w:space="0" w:color="000000"/>
              <w:left w:val="single" w:sz="4" w:space="0" w:color="000000"/>
              <w:bottom w:val="nil" w:sz="6" w:space="0" w:color="auto"/>
              <w:right w:val="single" w:sz="4" w:space="0" w:color="000000"/>
            </w:tcBorders>
            <w:shd w:val="clear" w:color="auto" w:fill="D3D3D3"/>
          </w:tcPr>
          <w:p>
            <w:pPr/>
          </w:p>
        </w:tc>
        <w:tc>
          <w:tcPr>
            <w:tcW w:w="3809"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1"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20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3809" w:type="dxa"/>
            <w:gridSpan w:val="3"/>
            <w:vMerge/>
            <w:tcBorders>
              <w:left w:val="single" w:sz="4" w:space="0" w:color="000000"/>
              <w:bottom w:val="single" w:sz="4" w:space="0" w:color="000000"/>
              <w:right w:val="single" w:sz="4" w:space="0" w:color="000000"/>
            </w:tcBorders>
            <w:shd w:val="clear" w:color="auto" w:fill="D3D3D3"/>
          </w:tcPr>
          <w:p>
            <w:pPr/>
          </w:p>
        </w:tc>
        <w:tc>
          <w:tcPr>
            <w:tcW w:w="3811" w:type="dxa"/>
            <w:gridSpan w:val="3"/>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2062" w:type="dxa"/>
            <w:vMerge/>
            <w:tcBorders>
              <w:left w:val="single" w:sz="4" w:space="0" w:color="000000"/>
              <w:bottom w:val="nil" w:sz="6" w:space="0" w:color="auto"/>
              <w:right w:val="single" w:sz="4" w:space="0" w:color="000000"/>
            </w:tcBorders>
            <w:shd w:val="clear" w:color="auto" w:fill="D3D3D3"/>
          </w:tcPr>
          <w:p>
            <w:pPr/>
          </w:p>
        </w:tc>
        <w:tc>
          <w:tcPr>
            <w:tcW w:w="147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6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6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7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7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7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2062" w:type="dxa"/>
            <w:tcBorders>
              <w:top w:val="nil" w:sz="6" w:space="0" w:color="auto"/>
              <w:left w:val="single" w:sz="4" w:space="0" w:color="000000"/>
              <w:bottom w:val="single" w:sz="4" w:space="0" w:color="000000"/>
              <w:right w:val="single" w:sz="4" w:space="0" w:color="000000"/>
            </w:tcBorders>
            <w:shd w:val="clear" w:color="auto" w:fill="D3D3D3"/>
          </w:tcPr>
          <w:p>
            <w:pPr/>
          </w:p>
        </w:tc>
        <w:tc>
          <w:tcPr>
            <w:tcW w:w="1471" w:type="dxa"/>
            <w:vMerge/>
            <w:tcBorders>
              <w:left w:val="single" w:sz="4" w:space="0" w:color="000000"/>
              <w:bottom w:val="single" w:sz="4" w:space="0" w:color="000000"/>
              <w:right w:val="single" w:sz="4" w:space="0" w:color="000000"/>
            </w:tcBorders>
            <w:shd w:val="clear" w:color="auto" w:fill="D3D3D3"/>
          </w:tcPr>
          <w:p>
            <w:pPr/>
          </w:p>
        </w:tc>
        <w:tc>
          <w:tcPr>
            <w:tcW w:w="866" w:type="dxa"/>
            <w:vMerge/>
            <w:tcBorders>
              <w:left w:val="single" w:sz="4" w:space="0" w:color="000000"/>
              <w:bottom w:val="single" w:sz="4" w:space="0" w:color="000000"/>
              <w:right w:val="single" w:sz="4" w:space="0" w:color="000000"/>
            </w:tcBorders>
            <w:shd w:val="clear" w:color="auto" w:fill="D3D3D3"/>
          </w:tcPr>
          <w:p>
            <w:pPr/>
          </w:p>
        </w:tc>
        <w:tc>
          <w:tcPr>
            <w:tcW w:w="1471" w:type="dxa"/>
            <w:vMerge/>
            <w:tcBorders>
              <w:left w:val="single" w:sz="4" w:space="0" w:color="000000"/>
              <w:bottom w:val="single" w:sz="4" w:space="0" w:color="000000"/>
              <w:right w:val="single" w:sz="4" w:space="0" w:color="000000"/>
            </w:tcBorders>
            <w:shd w:val="clear" w:color="auto" w:fill="D3D3D3"/>
          </w:tcPr>
          <w:p>
            <w:pPr/>
          </w:p>
        </w:tc>
        <w:tc>
          <w:tcPr>
            <w:tcW w:w="1472" w:type="dxa"/>
            <w:vMerge/>
            <w:tcBorders>
              <w:left w:val="single" w:sz="4" w:space="0" w:color="000000"/>
              <w:bottom w:val="single" w:sz="4" w:space="0" w:color="000000"/>
              <w:right w:val="single" w:sz="4" w:space="0" w:color="000000"/>
            </w:tcBorders>
            <w:shd w:val="clear" w:color="auto" w:fill="D3D3D3"/>
          </w:tcPr>
          <w:p>
            <w:pPr/>
          </w:p>
        </w:tc>
        <w:tc>
          <w:tcPr>
            <w:tcW w:w="866" w:type="dxa"/>
            <w:vMerge/>
            <w:tcBorders>
              <w:left w:val="single" w:sz="4" w:space="0" w:color="000000"/>
              <w:bottom w:val="single" w:sz="4" w:space="0" w:color="000000"/>
              <w:right w:val="single" w:sz="4" w:space="0" w:color="000000"/>
            </w:tcBorders>
            <w:shd w:val="clear" w:color="auto" w:fill="D3D3D3"/>
          </w:tcPr>
          <w:p>
            <w:pPr/>
          </w:p>
        </w:tc>
        <w:tc>
          <w:tcPr>
            <w:tcW w:w="147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47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2,745,505,500.00</w:t>
            </w:r>
          </w:p>
        </w:tc>
        <w:tc>
          <w:tcPr>
            <w:tcW w:w="866"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2,745,505,500.00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2,704,736,000.00</w:t>
            </w:r>
          </w:p>
        </w:tc>
        <w:tc>
          <w:tcPr>
            <w:tcW w:w="866"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2,704,736,000.00</w:t>
            </w:r>
          </w:p>
        </w:tc>
      </w:tr>
      <w:tr>
        <w:trPr>
          <w:trHeight w:val="402" w:hRule="exact"/>
        </w:trPr>
        <w:tc>
          <w:tcPr>
            <w:tcW w:w="2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147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187,309,451.62</w:t>
            </w:r>
          </w:p>
        </w:tc>
        <w:tc>
          <w:tcPr>
            <w:tcW w:w="866"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187,309,451.62</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135,625,875.12</w:t>
            </w:r>
          </w:p>
        </w:tc>
        <w:tc>
          <w:tcPr>
            <w:tcW w:w="866"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135,625,875.12</w:t>
            </w:r>
          </w:p>
        </w:tc>
      </w:tr>
      <w:tr>
        <w:trPr>
          <w:trHeight w:val="403" w:hRule="exact"/>
        </w:trPr>
        <w:tc>
          <w:tcPr>
            <w:tcW w:w="2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2,932,814,951.62</w:t>
            </w:r>
          </w:p>
        </w:tc>
        <w:tc>
          <w:tcPr>
            <w:tcW w:w="866"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2,932,814,951.62</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2,840,361,875.12</w:t>
            </w:r>
          </w:p>
        </w:tc>
        <w:tc>
          <w:tcPr>
            <w:tcW w:w="866"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2,840,361,875.12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2836"/>
        <w:gridCol w:w="1320"/>
        <w:gridCol w:w="1093"/>
        <w:gridCol w:w="662"/>
        <w:gridCol w:w="1320"/>
        <w:gridCol w:w="1231"/>
        <w:gridCol w:w="1231"/>
      </w:tblGrid>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3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6" w:right="54"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13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0" w:right="68" w:hanging="360"/>
              <w:jc w:val="left"/>
              <w:rPr>
                <w:rFonts w:ascii="宋体" w:hAnsi="宋体" w:cs="宋体" w:eastAsia="宋体" w:hint="default"/>
                <w:sz w:val="18"/>
                <w:szCs w:val="18"/>
              </w:rPr>
            </w:pPr>
            <w:r>
              <w:rPr>
                <w:rFonts w:ascii="宋体" w:hAnsi="宋体" w:cs="宋体" w:eastAsia="宋体" w:hint="default"/>
                <w:sz w:val="18"/>
                <w:szCs w:val="18"/>
              </w:rPr>
              <w:t>本期计提减值 准备</w:t>
            </w:r>
          </w:p>
        </w:tc>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29" w:right="71"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浙江都市快报控股有限公司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center"/>
              <w:rPr>
                <w:rFonts w:ascii="Times New Roman" w:hAnsi="Times New Roman" w:cs="Times New Roman" w:eastAsia="Times New Roman" w:hint="default"/>
                <w:sz w:val="18"/>
                <w:szCs w:val="18"/>
              </w:rPr>
            </w:pPr>
            <w:r>
              <w:rPr>
                <w:rFonts w:ascii="Times New Roman"/>
                <w:sz w:val="18"/>
              </w:rPr>
              <w:t>972,051,681.49</w:t>
            </w:r>
          </w:p>
        </w:tc>
        <w:tc>
          <w:tcPr>
            <w:tcW w:w="109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972,051,681.49</w:t>
            </w:r>
          </w:p>
        </w:tc>
        <w:tc>
          <w:tcPr>
            <w:tcW w:w="1231"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杭州网络传媒有限公司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9" w:right="0"/>
              <w:jc w:val="center"/>
              <w:rPr>
                <w:rFonts w:ascii="Times New Roman" w:hAnsi="Times New Roman" w:cs="Times New Roman" w:eastAsia="Times New Roman" w:hint="default"/>
                <w:sz w:val="18"/>
                <w:szCs w:val="18"/>
              </w:rPr>
            </w:pPr>
            <w:r>
              <w:rPr>
                <w:rFonts w:ascii="Times New Roman"/>
                <w:sz w:val="18"/>
              </w:rPr>
              <w:t>38,467,000.00</w:t>
            </w:r>
          </w:p>
        </w:tc>
        <w:tc>
          <w:tcPr>
            <w:tcW w:w="109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38,467,000.00</w:t>
            </w:r>
          </w:p>
        </w:tc>
        <w:tc>
          <w:tcPr>
            <w:tcW w:w="1231"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杭州日报传媒有限公司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center"/>
              <w:rPr>
                <w:rFonts w:ascii="Times New Roman" w:hAnsi="Times New Roman" w:cs="Times New Roman" w:eastAsia="Times New Roman" w:hint="default"/>
                <w:sz w:val="18"/>
                <w:szCs w:val="18"/>
              </w:rPr>
            </w:pPr>
            <w:r>
              <w:rPr>
                <w:rFonts w:ascii="Times New Roman"/>
                <w:sz w:val="18"/>
              </w:rPr>
              <w:t>415,813,905.56</w:t>
            </w:r>
          </w:p>
        </w:tc>
        <w:tc>
          <w:tcPr>
            <w:tcW w:w="109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415,813,905.56</w:t>
            </w:r>
          </w:p>
        </w:tc>
        <w:tc>
          <w:tcPr>
            <w:tcW w:w="1231"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杭州富阳日报传媒有限公司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9" w:right="0"/>
              <w:jc w:val="center"/>
              <w:rPr>
                <w:rFonts w:ascii="Times New Roman" w:hAnsi="Times New Roman" w:cs="Times New Roman" w:eastAsia="Times New Roman" w:hint="default"/>
                <w:sz w:val="18"/>
                <w:szCs w:val="18"/>
              </w:rPr>
            </w:pPr>
            <w:r>
              <w:rPr>
                <w:rFonts w:ascii="Times New Roman"/>
                <w:sz w:val="18"/>
              </w:rPr>
              <w:t>69,773,700.00</w:t>
            </w:r>
          </w:p>
        </w:tc>
        <w:tc>
          <w:tcPr>
            <w:tcW w:w="109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69,773,700.00</w:t>
            </w:r>
          </w:p>
        </w:tc>
        <w:tc>
          <w:tcPr>
            <w:tcW w:w="1231"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杭州萧山日报传媒有限公司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center"/>
              <w:rPr>
                <w:rFonts w:ascii="Times New Roman" w:hAnsi="Times New Roman" w:cs="Times New Roman" w:eastAsia="Times New Roman" w:hint="default"/>
                <w:sz w:val="18"/>
                <w:szCs w:val="18"/>
              </w:rPr>
            </w:pPr>
            <w:r>
              <w:rPr>
                <w:rFonts w:ascii="Times New Roman"/>
                <w:sz w:val="18"/>
              </w:rPr>
              <w:t>140,938,900.00</w:t>
            </w:r>
          </w:p>
        </w:tc>
        <w:tc>
          <w:tcPr>
            <w:tcW w:w="109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140,938,900.00</w:t>
            </w:r>
          </w:p>
        </w:tc>
        <w:tc>
          <w:tcPr>
            <w:tcW w:w="1231"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杭州每日传媒有限公司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9" w:right="0"/>
              <w:jc w:val="center"/>
              <w:rPr>
                <w:rFonts w:ascii="Times New Roman" w:hAnsi="Times New Roman" w:cs="Times New Roman" w:eastAsia="Times New Roman" w:hint="default"/>
                <w:sz w:val="18"/>
                <w:szCs w:val="18"/>
              </w:rPr>
            </w:pPr>
            <w:r>
              <w:rPr>
                <w:rFonts w:ascii="Times New Roman"/>
                <w:sz w:val="18"/>
              </w:rPr>
              <w:t>23,640,412.95</w:t>
            </w:r>
          </w:p>
        </w:tc>
        <w:tc>
          <w:tcPr>
            <w:tcW w:w="109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23,640,412.95</w:t>
            </w:r>
          </w:p>
        </w:tc>
        <w:tc>
          <w:tcPr>
            <w:tcW w:w="1231"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杭州日报报业集团盛元印务有限公 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9" w:right="0"/>
              <w:jc w:val="center"/>
              <w:rPr>
                <w:rFonts w:ascii="Times New Roman" w:hAnsi="Times New Roman" w:cs="Times New Roman" w:eastAsia="Times New Roman" w:hint="default"/>
                <w:sz w:val="18"/>
                <w:szCs w:val="18"/>
              </w:rPr>
            </w:pPr>
            <w:r>
              <w:rPr>
                <w:rFonts w:ascii="Times New Roman"/>
                <w:sz w:val="18"/>
              </w:rPr>
              <w:t>325,190,800.00</w:t>
            </w:r>
          </w:p>
        </w:tc>
        <w:tc>
          <w:tcPr>
            <w:tcW w:w="109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325,190,800.00</w:t>
            </w:r>
          </w:p>
        </w:tc>
        <w:tc>
          <w:tcPr>
            <w:tcW w:w="1231"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杭州余杭晨报传媒有限公司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9" w:right="0"/>
              <w:jc w:val="center"/>
              <w:rPr>
                <w:rFonts w:ascii="Times New Roman" w:hAnsi="Times New Roman" w:cs="Times New Roman" w:eastAsia="Times New Roman" w:hint="default"/>
                <w:sz w:val="18"/>
                <w:szCs w:val="18"/>
              </w:rPr>
            </w:pPr>
            <w:r>
              <w:rPr>
                <w:rFonts w:ascii="Times New Roman"/>
                <w:sz w:val="18"/>
              </w:rPr>
              <w:t>76,063,600.00</w:t>
            </w:r>
          </w:p>
        </w:tc>
        <w:tc>
          <w:tcPr>
            <w:tcW w:w="109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76,063,600.00</w:t>
            </w:r>
          </w:p>
        </w:tc>
        <w:tc>
          <w:tcPr>
            <w:tcW w:w="1231"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杭州都市周报传媒有限公司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5" w:right="0"/>
              <w:jc w:val="center"/>
              <w:rPr>
                <w:rFonts w:ascii="Times New Roman" w:hAnsi="Times New Roman" w:cs="Times New Roman" w:eastAsia="Times New Roman" w:hint="default"/>
                <w:sz w:val="18"/>
                <w:szCs w:val="18"/>
              </w:rPr>
            </w:pPr>
            <w:r>
              <w:rPr>
                <w:rFonts w:ascii="Times New Roman"/>
                <w:sz w:val="18"/>
              </w:rPr>
              <w:t>11,096,000.00</w:t>
            </w:r>
          </w:p>
        </w:tc>
        <w:tc>
          <w:tcPr>
            <w:tcW w:w="109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11,096,000.00</w:t>
            </w:r>
          </w:p>
        </w:tc>
        <w:tc>
          <w:tcPr>
            <w:tcW w:w="1231"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杭州华泰一媒文化传媒有限公司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9" w:right="0"/>
              <w:jc w:val="center"/>
              <w:rPr>
                <w:rFonts w:ascii="Times New Roman" w:hAnsi="Times New Roman" w:cs="Times New Roman" w:eastAsia="Times New Roman" w:hint="default"/>
                <w:sz w:val="18"/>
                <w:szCs w:val="18"/>
              </w:rPr>
            </w:pPr>
            <w:r>
              <w:rPr>
                <w:rFonts w:ascii="Times New Roman"/>
                <w:sz w:val="18"/>
              </w:rPr>
              <w:t>10,000,000.00</w:t>
            </w:r>
          </w:p>
        </w:tc>
        <w:tc>
          <w:tcPr>
            <w:tcW w:w="109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231"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浙江华媒信息传播有限公司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9" w:right="0"/>
              <w:jc w:val="center"/>
              <w:rPr>
                <w:rFonts w:ascii="Times New Roman" w:hAnsi="Times New Roman" w:cs="Times New Roman" w:eastAsia="Times New Roman" w:hint="default"/>
                <w:sz w:val="18"/>
                <w:szCs w:val="18"/>
              </w:rPr>
            </w:pPr>
            <w:r>
              <w:rPr>
                <w:rFonts w:ascii="Times New Roman"/>
                <w:sz w:val="18"/>
              </w:rPr>
              <w:t>35,700,000.00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24,769,500.00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60,469,500.00</w:t>
            </w:r>
          </w:p>
        </w:tc>
        <w:tc>
          <w:tcPr>
            <w:tcW w:w="1231"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浙江华媒投资有限公司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9" w:right="0"/>
              <w:jc w:val="center"/>
              <w:rPr>
                <w:rFonts w:ascii="Times New Roman" w:hAnsi="Times New Roman" w:cs="Times New Roman" w:eastAsia="Times New Roman" w:hint="default"/>
                <w:sz w:val="18"/>
                <w:szCs w:val="18"/>
              </w:rPr>
            </w:pPr>
            <w:r>
              <w:rPr>
                <w:rFonts w:ascii="Times New Roman"/>
                <w:sz w:val="18"/>
              </w:rPr>
              <w:t>30,000,000.00</w:t>
            </w:r>
          </w:p>
        </w:tc>
        <w:tc>
          <w:tcPr>
            <w:tcW w:w="109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231"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中教未来国际教育科技（北京）有 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9" w:right="0"/>
              <w:jc w:val="center"/>
              <w:rPr>
                <w:rFonts w:ascii="Times New Roman" w:hAnsi="Times New Roman" w:cs="Times New Roman" w:eastAsia="Times New Roman" w:hint="default"/>
                <w:sz w:val="18"/>
                <w:szCs w:val="18"/>
              </w:rPr>
            </w:pPr>
            <w:r>
              <w:rPr>
                <w:rFonts w:ascii="Times New Roman"/>
                <w:sz w:val="18"/>
              </w:rPr>
              <w:t>522,000,000.00</w:t>
            </w:r>
          </w:p>
        </w:tc>
        <w:tc>
          <w:tcPr>
            <w:tcW w:w="109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522,000,000.00</w:t>
            </w:r>
          </w:p>
        </w:tc>
        <w:tc>
          <w:tcPr>
            <w:tcW w:w="1231"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杭州日报报业集团每日送电子商务 有限公司</w:t>
            </w:r>
          </w:p>
        </w:tc>
        <w:tc>
          <w:tcPr>
            <w:tcW w:w="132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浙江华媒教育科技有限公司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9" w:right="0"/>
              <w:jc w:val="center"/>
              <w:rPr>
                <w:rFonts w:ascii="Times New Roman" w:hAnsi="Times New Roman" w:cs="Times New Roman" w:eastAsia="Times New Roman" w:hint="default"/>
                <w:sz w:val="18"/>
                <w:szCs w:val="18"/>
              </w:rPr>
            </w:pPr>
            <w:r>
              <w:rPr>
                <w:rFonts w:ascii="Times New Roman"/>
                <w:sz w:val="18"/>
              </w:rPr>
              <w:t>34,000,000.00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16,000,000.00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231"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2,704,736,000.00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40,769,500.00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2,745,505,500.00</w:t>
            </w:r>
          </w:p>
        </w:tc>
        <w:tc>
          <w:tcPr>
            <w:tcW w:w="1231"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00" w:bottom="1180" w:left="980" w:right="0"/>
        </w:sectPr>
      </w:pPr>
    </w:p>
    <w:p>
      <w:pPr>
        <w:spacing w:line="240" w:lineRule="auto" w:before="9"/>
        <w:rPr>
          <w:rFonts w:ascii="宋体" w:hAnsi="宋体" w:cs="宋体" w:eastAsia="宋体" w:hint="default"/>
          <w:sz w:val="20"/>
          <w:szCs w:val="20"/>
        </w:rPr>
      </w:pPr>
    </w:p>
    <w:p>
      <w:pPr>
        <w:pStyle w:val="Heading3"/>
        <w:spacing w:line="240" w:lineRule="auto" w:before="35"/>
        <w:ind w:left="554"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128"/>
        <w:gridCol w:w="1187"/>
        <w:gridCol w:w="1091"/>
        <w:gridCol w:w="431"/>
        <w:gridCol w:w="1231"/>
        <w:gridCol w:w="977"/>
        <w:gridCol w:w="584"/>
        <w:gridCol w:w="1182"/>
        <w:gridCol w:w="562"/>
        <w:gridCol w:w="268"/>
        <w:gridCol w:w="1181"/>
        <w:gridCol w:w="678"/>
      </w:tblGrid>
      <w:tr>
        <w:trPr>
          <w:trHeight w:val="244" w:hRule="exact"/>
        </w:trPr>
        <w:tc>
          <w:tcPr>
            <w:tcW w:w="11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118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25"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8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678" w:type="dxa"/>
            <w:vMerge w:val="restart"/>
            <w:tcBorders>
              <w:top w:val="single" w:sz="4" w:space="0" w:color="000000"/>
              <w:left w:val="single" w:sz="4" w:space="0" w:color="000000"/>
              <w:right w:val="single" w:sz="4" w:space="0" w:color="000000"/>
            </w:tcBorders>
            <w:shd w:val="clear" w:color="auto" w:fill="D3D3D3"/>
          </w:tcPr>
          <w:p>
            <w:pPr>
              <w:pStyle w:val="TableParagraph"/>
              <w:spacing w:line="237" w:lineRule="auto" w:before="93"/>
              <w:ind w:left="63" w:right="6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710" w:hRule="exact"/>
        </w:trPr>
        <w:tc>
          <w:tcPr>
            <w:tcW w:w="1128" w:type="dxa"/>
            <w:vMerge/>
            <w:tcBorders>
              <w:left w:val="single" w:sz="4" w:space="0" w:color="000000"/>
              <w:bottom w:val="single" w:sz="4" w:space="0" w:color="000000"/>
              <w:right w:val="single" w:sz="4" w:space="0" w:color="000000"/>
            </w:tcBorders>
            <w:shd w:val="clear" w:color="auto" w:fill="D3D3D3"/>
          </w:tcPr>
          <w:p>
            <w:pPr/>
          </w:p>
        </w:tc>
        <w:tc>
          <w:tcPr>
            <w:tcW w:w="1187" w:type="dxa"/>
            <w:vMerge/>
            <w:tcBorders>
              <w:left w:val="single" w:sz="4" w:space="0" w:color="000000"/>
              <w:bottom w:val="single" w:sz="4" w:space="0" w:color="000000"/>
              <w:right w:val="single" w:sz="4" w:space="0" w:color="000000"/>
            </w:tcBorders>
            <w:shd w:val="clear" w:color="auto" w:fill="D3D3D3"/>
          </w:tcPr>
          <w:p>
            <w:pP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4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before="111"/>
              <w:ind w:left="29" w:right="29"/>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before="111"/>
              <w:ind w:left="160" w:right="68" w:hanging="90"/>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before="111"/>
              <w:ind w:left="212" w:right="32" w:hanging="180"/>
              <w:jc w:val="left"/>
              <w:rPr>
                <w:rFonts w:ascii="宋体" w:hAnsi="宋体" w:cs="宋体" w:eastAsia="宋体" w:hint="default"/>
                <w:sz w:val="18"/>
                <w:szCs w:val="18"/>
              </w:rPr>
            </w:pPr>
            <w:r>
              <w:rPr>
                <w:rFonts w:ascii="宋体" w:hAnsi="宋体" w:cs="宋体" w:eastAsia="宋体" w:hint="default"/>
                <w:sz w:val="18"/>
                <w:szCs w:val="18"/>
              </w:rPr>
              <w:t>其他综合收 益调整</w:t>
            </w:r>
          </w:p>
        </w:tc>
        <w:tc>
          <w:tcPr>
            <w:tcW w:w="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4" w:lineRule="exact"/>
              <w:ind w:left="106" w:right="0"/>
              <w:jc w:val="left"/>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40" w:lineRule="auto"/>
              <w:ind w:left="106" w:right="107"/>
              <w:jc w:val="left"/>
              <w:rPr>
                <w:rFonts w:ascii="宋体" w:hAnsi="宋体" w:cs="宋体" w:eastAsia="宋体" w:hint="default"/>
                <w:sz w:val="18"/>
                <w:szCs w:val="18"/>
              </w:rPr>
            </w:pPr>
            <w:r>
              <w:rPr>
                <w:rFonts w:ascii="宋体" w:hAnsi="宋体" w:cs="宋体" w:eastAsia="宋体" w:hint="default"/>
                <w:sz w:val="18"/>
                <w:szCs w:val="18"/>
              </w:rPr>
              <w:t>权益 变动</w:t>
            </w:r>
          </w:p>
        </w:tc>
        <w:tc>
          <w:tcPr>
            <w:tcW w:w="1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before="111"/>
              <w:ind w:left="135" w:right="44" w:hanging="90"/>
              <w:jc w:val="left"/>
              <w:rPr>
                <w:rFonts w:ascii="宋体" w:hAnsi="宋体" w:cs="宋体" w:eastAsia="宋体" w:hint="default"/>
                <w:sz w:val="18"/>
                <w:szCs w:val="18"/>
              </w:rPr>
            </w:pPr>
            <w:r>
              <w:rPr>
                <w:rFonts w:ascii="宋体" w:hAnsi="宋体" w:cs="宋体" w:eastAsia="宋体" w:hint="default"/>
                <w:sz w:val="18"/>
                <w:szCs w:val="18"/>
              </w:rPr>
              <w:t>宣告发放现金 股利或利润</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4" w:lineRule="exact"/>
              <w:ind w:left="94"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40" w:lineRule="auto"/>
              <w:ind w:left="94" w:right="95"/>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before="111"/>
              <w:ind w:left="38" w:right="37"/>
              <w:jc w:val="left"/>
              <w:rPr>
                <w:rFonts w:ascii="宋体" w:hAnsi="宋体" w:cs="宋体" w:eastAsia="宋体" w:hint="default"/>
                <w:sz w:val="18"/>
                <w:szCs w:val="18"/>
              </w:rPr>
            </w:pPr>
            <w:r>
              <w:rPr>
                <w:rFonts w:ascii="宋体" w:hAnsi="宋体" w:cs="宋体" w:eastAsia="宋体" w:hint="default"/>
                <w:sz w:val="18"/>
                <w:szCs w:val="18"/>
              </w:rPr>
              <w:t>其 他</w:t>
            </w:r>
          </w:p>
        </w:tc>
        <w:tc>
          <w:tcPr>
            <w:tcW w:w="1181" w:type="dxa"/>
            <w:vMerge/>
            <w:tcBorders>
              <w:left w:val="single" w:sz="4" w:space="0" w:color="000000"/>
              <w:bottom w:val="single" w:sz="4" w:space="0" w:color="000000"/>
              <w:right w:val="single" w:sz="4" w:space="0" w:color="000000"/>
            </w:tcBorders>
            <w:shd w:val="clear" w:color="auto" w:fill="D3D3D3"/>
          </w:tcPr>
          <w:p>
            <w:pPr/>
          </w:p>
        </w:tc>
        <w:tc>
          <w:tcPr>
            <w:tcW w:w="678" w:type="dxa"/>
            <w:vMerge/>
            <w:tcBorders>
              <w:left w:val="single" w:sz="4" w:space="0" w:color="000000"/>
              <w:bottom w:val="single" w:sz="4" w:space="0" w:color="000000"/>
              <w:right w:val="single" w:sz="4" w:space="0" w:color="000000"/>
            </w:tcBorders>
            <w:shd w:val="clear" w:color="auto" w:fill="D3D3D3"/>
          </w:tcPr>
          <w:p>
            <w:pPr/>
          </w:p>
        </w:tc>
      </w:tr>
      <w:tr>
        <w:trPr>
          <w:trHeight w:val="243" w:hRule="exact"/>
        </w:trPr>
        <w:tc>
          <w:tcPr>
            <w:tcW w:w="10499"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244" w:hRule="exact"/>
        </w:trPr>
        <w:tc>
          <w:tcPr>
            <w:tcW w:w="10499"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237" w:hRule="exact"/>
        </w:trPr>
        <w:tc>
          <w:tcPr>
            <w:tcW w:w="112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杭州文化产</w:t>
            </w:r>
          </w:p>
        </w:tc>
        <w:tc>
          <w:tcPr>
            <w:tcW w:w="1187" w:type="dxa"/>
            <w:tcBorders>
              <w:top w:val="single" w:sz="4" w:space="0" w:color="000000"/>
              <w:left w:val="single" w:sz="13" w:space="0" w:color="C7EDCC"/>
              <w:bottom w:val="nil" w:sz="6" w:space="0" w:color="auto"/>
              <w:right w:val="single" w:sz="4" w:space="0" w:color="000000"/>
            </w:tcBorders>
          </w:tcPr>
          <w:p>
            <w:pPr/>
          </w:p>
        </w:tc>
        <w:tc>
          <w:tcPr>
            <w:tcW w:w="1091" w:type="dxa"/>
            <w:vMerge w:val="restart"/>
            <w:tcBorders>
              <w:top w:val="single" w:sz="4" w:space="0" w:color="000000"/>
              <w:left w:val="single" w:sz="4" w:space="0" w:color="000000"/>
              <w:right w:val="single" w:sz="4" w:space="0" w:color="000000"/>
            </w:tcBorders>
          </w:tcPr>
          <w:p>
            <w:pPr/>
          </w:p>
        </w:tc>
        <w:tc>
          <w:tcPr>
            <w:tcW w:w="431" w:type="dxa"/>
            <w:vMerge w:val="restart"/>
            <w:tcBorders>
              <w:top w:val="single" w:sz="4" w:space="0" w:color="000000"/>
              <w:left w:val="single" w:sz="4" w:space="0" w:color="000000"/>
              <w:right w:val="single" w:sz="4" w:space="0" w:color="000000"/>
            </w:tcBorders>
          </w:tcPr>
          <w:p>
            <w:pPr/>
          </w:p>
        </w:tc>
        <w:tc>
          <w:tcPr>
            <w:tcW w:w="1231" w:type="dxa"/>
            <w:tcBorders>
              <w:top w:val="single" w:sz="4" w:space="0" w:color="000000"/>
              <w:left w:val="single" w:sz="4" w:space="0" w:color="000000"/>
              <w:bottom w:val="nil" w:sz="6" w:space="0" w:color="auto"/>
              <w:right w:val="single" w:sz="4" w:space="0" w:color="000000"/>
            </w:tcBorders>
          </w:tcPr>
          <w:p>
            <w:pPr/>
          </w:p>
        </w:tc>
        <w:tc>
          <w:tcPr>
            <w:tcW w:w="977"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1182" w:type="dxa"/>
            <w:tcBorders>
              <w:top w:val="single" w:sz="4" w:space="0" w:color="000000"/>
              <w:left w:val="single" w:sz="4" w:space="0" w:color="000000"/>
              <w:bottom w:val="nil" w:sz="6" w:space="0" w:color="auto"/>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268" w:type="dxa"/>
            <w:vMerge w:val="restart"/>
            <w:tcBorders>
              <w:top w:val="single" w:sz="4" w:space="0" w:color="000000"/>
              <w:left w:val="single" w:sz="4" w:space="0" w:color="000000"/>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r>
      <w:tr>
        <w:trPr>
          <w:trHeight w:val="237" w:hRule="exact"/>
        </w:trPr>
        <w:tc>
          <w:tcPr>
            <w:tcW w:w="112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权交易所有</w:t>
            </w:r>
          </w:p>
        </w:tc>
        <w:tc>
          <w:tcPr>
            <w:tcW w:w="1187" w:type="dxa"/>
            <w:tcBorders>
              <w:top w:val="nil" w:sz="6" w:space="0" w:color="auto"/>
              <w:left w:val="single" w:sz="13" w:space="0" w:color="C7EDCC"/>
              <w:bottom w:val="nil" w:sz="6" w:space="0" w:color="auto"/>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22,227,395.87</w:t>
            </w:r>
          </w:p>
        </w:tc>
        <w:tc>
          <w:tcPr>
            <w:tcW w:w="1091" w:type="dxa"/>
            <w:vMerge/>
            <w:tcBorders>
              <w:left w:val="single" w:sz="4" w:space="0" w:color="000000"/>
              <w:right w:val="single" w:sz="4" w:space="0" w:color="000000"/>
            </w:tcBorders>
          </w:tcPr>
          <w:p>
            <w:pPr/>
          </w:p>
        </w:tc>
        <w:tc>
          <w:tcPr>
            <w:tcW w:w="431" w:type="dxa"/>
            <w:vMerge/>
            <w:tcBorders>
              <w:left w:val="single" w:sz="4" w:space="0" w:color="000000"/>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z w:val="18"/>
              </w:rPr>
              <w:t>128,058.66</w:t>
            </w:r>
          </w:p>
        </w:tc>
        <w:tc>
          <w:tcPr>
            <w:tcW w:w="977"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11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18"/>
                <w:szCs w:val="18"/>
              </w:rPr>
            </w:pPr>
            <w:r>
              <w:rPr>
                <w:rFonts w:ascii="Times New Roman"/>
                <w:sz w:val="18"/>
              </w:rPr>
              <w:t>800,000.00</w:t>
            </w:r>
          </w:p>
        </w:tc>
        <w:tc>
          <w:tcPr>
            <w:tcW w:w="562" w:type="dxa"/>
            <w:vMerge/>
            <w:tcBorders>
              <w:left w:val="single" w:sz="4" w:space="0" w:color="000000"/>
              <w:right w:val="single" w:sz="4" w:space="0" w:color="000000"/>
            </w:tcBorders>
          </w:tcPr>
          <w:p>
            <w:pPr/>
          </w:p>
        </w:tc>
        <w:tc>
          <w:tcPr>
            <w:tcW w:w="268" w:type="dxa"/>
            <w:vMerge/>
            <w:tcBorders>
              <w:left w:val="single" w:sz="4" w:space="0" w:color="000000"/>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21,555,454.53</w:t>
            </w:r>
          </w:p>
        </w:tc>
        <w:tc>
          <w:tcPr>
            <w:tcW w:w="678" w:type="dxa"/>
            <w:vMerge/>
            <w:tcBorders>
              <w:left w:val="single" w:sz="4" w:space="0" w:color="000000"/>
              <w:right w:val="single" w:sz="4" w:space="0" w:color="000000"/>
            </w:tcBorders>
          </w:tcPr>
          <w:p>
            <w:pPr/>
          </w:p>
        </w:tc>
      </w:tr>
      <w:tr>
        <w:trPr>
          <w:trHeight w:val="237" w:hRule="exact"/>
        </w:trPr>
        <w:tc>
          <w:tcPr>
            <w:tcW w:w="112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03" w:lineRule="exact"/>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87" w:type="dxa"/>
            <w:tcBorders>
              <w:top w:val="nil" w:sz="6" w:space="0" w:color="auto"/>
              <w:left w:val="single" w:sz="13" w:space="0" w:color="C7EDCC"/>
              <w:bottom w:val="single" w:sz="4" w:space="0" w:color="000000"/>
              <w:right w:val="single" w:sz="4" w:space="0" w:color="000000"/>
            </w:tcBorders>
          </w:tcPr>
          <w:p>
            <w:pPr/>
          </w:p>
        </w:tc>
        <w:tc>
          <w:tcPr>
            <w:tcW w:w="1091" w:type="dxa"/>
            <w:vMerge/>
            <w:tcBorders>
              <w:left w:val="single" w:sz="4" w:space="0" w:color="000000"/>
              <w:bottom w:val="single" w:sz="4" w:space="0" w:color="000000"/>
              <w:right w:val="single" w:sz="4" w:space="0" w:color="000000"/>
            </w:tcBorders>
          </w:tcPr>
          <w:p>
            <w:pPr/>
          </w:p>
        </w:tc>
        <w:tc>
          <w:tcPr>
            <w:tcW w:w="431" w:type="dxa"/>
            <w:vMerge/>
            <w:tcBorders>
              <w:left w:val="single" w:sz="4" w:space="0" w:color="000000"/>
              <w:bottom w:val="single" w:sz="4" w:space="0" w:color="000000"/>
              <w:right w:val="single" w:sz="4" w:space="0" w:color="000000"/>
            </w:tcBorders>
          </w:tcPr>
          <w:p>
            <w:pPr/>
          </w:p>
        </w:tc>
        <w:tc>
          <w:tcPr>
            <w:tcW w:w="1231" w:type="dxa"/>
            <w:tcBorders>
              <w:top w:val="nil" w:sz="6" w:space="0" w:color="auto"/>
              <w:left w:val="single" w:sz="4" w:space="0" w:color="000000"/>
              <w:bottom w:val="single" w:sz="4" w:space="0" w:color="000000"/>
              <w:right w:val="single" w:sz="4" w:space="0" w:color="000000"/>
            </w:tcBorders>
          </w:tcPr>
          <w:p>
            <w:pPr/>
          </w:p>
        </w:tc>
        <w:tc>
          <w:tcPr>
            <w:tcW w:w="977"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1182" w:type="dxa"/>
            <w:tcBorders>
              <w:top w:val="nil" w:sz="6" w:space="0" w:color="auto"/>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268" w:type="dxa"/>
            <w:vMerge/>
            <w:tcBorders>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r>
      <w:tr>
        <w:trPr>
          <w:trHeight w:val="237" w:hRule="exact"/>
        </w:trPr>
        <w:tc>
          <w:tcPr>
            <w:tcW w:w="112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十九楼网络</w:t>
            </w:r>
          </w:p>
        </w:tc>
        <w:tc>
          <w:tcPr>
            <w:tcW w:w="1187" w:type="dxa"/>
            <w:tcBorders>
              <w:top w:val="single" w:sz="4" w:space="0" w:color="000000"/>
              <w:left w:val="single" w:sz="13" w:space="0" w:color="C7EDCC"/>
              <w:bottom w:val="nil" w:sz="6" w:space="0" w:color="auto"/>
              <w:right w:val="single" w:sz="4" w:space="0" w:color="000000"/>
            </w:tcBorders>
          </w:tcPr>
          <w:p>
            <w:pPr/>
          </w:p>
        </w:tc>
        <w:tc>
          <w:tcPr>
            <w:tcW w:w="1091" w:type="dxa"/>
            <w:vMerge w:val="restart"/>
            <w:tcBorders>
              <w:top w:val="single" w:sz="4" w:space="0" w:color="000000"/>
              <w:left w:val="single" w:sz="4" w:space="0" w:color="000000"/>
              <w:right w:val="single" w:sz="4" w:space="0" w:color="000000"/>
            </w:tcBorders>
          </w:tcPr>
          <w:p>
            <w:pPr/>
          </w:p>
        </w:tc>
        <w:tc>
          <w:tcPr>
            <w:tcW w:w="431" w:type="dxa"/>
            <w:vMerge w:val="restart"/>
            <w:tcBorders>
              <w:top w:val="single" w:sz="4" w:space="0" w:color="000000"/>
              <w:left w:val="single" w:sz="4" w:space="0" w:color="000000"/>
              <w:right w:val="single" w:sz="4" w:space="0" w:color="000000"/>
            </w:tcBorders>
          </w:tcPr>
          <w:p>
            <w:pPr/>
          </w:p>
        </w:tc>
        <w:tc>
          <w:tcPr>
            <w:tcW w:w="1231" w:type="dxa"/>
            <w:tcBorders>
              <w:top w:val="single" w:sz="4" w:space="0" w:color="000000"/>
              <w:left w:val="single" w:sz="4" w:space="0" w:color="000000"/>
              <w:bottom w:val="nil" w:sz="6" w:space="0" w:color="auto"/>
              <w:right w:val="single" w:sz="4" w:space="0" w:color="000000"/>
            </w:tcBorders>
          </w:tcPr>
          <w:p>
            <w:pPr/>
          </w:p>
        </w:tc>
        <w:tc>
          <w:tcPr>
            <w:tcW w:w="977"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1182"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268" w:type="dxa"/>
            <w:vMerge w:val="restart"/>
            <w:tcBorders>
              <w:top w:val="single" w:sz="4" w:space="0" w:color="000000"/>
              <w:left w:val="single" w:sz="4" w:space="0" w:color="000000"/>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r>
      <w:tr>
        <w:trPr>
          <w:trHeight w:val="237" w:hRule="exact"/>
        </w:trPr>
        <w:tc>
          <w:tcPr>
            <w:tcW w:w="112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股份有限公</w:t>
            </w:r>
          </w:p>
        </w:tc>
        <w:tc>
          <w:tcPr>
            <w:tcW w:w="1187" w:type="dxa"/>
            <w:tcBorders>
              <w:top w:val="nil" w:sz="6" w:space="0" w:color="auto"/>
              <w:left w:val="single" w:sz="13" w:space="0" w:color="C7EDCC"/>
              <w:bottom w:val="nil" w:sz="6" w:space="0" w:color="auto"/>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79,432,695.48</w:t>
            </w:r>
          </w:p>
        </w:tc>
        <w:tc>
          <w:tcPr>
            <w:tcW w:w="1091" w:type="dxa"/>
            <w:vMerge/>
            <w:tcBorders>
              <w:left w:val="single" w:sz="4" w:space="0" w:color="000000"/>
              <w:right w:val="single" w:sz="4" w:space="0" w:color="000000"/>
            </w:tcBorders>
          </w:tcPr>
          <w:p>
            <w:pPr/>
          </w:p>
        </w:tc>
        <w:tc>
          <w:tcPr>
            <w:tcW w:w="431" w:type="dxa"/>
            <w:vMerge/>
            <w:tcBorders>
              <w:left w:val="single" w:sz="4" w:space="0" w:color="000000"/>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-1,067,721.81</w:t>
            </w:r>
          </w:p>
        </w:tc>
        <w:tc>
          <w:tcPr>
            <w:tcW w:w="977"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118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268" w:type="dxa"/>
            <w:vMerge/>
            <w:tcBorders>
              <w:left w:val="single" w:sz="4" w:space="0" w:color="000000"/>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78,364,973.67</w:t>
            </w:r>
          </w:p>
        </w:tc>
        <w:tc>
          <w:tcPr>
            <w:tcW w:w="678" w:type="dxa"/>
            <w:vMerge/>
            <w:tcBorders>
              <w:left w:val="single" w:sz="4" w:space="0" w:color="000000"/>
              <w:right w:val="single" w:sz="4" w:space="0" w:color="000000"/>
            </w:tcBorders>
          </w:tcPr>
          <w:p>
            <w:pPr/>
          </w:p>
        </w:tc>
      </w:tr>
      <w:tr>
        <w:trPr>
          <w:trHeight w:val="237" w:hRule="exact"/>
        </w:trPr>
        <w:tc>
          <w:tcPr>
            <w:tcW w:w="112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03" w:lineRule="exact"/>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87" w:type="dxa"/>
            <w:tcBorders>
              <w:top w:val="nil" w:sz="6" w:space="0" w:color="auto"/>
              <w:left w:val="single" w:sz="13" w:space="0" w:color="C7EDCC"/>
              <w:bottom w:val="single" w:sz="4" w:space="0" w:color="000000"/>
              <w:right w:val="single" w:sz="4" w:space="0" w:color="000000"/>
            </w:tcBorders>
          </w:tcPr>
          <w:p>
            <w:pPr/>
          </w:p>
        </w:tc>
        <w:tc>
          <w:tcPr>
            <w:tcW w:w="1091" w:type="dxa"/>
            <w:vMerge/>
            <w:tcBorders>
              <w:left w:val="single" w:sz="4" w:space="0" w:color="000000"/>
              <w:bottom w:val="single" w:sz="4" w:space="0" w:color="000000"/>
              <w:right w:val="single" w:sz="4" w:space="0" w:color="000000"/>
            </w:tcBorders>
          </w:tcPr>
          <w:p>
            <w:pPr/>
          </w:p>
        </w:tc>
        <w:tc>
          <w:tcPr>
            <w:tcW w:w="431" w:type="dxa"/>
            <w:vMerge/>
            <w:tcBorders>
              <w:left w:val="single" w:sz="4" w:space="0" w:color="000000"/>
              <w:bottom w:val="single" w:sz="4" w:space="0" w:color="000000"/>
              <w:right w:val="single" w:sz="4" w:space="0" w:color="000000"/>
            </w:tcBorders>
          </w:tcPr>
          <w:p>
            <w:pPr/>
          </w:p>
        </w:tc>
        <w:tc>
          <w:tcPr>
            <w:tcW w:w="1231" w:type="dxa"/>
            <w:tcBorders>
              <w:top w:val="nil" w:sz="6" w:space="0" w:color="auto"/>
              <w:left w:val="single" w:sz="4" w:space="0" w:color="000000"/>
              <w:bottom w:val="single" w:sz="4" w:space="0" w:color="000000"/>
              <w:right w:val="single" w:sz="4" w:space="0" w:color="000000"/>
            </w:tcBorders>
          </w:tcPr>
          <w:p>
            <w:pPr/>
          </w:p>
        </w:tc>
        <w:tc>
          <w:tcPr>
            <w:tcW w:w="977"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1182"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268" w:type="dxa"/>
            <w:vMerge/>
            <w:tcBorders>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r>
      <w:tr>
        <w:trPr>
          <w:trHeight w:val="237" w:hRule="exact"/>
        </w:trPr>
        <w:tc>
          <w:tcPr>
            <w:tcW w:w="112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杭州华媒科</w:t>
            </w:r>
          </w:p>
        </w:tc>
        <w:tc>
          <w:tcPr>
            <w:tcW w:w="1187" w:type="dxa"/>
            <w:tcBorders>
              <w:top w:val="single" w:sz="4" w:space="0" w:color="000000"/>
              <w:left w:val="single" w:sz="13" w:space="0" w:color="C7EDCC"/>
              <w:bottom w:val="nil" w:sz="6" w:space="0" w:color="auto"/>
              <w:right w:val="single" w:sz="4" w:space="0" w:color="000000"/>
            </w:tcBorders>
          </w:tcPr>
          <w:p>
            <w:pPr/>
          </w:p>
        </w:tc>
        <w:tc>
          <w:tcPr>
            <w:tcW w:w="1091" w:type="dxa"/>
            <w:vMerge w:val="restart"/>
            <w:tcBorders>
              <w:top w:val="single" w:sz="4" w:space="0" w:color="000000"/>
              <w:left w:val="single" w:sz="4" w:space="0" w:color="000000"/>
              <w:right w:val="single" w:sz="4" w:space="0" w:color="000000"/>
            </w:tcBorders>
          </w:tcPr>
          <w:p>
            <w:pPr/>
          </w:p>
        </w:tc>
        <w:tc>
          <w:tcPr>
            <w:tcW w:w="431" w:type="dxa"/>
            <w:vMerge w:val="restart"/>
            <w:tcBorders>
              <w:top w:val="single" w:sz="4" w:space="0" w:color="000000"/>
              <w:left w:val="single" w:sz="4" w:space="0" w:color="000000"/>
              <w:right w:val="single" w:sz="4" w:space="0" w:color="000000"/>
            </w:tcBorders>
          </w:tcPr>
          <w:p>
            <w:pPr/>
          </w:p>
        </w:tc>
        <w:tc>
          <w:tcPr>
            <w:tcW w:w="1231" w:type="dxa"/>
            <w:tcBorders>
              <w:top w:val="single" w:sz="4" w:space="0" w:color="000000"/>
              <w:left w:val="single" w:sz="4" w:space="0" w:color="000000"/>
              <w:bottom w:val="nil" w:sz="6" w:space="0" w:color="auto"/>
              <w:right w:val="single" w:sz="4" w:space="0" w:color="000000"/>
            </w:tcBorders>
          </w:tcPr>
          <w:p>
            <w:pPr/>
          </w:p>
        </w:tc>
        <w:tc>
          <w:tcPr>
            <w:tcW w:w="977"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1182"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268" w:type="dxa"/>
            <w:vMerge w:val="restart"/>
            <w:tcBorders>
              <w:top w:val="single" w:sz="4" w:space="0" w:color="000000"/>
              <w:left w:val="single" w:sz="4" w:space="0" w:color="000000"/>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r>
      <w:tr>
        <w:trPr>
          <w:trHeight w:val="237" w:hRule="exact"/>
        </w:trPr>
        <w:tc>
          <w:tcPr>
            <w:tcW w:w="112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创园区管理</w:t>
            </w:r>
          </w:p>
        </w:tc>
        <w:tc>
          <w:tcPr>
            <w:tcW w:w="1187" w:type="dxa"/>
            <w:tcBorders>
              <w:top w:val="nil" w:sz="6" w:space="0" w:color="auto"/>
              <w:left w:val="single" w:sz="13" w:space="0" w:color="C7EDCC"/>
              <w:bottom w:val="nil" w:sz="6" w:space="0" w:color="auto"/>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3,155,953.21</w:t>
            </w:r>
          </w:p>
        </w:tc>
        <w:tc>
          <w:tcPr>
            <w:tcW w:w="1091" w:type="dxa"/>
            <w:vMerge/>
            <w:tcBorders>
              <w:left w:val="single" w:sz="4" w:space="0" w:color="000000"/>
              <w:right w:val="single" w:sz="4" w:space="0" w:color="000000"/>
            </w:tcBorders>
          </w:tcPr>
          <w:p>
            <w:pPr/>
          </w:p>
        </w:tc>
        <w:tc>
          <w:tcPr>
            <w:tcW w:w="431" w:type="dxa"/>
            <w:vMerge/>
            <w:tcBorders>
              <w:left w:val="single" w:sz="4" w:space="0" w:color="000000"/>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z w:val="18"/>
              </w:rPr>
              <w:t>448,308.67</w:t>
            </w:r>
          </w:p>
        </w:tc>
        <w:tc>
          <w:tcPr>
            <w:tcW w:w="977"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118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268" w:type="dxa"/>
            <w:vMerge/>
            <w:tcBorders>
              <w:left w:val="single" w:sz="4" w:space="0" w:color="000000"/>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3,604,261.88</w:t>
            </w:r>
          </w:p>
        </w:tc>
        <w:tc>
          <w:tcPr>
            <w:tcW w:w="678" w:type="dxa"/>
            <w:vMerge/>
            <w:tcBorders>
              <w:left w:val="single" w:sz="4" w:space="0" w:color="000000"/>
              <w:right w:val="single" w:sz="4" w:space="0" w:color="000000"/>
            </w:tcBorders>
          </w:tcPr>
          <w:p>
            <w:pPr/>
          </w:p>
        </w:tc>
      </w:tr>
      <w:tr>
        <w:trPr>
          <w:trHeight w:val="237" w:hRule="exact"/>
        </w:trPr>
        <w:tc>
          <w:tcPr>
            <w:tcW w:w="112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03" w:lineRule="exact"/>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87" w:type="dxa"/>
            <w:tcBorders>
              <w:top w:val="nil" w:sz="6" w:space="0" w:color="auto"/>
              <w:left w:val="single" w:sz="13" w:space="0" w:color="C7EDCC"/>
              <w:bottom w:val="single" w:sz="4" w:space="0" w:color="000000"/>
              <w:right w:val="single" w:sz="4" w:space="0" w:color="000000"/>
            </w:tcBorders>
          </w:tcPr>
          <w:p>
            <w:pPr/>
          </w:p>
        </w:tc>
        <w:tc>
          <w:tcPr>
            <w:tcW w:w="1091" w:type="dxa"/>
            <w:vMerge/>
            <w:tcBorders>
              <w:left w:val="single" w:sz="4" w:space="0" w:color="000000"/>
              <w:bottom w:val="single" w:sz="4" w:space="0" w:color="000000"/>
              <w:right w:val="single" w:sz="4" w:space="0" w:color="000000"/>
            </w:tcBorders>
          </w:tcPr>
          <w:p>
            <w:pPr/>
          </w:p>
        </w:tc>
        <w:tc>
          <w:tcPr>
            <w:tcW w:w="431" w:type="dxa"/>
            <w:vMerge/>
            <w:tcBorders>
              <w:left w:val="single" w:sz="4" w:space="0" w:color="000000"/>
              <w:bottom w:val="single" w:sz="4" w:space="0" w:color="000000"/>
              <w:right w:val="single" w:sz="4" w:space="0" w:color="000000"/>
            </w:tcBorders>
          </w:tcPr>
          <w:p>
            <w:pPr/>
          </w:p>
        </w:tc>
        <w:tc>
          <w:tcPr>
            <w:tcW w:w="1231" w:type="dxa"/>
            <w:tcBorders>
              <w:top w:val="nil" w:sz="6" w:space="0" w:color="auto"/>
              <w:left w:val="single" w:sz="4" w:space="0" w:color="000000"/>
              <w:bottom w:val="single" w:sz="4" w:space="0" w:color="000000"/>
              <w:right w:val="single" w:sz="4" w:space="0" w:color="000000"/>
            </w:tcBorders>
          </w:tcPr>
          <w:p>
            <w:pPr/>
          </w:p>
        </w:tc>
        <w:tc>
          <w:tcPr>
            <w:tcW w:w="977"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1182"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268" w:type="dxa"/>
            <w:vMerge/>
            <w:tcBorders>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r>
      <w:tr>
        <w:trPr>
          <w:trHeight w:val="237" w:hRule="exact"/>
        </w:trPr>
        <w:tc>
          <w:tcPr>
            <w:tcW w:w="112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杭州华媒泽</w:t>
            </w:r>
          </w:p>
        </w:tc>
        <w:tc>
          <w:tcPr>
            <w:tcW w:w="1187" w:type="dxa"/>
            <w:tcBorders>
              <w:top w:val="single" w:sz="4" w:space="0" w:color="000000"/>
              <w:left w:val="single" w:sz="13" w:space="0" w:color="C7EDCC"/>
              <w:bottom w:val="nil" w:sz="6" w:space="0" w:color="auto"/>
              <w:right w:val="single" w:sz="4" w:space="0" w:color="000000"/>
            </w:tcBorders>
          </w:tcPr>
          <w:p>
            <w:pPr/>
          </w:p>
        </w:tc>
        <w:tc>
          <w:tcPr>
            <w:tcW w:w="1091" w:type="dxa"/>
            <w:vMerge w:val="restart"/>
            <w:tcBorders>
              <w:top w:val="single" w:sz="4" w:space="0" w:color="000000"/>
              <w:left w:val="single" w:sz="4" w:space="0" w:color="000000"/>
              <w:right w:val="single" w:sz="4" w:space="0" w:color="000000"/>
            </w:tcBorders>
          </w:tcPr>
          <w:p>
            <w:pPr/>
          </w:p>
        </w:tc>
        <w:tc>
          <w:tcPr>
            <w:tcW w:w="431" w:type="dxa"/>
            <w:vMerge w:val="restart"/>
            <w:tcBorders>
              <w:top w:val="single" w:sz="4" w:space="0" w:color="000000"/>
              <w:left w:val="single" w:sz="4" w:space="0" w:color="000000"/>
              <w:right w:val="single" w:sz="4" w:space="0" w:color="000000"/>
            </w:tcBorders>
          </w:tcPr>
          <w:p>
            <w:pPr/>
          </w:p>
        </w:tc>
        <w:tc>
          <w:tcPr>
            <w:tcW w:w="1231" w:type="dxa"/>
            <w:tcBorders>
              <w:top w:val="single" w:sz="4" w:space="0" w:color="000000"/>
              <w:left w:val="single" w:sz="4" w:space="0" w:color="000000"/>
              <w:bottom w:val="nil" w:sz="6" w:space="0" w:color="auto"/>
              <w:right w:val="single" w:sz="4" w:space="0" w:color="000000"/>
            </w:tcBorders>
          </w:tcPr>
          <w:p>
            <w:pPr/>
          </w:p>
        </w:tc>
        <w:tc>
          <w:tcPr>
            <w:tcW w:w="977" w:type="dxa"/>
            <w:tcBorders>
              <w:top w:val="single" w:sz="4" w:space="0" w:color="000000"/>
              <w:left w:val="single" w:sz="4" w:space="0" w:color="000000"/>
              <w:bottom w:val="nil" w:sz="6" w:space="0" w:color="auto"/>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1182"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268" w:type="dxa"/>
            <w:vMerge w:val="restart"/>
            <w:tcBorders>
              <w:top w:val="single" w:sz="4" w:space="0" w:color="000000"/>
              <w:left w:val="single" w:sz="4" w:space="0" w:color="000000"/>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r>
      <w:tr>
        <w:trPr>
          <w:trHeight w:val="237" w:hRule="exact"/>
        </w:trPr>
        <w:tc>
          <w:tcPr>
            <w:tcW w:w="112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商创业投资</w:t>
            </w:r>
          </w:p>
        </w:tc>
        <w:tc>
          <w:tcPr>
            <w:tcW w:w="1187" w:type="dxa"/>
            <w:tcBorders>
              <w:top w:val="nil" w:sz="6" w:space="0" w:color="auto"/>
              <w:left w:val="single" w:sz="13" w:space="0" w:color="C7EDCC"/>
              <w:bottom w:val="nil" w:sz="6" w:space="0" w:color="auto"/>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30,809,830.56</w:t>
            </w:r>
          </w:p>
        </w:tc>
        <w:tc>
          <w:tcPr>
            <w:tcW w:w="1091" w:type="dxa"/>
            <w:vMerge/>
            <w:tcBorders>
              <w:left w:val="single" w:sz="4" w:space="0" w:color="000000"/>
              <w:right w:val="single" w:sz="4" w:space="0" w:color="000000"/>
            </w:tcBorders>
          </w:tcPr>
          <w:p>
            <w:pPr/>
          </w:p>
        </w:tc>
        <w:tc>
          <w:tcPr>
            <w:tcW w:w="431" w:type="dxa"/>
            <w:vMerge/>
            <w:tcBorders>
              <w:left w:val="single" w:sz="4" w:space="0" w:color="000000"/>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-171,913.11</w:t>
            </w:r>
          </w:p>
        </w:tc>
        <w:tc>
          <w:tcPr>
            <w:tcW w:w="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18"/>
                <w:szCs w:val="18"/>
              </w:rPr>
            </w:pPr>
            <w:r>
              <w:rPr>
                <w:rFonts w:ascii="Times New Roman"/>
                <w:sz w:val="18"/>
              </w:rPr>
              <w:t>132,213.68</w:t>
            </w:r>
          </w:p>
        </w:tc>
        <w:tc>
          <w:tcPr>
            <w:tcW w:w="584" w:type="dxa"/>
            <w:vMerge/>
            <w:tcBorders>
              <w:left w:val="single" w:sz="4" w:space="0" w:color="000000"/>
              <w:right w:val="single" w:sz="4" w:space="0" w:color="000000"/>
            </w:tcBorders>
          </w:tcPr>
          <w:p>
            <w:pPr/>
          </w:p>
        </w:tc>
        <w:tc>
          <w:tcPr>
            <w:tcW w:w="118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268" w:type="dxa"/>
            <w:vMerge/>
            <w:tcBorders>
              <w:left w:val="single" w:sz="4" w:space="0" w:color="000000"/>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30,770,131.13</w:t>
            </w:r>
          </w:p>
        </w:tc>
        <w:tc>
          <w:tcPr>
            <w:tcW w:w="678" w:type="dxa"/>
            <w:vMerge/>
            <w:tcBorders>
              <w:left w:val="single" w:sz="4" w:space="0" w:color="000000"/>
              <w:right w:val="single" w:sz="4" w:space="0" w:color="000000"/>
            </w:tcBorders>
          </w:tcPr>
          <w:p>
            <w:pPr/>
          </w:p>
        </w:tc>
      </w:tr>
      <w:tr>
        <w:trPr>
          <w:trHeight w:val="237" w:hRule="exact"/>
        </w:trPr>
        <w:tc>
          <w:tcPr>
            <w:tcW w:w="112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03" w:lineRule="exact"/>
              <w:ind w:left="22" w:right="0"/>
              <w:jc w:val="left"/>
              <w:rPr>
                <w:rFonts w:ascii="宋体" w:hAnsi="宋体" w:cs="宋体" w:eastAsia="宋体" w:hint="default"/>
                <w:sz w:val="18"/>
                <w:szCs w:val="18"/>
              </w:rPr>
            </w:pPr>
            <w:r>
              <w:rPr>
                <w:rFonts w:ascii="宋体" w:hAnsi="宋体" w:cs="宋体" w:eastAsia="宋体" w:hint="default"/>
                <w:sz w:val="18"/>
                <w:szCs w:val="18"/>
              </w:rPr>
              <w:t>合伙企业</w:t>
            </w:r>
          </w:p>
        </w:tc>
        <w:tc>
          <w:tcPr>
            <w:tcW w:w="1187" w:type="dxa"/>
            <w:tcBorders>
              <w:top w:val="nil" w:sz="6" w:space="0" w:color="auto"/>
              <w:left w:val="single" w:sz="13" w:space="0" w:color="C7EDCC"/>
              <w:bottom w:val="single" w:sz="4" w:space="0" w:color="000000"/>
              <w:right w:val="single" w:sz="4" w:space="0" w:color="000000"/>
            </w:tcBorders>
          </w:tcPr>
          <w:p>
            <w:pPr/>
          </w:p>
        </w:tc>
        <w:tc>
          <w:tcPr>
            <w:tcW w:w="1091" w:type="dxa"/>
            <w:vMerge/>
            <w:tcBorders>
              <w:left w:val="single" w:sz="4" w:space="0" w:color="000000"/>
              <w:bottom w:val="single" w:sz="4" w:space="0" w:color="000000"/>
              <w:right w:val="single" w:sz="4" w:space="0" w:color="000000"/>
            </w:tcBorders>
          </w:tcPr>
          <w:p>
            <w:pPr/>
          </w:p>
        </w:tc>
        <w:tc>
          <w:tcPr>
            <w:tcW w:w="431" w:type="dxa"/>
            <w:vMerge/>
            <w:tcBorders>
              <w:left w:val="single" w:sz="4" w:space="0" w:color="000000"/>
              <w:bottom w:val="single" w:sz="4" w:space="0" w:color="000000"/>
              <w:right w:val="single" w:sz="4" w:space="0" w:color="000000"/>
            </w:tcBorders>
          </w:tcPr>
          <w:p>
            <w:pPr/>
          </w:p>
        </w:tc>
        <w:tc>
          <w:tcPr>
            <w:tcW w:w="1231" w:type="dxa"/>
            <w:tcBorders>
              <w:top w:val="nil" w:sz="6" w:space="0" w:color="auto"/>
              <w:left w:val="single" w:sz="4" w:space="0" w:color="000000"/>
              <w:bottom w:val="single" w:sz="4" w:space="0" w:color="000000"/>
              <w:right w:val="single" w:sz="4" w:space="0" w:color="000000"/>
            </w:tcBorders>
          </w:tcPr>
          <w:p>
            <w:pPr/>
          </w:p>
        </w:tc>
        <w:tc>
          <w:tcPr>
            <w:tcW w:w="977" w:type="dxa"/>
            <w:tcBorders>
              <w:top w:val="nil" w:sz="6" w:space="0" w:color="auto"/>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1182"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268" w:type="dxa"/>
            <w:vMerge/>
            <w:tcBorders>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r>
      <w:tr>
        <w:trPr>
          <w:trHeight w:val="237" w:hRule="exact"/>
        </w:trPr>
        <w:tc>
          <w:tcPr>
            <w:tcW w:w="112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杭州火鸟区</w:t>
            </w:r>
          </w:p>
        </w:tc>
        <w:tc>
          <w:tcPr>
            <w:tcW w:w="1187" w:type="dxa"/>
            <w:vMerge w:val="restart"/>
            <w:tcBorders>
              <w:top w:val="single" w:sz="4" w:space="0" w:color="000000"/>
              <w:left w:val="single" w:sz="13" w:space="0" w:color="C7EDCC"/>
              <w:right w:val="single" w:sz="4" w:space="0" w:color="000000"/>
            </w:tcBorders>
          </w:tcPr>
          <w:p>
            <w:pPr/>
          </w:p>
        </w:tc>
        <w:tc>
          <w:tcPr>
            <w:tcW w:w="1091" w:type="dxa"/>
            <w:tcBorders>
              <w:top w:val="single" w:sz="4" w:space="0" w:color="000000"/>
              <w:left w:val="single" w:sz="4" w:space="0" w:color="000000"/>
              <w:bottom w:val="nil" w:sz="6" w:space="0" w:color="auto"/>
              <w:right w:val="single" w:sz="4" w:space="0" w:color="000000"/>
            </w:tcBorders>
          </w:tcPr>
          <w:p>
            <w:pPr/>
          </w:p>
        </w:tc>
        <w:tc>
          <w:tcPr>
            <w:tcW w:w="431" w:type="dxa"/>
            <w:vMerge w:val="restart"/>
            <w:tcBorders>
              <w:top w:val="single" w:sz="4" w:space="0" w:color="000000"/>
              <w:left w:val="single" w:sz="4" w:space="0" w:color="000000"/>
              <w:right w:val="single" w:sz="4" w:space="0" w:color="000000"/>
            </w:tcBorders>
          </w:tcPr>
          <w:p>
            <w:pPr/>
          </w:p>
        </w:tc>
        <w:tc>
          <w:tcPr>
            <w:tcW w:w="1231" w:type="dxa"/>
            <w:tcBorders>
              <w:top w:val="single" w:sz="4" w:space="0" w:color="000000"/>
              <w:left w:val="single" w:sz="4" w:space="0" w:color="000000"/>
              <w:bottom w:val="nil" w:sz="6" w:space="0" w:color="auto"/>
              <w:right w:val="single" w:sz="4" w:space="0" w:color="000000"/>
            </w:tcBorders>
          </w:tcPr>
          <w:p>
            <w:pPr/>
          </w:p>
        </w:tc>
        <w:tc>
          <w:tcPr>
            <w:tcW w:w="977"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1182"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268" w:type="dxa"/>
            <w:vMerge w:val="restart"/>
            <w:tcBorders>
              <w:top w:val="single" w:sz="4" w:space="0" w:color="000000"/>
              <w:left w:val="single" w:sz="4" w:space="0" w:color="000000"/>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r>
      <w:tr>
        <w:trPr>
          <w:trHeight w:val="237" w:hRule="exact"/>
        </w:trPr>
        <w:tc>
          <w:tcPr>
            <w:tcW w:w="112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块链有限公</w:t>
            </w:r>
          </w:p>
        </w:tc>
        <w:tc>
          <w:tcPr>
            <w:tcW w:w="1187" w:type="dxa"/>
            <w:vMerge/>
            <w:tcBorders>
              <w:left w:val="single" w:sz="13" w:space="0" w:color="C7EDCC"/>
              <w:right w:val="single" w:sz="4" w:space="0" w:color="000000"/>
            </w:tcBorders>
          </w:tcPr>
          <w:p>
            <w:pPr/>
          </w:p>
        </w:tc>
        <w:tc>
          <w:tcPr>
            <w:tcW w:w="10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2" w:right="0"/>
              <w:jc w:val="center"/>
              <w:rPr>
                <w:rFonts w:ascii="Times New Roman" w:hAnsi="Times New Roman" w:cs="Times New Roman" w:eastAsia="Times New Roman" w:hint="default"/>
                <w:sz w:val="18"/>
                <w:szCs w:val="18"/>
              </w:rPr>
            </w:pPr>
            <w:r>
              <w:rPr>
                <w:rFonts w:ascii="Times New Roman"/>
                <w:sz w:val="18"/>
              </w:rPr>
              <w:t>3,500,000.00</w:t>
            </w:r>
          </w:p>
        </w:tc>
        <w:tc>
          <w:tcPr>
            <w:tcW w:w="431" w:type="dxa"/>
            <w:vMerge/>
            <w:tcBorders>
              <w:left w:val="single" w:sz="4" w:space="0" w:color="000000"/>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z w:val="18"/>
              </w:rPr>
              <w:t>6,706.32</w:t>
            </w:r>
          </w:p>
        </w:tc>
        <w:tc>
          <w:tcPr>
            <w:tcW w:w="977"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118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268" w:type="dxa"/>
            <w:vMerge/>
            <w:tcBorders>
              <w:left w:val="single" w:sz="4" w:space="0" w:color="000000"/>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3,506,706.32</w:t>
            </w:r>
          </w:p>
        </w:tc>
        <w:tc>
          <w:tcPr>
            <w:tcW w:w="678" w:type="dxa"/>
            <w:vMerge/>
            <w:tcBorders>
              <w:left w:val="single" w:sz="4" w:space="0" w:color="000000"/>
              <w:right w:val="single" w:sz="4" w:space="0" w:color="000000"/>
            </w:tcBorders>
          </w:tcPr>
          <w:p>
            <w:pPr/>
          </w:p>
        </w:tc>
      </w:tr>
      <w:tr>
        <w:trPr>
          <w:trHeight w:val="237" w:hRule="exact"/>
        </w:trPr>
        <w:tc>
          <w:tcPr>
            <w:tcW w:w="112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03" w:lineRule="exact"/>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87" w:type="dxa"/>
            <w:vMerge/>
            <w:tcBorders>
              <w:left w:val="single" w:sz="13" w:space="0" w:color="C7EDCC"/>
              <w:bottom w:val="single" w:sz="4" w:space="0" w:color="000000"/>
              <w:right w:val="single" w:sz="4" w:space="0" w:color="000000"/>
            </w:tcBorders>
          </w:tcPr>
          <w:p>
            <w:pPr/>
          </w:p>
        </w:tc>
        <w:tc>
          <w:tcPr>
            <w:tcW w:w="1091" w:type="dxa"/>
            <w:tcBorders>
              <w:top w:val="nil" w:sz="6" w:space="0" w:color="auto"/>
              <w:left w:val="single" w:sz="4" w:space="0" w:color="000000"/>
              <w:bottom w:val="single" w:sz="4" w:space="0" w:color="000000"/>
              <w:right w:val="single" w:sz="4" w:space="0" w:color="000000"/>
            </w:tcBorders>
          </w:tcPr>
          <w:p>
            <w:pPr/>
          </w:p>
        </w:tc>
        <w:tc>
          <w:tcPr>
            <w:tcW w:w="431" w:type="dxa"/>
            <w:vMerge/>
            <w:tcBorders>
              <w:left w:val="single" w:sz="4" w:space="0" w:color="000000"/>
              <w:bottom w:val="single" w:sz="4" w:space="0" w:color="000000"/>
              <w:right w:val="single" w:sz="4" w:space="0" w:color="000000"/>
            </w:tcBorders>
          </w:tcPr>
          <w:p>
            <w:pPr/>
          </w:p>
        </w:tc>
        <w:tc>
          <w:tcPr>
            <w:tcW w:w="1231" w:type="dxa"/>
            <w:tcBorders>
              <w:top w:val="nil" w:sz="6" w:space="0" w:color="auto"/>
              <w:left w:val="single" w:sz="4" w:space="0" w:color="000000"/>
              <w:bottom w:val="single" w:sz="4" w:space="0" w:color="000000"/>
              <w:right w:val="single" w:sz="4" w:space="0" w:color="000000"/>
            </w:tcBorders>
          </w:tcPr>
          <w:p>
            <w:pPr/>
          </w:p>
        </w:tc>
        <w:tc>
          <w:tcPr>
            <w:tcW w:w="977"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1182"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268" w:type="dxa"/>
            <w:vMerge/>
            <w:tcBorders>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r>
      <w:tr>
        <w:trPr>
          <w:trHeight w:val="237" w:hRule="exact"/>
        </w:trPr>
        <w:tc>
          <w:tcPr>
            <w:tcW w:w="112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杭州杭实华</w:t>
            </w:r>
          </w:p>
        </w:tc>
        <w:tc>
          <w:tcPr>
            <w:tcW w:w="1187" w:type="dxa"/>
            <w:vMerge w:val="restart"/>
            <w:tcBorders>
              <w:top w:val="single" w:sz="4" w:space="0" w:color="000000"/>
              <w:left w:val="single" w:sz="13" w:space="0" w:color="C7EDCC"/>
              <w:right w:val="single" w:sz="4" w:space="0" w:color="000000"/>
            </w:tcBorders>
          </w:tcPr>
          <w:p>
            <w:pPr/>
          </w:p>
        </w:tc>
        <w:tc>
          <w:tcPr>
            <w:tcW w:w="1091" w:type="dxa"/>
            <w:tcBorders>
              <w:top w:val="single" w:sz="4" w:space="0" w:color="000000"/>
              <w:left w:val="single" w:sz="4" w:space="0" w:color="000000"/>
              <w:bottom w:val="nil" w:sz="6" w:space="0" w:color="auto"/>
              <w:right w:val="single" w:sz="4" w:space="0" w:color="000000"/>
            </w:tcBorders>
          </w:tcPr>
          <w:p>
            <w:pPr/>
          </w:p>
        </w:tc>
        <w:tc>
          <w:tcPr>
            <w:tcW w:w="431" w:type="dxa"/>
            <w:vMerge w:val="restart"/>
            <w:tcBorders>
              <w:top w:val="single" w:sz="4" w:space="0" w:color="000000"/>
              <w:left w:val="single" w:sz="4" w:space="0" w:color="000000"/>
              <w:right w:val="single" w:sz="4" w:space="0" w:color="000000"/>
            </w:tcBorders>
          </w:tcPr>
          <w:p>
            <w:pPr/>
          </w:p>
        </w:tc>
        <w:tc>
          <w:tcPr>
            <w:tcW w:w="1231" w:type="dxa"/>
            <w:tcBorders>
              <w:top w:val="single" w:sz="4" w:space="0" w:color="000000"/>
              <w:left w:val="single" w:sz="4" w:space="0" w:color="000000"/>
              <w:bottom w:val="nil" w:sz="6" w:space="0" w:color="auto"/>
              <w:right w:val="single" w:sz="4" w:space="0" w:color="000000"/>
            </w:tcBorders>
          </w:tcPr>
          <w:p>
            <w:pPr/>
          </w:p>
        </w:tc>
        <w:tc>
          <w:tcPr>
            <w:tcW w:w="977"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1182" w:type="dxa"/>
            <w:tcBorders>
              <w:top w:val="single" w:sz="4" w:space="0" w:color="000000"/>
              <w:left w:val="single" w:sz="4" w:space="0" w:color="000000"/>
              <w:bottom w:val="nil" w:sz="6" w:space="0" w:color="auto"/>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268" w:type="dxa"/>
            <w:vMerge w:val="restart"/>
            <w:tcBorders>
              <w:top w:val="single" w:sz="4" w:space="0" w:color="000000"/>
              <w:left w:val="single" w:sz="4" w:space="0" w:color="000000"/>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r>
      <w:tr>
        <w:trPr>
          <w:trHeight w:val="467" w:hRule="exact"/>
        </w:trPr>
        <w:tc>
          <w:tcPr>
            <w:tcW w:w="112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媒投资管理</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合伙企业（有</w:t>
            </w:r>
          </w:p>
        </w:tc>
        <w:tc>
          <w:tcPr>
            <w:tcW w:w="1187" w:type="dxa"/>
            <w:vMerge/>
            <w:tcBorders>
              <w:left w:val="single" w:sz="13" w:space="0" w:color="C7EDCC"/>
              <w:right w:val="single" w:sz="4" w:space="0" w:color="000000"/>
            </w:tcBorders>
          </w:tcPr>
          <w:p>
            <w:pPr/>
          </w:p>
        </w:tc>
        <w:tc>
          <w:tcPr>
            <w:tcW w:w="1091"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49,500,000.00</w:t>
            </w:r>
          </w:p>
        </w:tc>
        <w:tc>
          <w:tcPr>
            <w:tcW w:w="431" w:type="dxa"/>
            <w:vMerge/>
            <w:tcBorders>
              <w:left w:val="single" w:sz="4" w:space="0" w:color="000000"/>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2,473,023.90</w:t>
            </w:r>
          </w:p>
        </w:tc>
        <w:tc>
          <w:tcPr>
            <w:tcW w:w="977"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1182"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2,465,099.81</w:t>
            </w:r>
          </w:p>
        </w:tc>
        <w:tc>
          <w:tcPr>
            <w:tcW w:w="562" w:type="dxa"/>
            <w:vMerge/>
            <w:tcBorders>
              <w:left w:val="single" w:sz="4" w:space="0" w:color="000000"/>
              <w:right w:val="single" w:sz="4" w:space="0" w:color="000000"/>
            </w:tcBorders>
          </w:tcPr>
          <w:p>
            <w:pPr/>
          </w:p>
        </w:tc>
        <w:tc>
          <w:tcPr>
            <w:tcW w:w="268" w:type="dxa"/>
            <w:vMerge/>
            <w:tcBorders>
              <w:left w:val="single" w:sz="4" w:space="0" w:color="000000"/>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49,507,924.09</w:t>
            </w:r>
          </w:p>
        </w:tc>
        <w:tc>
          <w:tcPr>
            <w:tcW w:w="678" w:type="dxa"/>
            <w:vMerge/>
            <w:tcBorders>
              <w:left w:val="single" w:sz="4" w:space="0" w:color="000000"/>
              <w:right w:val="single" w:sz="4" w:space="0" w:color="000000"/>
            </w:tcBorders>
          </w:tcPr>
          <w:p>
            <w:pPr/>
          </w:p>
        </w:tc>
      </w:tr>
      <w:tr>
        <w:trPr>
          <w:trHeight w:val="240" w:hRule="exact"/>
        </w:trPr>
        <w:tc>
          <w:tcPr>
            <w:tcW w:w="112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限合伙）</w:t>
            </w:r>
          </w:p>
        </w:tc>
        <w:tc>
          <w:tcPr>
            <w:tcW w:w="1187" w:type="dxa"/>
            <w:vMerge/>
            <w:tcBorders>
              <w:left w:val="single" w:sz="13" w:space="0" w:color="C7EDCC"/>
              <w:bottom w:val="single" w:sz="4" w:space="0" w:color="000000"/>
              <w:right w:val="single" w:sz="4" w:space="0" w:color="000000"/>
            </w:tcBorders>
          </w:tcPr>
          <w:p>
            <w:pPr/>
          </w:p>
        </w:tc>
        <w:tc>
          <w:tcPr>
            <w:tcW w:w="1091" w:type="dxa"/>
            <w:tcBorders>
              <w:top w:val="nil" w:sz="6" w:space="0" w:color="auto"/>
              <w:left w:val="single" w:sz="4" w:space="0" w:color="000000"/>
              <w:bottom w:val="single" w:sz="4" w:space="0" w:color="000000"/>
              <w:right w:val="single" w:sz="4" w:space="0" w:color="000000"/>
            </w:tcBorders>
          </w:tcPr>
          <w:p>
            <w:pPr/>
          </w:p>
        </w:tc>
        <w:tc>
          <w:tcPr>
            <w:tcW w:w="431" w:type="dxa"/>
            <w:vMerge/>
            <w:tcBorders>
              <w:left w:val="single" w:sz="4" w:space="0" w:color="000000"/>
              <w:bottom w:val="single" w:sz="4" w:space="0" w:color="000000"/>
              <w:right w:val="single" w:sz="4" w:space="0" w:color="000000"/>
            </w:tcBorders>
          </w:tcPr>
          <w:p>
            <w:pPr/>
          </w:p>
        </w:tc>
        <w:tc>
          <w:tcPr>
            <w:tcW w:w="1231" w:type="dxa"/>
            <w:tcBorders>
              <w:top w:val="nil" w:sz="6" w:space="0" w:color="auto"/>
              <w:left w:val="single" w:sz="4" w:space="0" w:color="000000"/>
              <w:bottom w:val="single" w:sz="4" w:space="0" w:color="000000"/>
              <w:right w:val="single" w:sz="4" w:space="0" w:color="000000"/>
            </w:tcBorders>
          </w:tcPr>
          <w:p>
            <w:pPr/>
          </w:p>
        </w:tc>
        <w:tc>
          <w:tcPr>
            <w:tcW w:w="977"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1182" w:type="dxa"/>
            <w:tcBorders>
              <w:top w:val="nil" w:sz="6" w:space="0" w:color="auto"/>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268" w:type="dxa"/>
            <w:vMerge/>
            <w:tcBorders>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r>
      <w:tr>
        <w:trPr>
          <w:trHeight w:val="244" w:hRule="exact"/>
        </w:trPr>
        <w:tc>
          <w:tcPr>
            <w:tcW w:w="11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135,625,875.12</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Times New Roman" w:hAnsi="Times New Roman" w:cs="Times New Roman" w:eastAsia="Times New Roman" w:hint="default"/>
                <w:sz w:val="18"/>
                <w:szCs w:val="18"/>
              </w:rPr>
            </w:pPr>
            <w:r>
              <w:rPr>
                <w:rFonts w:ascii="Times New Roman"/>
                <w:sz w:val="18"/>
              </w:rPr>
              <w:t>53,000,000.00</w:t>
            </w:r>
          </w:p>
        </w:tc>
        <w:tc>
          <w:tcPr>
            <w:tcW w:w="431"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1,816,462.63</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132,213.68</w:t>
            </w:r>
          </w:p>
        </w:tc>
        <w:tc>
          <w:tcPr>
            <w:tcW w:w="58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3,265,099.81</w:t>
            </w:r>
          </w:p>
        </w:tc>
        <w:tc>
          <w:tcPr>
            <w:tcW w:w="562" w:type="dxa"/>
            <w:tcBorders>
              <w:top w:val="single" w:sz="4" w:space="0" w:color="000000"/>
              <w:left w:val="single" w:sz="4" w:space="0" w:color="000000"/>
              <w:bottom w:val="single" w:sz="4" w:space="0" w:color="000000"/>
              <w:right w:val="single" w:sz="4" w:space="0" w:color="000000"/>
            </w:tcBorders>
          </w:tcPr>
          <w:p>
            <w:pPr/>
          </w:p>
        </w:tc>
        <w:tc>
          <w:tcPr>
            <w:tcW w:w="26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187,309,451.62</w:t>
            </w:r>
          </w:p>
        </w:tc>
        <w:tc>
          <w:tcPr>
            <w:tcW w:w="67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1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135,625,875.12</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Times New Roman" w:hAnsi="Times New Roman" w:cs="Times New Roman" w:eastAsia="Times New Roman" w:hint="default"/>
                <w:sz w:val="18"/>
                <w:szCs w:val="18"/>
              </w:rPr>
            </w:pPr>
            <w:r>
              <w:rPr>
                <w:rFonts w:ascii="Times New Roman"/>
                <w:sz w:val="18"/>
              </w:rPr>
              <w:t>53,000,000.00</w:t>
            </w:r>
          </w:p>
        </w:tc>
        <w:tc>
          <w:tcPr>
            <w:tcW w:w="431"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1,816,462.63</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132,213.68</w:t>
            </w:r>
          </w:p>
        </w:tc>
        <w:tc>
          <w:tcPr>
            <w:tcW w:w="58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3,265,099.81</w:t>
            </w:r>
          </w:p>
        </w:tc>
        <w:tc>
          <w:tcPr>
            <w:tcW w:w="562" w:type="dxa"/>
            <w:tcBorders>
              <w:top w:val="single" w:sz="4" w:space="0" w:color="000000"/>
              <w:left w:val="single" w:sz="4" w:space="0" w:color="000000"/>
              <w:bottom w:val="single" w:sz="4" w:space="0" w:color="000000"/>
              <w:right w:val="single" w:sz="4" w:space="0" w:color="000000"/>
            </w:tcBorders>
          </w:tcPr>
          <w:p>
            <w:pPr/>
          </w:p>
        </w:tc>
        <w:tc>
          <w:tcPr>
            <w:tcW w:w="26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187,309,451.62</w:t>
            </w:r>
          </w:p>
        </w:tc>
        <w:tc>
          <w:tcPr>
            <w:tcW w:w="6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554"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554"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549" w:type="dxa"/>
        <w:tblLayout w:type="fixed"/>
        <w:tblCellMar>
          <w:top w:w="0" w:type="dxa"/>
          <w:left w:w="0" w:type="dxa"/>
          <w:bottom w:w="0" w:type="dxa"/>
          <w:right w:w="0" w:type="dxa"/>
        </w:tblCellMar>
        <w:tblLook w:val="01E0"/>
      </w:tblPr>
      <w:tblGrid>
        <w:gridCol w:w="1994"/>
        <w:gridCol w:w="1838"/>
        <w:gridCol w:w="1913"/>
        <w:gridCol w:w="1913"/>
        <w:gridCol w:w="1913"/>
      </w:tblGrid>
      <w:tr>
        <w:trPr>
          <w:trHeight w:val="206" w:hRule="exact"/>
        </w:trPr>
        <w:tc>
          <w:tcPr>
            <w:tcW w:w="1994" w:type="dxa"/>
            <w:tcBorders>
              <w:top w:val="single" w:sz="4" w:space="0" w:color="000000"/>
              <w:left w:val="single" w:sz="4" w:space="0" w:color="000000"/>
              <w:bottom w:val="nil" w:sz="6" w:space="0" w:color="auto"/>
              <w:right w:val="single" w:sz="4" w:space="0" w:color="000000"/>
            </w:tcBorders>
            <w:shd w:val="clear" w:color="auto" w:fill="D3D3D3"/>
          </w:tcPr>
          <w:p>
            <w:pPr/>
          </w:p>
        </w:tc>
        <w:tc>
          <w:tcPr>
            <w:tcW w:w="375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9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1" w:type="dxa"/>
            <w:gridSpan w:val="2"/>
            <w:vMerge/>
            <w:tcBorders>
              <w:left w:val="single" w:sz="4" w:space="0" w:color="000000"/>
              <w:bottom w:val="single" w:sz="4" w:space="0" w:color="000000"/>
              <w:right w:val="single" w:sz="4" w:space="0" w:color="000000"/>
            </w:tcBorders>
            <w:shd w:val="clear" w:color="auto" w:fill="D3D3D3"/>
          </w:tcPr>
          <w:p>
            <w:pPr/>
          </w:p>
        </w:tc>
        <w:tc>
          <w:tcPr>
            <w:tcW w:w="3826"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1994" w:type="dxa"/>
            <w:vMerge/>
            <w:tcBorders>
              <w:left w:val="single" w:sz="4" w:space="0" w:color="000000"/>
              <w:bottom w:val="nil" w:sz="6" w:space="0" w:color="auto"/>
              <w:right w:val="single" w:sz="4" w:space="0" w:color="000000"/>
            </w:tcBorders>
            <w:shd w:val="clear" w:color="auto" w:fill="D3D3D3"/>
          </w:tcPr>
          <w:p>
            <w:pPr/>
          </w:p>
        </w:tc>
        <w:tc>
          <w:tcPr>
            <w:tcW w:w="18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838"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3,625,943.30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2,210,674.06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214,219.02</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5,836,617.36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214,219.02</w:t>
            </w: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554"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560" w:type="dxa"/>
        <w:tblLayout w:type="fixed"/>
        <w:tblCellMar>
          <w:top w:w="0" w:type="dxa"/>
          <w:left w:w="0" w:type="dxa"/>
          <w:bottom w:w="0" w:type="dxa"/>
          <w:right w:w="0" w:type="dxa"/>
        </w:tblCellMar>
        <w:tblLook w:val="01E0"/>
      </w:tblPr>
      <w:tblGrid>
        <w:gridCol w:w="3301"/>
        <w:gridCol w:w="3070"/>
        <w:gridCol w:w="3186"/>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1,816,462.63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6,073,944.23</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0" w:type="dxa"/>
            <w:tcBorders>
              <w:top w:val="single" w:sz="4" w:space="0" w:color="000000"/>
              <w:left w:val="single" w:sz="9" w:space="0" w:color="D3D3D3"/>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-3,074,948.54</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5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13"/>
        <w:gridCol w:w="3070"/>
        <w:gridCol w:w="3186"/>
      </w:tblGrid>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70"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2,166,884.71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3,983,347.34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2,998,995.69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left"/>
        <w:rPr>
          <w:b w:val="0"/>
          <w:bCs w:val="0"/>
        </w:rPr>
      </w:pP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1"/>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939"/>
        <w:gridCol w:w="2421"/>
        <w:gridCol w:w="2197"/>
      </w:tblGrid>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4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4,460,237.49</w:t>
            </w:r>
          </w:p>
        </w:tc>
        <w:tc>
          <w:tcPr>
            <w:tcW w:w="219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4"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56"/>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 一标准定额或定量享受的政府补助除外）</w:t>
            </w:r>
          </w:p>
        </w:tc>
        <w:tc>
          <w:tcPr>
            <w:tcW w:w="24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11,041,751.95</w:t>
            </w:r>
          </w:p>
        </w:tc>
        <w:tc>
          <w:tcPr>
            <w:tcW w:w="219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4"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56"/>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企业取得子公司、联营企业及合营企业的投资成本小于取得投 资时应享有被投资单位可辨认净资产公允价值产生的收益</w:t>
            </w:r>
          </w:p>
        </w:tc>
        <w:tc>
          <w:tcPr>
            <w:tcW w:w="24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14,350.80</w:t>
            </w:r>
          </w:p>
        </w:tc>
        <w:tc>
          <w:tcPr>
            <w:tcW w:w="219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24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9,249,014.47</w:t>
            </w:r>
          </w:p>
        </w:tc>
        <w:tc>
          <w:tcPr>
            <w:tcW w:w="219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1338"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56"/>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 性金融资产、交易性金融负债产生的公允价值变动损益，以及 处置交易性金融资产、交易性金融负债和可供出售金融资产取 得的投资收益</w:t>
            </w:r>
          </w:p>
        </w:tc>
        <w:tc>
          <w:tcPr>
            <w:tcW w:w="24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11,267.77</w:t>
            </w:r>
          </w:p>
        </w:tc>
        <w:tc>
          <w:tcPr>
            <w:tcW w:w="219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4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389,622.52</w:t>
            </w:r>
          </w:p>
        </w:tc>
        <w:tc>
          <w:tcPr>
            <w:tcW w:w="219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24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6,910,515.31</w:t>
            </w:r>
          </w:p>
        </w:tc>
        <w:tc>
          <w:tcPr>
            <w:tcW w:w="219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4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348,425.06</w:t>
            </w:r>
          </w:p>
        </w:tc>
        <w:tc>
          <w:tcPr>
            <w:tcW w:w="219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24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3,038,966.13</w:t>
            </w:r>
          </w:p>
        </w:tc>
        <w:tc>
          <w:tcPr>
            <w:tcW w:w="219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3"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21"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28,689,369.12</w:t>
            </w:r>
          </w:p>
        </w:tc>
        <w:tc>
          <w:tcPr>
            <w:tcW w:w="2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2" w:lineRule="auto" w:before="61"/>
        <w:ind w:right="111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0"/>
        <w:gridCol w:w="3080"/>
        <w:gridCol w:w="1913"/>
        <w:gridCol w:w="1901"/>
      </w:tblGrid>
      <w:tr>
        <w:trPr>
          <w:trHeight w:val="206" w:hRule="exact"/>
        </w:trPr>
        <w:tc>
          <w:tcPr>
            <w:tcW w:w="2650" w:type="dxa"/>
            <w:tcBorders>
              <w:top w:val="single" w:sz="4" w:space="0" w:color="000000"/>
              <w:left w:val="single" w:sz="4" w:space="0" w:color="000000"/>
              <w:bottom w:val="nil" w:sz="6" w:space="0" w:color="auto"/>
              <w:right w:val="single" w:sz="4" w:space="0" w:color="000000"/>
            </w:tcBorders>
            <w:shd w:val="clear" w:color="auto" w:fill="D3D3D3"/>
          </w:tcPr>
          <w:p>
            <w:pPr/>
          </w:p>
        </w:tc>
        <w:tc>
          <w:tcPr>
            <w:tcW w:w="3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381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6" w:hRule="exact"/>
        </w:trPr>
        <w:tc>
          <w:tcPr>
            <w:tcW w:w="265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14"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650" w:type="dxa"/>
            <w:vMerge/>
            <w:tcBorders>
              <w:left w:val="single" w:sz="4" w:space="0" w:color="000000"/>
              <w:bottom w:val="nil" w:sz="6" w:space="0" w:color="auto"/>
              <w:right w:val="single" w:sz="4" w:space="0" w:color="000000"/>
            </w:tcBorders>
            <w:shd w:val="clear" w:color="auto" w:fill="D3D3D3"/>
          </w:tcPr>
          <w:p>
            <w:pPr/>
          </w:p>
        </w:tc>
        <w:tc>
          <w:tcPr>
            <w:tcW w:w="3080" w:type="dxa"/>
            <w:vMerge/>
            <w:tcBorders>
              <w:left w:val="single" w:sz="4" w:space="0" w:color="000000"/>
              <w:bottom w:val="nil" w:sz="6" w:space="0" w:color="auto"/>
              <w:right w:val="single" w:sz="4" w:space="0" w:color="000000"/>
            </w:tcBorders>
            <w:shd w:val="clear" w:color="auto" w:fill="D3D3D3"/>
          </w:tcPr>
          <w:p>
            <w:pP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0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0" w:type="dxa"/>
            <w:tcBorders>
              <w:top w:val="nil" w:sz="6" w:space="0" w:color="auto"/>
              <w:left w:val="single" w:sz="4" w:space="0" w:color="000000"/>
              <w:bottom w:val="single" w:sz="4" w:space="0" w:color="000000"/>
              <w:right w:val="single" w:sz="4" w:space="0" w:color="000000"/>
            </w:tcBorders>
            <w:shd w:val="clear" w:color="auto" w:fill="D3D3D3"/>
          </w:tcPr>
          <w:p>
            <w:pPr/>
          </w:p>
        </w:tc>
        <w:tc>
          <w:tcPr>
            <w:tcW w:w="3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01"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0.10</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0.10</w:t>
            </w:r>
          </w:p>
        </w:tc>
      </w:tr>
      <w:tr>
        <w:trPr>
          <w:trHeight w:val="715"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0.08</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0.08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0"/>
        </w:sectPr>
      </w:pPr>
    </w:p>
    <w:p>
      <w:pPr>
        <w:spacing w:line="240" w:lineRule="auto" w:before="10"/>
        <w:rPr>
          <w:rFonts w:ascii="宋体" w:hAnsi="宋体" w:cs="宋体" w:eastAsia="宋体" w:hint="default"/>
          <w:b/>
          <w:bCs/>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59" w:lineRule="auto"/>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0" w:footer="982" w:top="1100" w:bottom="118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1"/>
        <w:spacing w:line="240" w:lineRule="auto"/>
        <w:ind w:left="3286" w:right="0"/>
        <w:jc w:val="left"/>
        <w:rPr>
          <w:b w:val="0"/>
          <w:bCs w:val="0"/>
        </w:rPr>
      </w:pPr>
      <w:bookmarkStart w:name="_TOC_250000" w:id="12"/>
      <w:r>
        <w:rPr/>
        <w:t>第十二节</w:t>
      </w:r>
      <w:r>
        <w:rPr>
          <w:spacing w:val="-9"/>
        </w:rPr>
        <w:t> </w:t>
      </w:r>
      <w:r>
        <w:rPr/>
        <w:t>备查文件目录</w:t>
      </w:r>
      <w:bookmarkEnd w:id="12"/>
      <w:r>
        <w:rPr>
          <w:b w:val="0"/>
          <w:bCs w:val="0"/>
        </w:rPr>
      </w:r>
    </w:p>
    <w:p>
      <w:pPr>
        <w:spacing w:line="240" w:lineRule="auto" w:before="6"/>
        <w:rPr>
          <w:rFonts w:ascii="宋体" w:hAnsi="宋体" w:cs="宋体" w:eastAsia="宋体" w:hint="default"/>
          <w:b/>
          <w:bCs/>
          <w:sz w:val="42"/>
          <w:szCs w:val="42"/>
        </w:rPr>
      </w:pPr>
    </w:p>
    <w:p>
      <w:pPr>
        <w:pStyle w:val="BodyText"/>
        <w:spacing w:line="240" w:lineRule="auto"/>
        <w:ind w:right="0"/>
        <w:jc w:val="left"/>
      </w:pPr>
      <w:r>
        <w:rPr>
          <w:rFonts w:ascii="Times New Roman" w:hAnsi="Times New Roman" w:cs="Times New Roman" w:eastAsia="Times New Roman" w:hint="default"/>
        </w:rPr>
        <w:t>1</w:t>
      </w:r>
      <w:r>
        <w:rPr/>
        <w:t>、经公司法定代表人、主管会计工作的负责人、会计机构负责人签字并盖章的财务报表；</w:t>
      </w:r>
    </w:p>
    <w:p>
      <w:pPr>
        <w:pStyle w:val="BodyText"/>
        <w:spacing w:line="240" w:lineRule="auto" w:before="63"/>
        <w:ind w:left="153" w:right="0"/>
        <w:jc w:val="left"/>
      </w:pPr>
      <w:r>
        <w:rPr>
          <w:rFonts w:ascii="Times New Roman" w:hAnsi="Times New Roman" w:cs="Times New Roman" w:eastAsia="Times New Roman" w:hint="default"/>
        </w:rPr>
        <w:t>2</w:t>
      </w:r>
      <w:r>
        <w:rPr/>
        <w:t>、经瑞华会计师事务所（特殊普通合伙）盖章、注册会计师签名并盖章的审计报告原件。</w:t>
      </w:r>
    </w:p>
    <w:p>
      <w:pPr>
        <w:pStyle w:val="BodyText"/>
        <w:spacing w:line="240" w:lineRule="auto" w:before="63"/>
        <w:ind w:left="153" w:right="0"/>
        <w:jc w:val="left"/>
      </w:pPr>
      <w:r>
        <w:rPr>
          <w:rFonts w:ascii="Times New Roman" w:hAnsi="Times New Roman" w:cs="Times New Roman" w:eastAsia="Times New Roman" w:hint="default"/>
        </w:rPr>
        <w:t>3</w:t>
      </w:r>
      <w:r>
        <w:rPr/>
        <w:t>、报告期内在巨潮资讯网上公开披露过的所有公司文件的正本及公告的原稿。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spacing w:line="571" w:lineRule="auto" w:before="38"/>
        <w:ind w:left="7472" w:right="1112" w:hanging="80"/>
        <w:jc w:val="left"/>
        <w:rPr>
          <w:rFonts w:ascii="宋体" w:hAnsi="宋体" w:cs="宋体" w:eastAsia="宋体" w:hint="default"/>
          <w:sz w:val="20"/>
          <w:szCs w:val="20"/>
        </w:rPr>
      </w:pPr>
      <w:r>
        <w:rPr>
          <w:rFonts w:ascii="宋体" w:hAnsi="宋体" w:cs="宋体" w:eastAsia="宋体" w:hint="default"/>
          <w:sz w:val="20"/>
          <w:szCs w:val="20"/>
        </w:rPr>
        <w:t>浙江华媒控股股份有限公司</w:t>
      </w:r>
      <w:r>
        <w:rPr>
          <w:rFonts w:ascii="宋体" w:hAnsi="宋体" w:cs="宋体" w:eastAsia="宋体" w:hint="default"/>
          <w:w w:val="100"/>
          <w:sz w:val="20"/>
          <w:szCs w:val="20"/>
        </w:rPr>
        <w:t> </w:t>
      </w:r>
      <w:r>
        <w:rPr>
          <w:rFonts w:ascii="宋体" w:hAnsi="宋体" w:cs="宋体" w:eastAsia="宋体" w:hint="default"/>
          <w:sz w:val="20"/>
          <w:szCs w:val="20"/>
        </w:rPr>
        <w:t>法定代表人：董悦</w:t>
      </w:r>
      <w:r>
        <w:rPr>
          <w:rFonts w:ascii="宋体" w:hAnsi="宋体" w:cs="宋体" w:eastAsia="宋体" w:hint="default"/>
          <w:w w:val="100"/>
          <w:sz w:val="20"/>
          <w:szCs w:val="20"/>
        </w:rPr>
        <w:t> </w:t>
      </w:r>
      <w:r>
        <w:rPr>
          <w:rFonts w:ascii="Times New Roman" w:hAnsi="Times New Roman" w:cs="Times New Roman" w:eastAsia="Times New Roman" w:hint="default"/>
          <w:sz w:val="20"/>
          <w:szCs w:val="20"/>
        </w:rPr>
        <w:t>2019</w:t>
      </w:r>
      <w:r>
        <w:rPr>
          <w:rFonts w:ascii="宋体" w:hAnsi="宋体" w:cs="宋体" w:eastAsia="宋体" w:hint="default"/>
          <w:sz w:val="20"/>
          <w:szCs w:val="20"/>
        </w:rPr>
        <w:t>年</w:t>
      </w:r>
      <w:r>
        <w:rPr>
          <w:rFonts w:ascii="Times New Roman" w:hAnsi="Times New Roman" w:cs="Times New Roman" w:eastAsia="Times New Roman" w:hint="default"/>
          <w:sz w:val="20"/>
          <w:szCs w:val="20"/>
        </w:rPr>
        <w:t>4</w:t>
      </w:r>
      <w:r>
        <w:rPr>
          <w:rFonts w:ascii="宋体" w:hAnsi="宋体" w:cs="宋体" w:eastAsia="宋体" w:hint="default"/>
          <w:sz w:val="20"/>
          <w:szCs w:val="20"/>
        </w:rPr>
        <w:t>月</w:t>
      </w:r>
      <w:r>
        <w:rPr>
          <w:rFonts w:ascii="Times New Roman" w:hAnsi="Times New Roman" w:cs="Times New Roman" w:eastAsia="Times New Roman" w:hint="default"/>
          <w:sz w:val="20"/>
          <w:szCs w:val="20"/>
        </w:rPr>
        <w:t>29</w:t>
      </w:r>
      <w:r>
        <w:rPr>
          <w:rFonts w:ascii="宋体" w:hAnsi="宋体" w:cs="宋体" w:eastAsia="宋体" w:hint="default"/>
          <w:sz w:val="20"/>
          <w:szCs w:val="20"/>
        </w:rPr>
        <w:t>日</w:t>
      </w:r>
    </w:p>
    <w:sectPr>
      <w:pgSz w:w="11910" w:h="16840"/>
      <w:pgMar w:header="0" w:footer="982" w:top="1100" w:bottom="118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149664" type="#_x0000_t75" stroked="false">
          <v:imagedata r:id="rId1" o:title=""/>
        </v:shape>
      </w:pict>
    </w:r>
    <w:r>
      <w:rPr/>
      <w:pict>
        <v:shape style="position:absolute;margin-left:533.119873pt;margin-top:795.457642pt;width:6.5pt;height:11pt;mso-position-horizontal-relative:page;mso-position-vertical-relative:page;z-index:-114964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149160" type="#_x0000_t75" stroked="false">
          <v:imagedata r:id="rId1" o:title=""/>
        </v:shape>
      </w:pict>
    </w:r>
    <w:r>
      <w:rPr/>
      <w:pict>
        <v:shape style="position:absolute;margin-left:528.619873pt;margin-top:781.897522pt;width:11pt;height:11pt;mso-position-horizontal-relative:page;mso-position-vertical-relative:page;z-index:-114913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73</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40295pt;margin-top:570.334656pt;width:42.060646pt;height:18.943344pt;mso-position-horizontal-relative:page;mso-position-vertical-relative:page;z-index:-1149040" type="#_x0000_t75" stroked="false">
          <v:imagedata r:id="rId1" o:title=""/>
        </v:shape>
      </w:pict>
    </w:r>
    <w:r>
      <w:rPr/>
      <w:pict>
        <v:shape style="position:absolute;margin-left:758.910522pt;margin-top:535.297913pt;width:13pt;height:11pt;mso-position-horizontal-relative:page;mso-position-vertical-relative:page;z-index:-11490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76</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148944" type="#_x0000_t75" stroked="false">
          <v:imagedata r:id="rId1" o:title=""/>
        </v:shape>
      </w:pict>
    </w:r>
    <w:r>
      <w:rPr/>
      <w:pict>
        <v:shape style="position:absolute;margin-left:527.619873pt;margin-top:781.897522pt;width:13pt;height:11pt;mso-position-horizontal-relative:page;mso-position-vertical-relative:page;z-index:-11489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148896" type="#_x0000_t75" stroked="false">
          <v:imagedata r:id="rId1" o:title=""/>
        </v:shape>
      </w:pict>
    </w:r>
    <w:r>
      <w:rPr/>
      <w:pict>
        <v:shape style="position:absolute;margin-left:524.119873pt;margin-top:781.897522pt;width:15.5pt;height:11pt;mso-position-horizontal-relative:page;mso-position-vertical-relative:page;z-index:-114887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148848" type="#_x0000_t75" stroked="false">
          <v:imagedata r:id="rId1" o:title=""/>
        </v:shape>
      </w:pict>
    </w:r>
    <w:r>
      <w:rPr/>
      <w:pict>
        <v:shape style="position:absolute;margin-left:523.119873pt;margin-top:781.897522pt;width:17.5pt;height:11pt;mso-position-horizontal-relative:page;mso-position-vertical-relative:page;z-index:-11488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40295pt;margin-top:570.334656pt;width:42.060646pt;height:18.943344pt;mso-position-horizontal-relative:page;mso-position-vertical-relative:page;z-index:-1148776" type="#_x0000_t75" stroked="false">
          <v:imagedata r:id="rId1" o:title=""/>
        </v:shape>
      </w:pict>
    </w:r>
    <w:r>
      <w:rPr/>
      <w:pict>
        <v:shape style="position:absolute;margin-left:754.770508pt;margin-top:535.297913pt;width:17.150pt;height:11pt;mso-position-horizontal-relative:page;mso-position-vertical-relative:page;z-index:-11487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115</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148680" type="#_x0000_t75" stroked="false">
          <v:imagedata r:id="rId1" o:title=""/>
        </v:shape>
      </w:pict>
    </w:r>
    <w:r>
      <w:rPr/>
      <w:pict>
        <v:shape style="position:absolute;margin-left:523.119873pt;margin-top:781.897522pt;width:17.5pt;height:11pt;mso-position-horizontal-relative:page;mso-position-vertical-relative:page;z-index:-11486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149616" type="#_x0000_t75" stroked="false">
          <v:imagedata r:id="rId1" o:title=""/>
        </v:shape>
      </w:pict>
    </w:r>
    <w:r>
      <w:rPr/>
      <w:pict>
        <v:shape style="position:absolute;margin-left:527.619873pt;margin-top:781.897522pt;width:13pt;height:11pt;mso-position-horizontal-relative:page;mso-position-vertical-relative:page;z-index:-11495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148632" type="#_x0000_t75" stroked="false">
          <v:imagedata r:id="rId1" o:title=""/>
        </v:shape>
      </w:pict>
    </w:r>
    <w:r>
      <w:rPr/>
      <w:pict>
        <v:shape style="position:absolute;margin-left:523.119873pt;margin-top:781.897522pt;width:17.5pt;height:11pt;mso-position-horizontal-relative:page;mso-position-vertical-relative:page;z-index:-11486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152</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148584" type="#_x0000_t75" stroked="false">
          <v:imagedata r:id="rId1" o:title=""/>
        </v:shape>
      </w:pict>
    </w:r>
    <w:r>
      <w:rPr/>
      <w:pict>
        <v:shape style="position:absolute;margin-left:523.119873pt;margin-top:781.897522pt;width:17.5pt;height:11pt;mso-position-horizontal-relative:page;mso-position-vertical-relative:page;z-index:-11485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155</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149568" type="#_x0000_t75" stroked="false">
          <v:imagedata r:id="rId1" o:title=""/>
        </v:shape>
      </w:pict>
    </w:r>
    <w:r>
      <w:rPr/>
      <w:pict>
        <v:shape style="position:absolute;margin-left:527.619873pt;margin-top:781.897522pt;width:13pt;height:11pt;mso-position-horizontal-relative:page;mso-position-vertical-relative:page;z-index:-11495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40295pt;margin-top:570.334656pt;width:42.060646pt;height:18.943344pt;mso-position-horizontal-relative:page;mso-position-vertical-relative:page;z-index:-1149496" type="#_x0000_t75" stroked="false">
          <v:imagedata r:id="rId1" o:title=""/>
        </v:shape>
      </w:pict>
    </w:r>
    <w:r>
      <w:rPr/>
      <w:pict>
        <v:shape style="position:absolute;margin-left:758.910522pt;margin-top:535.297913pt;width:13pt;height:11pt;mso-position-horizontal-relative:page;mso-position-vertical-relative:page;z-index:-11494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33</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149400" type="#_x0000_t75" stroked="false">
          <v:imagedata r:id="rId1" o:title=""/>
        </v:shape>
      </w:pict>
    </w:r>
    <w:r>
      <w:rPr/>
      <w:pict>
        <v:shape style="position:absolute;margin-left:527.619873pt;margin-top:781.897522pt;width:13pt;height:11pt;mso-position-horizontal-relative:page;mso-position-vertical-relative:page;z-index:-11493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38</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149352" type="#_x0000_t75" stroked="false">
          <v:imagedata r:id="rId1" o:title=""/>
        </v:shape>
      </w:pict>
    </w:r>
    <w:r>
      <w:rPr/>
      <w:pict>
        <v:shape style="position:absolute;margin-left:55.700001pt;margin-top:757.702942pt;width:380pt;height:11.5pt;mso-position-horizontal-relative:page;mso-position-vertical-relative:page;z-index:-1149328" type="#_x0000_t202" filled="false" stroked="false">
          <v:textbox inset="0,0,0,0">
            <w:txbxContent>
              <w:p>
                <w:pPr>
                  <w:pStyle w:val="BodyText"/>
                  <w:spacing w:line="214" w:lineRule="exact"/>
                  <w:ind w:left="20" w:right="0"/>
                  <w:jc w:val="left"/>
                </w:pPr>
                <w:r>
                  <w:rPr/>
                  <w:t>首日为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日。根据相关规定，该部分非公开发行股份自上市之日起</w:t>
                </w:r>
                <w:r>
                  <w:rPr>
                    <w:rFonts w:ascii="Times New Roman" w:hAnsi="Times New Roman" w:cs="Times New Roman" w:eastAsia="Times New Roman" w:hint="default"/>
                  </w:rPr>
                  <w:t>36</w:t>
                </w:r>
                <w:r>
                  <w:rPr/>
                  <w:t>个月内不转让。</w:t>
                </w:r>
              </w:p>
            </w:txbxContent>
          </v:textbox>
          <w10:wrap type="none"/>
        </v:shape>
      </w:pict>
    </w:r>
    <w:r>
      <w:rPr/>
      <w:pict>
        <v:shape style="position:absolute;margin-left:527.619873pt;margin-top:781.897522pt;width:13pt;height:11pt;mso-position-horizontal-relative:page;mso-position-vertical-relative:page;z-index:-11493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45</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149280" type="#_x0000_t75" stroked="false">
          <v:imagedata r:id="rId1" o:title=""/>
        </v:shape>
      </w:pict>
    </w:r>
    <w:r>
      <w:rPr/>
      <w:pict>
        <v:shape style="position:absolute;margin-left:527.619873pt;margin-top:781.897522pt;width:13pt;height:11pt;mso-position-horizontal-relative:page;mso-position-vertical-relative:page;z-index:-11492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46</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149232" type="#_x0000_t75" stroked="false">
          <v:imagedata r:id="rId1" o:title=""/>
        </v:shape>
      </w:pict>
    </w:r>
    <w:r>
      <w:rPr/>
      <w:pict>
        <v:shape style="position:absolute;margin-left:528.619873pt;margin-top:821.797607pt;width:6.5pt;height:11pt;mso-position-horizontal-relative:page;mso-position-vertical-relative:page;z-index:-114920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7</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179993pt;margin-top:36.325325pt;width:195.45pt;height:11.5pt;mso-position-horizontal-relative:page;mso-position-vertical-relative:page;z-index:-1149688" type="#_x0000_t202" filled="false" stroked="false">
          <v:textbox inset="0,0,0,0">
            <w:txbxContent>
              <w:p>
                <w:pPr>
                  <w:pStyle w:val="BodyText"/>
                  <w:spacing w:line="214" w:lineRule="exact"/>
                  <w:ind w:left="20" w:right="0"/>
                  <w:jc w:val="left"/>
                </w:pPr>
                <w:r>
                  <w:rPr/>
                  <w:t>浙江华媒控股股份有限公司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47052pt;margin-top:42.865623pt;width:195.45pt;height:11.5pt;mso-position-horizontal-relative:page;mso-position-vertical-relative:page;z-index:-1148800" type="#_x0000_t202" filled="false" stroked="false">
          <v:textbox inset="0,0,0,0">
            <w:txbxContent>
              <w:p>
                <w:pPr>
                  <w:pStyle w:val="BodyText"/>
                  <w:spacing w:line="214" w:lineRule="exact"/>
                  <w:ind w:left="20" w:right="0"/>
                  <w:jc w:val="left"/>
                </w:pPr>
                <w:r>
                  <w:rPr/>
                  <w:t>浙江华媒控股股份有限公司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148728"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44.179993pt;margin-top:42.865326pt;width:195.45pt;height:11.5pt;mso-position-horizontal-relative:page;mso-position-vertical-relative:page;z-index:-1148704" type="#_x0000_t202" filled="false" stroked="false">
          <v:textbox inset="0,0,0,0">
            <w:txbxContent>
              <w:p>
                <w:pPr>
                  <w:pStyle w:val="BodyText"/>
                  <w:spacing w:line="214" w:lineRule="exact"/>
                  <w:ind w:left="20" w:right="0"/>
                  <w:jc w:val="left"/>
                </w:pPr>
                <w:r>
                  <w:rPr/>
                  <w:t>浙江华媒控股股份有限公司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47052pt;margin-top:42.865623pt;width:195.45pt;height:11.5pt;mso-position-horizontal-relative:page;mso-position-vertical-relative:page;z-index:-1149520" type="#_x0000_t202" filled="false" stroked="false">
          <v:textbox inset="0,0,0,0">
            <w:txbxContent>
              <w:p>
                <w:pPr>
                  <w:pStyle w:val="BodyText"/>
                  <w:spacing w:line="214" w:lineRule="exact"/>
                  <w:ind w:left="20" w:right="0"/>
                  <w:jc w:val="left"/>
                </w:pPr>
                <w:r>
                  <w:rPr/>
                  <w:t>浙江华媒控股股份有限公司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149448"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44.179993pt;margin-top:42.865326pt;width:195.45pt;height:11.5pt;mso-position-horizontal-relative:page;mso-position-vertical-relative:page;z-index:-1149424" type="#_x0000_t202" filled="false" stroked="false">
          <v:textbox inset="0,0,0,0">
            <w:txbxContent>
              <w:p>
                <w:pPr>
                  <w:pStyle w:val="BodyText"/>
                  <w:spacing w:line="214" w:lineRule="exact"/>
                  <w:ind w:left="20" w:right="0"/>
                  <w:jc w:val="left"/>
                </w:pPr>
                <w:r>
                  <w:rPr/>
                  <w:t>浙江华媒控股股份有限公司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4.179993pt;margin-top:42.865326pt;width:195.45pt;height:11.5pt;mso-position-horizontal-relative:page;mso-position-vertical-relative:page;z-index:-1149184" type="#_x0000_t202" filled="false" stroked="false">
          <v:textbox inset="0,0,0,0">
            <w:txbxContent>
              <w:p>
                <w:pPr>
                  <w:pStyle w:val="BodyText"/>
                  <w:spacing w:line="214" w:lineRule="exact"/>
                  <w:ind w:left="20" w:right="0"/>
                  <w:jc w:val="left"/>
                </w:pPr>
                <w:r>
                  <w:rPr/>
                  <w:t>浙江华媒控股股份有限公司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4.179993pt;margin-top:42.865326pt;width:195.45pt;height:11.5pt;mso-position-horizontal-relative:page;mso-position-vertical-relative:page;z-index:-1149112" type="#_x0000_t202" filled="false" stroked="false">
          <v:textbox inset="0,0,0,0">
            <w:txbxContent>
              <w:p>
                <w:pPr>
                  <w:pStyle w:val="BodyText"/>
                  <w:spacing w:line="214" w:lineRule="exact"/>
                  <w:ind w:left="20" w:right="0"/>
                  <w:jc w:val="left"/>
                </w:pPr>
                <w:r>
                  <w:rPr/>
                  <w:t>浙江华媒控股股份有限公司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r>
      <w:rPr/>
      <w:pict>
        <v:shape style="position:absolute;margin-left:55.700001pt;margin-top:58.316261pt;width:102.2pt;height:13.1pt;mso-position-horizontal-relative:page;mso-position-vertical-relative:page;z-index:-1149088"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、母公司现金流量表</w:t>
                </w:r>
                <w:r>
                  <w:rPr>
                    <w:rFonts w:ascii="宋体" w:hAnsi="宋体" w:cs="宋体" w:eastAsia="宋体" w:hint="default"/>
                    <w:sz w:val="21"/>
                    <w:szCs w:val="21"/>
                  </w:rPr>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47052pt;margin-top:42.865623pt;width:195.45pt;height:11.5pt;mso-position-horizontal-relative:page;mso-position-vertical-relative:page;z-index:-1149064" type="#_x0000_t202" filled="false" stroked="false">
          <v:textbox inset="0,0,0,0">
            <w:txbxContent>
              <w:p>
                <w:pPr>
                  <w:pStyle w:val="BodyText"/>
                  <w:spacing w:line="214" w:lineRule="exact"/>
                  <w:ind w:left="20" w:right="0"/>
                  <w:jc w:val="left"/>
                </w:pPr>
                <w:r>
                  <w:rPr/>
                  <w:t>浙江华媒控股股份有限公司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148992"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44.179993pt;margin-top:42.865326pt;width:195.45pt;height:11.5pt;mso-position-horizontal-relative:page;mso-position-vertical-relative:page;z-index:-1148968" type="#_x0000_t202" filled="false" stroked="false">
          <v:textbox inset="0,0,0,0">
            <w:txbxContent>
              <w:p>
                <w:pPr>
                  <w:pStyle w:val="BodyText"/>
                  <w:spacing w:line="214" w:lineRule="exact"/>
                  <w:ind w:left="20" w:right="0"/>
                  <w:jc w:val="left"/>
                </w:pPr>
                <w:r>
                  <w:rPr/>
                  <w:t>浙江华媒控股股份有限公司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561"/>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ind w:left="580"/>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000607.cn/" TargetMode="External"/><Relationship Id="rId10" Type="http://schemas.openxmlformats.org/officeDocument/2006/relationships/hyperlink" Target="mailto:ir000607@000607.cn" TargetMode="External"/><Relationship Id="rId11" Type="http://schemas.openxmlformats.org/officeDocument/2006/relationships/hyperlink" Target="http://www.cninfo.com.cn/" TargetMode="Externa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image" Target="media/image1.jpeg"/><Relationship Id="rId15" Type="http://schemas.openxmlformats.org/officeDocument/2006/relationships/footer" Target="footer4.xml"/><Relationship Id="rId16" Type="http://schemas.openxmlformats.org/officeDocument/2006/relationships/header" Target="header3.xml"/><Relationship Id="rId17" Type="http://schemas.openxmlformats.org/officeDocument/2006/relationships/footer" Target="footer5.xml"/><Relationship Id="rId18" Type="http://schemas.openxmlformats.org/officeDocument/2006/relationships/header" Target="header4.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image" Target="media/image10.png"/><Relationship Id="rId30" Type="http://schemas.openxmlformats.org/officeDocument/2006/relationships/image" Target="media/image11.png"/><Relationship Id="rId31" Type="http://schemas.openxmlformats.org/officeDocument/2006/relationships/image" Target="media/image12.png"/><Relationship Id="rId32" Type="http://schemas.openxmlformats.org/officeDocument/2006/relationships/image" Target="media/image13.png"/><Relationship Id="rId33" Type="http://schemas.openxmlformats.org/officeDocument/2006/relationships/image" Target="media/image14.png"/><Relationship Id="rId34" Type="http://schemas.openxmlformats.org/officeDocument/2006/relationships/image" Target="media/image15.png"/><Relationship Id="rId35" Type="http://schemas.openxmlformats.org/officeDocument/2006/relationships/image" Target="media/image16.png"/><Relationship Id="rId36" Type="http://schemas.openxmlformats.org/officeDocument/2006/relationships/image" Target="media/image17.png"/><Relationship Id="rId37" Type="http://schemas.openxmlformats.org/officeDocument/2006/relationships/image" Target="media/image18.png"/><Relationship Id="rId38" Type="http://schemas.openxmlformats.org/officeDocument/2006/relationships/image" Target="media/image19.png"/><Relationship Id="rId39" Type="http://schemas.openxmlformats.org/officeDocument/2006/relationships/image" Target="media/image20.png"/><Relationship Id="rId40" Type="http://schemas.openxmlformats.org/officeDocument/2006/relationships/image" Target="media/image21.png"/><Relationship Id="rId41" Type="http://schemas.openxmlformats.org/officeDocument/2006/relationships/image" Target="media/image22.png"/><Relationship Id="rId42" Type="http://schemas.openxmlformats.org/officeDocument/2006/relationships/image" Target="media/image23.png"/><Relationship Id="rId43" Type="http://schemas.openxmlformats.org/officeDocument/2006/relationships/image" Target="media/image24.png"/><Relationship Id="rId44" Type="http://schemas.openxmlformats.org/officeDocument/2006/relationships/image" Target="media/image25.png"/><Relationship Id="rId45" Type="http://schemas.openxmlformats.org/officeDocument/2006/relationships/header" Target="header5.xml"/><Relationship Id="rId46" Type="http://schemas.openxmlformats.org/officeDocument/2006/relationships/footer" Target="footer9.xml"/><Relationship Id="rId47" Type="http://schemas.openxmlformats.org/officeDocument/2006/relationships/header" Target="header6.xml"/><Relationship Id="rId48" Type="http://schemas.openxmlformats.org/officeDocument/2006/relationships/footer" Target="footer10.xml"/><Relationship Id="rId49" Type="http://schemas.openxmlformats.org/officeDocument/2006/relationships/footer" Target="footer11.xml"/><Relationship Id="rId50" Type="http://schemas.openxmlformats.org/officeDocument/2006/relationships/header" Target="header7.xml"/><Relationship Id="rId51" Type="http://schemas.openxmlformats.org/officeDocument/2006/relationships/footer" Target="footer12.xml"/><Relationship Id="rId52" Type="http://schemas.openxmlformats.org/officeDocument/2006/relationships/header" Target="header8.xml"/><Relationship Id="rId53" Type="http://schemas.openxmlformats.org/officeDocument/2006/relationships/footer" Target="footer13.xml"/><Relationship Id="rId54" Type="http://schemas.openxmlformats.org/officeDocument/2006/relationships/header" Target="header9.xml"/><Relationship Id="rId55" Type="http://schemas.openxmlformats.org/officeDocument/2006/relationships/footer" Target="footer14.xml"/><Relationship Id="rId56" Type="http://schemas.openxmlformats.org/officeDocument/2006/relationships/footer" Target="footer15.xml"/><Relationship Id="rId57" Type="http://schemas.openxmlformats.org/officeDocument/2006/relationships/footer" Target="footer16.xml"/><Relationship Id="rId58" Type="http://schemas.openxmlformats.org/officeDocument/2006/relationships/header" Target="header10.xml"/><Relationship Id="rId59" Type="http://schemas.openxmlformats.org/officeDocument/2006/relationships/footer" Target="footer17.xml"/><Relationship Id="rId60" Type="http://schemas.openxmlformats.org/officeDocument/2006/relationships/header" Target="header11.xml"/><Relationship Id="rId61" Type="http://schemas.openxmlformats.org/officeDocument/2006/relationships/footer" Target="footer18.xml"/><Relationship Id="rId62" Type="http://schemas.openxmlformats.org/officeDocument/2006/relationships/header" Target="header12.xml"/><Relationship Id="rId63" Type="http://schemas.openxmlformats.org/officeDocument/2006/relationships/footer" Target="footer19.xml"/><Relationship Id="rId64" Type="http://schemas.openxmlformats.org/officeDocument/2006/relationships/footer" Target="footer20.xml"/><Relationship Id="rId65" Type="http://schemas.openxmlformats.org/officeDocument/2006/relationships/header" Target="header13.xml"/><Relationship Id="rId66" Type="http://schemas.openxmlformats.org/officeDocument/2006/relationships/footer" Target="footer21.xml"/><Relationship Id="rId67" Type="http://schemas.openxmlformats.org/officeDocument/2006/relationships/footer" Target="footer2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20.xml.rels><?xml version="1.0" encoding="UTF-8" standalone="yes"?>
<Relationships xmlns="http://schemas.openxmlformats.org/package/2006/relationships"><Relationship Id="rId1" Type="http://schemas.openxmlformats.org/officeDocument/2006/relationships/image" Target="media/image1.jpeg"/></Relationships>

</file>

<file path=word/_rels/footer22.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hmzjj</dc:creator>
  <dc:title>&lt;4D6963726F736F667420576F7264202D20323031392D3030382032303138C4EAC4EAB6C8B1A8B8E6C8ABCEC42020303432382D4EA1BED6D5B8E5A1BF2E646F63&gt;</dc:title>
  <dcterms:created xsi:type="dcterms:W3CDTF">2020-05-05T04:44:23Z</dcterms:created>
  <dcterms:modified xsi:type="dcterms:W3CDTF">2020-05-05T04:44:23Z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2019-04-29T00:00:00Z</vt:filetime>
  </property>
  <property fmtid="{D5CDD505-2E9C-101B-9397-08002B2CF9AE}" pid="3" name="Creator">
    <vt:lpwstr>PScript5.dll Version 5.2.2</vt:lpwstr>
  </property>
  <property fmtid="{D5CDD505-2E9C-101B-9397-08002B2CF9AE}" pid="4" name="LastSaved">
    <vt:filetime>2020-05-04T00:00:00Z</vt:filetime>
  </property>
</Properties>
</file>